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E2AE1" w14:textId="7934C173" w:rsidR="0076115C" w:rsidRDefault="00C105BC" w:rsidP="00C105BC">
      <w:pPr>
        <w:pStyle w:val="Pagedecouverture"/>
        <w:rPr>
          <w:noProof/>
        </w:rPr>
      </w:pPr>
      <w:bookmarkStart w:id="0" w:name="LW_BM_COVERPAGE"/>
      <w:r>
        <w:rPr>
          <w:noProof/>
        </w:rPr>
        <w:pict w14:anchorId="04C4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55F228A-9CB5-44E1-AAD5-CEBE8C033C18" style="width:455.25pt;height:426.75pt">
            <v:imagedata r:id="rId11" o:title=""/>
          </v:shape>
        </w:pict>
      </w:r>
    </w:p>
    <w:bookmarkEnd w:id="0"/>
    <w:p w14:paraId="41DFB1DC" w14:textId="77777777" w:rsidR="00371E46" w:rsidRPr="00371E46" w:rsidRDefault="00371E46" w:rsidP="00371E46">
      <w:pPr>
        <w:pStyle w:val="Pagedecouverture"/>
        <w:rPr>
          <w:noProof/>
        </w:rPr>
        <w:sectPr w:rsidR="00371E46" w:rsidRPr="00371E46" w:rsidSect="00C105BC">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299"/>
        </w:sectPr>
      </w:pPr>
    </w:p>
    <w:p w14:paraId="3DB720A2" w14:textId="77777777" w:rsidR="006B087E" w:rsidRPr="00AF77BE" w:rsidRDefault="006B087E" w:rsidP="006B087E">
      <w:pPr>
        <w:pStyle w:val="TOCHeading"/>
        <w:rPr>
          <w:noProof/>
          <w:sz w:val="28"/>
          <w:szCs w:val="28"/>
        </w:rPr>
      </w:pPr>
      <w:bookmarkStart w:id="1" w:name="_GoBack"/>
      <w:bookmarkEnd w:id="1"/>
      <w:r w:rsidRPr="00AF77BE">
        <w:rPr>
          <w:noProof/>
          <w:sz w:val="28"/>
          <w:szCs w:val="28"/>
        </w:rPr>
        <w:lastRenderedPageBreak/>
        <w:t>Table of contents</w:t>
      </w:r>
    </w:p>
    <w:p w14:paraId="356BCD48" w14:textId="77777777" w:rsidR="00334941" w:rsidRDefault="00501849">
      <w:pPr>
        <w:pStyle w:val="TOC1"/>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"1-1" \h \z \t "Heading 2;2;Heading 3;3;Annex Title;1" </w:instrText>
      </w:r>
      <w:r>
        <w:rPr>
          <w:caps w:val="0"/>
          <w:noProof/>
        </w:rPr>
        <w:fldChar w:fldCharType="separate"/>
      </w:r>
      <w:hyperlink w:anchor="_Toc93511447" w:history="1">
        <w:r w:rsidR="00334941" w:rsidRPr="00307977">
          <w:rPr>
            <w:rStyle w:val="Hyperlink"/>
            <w:noProof/>
          </w:rPr>
          <w:t>1.</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Introduction: Political and legal context</w:t>
        </w:r>
        <w:r w:rsidR="00334941">
          <w:rPr>
            <w:noProof/>
            <w:webHidden/>
          </w:rPr>
          <w:tab/>
        </w:r>
        <w:r w:rsidR="00334941">
          <w:rPr>
            <w:noProof/>
            <w:webHidden/>
          </w:rPr>
          <w:fldChar w:fldCharType="begin"/>
        </w:r>
        <w:r w:rsidR="00334941">
          <w:rPr>
            <w:noProof/>
            <w:webHidden/>
          </w:rPr>
          <w:instrText xml:space="preserve"> PAGEREF _Toc93511447 \h </w:instrText>
        </w:r>
        <w:r w:rsidR="00334941">
          <w:rPr>
            <w:noProof/>
            <w:webHidden/>
          </w:rPr>
        </w:r>
        <w:r w:rsidR="00334941">
          <w:rPr>
            <w:noProof/>
            <w:webHidden/>
          </w:rPr>
          <w:fldChar w:fldCharType="separate"/>
        </w:r>
        <w:r w:rsidR="00334941">
          <w:rPr>
            <w:noProof/>
            <w:webHidden/>
          </w:rPr>
          <w:t>7</w:t>
        </w:r>
        <w:r w:rsidR="00334941">
          <w:rPr>
            <w:noProof/>
            <w:webHidden/>
          </w:rPr>
          <w:fldChar w:fldCharType="end"/>
        </w:r>
      </w:hyperlink>
    </w:p>
    <w:p w14:paraId="03AF0240"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48" w:history="1">
        <w:r w:rsidR="00334941" w:rsidRPr="00307977">
          <w:rPr>
            <w:rStyle w:val="Hyperlink"/>
            <w:noProof/>
            <w:lang w:eastAsia="de-DE"/>
          </w:rPr>
          <w:t>1.1.</w:t>
        </w:r>
        <w:r w:rsidR="00334941">
          <w:rPr>
            <w:rFonts w:asciiTheme="minorHAnsi" w:eastAsiaTheme="minorEastAsia" w:hAnsiTheme="minorHAnsi" w:cstheme="minorBidi"/>
            <w:noProof/>
            <w:sz w:val="22"/>
            <w:szCs w:val="22"/>
            <w:lang w:eastAsia="en-GB"/>
          </w:rPr>
          <w:tab/>
        </w:r>
        <w:r w:rsidR="00334941" w:rsidRPr="00307977">
          <w:rPr>
            <w:rStyle w:val="Hyperlink"/>
            <w:noProof/>
            <w:lang w:eastAsia="de-DE"/>
          </w:rPr>
          <w:t>The European Green Deal and the Paris Agreement on Climate Change</w:t>
        </w:r>
        <w:r w:rsidR="00334941">
          <w:rPr>
            <w:noProof/>
            <w:webHidden/>
          </w:rPr>
          <w:tab/>
        </w:r>
        <w:r w:rsidR="00334941">
          <w:rPr>
            <w:noProof/>
            <w:webHidden/>
          </w:rPr>
          <w:fldChar w:fldCharType="begin"/>
        </w:r>
        <w:r w:rsidR="00334941">
          <w:rPr>
            <w:noProof/>
            <w:webHidden/>
          </w:rPr>
          <w:instrText xml:space="preserve"> PAGEREF _Toc93511448 \h </w:instrText>
        </w:r>
        <w:r w:rsidR="00334941">
          <w:rPr>
            <w:noProof/>
            <w:webHidden/>
          </w:rPr>
        </w:r>
        <w:r w:rsidR="00334941">
          <w:rPr>
            <w:noProof/>
            <w:webHidden/>
          </w:rPr>
          <w:fldChar w:fldCharType="separate"/>
        </w:r>
        <w:r w:rsidR="00334941">
          <w:rPr>
            <w:noProof/>
            <w:webHidden/>
          </w:rPr>
          <w:t>7</w:t>
        </w:r>
        <w:r w:rsidR="00334941">
          <w:rPr>
            <w:noProof/>
            <w:webHidden/>
          </w:rPr>
          <w:fldChar w:fldCharType="end"/>
        </w:r>
      </w:hyperlink>
    </w:p>
    <w:p w14:paraId="6BF6027A"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49" w:history="1">
        <w:r w:rsidR="00334941" w:rsidRPr="00307977">
          <w:rPr>
            <w:rStyle w:val="Hyperlink"/>
            <w:noProof/>
            <w:lang w:eastAsia="de-DE"/>
          </w:rPr>
          <w:t>1.2.</w:t>
        </w:r>
        <w:r w:rsidR="00334941">
          <w:rPr>
            <w:rFonts w:asciiTheme="minorHAnsi" w:eastAsiaTheme="minorEastAsia" w:hAnsiTheme="minorHAnsi" w:cstheme="minorBidi"/>
            <w:noProof/>
            <w:sz w:val="22"/>
            <w:szCs w:val="22"/>
            <w:lang w:eastAsia="en-GB"/>
          </w:rPr>
          <w:tab/>
        </w:r>
        <w:r w:rsidR="00334941" w:rsidRPr="00307977">
          <w:rPr>
            <w:rStyle w:val="Hyperlink"/>
            <w:noProof/>
            <w:lang w:eastAsia="de-DE"/>
          </w:rPr>
          <w:t>The Montreal Protocol on substances that deplete the ozone layer</w:t>
        </w:r>
        <w:r w:rsidR="00334941">
          <w:rPr>
            <w:noProof/>
            <w:webHidden/>
          </w:rPr>
          <w:tab/>
        </w:r>
        <w:r w:rsidR="00334941">
          <w:rPr>
            <w:noProof/>
            <w:webHidden/>
          </w:rPr>
          <w:fldChar w:fldCharType="begin"/>
        </w:r>
        <w:r w:rsidR="00334941">
          <w:rPr>
            <w:noProof/>
            <w:webHidden/>
          </w:rPr>
          <w:instrText xml:space="preserve"> PAGEREF _Toc93511449 \h </w:instrText>
        </w:r>
        <w:r w:rsidR="00334941">
          <w:rPr>
            <w:noProof/>
            <w:webHidden/>
          </w:rPr>
        </w:r>
        <w:r w:rsidR="00334941">
          <w:rPr>
            <w:noProof/>
            <w:webHidden/>
          </w:rPr>
          <w:fldChar w:fldCharType="separate"/>
        </w:r>
        <w:r w:rsidR="00334941">
          <w:rPr>
            <w:noProof/>
            <w:webHidden/>
          </w:rPr>
          <w:t>7</w:t>
        </w:r>
        <w:r w:rsidR="00334941">
          <w:rPr>
            <w:noProof/>
            <w:webHidden/>
          </w:rPr>
          <w:fldChar w:fldCharType="end"/>
        </w:r>
      </w:hyperlink>
    </w:p>
    <w:p w14:paraId="57C9E91F"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50" w:history="1">
        <w:r w:rsidR="00334941" w:rsidRPr="00307977">
          <w:rPr>
            <w:rStyle w:val="Hyperlink"/>
            <w:noProof/>
          </w:rPr>
          <w:t>1.3.</w:t>
        </w:r>
        <w:r w:rsidR="00334941">
          <w:rPr>
            <w:rFonts w:asciiTheme="minorHAnsi" w:eastAsiaTheme="minorEastAsia" w:hAnsiTheme="minorHAnsi" w:cstheme="minorBidi"/>
            <w:noProof/>
            <w:sz w:val="22"/>
            <w:szCs w:val="22"/>
            <w:lang w:eastAsia="en-GB"/>
          </w:rPr>
          <w:tab/>
        </w:r>
        <w:r w:rsidR="00334941" w:rsidRPr="00307977">
          <w:rPr>
            <w:rStyle w:val="Hyperlink"/>
            <w:noProof/>
          </w:rPr>
          <w:t>The EU ODS Regulation (Regulation (EC) No 1005/2009)</w:t>
        </w:r>
        <w:r w:rsidR="00334941">
          <w:rPr>
            <w:noProof/>
            <w:webHidden/>
          </w:rPr>
          <w:tab/>
        </w:r>
        <w:r w:rsidR="00334941">
          <w:rPr>
            <w:noProof/>
            <w:webHidden/>
          </w:rPr>
          <w:fldChar w:fldCharType="begin"/>
        </w:r>
        <w:r w:rsidR="00334941">
          <w:rPr>
            <w:noProof/>
            <w:webHidden/>
          </w:rPr>
          <w:instrText xml:space="preserve"> PAGEREF _Toc93511450 \h </w:instrText>
        </w:r>
        <w:r w:rsidR="00334941">
          <w:rPr>
            <w:noProof/>
            <w:webHidden/>
          </w:rPr>
        </w:r>
        <w:r w:rsidR="00334941">
          <w:rPr>
            <w:noProof/>
            <w:webHidden/>
          </w:rPr>
          <w:fldChar w:fldCharType="separate"/>
        </w:r>
        <w:r w:rsidR="00334941">
          <w:rPr>
            <w:noProof/>
            <w:webHidden/>
          </w:rPr>
          <w:t>8</w:t>
        </w:r>
        <w:r w:rsidR="00334941">
          <w:rPr>
            <w:noProof/>
            <w:webHidden/>
          </w:rPr>
          <w:fldChar w:fldCharType="end"/>
        </w:r>
      </w:hyperlink>
    </w:p>
    <w:p w14:paraId="78012C31"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51" w:history="1">
        <w:r w:rsidR="00334941" w:rsidRPr="00307977">
          <w:rPr>
            <w:rStyle w:val="Hyperlink"/>
            <w:noProof/>
          </w:rPr>
          <w:t>2.</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Problem definition</w:t>
        </w:r>
        <w:r w:rsidR="00334941">
          <w:rPr>
            <w:noProof/>
            <w:webHidden/>
          </w:rPr>
          <w:tab/>
        </w:r>
        <w:r w:rsidR="00334941">
          <w:rPr>
            <w:noProof/>
            <w:webHidden/>
          </w:rPr>
          <w:fldChar w:fldCharType="begin"/>
        </w:r>
        <w:r w:rsidR="00334941">
          <w:rPr>
            <w:noProof/>
            <w:webHidden/>
          </w:rPr>
          <w:instrText xml:space="preserve"> PAGEREF _Toc93511451 \h </w:instrText>
        </w:r>
        <w:r w:rsidR="00334941">
          <w:rPr>
            <w:noProof/>
            <w:webHidden/>
          </w:rPr>
        </w:r>
        <w:r w:rsidR="00334941">
          <w:rPr>
            <w:noProof/>
            <w:webHidden/>
          </w:rPr>
          <w:fldChar w:fldCharType="separate"/>
        </w:r>
        <w:r w:rsidR="00334941">
          <w:rPr>
            <w:noProof/>
            <w:webHidden/>
          </w:rPr>
          <w:t>9</w:t>
        </w:r>
        <w:r w:rsidR="00334941">
          <w:rPr>
            <w:noProof/>
            <w:webHidden/>
          </w:rPr>
          <w:fldChar w:fldCharType="end"/>
        </w:r>
      </w:hyperlink>
    </w:p>
    <w:p w14:paraId="60093D26"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52" w:history="1">
        <w:r w:rsidR="00334941" w:rsidRPr="00307977">
          <w:rPr>
            <w:rStyle w:val="Hyperlink"/>
            <w:noProof/>
          </w:rPr>
          <w:t>2.1.</w:t>
        </w:r>
        <w:r w:rsidR="00334941">
          <w:rPr>
            <w:rFonts w:asciiTheme="minorHAnsi" w:eastAsiaTheme="minorEastAsia" w:hAnsiTheme="minorHAnsi" w:cstheme="minorBidi"/>
            <w:noProof/>
            <w:sz w:val="22"/>
            <w:szCs w:val="22"/>
            <w:lang w:eastAsia="en-GB"/>
          </w:rPr>
          <w:tab/>
        </w:r>
        <w:r w:rsidR="00334941" w:rsidRPr="00307977">
          <w:rPr>
            <w:rStyle w:val="Hyperlink"/>
            <w:noProof/>
          </w:rPr>
          <w:t>What is the problem?</w:t>
        </w:r>
        <w:r w:rsidR="00334941">
          <w:rPr>
            <w:noProof/>
            <w:webHidden/>
          </w:rPr>
          <w:tab/>
        </w:r>
        <w:r w:rsidR="00334941">
          <w:rPr>
            <w:noProof/>
            <w:webHidden/>
          </w:rPr>
          <w:fldChar w:fldCharType="begin"/>
        </w:r>
        <w:r w:rsidR="00334941">
          <w:rPr>
            <w:noProof/>
            <w:webHidden/>
          </w:rPr>
          <w:instrText xml:space="preserve"> PAGEREF _Toc93511452 \h </w:instrText>
        </w:r>
        <w:r w:rsidR="00334941">
          <w:rPr>
            <w:noProof/>
            <w:webHidden/>
          </w:rPr>
        </w:r>
        <w:r w:rsidR="00334941">
          <w:rPr>
            <w:noProof/>
            <w:webHidden/>
          </w:rPr>
          <w:fldChar w:fldCharType="separate"/>
        </w:r>
        <w:r w:rsidR="00334941">
          <w:rPr>
            <w:noProof/>
            <w:webHidden/>
          </w:rPr>
          <w:t>9</w:t>
        </w:r>
        <w:r w:rsidR="00334941">
          <w:rPr>
            <w:noProof/>
            <w:webHidden/>
          </w:rPr>
          <w:fldChar w:fldCharType="end"/>
        </w:r>
      </w:hyperlink>
    </w:p>
    <w:p w14:paraId="5D7BC3A1" w14:textId="77777777" w:rsidR="00334941" w:rsidRDefault="00C105BC">
      <w:pPr>
        <w:pStyle w:val="TOC3"/>
        <w:tabs>
          <w:tab w:val="left" w:pos="1320"/>
          <w:tab w:val="right" w:leader="dot" w:pos="8608"/>
        </w:tabs>
        <w:rPr>
          <w:rFonts w:eastAsiaTheme="minorEastAsia"/>
          <w:noProof/>
          <w:lang w:eastAsia="en-GB"/>
        </w:rPr>
      </w:pPr>
      <w:hyperlink w:anchor="_Toc93511453" w:history="1">
        <w:r w:rsidR="00334941" w:rsidRPr="00307977">
          <w:rPr>
            <w:rStyle w:val="Hyperlink"/>
            <w:noProof/>
          </w:rPr>
          <w:t>2.1.1.</w:t>
        </w:r>
        <w:r w:rsidR="00334941">
          <w:rPr>
            <w:rFonts w:eastAsiaTheme="minorEastAsia"/>
            <w:noProof/>
            <w:lang w:eastAsia="en-GB"/>
          </w:rPr>
          <w:tab/>
        </w:r>
        <w:r w:rsidR="00334941" w:rsidRPr="00307977">
          <w:rPr>
            <w:rStyle w:val="Hyperlink"/>
            <w:noProof/>
          </w:rPr>
          <w:t>Where the residual emissions come from</w:t>
        </w:r>
        <w:r w:rsidR="00334941">
          <w:rPr>
            <w:noProof/>
            <w:webHidden/>
          </w:rPr>
          <w:tab/>
        </w:r>
        <w:r w:rsidR="00334941">
          <w:rPr>
            <w:noProof/>
            <w:webHidden/>
          </w:rPr>
          <w:fldChar w:fldCharType="begin"/>
        </w:r>
        <w:r w:rsidR="00334941">
          <w:rPr>
            <w:noProof/>
            <w:webHidden/>
          </w:rPr>
          <w:instrText xml:space="preserve"> PAGEREF _Toc93511453 \h </w:instrText>
        </w:r>
        <w:r w:rsidR="00334941">
          <w:rPr>
            <w:noProof/>
            <w:webHidden/>
          </w:rPr>
        </w:r>
        <w:r w:rsidR="00334941">
          <w:rPr>
            <w:noProof/>
            <w:webHidden/>
          </w:rPr>
          <w:fldChar w:fldCharType="separate"/>
        </w:r>
        <w:r w:rsidR="00334941">
          <w:rPr>
            <w:noProof/>
            <w:webHidden/>
          </w:rPr>
          <w:t>10</w:t>
        </w:r>
        <w:r w:rsidR="00334941">
          <w:rPr>
            <w:noProof/>
            <w:webHidden/>
          </w:rPr>
          <w:fldChar w:fldCharType="end"/>
        </w:r>
      </w:hyperlink>
    </w:p>
    <w:p w14:paraId="700CD5BF" w14:textId="77777777" w:rsidR="00334941" w:rsidRDefault="00C105BC">
      <w:pPr>
        <w:pStyle w:val="TOC3"/>
        <w:tabs>
          <w:tab w:val="left" w:pos="1320"/>
          <w:tab w:val="right" w:leader="dot" w:pos="8608"/>
        </w:tabs>
        <w:rPr>
          <w:rFonts w:eastAsiaTheme="minorEastAsia"/>
          <w:noProof/>
          <w:lang w:eastAsia="en-GB"/>
        </w:rPr>
      </w:pPr>
      <w:hyperlink w:anchor="_Toc93511454" w:history="1">
        <w:r w:rsidR="00334941" w:rsidRPr="00307977">
          <w:rPr>
            <w:rStyle w:val="Hyperlink"/>
            <w:noProof/>
          </w:rPr>
          <w:t>2.1.2.</w:t>
        </w:r>
        <w:r w:rsidR="00334941">
          <w:rPr>
            <w:rFonts w:eastAsiaTheme="minorEastAsia"/>
            <w:noProof/>
            <w:lang w:eastAsia="en-GB"/>
          </w:rPr>
          <w:tab/>
        </w:r>
        <w:r w:rsidR="00334941" w:rsidRPr="00307977">
          <w:rPr>
            <w:rStyle w:val="Hyperlink"/>
            <w:noProof/>
          </w:rPr>
          <w:t>Efficiency issues</w:t>
        </w:r>
        <w:r w:rsidR="00334941">
          <w:rPr>
            <w:noProof/>
            <w:webHidden/>
          </w:rPr>
          <w:tab/>
        </w:r>
        <w:r w:rsidR="00334941">
          <w:rPr>
            <w:noProof/>
            <w:webHidden/>
          </w:rPr>
          <w:fldChar w:fldCharType="begin"/>
        </w:r>
        <w:r w:rsidR="00334941">
          <w:rPr>
            <w:noProof/>
            <w:webHidden/>
          </w:rPr>
          <w:instrText xml:space="preserve"> PAGEREF _Toc93511454 \h </w:instrText>
        </w:r>
        <w:r w:rsidR="00334941">
          <w:rPr>
            <w:noProof/>
            <w:webHidden/>
          </w:rPr>
        </w:r>
        <w:r w:rsidR="00334941">
          <w:rPr>
            <w:noProof/>
            <w:webHidden/>
          </w:rPr>
          <w:fldChar w:fldCharType="separate"/>
        </w:r>
        <w:r w:rsidR="00334941">
          <w:rPr>
            <w:noProof/>
            <w:webHidden/>
          </w:rPr>
          <w:t>15</w:t>
        </w:r>
        <w:r w:rsidR="00334941">
          <w:rPr>
            <w:noProof/>
            <w:webHidden/>
          </w:rPr>
          <w:fldChar w:fldCharType="end"/>
        </w:r>
      </w:hyperlink>
    </w:p>
    <w:p w14:paraId="3770ED8F" w14:textId="77777777" w:rsidR="00334941" w:rsidRDefault="00C105BC">
      <w:pPr>
        <w:pStyle w:val="TOC3"/>
        <w:tabs>
          <w:tab w:val="left" w:pos="1320"/>
          <w:tab w:val="right" w:leader="dot" w:pos="8608"/>
        </w:tabs>
        <w:rPr>
          <w:rFonts w:eastAsiaTheme="minorEastAsia"/>
          <w:noProof/>
          <w:lang w:eastAsia="en-GB"/>
        </w:rPr>
      </w:pPr>
      <w:hyperlink w:anchor="_Toc93511455" w:history="1">
        <w:r w:rsidR="00334941" w:rsidRPr="00307977">
          <w:rPr>
            <w:rStyle w:val="Hyperlink"/>
            <w:noProof/>
          </w:rPr>
          <w:t>2.1.3.</w:t>
        </w:r>
        <w:r w:rsidR="00334941">
          <w:rPr>
            <w:rFonts w:eastAsiaTheme="minorEastAsia"/>
            <w:noProof/>
            <w:lang w:eastAsia="en-GB"/>
          </w:rPr>
          <w:tab/>
        </w:r>
        <w:r w:rsidR="00334941" w:rsidRPr="00307977">
          <w:rPr>
            <w:rStyle w:val="Hyperlink"/>
            <w:noProof/>
          </w:rPr>
          <w:t>Incomplete monitoring and reporting</w:t>
        </w:r>
        <w:r w:rsidR="00334941">
          <w:rPr>
            <w:noProof/>
            <w:webHidden/>
          </w:rPr>
          <w:tab/>
        </w:r>
        <w:r w:rsidR="00334941">
          <w:rPr>
            <w:noProof/>
            <w:webHidden/>
          </w:rPr>
          <w:fldChar w:fldCharType="begin"/>
        </w:r>
        <w:r w:rsidR="00334941">
          <w:rPr>
            <w:noProof/>
            <w:webHidden/>
          </w:rPr>
          <w:instrText xml:space="preserve"> PAGEREF _Toc93511455 \h </w:instrText>
        </w:r>
        <w:r w:rsidR="00334941">
          <w:rPr>
            <w:noProof/>
            <w:webHidden/>
          </w:rPr>
        </w:r>
        <w:r w:rsidR="00334941">
          <w:rPr>
            <w:noProof/>
            <w:webHidden/>
          </w:rPr>
          <w:fldChar w:fldCharType="separate"/>
        </w:r>
        <w:r w:rsidR="00334941">
          <w:rPr>
            <w:noProof/>
            <w:webHidden/>
          </w:rPr>
          <w:t>17</w:t>
        </w:r>
        <w:r w:rsidR="00334941">
          <w:rPr>
            <w:noProof/>
            <w:webHidden/>
          </w:rPr>
          <w:fldChar w:fldCharType="end"/>
        </w:r>
      </w:hyperlink>
    </w:p>
    <w:p w14:paraId="02565375" w14:textId="77777777" w:rsidR="00334941" w:rsidRDefault="00C105BC">
      <w:pPr>
        <w:pStyle w:val="TOC3"/>
        <w:tabs>
          <w:tab w:val="left" w:pos="1320"/>
          <w:tab w:val="right" w:leader="dot" w:pos="8608"/>
        </w:tabs>
        <w:rPr>
          <w:rFonts w:eastAsiaTheme="minorEastAsia"/>
          <w:noProof/>
          <w:lang w:eastAsia="en-GB"/>
        </w:rPr>
      </w:pPr>
      <w:hyperlink w:anchor="_Toc93511456" w:history="1">
        <w:r w:rsidR="00334941" w:rsidRPr="00307977">
          <w:rPr>
            <w:rStyle w:val="Hyperlink"/>
            <w:noProof/>
          </w:rPr>
          <w:t>2.1.4.</w:t>
        </w:r>
        <w:r w:rsidR="00334941">
          <w:rPr>
            <w:rFonts w:eastAsiaTheme="minorEastAsia"/>
            <w:noProof/>
            <w:lang w:eastAsia="en-GB"/>
          </w:rPr>
          <w:tab/>
        </w:r>
        <w:r w:rsidR="00334941" w:rsidRPr="00307977">
          <w:rPr>
            <w:rStyle w:val="Hyperlink"/>
            <w:noProof/>
          </w:rPr>
          <w:t>Coherence and clarifications</w:t>
        </w:r>
        <w:r w:rsidR="00334941">
          <w:rPr>
            <w:noProof/>
            <w:webHidden/>
          </w:rPr>
          <w:tab/>
        </w:r>
        <w:r w:rsidR="00334941">
          <w:rPr>
            <w:noProof/>
            <w:webHidden/>
          </w:rPr>
          <w:fldChar w:fldCharType="begin"/>
        </w:r>
        <w:r w:rsidR="00334941">
          <w:rPr>
            <w:noProof/>
            <w:webHidden/>
          </w:rPr>
          <w:instrText xml:space="preserve"> PAGEREF _Toc93511456 \h </w:instrText>
        </w:r>
        <w:r w:rsidR="00334941">
          <w:rPr>
            <w:noProof/>
            <w:webHidden/>
          </w:rPr>
        </w:r>
        <w:r w:rsidR="00334941">
          <w:rPr>
            <w:noProof/>
            <w:webHidden/>
          </w:rPr>
          <w:fldChar w:fldCharType="separate"/>
        </w:r>
        <w:r w:rsidR="00334941">
          <w:rPr>
            <w:noProof/>
            <w:webHidden/>
          </w:rPr>
          <w:t>18</w:t>
        </w:r>
        <w:r w:rsidR="00334941">
          <w:rPr>
            <w:noProof/>
            <w:webHidden/>
          </w:rPr>
          <w:fldChar w:fldCharType="end"/>
        </w:r>
      </w:hyperlink>
    </w:p>
    <w:p w14:paraId="44CC4E13"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57" w:history="1">
        <w:r w:rsidR="00334941" w:rsidRPr="00307977">
          <w:rPr>
            <w:rStyle w:val="Hyperlink"/>
            <w:noProof/>
          </w:rPr>
          <w:t>3.</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Why should the EU act?</w:t>
        </w:r>
        <w:r w:rsidR="00334941">
          <w:rPr>
            <w:noProof/>
            <w:webHidden/>
          </w:rPr>
          <w:tab/>
        </w:r>
        <w:r w:rsidR="00334941">
          <w:rPr>
            <w:noProof/>
            <w:webHidden/>
          </w:rPr>
          <w:fldChar w:fldCharType="begin"/>
        </w:r>
        <w:r w:rsidR="00334941">
          <w:rPr>
            <w:noProof/>
            <w:webHidden/>
          </w:rPr>
          <w:instrText xml:space="preserve"> PAGEREF _Toc93511457 \h </w:instrText>
        </w:r>
        <w:r w:rsidR="00334941">
          <w:rPr>
            <w:noProof/>
            <w:webHidden/>
          </w:rPr>
        </w:r>
        <w:r w:rsidR="00334941">
          <w:rPr>
            <w:noProof/>
            <w:webHidden/>
          </w:rPr>
          <w:fldChar w:fldCharType="separate"/>
        </w:r>
        <w:r w:rsidR="00334941">
          <w:rPr>
            <w:noProof/>
            <w:webHidden/>
          </w:rPr>
          <w:t>20</w:t>
        </w:r>
        <w:r w:rsidR="00334941">
          <w:rPr>
            <w:noProof/>
            <w:webHidden/>
          </w:rPr>
          <w:fldChar w:fldCharType="end"/>
        </w:r>
      </w:hyperlink>
    </w:p>
    <w:p w14:paraId="6CDC0CF0"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58" w:history="1">
        <w:r w:rsidR="00334941" w:rsidRPr="00307977">
          <w:rPr>
            <w:rStyle w:val="Hyperlink"/>
            <w:noProof/>
          </w:rPr>
          <w:t>3.1.</w:t>
        </w:r>
        <w:r w:rsidR="00334941">
          <w:rPr>
            <w:rFonts w:asciiTheme="minorHAnsi" w:eastAsiaTheme="minorEastAsia" w:hAnsiTheme="minorHAnsi" w:cstheme="minorBidi"/>
            <w:noProof/>
            <w:sz w:val="22"/>
            <w:szCs w:val="22"/>
            <w:lang w:eastAsia="en-GB"/>
          </w:rPr>
          <w:tab/>
        </w:r>
        <w:r w:rsidR="00334941" w:rsidRPr="00307977">
          <w:rPr>
            <w:rStyle w:val="Hyperlink"/>
            <w:noProof/>
          </w:rPr>
          <w:t>Legal basis</w:t>
        </w:r>
        <w:r w:rsidR="00334941">
          <w:rPr>
            <w:noProof/>
            <w:webHidden/>
          </w:rPr>
          <w:tab/>
        </w:r>
        <w:r w:rsidR="00334941">
          <w:rPr>
            <w:noProof/>
            <w:webHidden/>
          </w:rPr>
          <w:fldChar w:fldCharType="begin"/>
        </w:r>
        <w:r w:rsidR="00334941">
          <w:rPr>
            <w:noProof/>
            <w:webHidden/>
          </w:rPr>
          <w:instrText xml:space="preserve"> PAGEREF _Toc93511458 \h </w:instrText>
        </w:r>
        <w:r w:rsidR="00334941">
          <w:rPr>
            <w:noProof/>
            <w:webHidden/>
          </w:rPr>
        </w:r>
        <w:r w:rsidR="00334941">
          <w:rPr>
            <w:noProof/>
            <w:webHidden/>
          </w:rPr>
          <w:fldChar w:fldCharType="separate"/>
        </w:r>
        <w:r w:rsidR="00334941">
          <w:rPr>
            <w:noProof/>
            <w:webHidden/>
          </w:rPr>
          <w:t>20</w:t>
        </w:r>
        <w:r w:rsidR="00334941">
          <w:rPr>
            <w:noProof/>
            <w:webHidden/>
          </w:rPr>
          <w:fldChar w:fldCharType="end"/>
        </w:r>
      </w:hyperlink>
    </w:p>
    <w:p w14:paraId="50E94275"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59" w:history="1">
        <w:r w:rsidR="00334941" w:rsidRPr="00307977">
          <w:rPr>
            <w:rStyle w:val="Hyperlink"/>
            <w:noProof/>
          </w:rPr>
          <w:t>3.2.</w:t>
        </w:r>
        <w:r w:rsidR="00334941">
          <w:rPr>
            <w:rFonts w:asciiTheme="minorHAnsi" w:eastAsiaTheme="minorEastAsia" w:hAnsiTheme="minorHAnsi" w:cstheme="minorBidi"/>
            <w:noProof/>
            <w:sz w:val="22"/>
            <w:szCs w:val="22"/>
            <w:lang w:eastAsia="en-GB"/>
          </w:rPr>
          <w:tab/>
        </w:r>
        <w:r w:rsidR="00334941" w:rsidRPr="00307977">
          <w:rPr>
            <w:rStyle w:val="Hyperlink"/>
            <w:noProof/>
          </w:rPr>
          <w:t>Subsidiarity: Necessity of EU action</w:t>
        </w:r>
        <w:r w:rsidR="00334941">
          <w:rPr>
            <w:noProof/>
            <w:webHidden/>
          </w:rPr>
          <w:tab/>
        </w:r>
        <w:r w:rsidR="00334941">
          <w:rPr>
            <w:noProof/>
            <w:webHidden/>
          </w:rPr>
          <w:fldChar w:fldCharType="begin"/>
        </w:r>
        <w:r w:rsidR="00334941">
          <w:rPr>
            <w:noProof/>
            <w:webHidden/>
          </w:rPr>
          <w:instrText xml:space="preserve"> PAGEREF _Toc93511459 \h </w:instrText>
        </w:r>
        <w:r w:rsidR="00334941">
          <w:rPr>
            <w:noProof/>
            <w:webHidden/>
          </w:rPr>
        </w:r>
        <w:r w:rsidR="00334941">
          <w:rPr>
            <w:noProof/>
            <w:webHidden/>
          </w:rPr>
          <w:fldChar w:fldCharType="separate"/>
        </w:r>
        <w:r w:rsidR="00334941">
          <w:rPr>
            <w:noProof/>
            <w:webHidden/>
          </w:rPr>
          <w:t>20</w:t>
        </w:r>
        <w:r w:rsidR="00334941">
          <w:rPr>
            <w:noProof/>
            <w:webHidden/>
          </w:rPr>
          <w:fldChar w:fldCharType="end"/>
        </w:r>
      </w:hyperlink>
    </w:p>
    <w:p w14:paraId="1FA7524E"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60" w:history="1">
        <w:r w:rsidR="00334941" w:rsidRPr="00307977">
          <w:rPr>
            <w:rStyle w:val="Hyperlink"/>
            <w:noProof/>
          </w:rPr>
          <w:t>3.3.</w:t>
        </w:r>
        <w:r w:rsidR="00334941">
          <w:rPr>
            <w:rFonts w:asciiTheme="minorHAnsi" w:eastAsiaTheme="minorEastAsia" w:hAnsiTheme="minorHAnsi" w:cstheme="minorBidi"/>
            <w:noProof/>
            <w:sz w:val="22"/>
            <w:szCs w:val="22"/>
            <w:lang w:eastAsia="en-GB"/>
          </w:rPr>
          <w:tab/>
        </w:r>
        <w:r w:rsidR="00334941" w:rsidRPr="00307977">
          <w:rPr>
            <w:rStyle w:val="Hyperlink"/>
            <w:noProof/>
          </w:rPr>
          <w:t>Subsidiarity: Added value of EU action</w:t>
        </w:r>
        <w:r w:rsidR="00334941">
          <w:rPr>
            <w:noProof/>
            <w:webHidden/>
          </w:rPr>
          <w:tab/>
        </w:r>
        <w:r w:rsidR="00334941">
          <w:rPr>
            <w:noProof/>
            <w:webHidden/>
          </w:rPr>
          <w:fldChar w:fldCharType="begin"/>
        </w:r>
        <w:r w:rsidR="00334941">
          <w:rPr>
            <w:noProof/>
            <w:webHidden/>
          </w:rPr>
          <w:instrText xml:space="preserve"> PAGEREF _Toc93511460 \h </w:instrText>
        </w:r>
        <w:r w:rsidR="00334941">
          <w:rPr>
            <w:noProof/>
            <w:webHidden/>
          </w:rPr>
        </w:r>
        <w:r w:rsidR="00334941">
          <w:rPr>
            <w:noProof/>
            <w:webHidden/>
          </w:rPr>
          <w:fldChar w:fldCharType="separate"/>
        </w:r>
        <w:r w:rsidR="00334941">
          <w:rPr>
            <w:noProof/>
            <w:webHidden/>
          </w:rPr>
          <w:t>21</w:t>
        </w:r>
        <w:r w:rsidR="00334941">
          <w:rPr>
            <w:noProof/>
            <w:webHidden/>
          </w:rPr>
          <w:fldChar w:fldCharType="end"/>
        </w:r>
      </w:hyperlink>
    </w:p>
    <w:p w14:paraId="710D3EF8"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61" w:history="1">
        <w:r w:rsidR="00334941" w:rsidRPr="00307977">
          <w:rPr>
            <w:rStyle w:val="Hyperlink"/>
            <w:noProof/>
          </w:rPr>
          <w:t>4.</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Objectives: What is to be achieved?</w:t>
        </w:r>
        <w:r w:rsidR="00334941">
          <w:rPr>
            <w:noProof/>
            <w:webHidden/>
          </w:rPr>
          <w:tab/>
        </w:r>
        <w:r w:rsidR="00334941">
          <w:rPr>
            <w:noProof/>
            <w:webHidden/>
          </w:rPr>
          <w:fldChar w:fldCharType="begin"/>
        </w:r>
        <w:r w:rsidR="00334941">
          <w:rPr>
            <w:noProof/>
            <w:webHidden/>
          </w:rPr>
          <w:instrText xml:space="preserve"> PAGEREF _Toc93511461 \h </w:instrText>
        </w:r>
        <w:r w:rsidR="00334941">
          <w:rPr>
            <w:noProof/>
            <w:webHidden/>
          </w:rPr>
        </w:r>
        <w:r w:rsidR="00334941">
          <w:rPr>
            <w:noProof/>
            <w:webHidden/>
          </w:rPr>
          <w:fldChar w:fldCharType="separate"/>
        </w:r>
        <w:r w:rsidR="00334941">
          <w:rPr>
            <w:noProof/>
            <w:webHidden/>
          </w:rPr>
          <w:t>21</w:t>
        </w:r>
        <w:r w:rsidR="00334941">
          <w:rPr>
            <w:noProof/>
            <w:webHidden/>
          </w:rPr>
          <w:fldChar w:fldCharType="end"/>
        </w:r>
      </w:hyperlink>
    </w:p>
    <w:p w14:paraId="2435989F"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62" w:history="1">
        <w:r w:rsidR="00334941" w:rsidRPr="00307977">
          <w:rPr>
            <w:rStyle w:val="Hyperlink"/>
            <w:noProof/>
          </w:rPr>
          <w:t>4.1.</w:t>
        </w:r>
        <w:r w:rsidR="00334941">
          <w:rPr>
            <w:rFonts w:asciiTheme="minorHAnsi" w:eastAsiaTheme="minorEastAsia" w:hAnsiTheme="minorHAnsi" w:cstheme="minorBidi"/>
            <w:noProof/>
            <w:sz w:val="22"/>
            <w:szCs w:val="22"/>
            <w:lang w:eastAsia="en-GB"/>
          </w:rPr>
          <w:tab/>
        </w:r>
        <w:r w:rsidR="00334941" w:rsidRPr="00307977">
          <w:rPr>
            <w:rStyle w:val="Hyperlink"/>
            <w:noProof/>
          </w:rPr>
          <w:t>General (review) objectives</w:t>
        </w:r>
        <w:r w:rsidR="00334941">
          <w:rPr>
            <w:noProof/>
            <w:webHidden/>
          </w:rPr>
          <w:tab/>
        </w:r>
        <w:r w:rsidR="00334941">
          <w:rPr>
            <w:noProof/>
            <w:webHidden/>
          </w:rPr>
          <w:fldChar w:fldCharType="begin"/>
        </w:r>
        <w:r w:rsidR="00334941">
          <w:rPr>
            <w:noProof/>
            <w:webHidden/>
          </w:rPr>
          <w:instrText xml:space="preserve"> PAGEREF _Toc93511462 \h </w:instrText>
        </w:r>
        <w:r w:rsidR="00334941">
          <w:rPr>
            <w:noProof/>
            <w:webHidden/>
          </w:rPr>
        </w:r>
        <w:r w:rsidR="00334941">
          <w:rPr>
            <w:noProof/>
            <w:webHidden/>
          </w:rPr>
          <w:fldChar w:fldCharType="separate"/>
        </w:r>
        <w:r w:rsidR="00334941">
          <w:rPr>
            <w:noProof/>
            <w:webHidden/>
          </w:rPr>
          <w:t>21</w:t>
        </w:r>
        <w:r w:rsidR="00334941">
          <w:rPr>
            <w:noProof/>
            <w:webHidden/>
          </w:rPr>
          <w:fldChar w:fldCharType="end"/>
        </w:r>
      </w:hyperlink>
    </w:p>
    <w:p w14:paraId="372CCE39"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63" w:history="1">
        <w:r w:rsidR="00334941" w:rsidRPr="00307977">
          <w:rPr>
            <w:rStyle w:val="Hyperlink"/>
            <w:noProof/>
          </w:rPr>
          <w:t>4.2.</w:t>
        </w:r>
        <w:r w:rsidR="00334941">
          <w:rPr>
            <w:rFonts w:asciiTheme="minorHAnsi" w:eastAsiaTheme="minorEastAsia" w:hAnsiTheme="minorHAnsi" w:cstheme="minorBidi"/>
            <w:noProof/>
            <w:sz w:val="22"/>
            <w:szCs w:val="22"/>
            <w:lang w:eastAsia="en-GB"/>
          </w:rPr>
          <w:tab/>
        </w:r>
        <w:r w:rsidR="00334941" w:rsidRPr="00307977">
          <w:rPr>
            <w:rStyle w:val="Hyperlink"/>
            <w:noProof/>
          </w:rPr>
          <w:t>Specific (review) objectives</w:t>
        </w:r>
        <w:r w:rsidR="00334941">
          <w:rPr>
            <w:noProof/>
            <w:webHidden/>
          </w:rPr>
          <w:tab/>
        </w:r>
        <w:r w:rsidR="00334941">
          <w:rPr>
            <w:noProof/>
            <w:webHidden/>
          </w:rPr>
          <w:fldChar w:fldCharType="begin"/>
        </w:r>
        <w:r w:rsidR="00334941">
          <w:rPr>
            <w:noProof/>
            <w:webHidden/>
          </w:rPr>
          <w:instrText xml:space="preserve"> PAGEREF _Toc93511463 \h </w:instrText>
        </w:r>
        <w:r w:rsidR="00334941">
          <w:rPr>
            <w:noProof/>
            <w:webHidden/>
          </w:rPr>
        </w:r>
        <w:r w:rsidR="00334941">
          <w:rPr>
            <w:noProof/>
            <w:webHidden/>
          </w:rPr>
          <w:fldChar w:fldCharType="separate"/>
        </w:r>
        <w:r w:rsidR="00334941">
          <w:rPr>
            <w:noProof/>
            <w:webHidden/>
          </w:rPr>
          <w:t>21</w:t>
        </w:r>
        <w:r w:rsidR="00334941">
          <w:rPr>
            <w:noProof/>
            <w:webHidden/>
          </w:rPr>
          <w:fldChar w:fldCharType="end"/>
        </w:r>
      </w:hyperlink>
    </w:p>
    <w:p w14:paraId="4CF03EF7"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64" w:history="1">
        <w:r w:rsidR="00334941" w:rsidRPr="00307977">
          <w:rPr>
            <w:rStyle w:val="Hyperlink"/>
            <w:noProof/>
          </w:rPr>
          <w:t>5.</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What are the available policy options?</w:t>
        </w:r>
        <w:r w:rsidR="00334941">
          <w:rPr>
            <w:noProof/>
            <w:webHidden/>
          </w:rPr>
          <w:tab/>
        </w:r>
        <w:r w:rsidR="00334941">
          <w:rPr>
            <w:noProof/>
            <w:webHidden/>
          </w:rPr>
          <w:fldChar w:fldCharType="begin"/>
        </w:r>
        <w:r w:rsidR="00334941">
          <w:rPr>
            <w:noProof/>
            <w:webHidden/>
          </w:rPr>
          <w:instrText xml:space="preserve"> PAGEREF _Toc93511464 \h </w:instrText>
        </w:r>
        <w:r w:rsidR="00334941">
          <w:rPr>
            <w:noProof/>
            <w:webHidden/>
          </w:rPr>
        </w:r>
        <w:r w:rsidR="00334941">
          <w:rPr>
            <w:noProof/>
            <w:webHidden/>
          </w:rPr>
          <w:fldChar w:fldCharType="separate"/>
        </w:r>
        <w:r w:rsidR="00334941">
          <w:rPr>
            <w:noProof/>
            <w:webHidden/>
          </w:rPr>
          <w:t>22</w:t>
        </w:r>
        <w:r w:rsidR="00334941">
          <w:rPr>
            <w:noProof/>
            <w:webHidden/>
          </w:rPr>
          <w:fldChar w:fldCharType="end"/>
        </w:r>
      </w:hyperlink>
    </w:p>
    <w:p w14:paraId="37AC76E7"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65" w:history="1">
        <w:r w:rsidR="00334941" w:rsidRPr="00307977">
          <w:rPr>
            <w:rStyle w:val="Hyperlink"/>
            <w:noProof/>
          </w:rPr>
          <w:t>5.1.</w:t>
        </w:r>
        <w:r w:rsidR="00334941">
          <w:rPr>
            <w:rFonts w:asciiTheme="minorHAnsi" w:eastAsiaTheme="minorEastAsia" w:hAnsiTheme="minorHAnsi" w:cstheme="minorBidi"/>
            <w:noProof/>
            <w:sz w:val="22"/>
            <w:szCs w:val="22"/>
            <w:lang w:eastAsia="en-GB"/>
          </w:rPr>
          <w:tab/>
        </w:r>
        <w:r w:rsidR="00334941" w:rsidRPr="00307977">
          <w:rPr>
            <w:rStyle w:val="Hyperlink"/>
            <w:noProof/>
          </w:rPr>
          <w:t>What is the baseline from which options are assessed?</w:t>
        </w:r>
        <w:r w:rsidR="00334941">
          <w:rPr>
            <w:noProof/>
            <w:webHidden/>
          </w:rPr>
          <w:tab/>
        </w:r>
        <w:r w:rsidR="00334941">
          <w:rPr>
            <w:noProof/>
            <w:webHidden/>
          </w:rPr>
          <w:fldChar w:fldCharType="begin"/>
        </w:r>
        <w:r w:rsidR="00334941">
          <w:rPr>
            <w:noProof/>
            <w:webHidden/>
          </w:rPr>
          <w:instrText xml:space="preserve"> PAGEREF _Toc93511465 \h </w:instrText>
        </w:r>
        <w:r w:rsidR="00334941">
          <w:rPr>
            <w:noProof/>
            <w:webHidden/>
          </w:rPr>
        </w:r>
        <w:r w:rsidR="00334941">
          <w:rPr>
            <w:noProof/>
            <w:webHidden/>
          </w:rPr>
          <w:fldChar w:fldCharType="separate"/>
        </w:r>
        <w:r w:rsidR="00334941">
          <w:rPr>
            <w:noProof/>
            <w:webHidden/>
          </w:rPr>
          <w:t>22</w:t>
        </w:r>
        <w:r w:rsidR="00334941">
          <w:rPr>
            <w:noProof/>
            <w:webHidden/>
          </w:rPr>
          <w:fldChar w:fldCharType="end"/>
        </w:r>
      </w:hyperlink>
    </w:p>
    <w:p w14:paraId="6E5A4858" w14:textId="77777777" w:rsidR="00334941" w:rsidRDefault="00C105BC">
      <w:pPr>
        <w:pStyle w:val="TOC3"/>
        <w:tabs>
          <w:tab w:val="left" w:pos="1320"/>
          <w:tab w:val="right" w:leader="dot" w:pos="8608"/>
        </w:tabs>
        <w:rPr>
          <w:rFonts w:eastAsiaTheme="minorEastAsia"/>
          <w:noProof/>
          <w:lang w:eastAsia="en-GB"/>
        </w:rPr>
      </w:pPr>
      <w:hyperlink w:anchor="_Toc93511466" w:history="1">
        <w:r w:rsidR="00334941" w:rsidRPr="00307977">
          <w:rPr>
            <w:rStyle w:val="Hyperlink"/>
            <w:noProof/>
          </w:rPr>
          <w:t>5.1.1.</w:t>
        </w:r>
        <w:r w:rsidR="00334941">
          <w:rPr>
            <w:rFonts w:eastAsiaTheme="minorEastAsia"/>
            <w:noProof/>
            <w:lang w:eastAsia="en-GB"/>
          </w:rPr>
          <w:tab/>
        </w:r>
        <w:r w:rsidR="00334941" w:rsidRPr="00307977">
          <w:rPr>
            <w:rStyle w:val="Hyperlink"/>
            <w:noProof/>
          </w:rPr>
          <w:t>Baseline for environmental impacts</w:t>
        </w:r>
        <w:r w:rsidR="00334941">
          <w:rPr>
            <w:noProof/>
            <w:webHidden/>
          </w:rPr>
          <w:tab/>
        </w:r>
        <w:r w:rsidR="00334941">
          <w:rPr>
            <w:noProof/>
            <w:webHidden/>
          </w:rPr>
          <w:fldChar w:fldCharType="begin"/>
        </w:r>
        <w:r w:rsidR="00334941">
          <w:rPr>
            <w:noProof/>
            <w:webHidden/>
          </w:rPr>
          <w:instrText xml:space="preserve"> PAGEREF _Toc93511466 \h </w:instrText>
        </w:r>
        <w:r w:rsidR="00334941">
          <w:rPr>
            <w:noProof/>
            <w:webHidden/>
          </w:rPr>
        </w:r>
        <w:r w:rsidR="00334941">
          <w:rPr>
            <w:noProof/>
            <w:webHidden/>
          </w:rPr>
          <w:fldChar w:fldCharType="separate"/>
        </w:r>
        <w:r w:rsidR="00334941">
          <w:rPr>
            <w:noProof/>
            <w:webHidden/>
          </w:rPr>
          <w:t>22</w:t>
        </w:r>
        <w:r w:rsidR="00334941">
          <w:rPr>
            <w:noProof/>
            <w:webHidden/>
          </w:rPr>
          <w:fldChar w:fldCharType="end"/>
        </w:r>
      </w:hyperlink>
    </w:p>
    <w:p w14:paraId="18963C4D" w14:textId="77777777" w:rsidR="00334941" w:rsidRDefault="00C105BC">
      <w:pPr>
        <w:pStyle w:val="TOC3"/>
        <w:tabs>
          <w:tab w:val="left" w:pos="1320"/>
          <w:tab w:val="right" w:leader="dot" w:pos="8608"/>
        </w:tabs>
        <w:rPr>
          <w:rFonts w:eastAsiaTheme="minorEastAsia"/>
          <w:noProof/>
          <w:lang w:eastAsia="en-GB"/>
        </w:rPr>
      </w:pPr>
      <w:hyperlink w:anchor="_Toc93511467" w:history="1">
        <w:r w:rsidR="00334941" w:rsidRPr="00307977">
          <w:rPr>
            <w:rStyle w:val="Hyperlink"/>
            <w:noProof/>
          </w:rPr>
          <w:t>5.1.2.</w:t>
        </w:r>
        <w:r w:rsidR="00334941">
          <w:rPr>
            <w:rFonts w:eastAsiaTheme="minorEastAsia"/>
            <w:noProof/>
            <w:lang w:eastAsia="en-GB"/>
          </w:rPr>
          <w:tab/>
        </w:r>
        <w:r w:rsidR="00334941" w:rsidRPr="00307977">
          <w:rPr>
            <w:rStyle w:val="Hyperlink"/>
            <w:noProof/>
          </w:rPr>
          <w:t>Baseline for economic impacts</w:t>
        </w:r>
        <w:r w:rsidR="00334941">
          <w:rPr>
            <w:noProof/>
            <w:webHidden/>
          </w:rPr>
          <w:tab/>
        </w:r>
        <w:r w:rsidR="00334941">
          <w:rPr>
            <w:noProof/>
            <w:webHidden/>
          </w:rPr>
          <w:fldChar w:fldCharType="begin"/>
        </w:r>
        <w:r w:rsidR="00334941">
          <w:rPr>
            <w:noProof/>
            <w:webHidden/>
          </w:rPr>
          <w:instrText xml:space="preserve"> PAGEREF _Toc93511467 \h </w:instrText>
        </w:r>
        <w:r w:rsidR="00334941">
          <w:rPr>
            <w:noProof/>
            <w:webHidden/>
          </w:rPr>
        </w:r>
        <w:r w:rsidR="00334941">
          <w:rPr>
            <w:noProof/>
            <w:webHidden/>
          </w:rPr>
          <w:fldChar w:fldCharType="separate"/>
        </w:r>
        <w:r w:rsidR="00334941">
          <w:rPr>
            <w:noProof/>
            <w:webHidden/>
          </w:rPr>
          <w:t>22</w:t>
        </w:r>
        <w:r w:rsidR="00334941">
          <w:rPr>
            <w:noProof/>
            <w:webHidden/>
          </w:rPr>
          <w:fldChar w:fldCharType="end"/>
        </w:r>
      </w:hyperlink>
    </w:p>
    <w:p w14:paraId="569411D7" w14:textId="77777777" w:rsidR="00334941" w:rsidRDefault="00C105BC">
      <w:pPr>
        <w:pStyle w:val="TOC3"/>
        <w:tabs>
          <w:tab w:val="left" w:pos="1320"/>
          <w:tab w:val="right" w:leader="dot" w:pos="8608"/>
        </w:tabs>
        <w:rPr>
          <w:rFonts w:eastAsiaTheme="minorEastAsia"/>
          <w:noProof/>
          <w:lang w:eastAsia="en-GB"/>
        </w:rPr>
      </w:pPr>
      <w:hyperlink w:anchor="_Toc93511468" w:history="1">
        <w:r w:rsidR="00334941" w:rsidRPr="00307977">
          <w:rPr>
            <w:rStyle w:val="Hyperlink"/>
            <w:noProof/>
          </w:rPr>
          <w:t>5.1.3.</w:t>
        </w:r>
        <w:r w:rsidR="00334941">
          <w:rPr>
            <w:rFonts w:eastAsiaTheme="minorEastAsia"/>
            <w:noProof/>
            <w:lang w:eastAsia="en-GB"/>
          </w:rPr>
          <w:tab/>
        </w:r>
        <w:r w:rsidR="00334941" w:rsidRPr="00307977">
          <w:rPr>
            <w:rStyle w:val="Hyperlink"/>
            <w:noProof/>
          </w:rPr>
          <w:t>Baseline for other impacts</w:t>
        </w:r>
        <w:r w:rsidR="00334941">
          <w:rPr>
            <w:noProof/>
            <w:webHidden/>
          </w:rPr>
          <w:tab/>
        </w:r>
        <w:r w:rsidR="00334941">
          <w:rPr>
            <w:noProof/>
            <w:webHidden/>
          </w:rPr>
          <w:fldChar w:fldCharType="begin"/>
        </w:r>
        <w:r w:rsidR="00334941">
          <w:rPr>
            <w:noProof/>
            <w:webHidden/>
          </w:rPr>
          <w:instrText xml:space="preserve"> PAGEREF _Toc93511468 \h </w:instrText>
        </w:r>
        <w:r w:rsidR="00334941">
          <w:rPr>
            <w:noProof/>
            <w:webHidden/>
          </w:rPr>
        </w:r>
        <w:r w:rsidR="00334941">
          <w:rPr>
            <w:noProof/>
            <w:webHidden/>
          </w:rPr>
          <w:fldChar w:fldCharType="separate"/>
        </w:r>
        <w:r w:rsidR="00334941">
          <w:rPr>
            <w:noProof/>
            <w:webHidden/>
          </w:rPr>
          <w:t>24</w:t>
        </w:r>
        <w:r w:rsidR="00334941">
          <w:rPr>
            <w:noProof/>
            <w:webHidden/>
          </w:rPr>
          <w:fldChar w:fldCharType="end"/>
        </w:r>
      </w:hyperlink>
    </w:p>
    <w:p w14:paraId="097D43F8"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69" w:history="1">
        <w:r w:rsidR="00334941" w:rsidRPr="00307977">
          <w:rPr>
            <w:rStyle w:val="Hyperlink"/>
            <w:noProof/>
          </w:rPr>
          <w:t>5.2.</w:t>
        </w:r>
        <w:r w:rsidR="00334941">
          <w:rPr>
            <w:rFonts w:asciiTheme="minorHAnsi" w:eastAsiaTheme="minorEastAsia" w:hAnsiTheme="minorHAnsi" w:cstheme="minorBidi"/>
            <w:noProof/>
            <w:sz w:val="22"/>
            <w:szCs w:val="22"/>
            <w:lang w:eastAsia="en-GB"/>
          </w:rPr>
          <w:tab/>
        </w:r>
        <w:r w:rsidR="00334941" w:rsidRPr="00307977">
          <w:rPr>
            <w:rStyle w:val="Hyperlink"/>
            <w:noProof/>
          </w:rPr>
          <w:t>Description of the policy options</w:t>
        </w:r>
        <w:r w:rsidR="00334941">
          <w:rPr>
            <w:noProof/>
            <w:webHidden/>
          </w:rPr>
          <w:tab/>
        </w:r>
        <w:r w:rsidR="00334941">
          <w:rPr>
            <w:noProof/>
            <w:webHidden/>
          </w:rPr>
          <w:fldChar w:fldCharType="begin"/>
        </w:r>
        <w:r w:rsidR="00334941">
          <w:rPr>
            <w:noProof/>
            <w:webHidden/>
          </w:rPr>
          <w:instrText xml:space="preserve"> PAGEREF _Toc93511469 \h </w:instrText>
        </w:r>
        <w:r w:rsidR="00334941">
          <w:rPr>
            <w:noProof/>
            <w:webHidden/>
          </w:rPr>
        </w:r>
        <w:r w:rsidR="00334941">
          <w:rPr>
            <w:noProof/>
            <w:webHidden/>
          </w:rPr>
          <w:fldChar w:fldCharType="separate"/>
        </w:r>
        <w:r w:rsidR="00334941">
          <w:rPr>
            <w:noProof/>
            <w:webHidden/>
          </w:rPr>
          <w:t>24</w:t>
        </w:r>
        <w:r w:rsidR="00334941">
          <w:rPr>
            <w:noProof/>
            <w:webHidden/>
          </w:rPr>
          <w:fldChar w:fldCharType="end"/>
        </w:r>
      </w:hyperlink>
    </w:p>
    <w:p w14:paraId="25A532EC" w14:textId="77777777" w:rsidR="00334941" w:rsidRDefault="00C105BC">
      <w:pPr>
        <w:pStyle w:val="TOC3"/>
        <w:tabs>
          <w:tab w:val="left" w:pos="1320"/>
          <w:tab w:val="right" w:leader="dot" w:pos="8608"/>
        </w:tabs>
        <w:rPr>
          <w:rFonts w:eastAsiaTheme="minorEastAsia"/>
          <w:noProof/>
          <w:lang w:eastAsia="en-GB"/>
        </w:rPr>
      </w:pPr>
      <w:hyperlink w:anchor="_Toc93511470" w:history="1">
        <w:r w:rsidR="00334941" w:rsidRPr="00307977">
          <w:rPr>
            <w:rStyle w:val="Hyperlink"/>
            <w:noProof/>
          </w:rPr>
          <w:t>5.2.1.</w:t>
        </w:r>
        <w:r w:rsidR="00334941">
          <w:rPr>
            <w:rFonts w:eastAsiaTheme="minorEastAsia"/>
            <w:noProof/>
            <w:lang w:eastAsia="en-GB"/>
          </w:rPr>
          <w:tab/>
        </w:r>
        <w:r w:rsidR="00334941" w:rsidRPr="00307977">
          <w:rPr>
            <w:rStyle w:val="Hyperlink"/>
            <w:noProof/>
          </w:rPr>
          <w:t>Review objective A: Achieve a higher level of additional emission reductions</w:t>
        </w:r>
        <w:r w:rsidR="00334941">
          <w:rPr>
            <w:noProof/>
            <w:webHidden/>
          </w:rPr>
          <w:tab/>
        </w:r>
        <w:r w:rsidR="00334941">
          <w:rPr>
            <w:noProof/>
            <w:webHidden/>
          </w:rPr>
          <w:fldChar w:fldCharType="begin"/>
        </w:r>
        <w:r w:rsidR="00334941">
          <w:rPr>
            <w:noProof/>
            <w:webHidden/>
          </w:rPr>
          <w:instrText xml:space="preserve"> PAGEREF _Toc93511470 \h </w:instrText>
        </w:r>
        <w:r w:rsidR="00334941">
          <w:rPr>
            <w:noProof/>
            <w:webHidden/>
          </w:rPr>
        </w:r>
        <w:r w:rsidR="00334941">
          <w:rPr>
            <w:noProof/>
            <w:webHidden/>
          </w:rPr>
          <w:fldChar w:fldCharType="separate"/>
        </w:r>
        <w:r w:rsidR="00334941">
          <w:rPr>
            <w:noProof/>
            <w:webHidden/>
          </w:rPr>
          <w:t>26</w:t>
        </w:r>
        <w:r w:rsidR="00334941">
          <w:rPr>
            <w:noProof/>
            <w:webHidden/>
          </w:rPr>
          <w:fldChar w:fldCharType="end"/>
        </w:r>
      </w:hyperlink>
    </w:p>
    <w:p w14:paraId="4D9F598E" w14:textId="77777777" w:rsidR="00334941" w:rsidRDefault="00C105BC">
      <w:pPr>
        <w:pStyle w:val="TOC3"/>
        <w:tabs>
          <w:tab w:val="left" w:pos="1320"/>
          <w:tab w:val="right" w:leader="dot" w:pos="8608"/>
        </w:tabs>
        <w:rPr>
          <w:rFonts w:eastAsiaTheme="minorEastAsia"/>
          <w:noProof/>
          <w:lang w:eastAsia="en-GB"/>
        </w:rPr>
      </w:pPr>
      <w:hyperlink w:anchor="_Toc93511471" w:history="1">
        <w:r w:rsidR="00334941" w:rsidRPr="00307977">
          <w:rPr>
            <w:rStyle w:val="Hyperlink"/>
            <w:noProof/>
          </w:rPr>
          <w:t>5.2.2.</w:t>
        </w:r>
        <w:r w:rsidR="00334941">
          <w:rPr>
            <w:rFonts w:eastAsiaTheme="minorEastAsia"/>
            <w:noProof/>
            <w:lang w:eastAsia="en-GB"/>
          </w:rPr>
          <w:tab/>
        </w:r>
        <w:r w:rsidR="00334941" w:rsidRPr="00307977">
          <w:rPr>
            <w:rStyle w:val="Hyperlink"/>
            <w:noProof/>
          </w:rPr>
          <w:t>Review objective B: Improve the efficiency of the Regulation while preserving the significant emission reductions achieved so far</w:t>
        </w:r>
        <w:r w:rsidR="00334941">
          <w:rPr>
            <w:noProof/>
            <w:webHidden/>
          </w:rPr>
          <w:tab/>
        </w:r>
        <w:r w:rsidR="00334941">
          <w:rPr>
            <w:noProof/>
            <w:webHidden/>
          </w:rPr>
          <w:fldChar w:fldCharType="begin"/>
        </w:r>
        <w:r w:rsidR="00334941">
          <w:rPr>
            <w:noProof/>
            <w:webHidden/>
          </w:rPr>
          <w:instrText xml:space="preserve"> PAGEREF _Toc93511471 \h </w:instrText>
        </w:r>
        <w:r w:rsidR="00334941">
          <w:rPr>
            <w:noProof/>
            <w:webHidden/>
          </w:rPr>
        </w:r>
        <w:r w:rsidR="00334941">
          <w:rPr>
            <w:noProof/>
            <w:webHidden/>
          </w:rPr>
          <w:fldChar w:fldCharType="separate"/>
        </w:r>
        <w:r w:rsidR="00334941">
          <w:rPr>
            <w:noProof/>
            <w:webHidden/>
          </w:rPr>
          <w:t>27</w:t>
        </w:r>
        <w:r w:rsidR="00334941">
          <w:rPr>
            <w:noProof/>
            <w:webHidden/>
          </w:rPr>
          <w:fldChar w:fldCharType="end"/>
        </w:r>
      </w:hyperlink>
    </w:p>
    <w:p w14:paraId="753B83E9" w14:textId="77777777" w:rsidR="00334941" w:rsidRDefault="00C105BC">
      <w:pPr>
        <w:pStyle w:val="TOC3"/>
        <w:tabs>
          <w:tab w:val="left" w:pos="1320"/>
          <w:tab w:val="right" w:leader="dot" w:pos="8608"/>
        </w:tabs>
        <w:rPr>
          <w:rFonts w:eastAsiaTheme="minorEastAsia"/>
          <w:noProof/>
          <w:lang w:eastAsia="en-GB"/>
        </w:rPr>
      </w:pPr>
      <w:hyperlink w:anchor="_Toc93511472" w:history="1">
        <w:r w:rsidR="00334941" w:rsidRPr="00307977">
          <w:rPr>
            <w:rStyle w:val="Hyperlink"/>
            <w:noProof/>
          </w:rPr>
          <w:t>5.2.3.</w:t>
        </w:r>
        <w:r w:rsidR="00334941">
          <w:rPr>
            <w:rFonts w:eastAsiaTheme="minorEastAsia"/>
            <w:noProof/>
            <w:lang w:eastAsia="en-GB"/>
          </w:rPr>
          <w:tab/>
        </w:r>
        <w:r w:rsidR="00334941" w:rsidRPr="00307977">
          <w:rPr>
            <w:rStyle w:val="Hyperlink"/>
            <w:noProof/>
          </w:rPr>
          <w:t>Review objective C: Ensure more comprehensive monitoring</w:t>
        </w:r>
        <w:r w:rsidR="00334941">
          <w:rPr>
            <w:noProof/>
            <w:webHidden/>
          </w:rPr>
          <w:tab/>
        </w:r>
        <w:r w:rsidR="00334941">
          <w:rPr>
            <w:noProof/>
            <w:webHidden/>
          </w:rPr>
          <w:fldChar w:fldCharType="begin"/>
        </w:r>
        <w:r w:rsidR="00334941">
          <w:rPr>
            <w:noProof/>
            <w:webHidden/>
          </w:rPr>
          <w:instrText xml:space="preserve"> PAGEREF _Toc93511472 \h </w:instrText>
        </w:r>
        <w:r w:rsidR="00334941">
          <w:rPr>
            <w:noProof/>
            <w:webHidden/>
          </w:rPr>
        </w:r>
        <w:r w:rsidR="00334941">
          <w:rPr>
            <w:noProof/>
            <w:webHidden/>
          </w:rPr>
          <w:fldChar w:fldCharType="separate"/>
        </w:r>
        <w:r w:rsidR="00334941">
          <w:rPr>
            <w:noProof/>
            <w:webHidden/>
          </w:rPr>
          <w:t>29</w:t>
        </w:r>
        <w:r w:rsidR="00334941">
          <w:rPr>
            <w:noProof/>
            <w:webHidden/>
          </w:rPr>
          <w:fldChar w:fldCharType="end"/>
        </w:r>
      </w:hyperlink>
    </w:p>
    <w:p w14:paraId="07406DFF" w14:textId="77777777" w:rsidR="00334941" w:rsidRDefault="00C105BC">
      <w:pPr>
        <w:pStyle w:val="TOC3"/>
        <w:tabs>
          <w:tab w:val="left" w:pos="1320"/>
          <w:tab w:val="right" w:leader="dot" w:pos="8608"/>
        </w:tabs>
        <w:rPr>
          <w:rFonts w:eastAsiaTheme="minorEastAsia"/>
          <w:noProof/>
          <w:lang w:eastAsia="en-GB"/>
        </w:rPr>
      </w:pPr>
      <w:hyperlink w:anchor="_Toc93511473" w:history="1">
        <w:r w:rsidR="00334941" w:rsidRPr="00307977">
          <w:rPr>
            <w:rStyle w:val="Hyperlink"/>
            <w:noProof/>
          </w:rPr>
          <w:t>5.2.4.</w:t>
        </w:r>
        <w:r w:rsidR="00334941">
          <w:rPr>
            <w:rFonts w:eastAsiaTheme="minorEastAsia"/>
            <w:noProof/>
            <w:lang w:eastAsia="en-GB"/>
          </w:rPr>
          <w:tab/>
        </w:r>
        <w:r w:rsidR="00334941" w:rsidRPr="00307977">
          <w:rPr>
            <w:rStyle w:val="Hyperlink"/>
            <w:noProof/>
          </w:rPr>
          <w:t>Review objective D: Improve coherence</w:t>
        </w:r>
        <w:r w:rsidR="00334941">
          <w:rPr>
            <w:noProof/>
            <w:webHidden/>
          </w:rPr>
          <w:tab/>
        </w:r>
        <w:r w:rsidR="00334941">
          <w:rPr>
            <w:noProof/>
            <w:webHidden/>
          </w:rPr>
          <w:fldChar w:fldCharType="begin"/>
        </w:r>
        <w:r w:rsidR="00334941">
          <w:rPr>
            <w:noProof/>
            <w:webHidden/>
          </w:rPr>
          <w:instrText xml:space="preserve"> PAGEREF _Toc93511473 \h </w:instrText>
        </w:r>
        <w:r w:rsidR="00334941">
          <w:rPr>
            <w:noProof/>
            <w:webHidden/>
          </w:rPr>
        </w:r>
        <w:r w:rsidR="00334941">
          <w:rPr>
            <w:noProof/>
            <w:webHidden/>
          </w:rPr>
          <w:fldChar w:fldCharType="separate"/>
        </w:r>
        <w:r w:rsidR="00334941">
          <w:rPr>
            <w:noProof/>
            <w:webHidden/>
          </w:rPr>
          <w:t>30</w:t>
        </w:r>
        <w:r w:rsidR="00334941">
          <w:rPr>
            <w:noProof/>
            <w:webHidden/>
          </w:rPr>
          <w:fldChar w:fldCharType="end"/>
        </w:r>
      </w:hyperlink>
    </w:p>
    <w:p w14:paraId="4DC875ED"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74" w:history="1">
        <w:r w:rsidR="00334941" w:rsidRPr="00307977">
          <w:rPr>
            <w:rStyle w:val="Hyperlink"/>
            <w:noProof/>
          </w:rPr>
          <w:t>5.3.</w:t>
        </w:r>
        <w:r w:rsidR="00334941">
          <w:rPr>
            <w:rFonts w:asciiTheme="minorHAnsi" w:eastAsiaTheme="minorEastAsia" w:hAnsiTheme="minorHAnsi" w:cstheme="minorBidi"/>
            <w:noProof/>
            <w:sz w:val="22"/>
            <w:szCs w:val="22"/>
            <w:lang w:eastAsia="en-GB"/>
          </w:rPr>
          <w:tab/>
        </w:r>
        <w:r w:rsidR="00334941" w:rsidRPr="00307977">
          <w:rPr>
            <w:rStyle w:val="Hyperlink"/>
            <w:noProof/>
          </w:rPr>
          <w:t>Measures discarded at an early stage</w:t>
        </w:r>
        <w:r w:rsidR="00334941">
          <w:rPr>
            <w:noProof/>
            <w:webHidden/>
          </w:rPr>
          <w:tab/>
        </w:r>
        <w:r w:rsidR="00334941">
          <w:rPr>
            <w:noProof/>
            <w:webHidden/>
          </w:rPr>
          <w:fldChar w:fldCharType="begin"/>
        </w:r>
        <w:r w:rsidR="00334941">
          <w:rPr>
            <w:noProof/>
            <w:webHidden/>
          </w:rPr>
          <w:instrText xml:space="preserve"> PAGEREF _Toc93511474 \h </w:instrText>
        </w:r>
        <w:r w:rsidR="00334941">
          <w:rPr>
            <w:noProof/>
            <w:webHidden/>
          </w:rPr>
        </w:r>
        <w:r w:rsidR="00334941">
          <w:rPr>
            <w:noProof/>
            <w:webHidden/>
          </w:rPr>
          <w:fldChar w:fldCharType="separate"/>
        </w:r>
        <w:r w:rsidR="00334941">
          <w:rPr>
            <w:noProof/>
            <w:webHidden/>
          </w:rPr>
          <w:t>32</w:t>
        </w:r>
        <w:r w:rsidR="00334941">
          <w:rPr>
            <w:noProof/>
            <w:webHidden/>
          </w:rPr>
          <w:fldChar w:fldCharType="end"/>
        </w:r>
      </w:hyperlink>
    </w:p>
    <w:p w14:paraId="1E60D7F9"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75" w:history="1">
        <w:r w:rsidR="00334941" w:rsidRPr="00307977">
          <w:rPr>
            <w:rStyle w:val="Hyperlink"/>
            <w:noProof/>
          </w:rPr>
          <w:t>6.</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What are the impacts of the measures in the policy options?</w:t>
        </w:r>
        <w:r w:rsidR="00334941">
          <w:rPr>
            <w:noProof/>
            <w:webHidden/>
          </w:rPr>
          <w:tab/>
        </w:r>
        <w:r w:rsidR="00334941">
          <w:rPr>
            <w:noProof/>
            <w:webHidden/>
          </w:rPr>
          <w:fldChar w:fldCharType="begin"/>
        </w:r>
        <w:r w:rsidR="00334941">
          <w:rPr>
            <w:noProof/>
            <w:webHidden/>
          </w:rPr>
          <w:instrText xml:space="preserve"> PAGEREF _Toc93511475 \h </w:instrText>
        </w:r>
        <w:r w:rsidR="00334941">
          <w:rPr>
            <w:noProof/>
            <w:webHidden/>
          </w:rPr>
        </w:r>
        <w:r w:rsidR="00334941">
          <w:rPr>
            <w:noProof/>
            <w:webHidden/>
          </w:rPr>
          <w:fldChar w:fldCharType="separate"/>
        </w:r>
        <w:r w:rsidR="00334941">
          <w:rPr>
            <w:noProof/>
            <w:webHidden/>
          </w:rPr>
          <w:t>32</w:t>
        </w:r>
        <w:r w:rsidR="00334941">
          <w:rPr>
            <w:noProof/>
            <w:webHidden/>
          </w:rPr>
          <w:fldChar w:fldCharType="end"/>
        </w:r>
      </w:hyperlink>
    </w:p>
    <w:p w14:paraId="044A1AE4"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76" w:history="1">
        <w:r w:rsidR="00334941" w:rsidRPr="00307977">
          <w:rPr>
            <w:rStyle w:val="Hyperlink"/>
            <w:noProof/>
          </w:rPr>
          <w:t>6.1.</w:t>
        </w:r>
        <w:r w:rsidR="00334941">
          <w:rPr>
            <w:rFonts w:asciiTheme="minorHAnsi" w:eastAsiaTheme="minorEastAsia" w:hAnsiTheme="minorHAnsi" w:cstheme="minorBidi"/>
            <w:noProof/>
            <w:sz w:val="22"/>
            <w:szCs w:val="22"/>
            <w:lang w:eastAsia="en-GB"/>
          </w:rPr>
          <w:tab/>
        </w:r>
        <w:r w:rsidR="00334941" w:rsidRPr="00307977">
          <w:rPr>
            <w:rStyle w:val="Hyperlink"/>
            <w:noProof/>
          </w:rPr>
          <w:t>Achieve a higher level of additional emission reductions</w:t>
        </w:r>
        <w:r w:rsidR="00334941">
          <w:rPr>
            <w:noProof/>
            <w:webHidden/>
          </w:rPr>
          <w:tab/>
        </w:r>
        <w:r w:rsidR="00334941">
          <w:rPr>
            <w:noProof/>
            <w:webHidden/>
          </w:rPr>
          <w:fldChar w:fldCharType="begin"/>
        </w:r>
        <w:r w:rsidR="00334941">
          <w:rPr>
            <w:noProof/>
            <w:webHidden/>
          </w:rPr>
          <w:instrText xml:space="preserve"> PAGEREF _Toc93511476 \h </w:instrText>
        </w:r>
        <w:r w:rsidR="00334941">
          <w:rPr>
            <w:noProof/>
            <w:webHidden/>
          </w:rPr>
        </w:r>
        <w:r w:rsidR="00334941">
          <w:rPr>
            <w:noProof/>
            <w:webHidden/>
          </w:rPr>
          <w:fldChar w:fldCharType="separate"/>
        </w:r>
        <w:r w:rsidR="00334941">
          <w:rPr>
            <w:noProof/>
            <w:webHidden/>
          </w:rPr>
          <w:t>32</w:t>
        </w:r>
        <w:r w:rsidR="00334941">
          <w:rPr>
            <w:noProof/>
            <w:webHidden/>
          </w:rPr>
          <w:fldChar w:fldCharType="end"/>
        </w:r>
      </w:hyperlink>
    </w:p>
    <w:p w14:paraId="29F64F7B"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77" w:history="1">
        <w:r w:rsidR="00334941" w:rsidRPr="00307977">
          <w:rPr>
            <w:rStyle w:val="Hyperlink"/>
            <w:noProof/>
          </w:rPr>
          <w:t>6.2.</w:t>
        </w:r>
        <w:r w:rsidR="00334941">
          <w:rPr>
            <w:rFonts w:asciiTheme="minorHAnsi" w:eastAsiaTheme="minorEastAsia" w:hAnsiTheme="minorHAnsi" w:cstheme="minorBidi"/>
            <w:noProof/>
            <w:sz w:val="22"/>
            <w:szCs w:val="22"/>
            <w:lang w:eastAsia="en-GB"/>
          </w:rPr>
          <w:tab/>
        </w:r>
        <w:r w:rsidR="00334941" w:rsidRPr="00307977">
          <w:rPr>
            <w:rStyle w:val="Hyperlink"/>
            <w:noProof/>
          </w:rPr>
          <w:t>Improve the efficiency of the Ozone Regulation while preserving the significant emission reductions achieved so far</w:t>
        </w:r>
        <w:r w:rsidR="00334941">
          <w:rPr>
            <w:noProof/>
            <w:webHidden/>
          </w:rPr>
          <w:tab/>
        </w:r>
        <w:r w:rsidR="00334941">
          <w:rPr>
            <w:noProof/>
            <w:webHidden/>
          </w:rPr>
          <w:fldChar w:fldCharType="begin"/>
        </w:r>
        <w:r w:rsidR="00334941">
          <w:rPr>
            <w:noProof/>
            <w:webHidden/>
          </w:rPr>
          <w:instrText xml:space="preserve"> PAGEREF _Toc93511477 \h </w:instrText>
        </w:r>
        <w:r w:rsidR="00334941">
          <w:rPr>
            <w:noProof/>
            <w:webHidden/>
          </w:rPr>
        </w:r>
        <w:r w:rsidR="00334941">
          <w:rPr>
            <w:noProof/>
            <w:webHidden/>
          </w:rPr>
          <w:fldChar w:fldCharType="separate"/>
        </w:r>
        <w:r w:rsidR="00334941">
          <w:rPr>
            <w:noProof/>
            <w:webHidden/>
          </w:rPr>
          <w:t>38</w:t>
        </w:r>
        <w:r w:rsidR="00334941">
          <w:rPr>
            <w:noProof/>
            <w:webHidden/>
          </w:rPr>
          <w:fldChar w:fldCharType="end"/>
        </w:r>
      </w:hyperlink>
    </w:p>
    <w:p w14:paraId="6953F36E"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78" w:history="1">
        <w:r w:rsidR="00334941" w:rsidRPr="00307977">
          <w:rPr>
            <w:rStyle w:val="Hyperlink"/>
            <w:noProof/>
          </w:rPr>
          <w:t>6.3.</w:t>
        </w:r>
        <w:r w:rsidR="00334941">
          <w:rPr>
            <w:rFonts w:asciiTheme="minorHAnsi" w:eastAsiaTheme="minorEastAsia" w:hAnsiTheme="minorHAnsi" w:cstheme="minorBidi"/>
            <w:noProof/>
            <w:sz w:val="22"/>
            <w:szCs w:val="22"/>
            <w:lang w:eastAsia="en-GB"/>
          </w:rPr>
          <w:tab/>
        </w:r>
        <w:r w:rsidR="00334941" w:rsidRPr="00307977">
          <w:rPr>
            <w:rStyle w:val="Hyperlink"/>
            <w:noProof/>
          </w:rPr>
          <w:t>Ensure more comprehensive monitoring</w:t>
        </w:r>
        <w:r w:rsidR="00334941">
          <w:rPr>
            <w:noProof/>
            <w:webHidden/>
          </w:rPr>
          <w:tab/>
        </w:r>
        <w:r w:rsidR="00334941">
          <w:rPr>
            <w:noProof/>
            <w:webHidden/>
          </w:rPr>
          <w:fldChar w:fldCharType="begin"/>
        </w:r>
        <w:r w:rsidR="00334941">
          <w:rPr>
            <w:noProof/>
            <w:webHidden/>
          </w:rPr>
          <w:instrText xml:space="preserve"> PAGEREF _Toc93511478 \h </w:instrText>
        </w:r>
        <w:r w:rsidR="00334941">
          <w:rPr>
            <w:noProof/>
            <w:webHidden/>
          </w:rPr>
        </w:r>
        <w:r w:rsidR="00334941">
          <w:rPr>
            <w:noProof/>
            <w:webHidden/>
          </w:rPr>
          <w:fldChar w:fldCharType="separate"/>
        </w:r>
        <w:r w:rsidR="00334941">
          <w:rPr>
            <w:noProof/>
            <w:webHidden/>
          </w:rPr>
          <w:t>41</w:t>
        </w:r>
        <w:r w:rsidR="00334941">
          <w:rPr>
            <w:noProof/>
            <w:webHidden/>
          </w:rPr>
          <w:fldChar w:fldCharType="end"/>
        </w:r>
      </w:hyperlink>
    </w:p>
    <w:p w14:paraId="54AEA351"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79" w:history="1">
        <w:r w:rsidR="00334941" w:rsidRPr="00307977">
          <w:rPr>
            <w:rStyle w:val="Hyperlink"/>
            <w:noProof/>
          </w:rPr>
          <w:t>6.4.</w:t>
        </w:r>
        <w:r w:rsidR="00334941">
          <w:rPr>
            <w:rFonts w:asciiTheme="minorHAnsi" w:eastAsiaTheme="minorEastAsia" w:hAnsiTheme="minorHAnsi" w:cstheme="minorBidi"/>
            <w:noProof/>
            <w:sz w:val="22"/>
            <w:szCs w:val="22"/>
            <w:lang w:eastAsia="en-GB"/>
          </w:rPr>
          <w:tab/>
        </w:r>
        <w:r w:rsidR="00334941" w:rsidRPr="00307977">
          <w:rPr>
            <w:rStyle w:val="Hyperlink"/>
            <w:noProof/>
          </w:rPr>
          <w:t>Improve coherence and clarity</w:t>
        </w:r>
        <w:r w:rsidR="00334941">
          <w:rPr>
            <w:noProof/>
            <w:webHidden/>
          </w:rPr>
          <w:tab/>
        </w:r>
        <w:r w:rsidR="00334941">
          <w:rPr>
            <w:noProof/>
            <w:webHidden/>
          </w:rPr>
          <w:fldChar w:fldCharType="begin"/>
        </w:r>
        <w:r w:rsidR="00334941">
          <w:rPr>
            <w:noProof/>
            <w:webHidden/>
          </w:rPr>
          <w:instrText xml:space="preserve"> PAGEREF _Toc93511479 \h </w:instrText>
        </w:r>
        <w:r w:rsidR="00334941">
          <w:rPr>
            <w:noProof/>
            <w:webHidden/>
          </w:rPr>
        </w:r>
        <w:r w:rsidR="00334941">
          <w:rPr>
            <w:noProof/>
            <w:webHidden/>
          </w:rPr>
          <w:fldChar w:fldCharType="separate"/>
        </w:r>
        <w:r w:rsidR="00334941">
          <w:rPr>
            <w:noProof/>
            <w:webHidden/>
          </w:rPr>
          <w:t>43</w:t>
        </w:r>
        <w:r w:rsidR="00334941">
          <w:rPr>
            <w:noProof/>
            <w:webHidden/>
          </w:rPr>
          <w:fldChar w:fldCharType="end"/>
        </w:r>
      </w:hyperlink>
    </w:p>
    <w:p w14:paraId="4ABC4AE5"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0" w:history="1">
        <w:r w:rsidR="00334941" w:rsidRPr="00307977">
          <w:rPr>
            <w:rStyle w:val="Hyperlink"/>
            <w:noProof/>
          </w:rPr>
          <w:t>7.</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How do the options compare?</w:t>
        </w:r>
        <w:r w:rsidR="00334941">
          <w:rPr>
            <w:noProof/>
            <w:webHidden/>
          </w:rPr>
          <w:tab/>
        </w:r>
        <w:r w:rsidR="00334941">
          <w:rPr>
            <w:noProof/>
            <w:webHidden/>
          </w:rPr>
          <w:fldChar w:fldCharType="begin"/>
        </w:r>
        <w:r w:rsidR="00334941">
          <w:rPr>
            <w:noProof/>
            <w:webHidden/>
          </w:rPr>
          <w:instrText xml:space="preserve"> PAGEREF _Toc93511480 \h </w:instrText>
        </w:r>
        <w:r w:rsidR="00334941">
          <w:rPr>
            <w:noProof/>
            <w:webHidden/>
          </w:rPr>
        </w:r>
        <w:r w:rsidR="00334941">
          <w:rPr>
            <w:noProof/>
            <w:webHidden/>
          </w:rPr>
          <w:fldChar w:fldCharType="separate"/>
        </w:r>
        <w:r w:rsidR="00334941">
          <w:rPr>
            <w:noProof/>
            <w:webHidden/>
          </w:rPr>
          <w:t>43</w:t>
        </w:r>
        <w:r w:rsidR="00334941">
          <w:rPr>
            <w:noProof/>
            <w:webHidden/>
          </w:rPr>
          <w:fldChar w:fldCharType="end"/>
        </w:r>
      </w:hyperlink>
    </w:p>
    <w:p w14:paraId="3491FF52"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1" w:history="1">
        <w:r w:rsidR="00334941" w:rsidRPr="00307977">
          <w:rPr>
            <w:rStyle w:val="Hyperlink"/>
            <w:noProof/>
          </w:rPr>
          <w:t>8.</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Preferred option</w:t>
        </w:r>
        <w:r w:rsidR="00334941">
          <w:rPr>
            <w:noProof/>
            <w:webHidden/>
          </w:rPr>
          <w:tab/>
        </w:r>
        <w:r w:rsidR="00334941">
          <w:rPr>
            <w:noProof/>
            <w:webHidden/>
          </w:rPr>
          <w:fldChar w:fldCharType="begin"/>
        </w:r>
        <w:r w:rsidR="00334941">
          <w:rPr>
            <w:noProof/>
            <w:webHidden/>
          </w:rPr>
          <w:instrText xml:space="preserve"> PAGEREF _Toc93511481 \h </w:instrText>
        </w:r>
        <w:r w:rsidR="00334941">
          <w:rPr>
            <w:noProof/>
            <w:webHidden/>
          </w:rPr>
        </w:r>
        <w:r w:rsidR="00334941">
          <w:rPr>
            <w:noProof/>
            <w:webHidden/>
          </w:rPr>
          <w:fldChar w:fldCharType="separate"/>
        </w:r>
        <w:r w:rsidR="00334941">
          <w:rPr>
            <w:noProof/>
            <w:webHidden/>
          </w:rPr>
          <w:t>47</w:t>
        </w:r>
        <w:r w:rsidR="00334941">
          <w:rPr>
            <w:noProof/>
            <w:webHidden/>
          </w:rPr>
          <w:fldChar w:fldCharType="end"/>
        </w:r>
      </w:hyperlink>
    </w:p>
    <w:p w14:paraId="5FFCB53E" w14:textId="77777777" w:rsidR="00334941" w:rsidRDefault="00C105BC">
      <w:pPr>
        <w:pStyle w:val="TOC2"/>
        <w:tabs>
          <w:tab w:val="left" w:pos="1077"/>
        </w:tabs>
        <w:rPr>
          <w:rFonts w:asciiTheme="minorHAnsi" w:eastAsiaTheme="minorEastAsia" w:hAnsiTheme="minorHAnsi" w:cstheme="minorBidi"/>
          <w:noProof/>
          <w:sz w:val="22"/>
          <w:szCs w:val="22"/>
          <w:lang w:eastAsia="en-GB"/>
        </w:rPr>
      </w:pPr>
      <w:hyperlink w:anchor="_Toc93511482" w:history="1">
        <w:r w:rsidR="00334941" w:rsidRPr="00307977">
          <w:rPr>
            <w:rStyle w:val="Hyperlink"/>
            <w:noProof/>
          </w:rPr>
          <w:t>8.1.</w:t>
        </w:r>
        <w:r w:rsidR="00334941">
          <w:rPr>
            <w:rFonts w:asciiTheme="minorHAnsi" w:eastAsiaTheme="minorEastAsia" w:hAnsiTheme="minorHAnsi" w:cstheme="minorBidi"/>
            <w:noProof/>
            <w:sz w:val="22"/>
            <w:szCs w:val="22"/>
            <w:lang w:eastAsia="en-GB"/>
          </w:rPr>
          <w:tab/>
        </w:r>
        <w:r w:rsidR="00334941" w:rsidRPr="00307977">
          <w:rPr>
            <w:rStyle w:val="Hyperlink"/>
            <w:noProof/>
          </w:rPr>
          <w:t>REFIT (simplification and improved efficiency)</w:t>
        </w:r>
        <w:r w:rsidR="00334941">
          <w:rPr>
            <w:noProof/>
            <w:webHidden/>
          </w:rPr>
          <w:tab/>
        </w:r>
        <w:r w:rsidR="00334941">
          <w:rPr>
            <w:noProof/>
            <w:webHidden/>
          </w:rPr>
          <w:fldChar w:fldCharType="begin"/>
        </w:r>
        <w:r w:rsidR="00334941">
          <w:rPr>
            <w:noProof/>
            <w:webHidden/>
          </w:rPr>
          <w:instrText xml:space="preserve"> PAGEREF _Toc93511482 \h </w:instrText>
        </w:r>
        <w:r w:rsidR="00334941">
          <w:rPr>
            <w:noProof/>
            <w:webHidden/>
          </w:rPr>
        </w:r>
        <w:r w:rsidR="00334941">
          <w:rPr>
            <w:noProof/>
            <w:webHidden/>
          </w:rPr>
          <w:fldChar w:fldCharType="separate"/>
        </w:r>
        <w:r w:rsidR="00334941">
          <w:rPr>
            <w:noProof/>
            <w:webHidden/>
          </w:rPr>
          <w:t>47</w:t>
        </w:r>
        <w:r w:rsidR="00334941">
          <w:rPr>
            <w:noProof/>
            <w:webHidden/>
          </w:rPr>
          <w:fldChar w:fldCharType="end"/>
        </w:r>
      </w:hyperlink>
    </w:p>
    <w:p w14:paraId="7CC1FE29"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3" w:history="1">
        <w:r w:rsidR="00334941" w:rsidRPr="00307977">
          <w:rPr>
            <w:rStyle w:val="Hyperlink"/>
            <w:noProof/>
          </w:rPr>
          <w:t>9.</w:t>
        </w:r>
        <w:r w:rsidR="00334941">
          <w:rPr>
            <w:rFonts w:asciiTheme="minorHAnsi" w:eastAsiaTheme="minorEastAsia" w:hAnsiTheme="minorHAnsi" w:cstheme="minorBidi"/>
            <w:caps w:val="0"/>
            <w:noProof/>
            <w:sz w:val="22"/>
            <w:szCs w:val="22"/>
            <w:lang w:eastAsia="en-GB"/>
          </w:rPr>
          <w:tab/>
        </w:r>
        <w:r w:rsidR="00334941" w:rsidRPr="00307977">
          <w:rPr>
            <w:rStyle w:val="Hyperlink"/>
            <w:noProof/>
          </w:rPr>
          <w:t>How will actual impacts be monitored and evaluated?</w:t>
        </w:r>
        <w:r w:rsidR="00334941">
          <w:rPr>
            <w:noProof/>
            <w:webHidden/>
          </w:rPr>
          <w:tab/>
        </w:r>
        <w:r w:rsidR="00334941">
          <w:rPr>
            <w:noProof/>
            <w:webHidden/>
          </w:rPr>
          <w:fldChar w:fldCharType="begin"/>
        </w:r>
        <w:r w:rsidR="00334941">
          <w:rPr>
            <w:noProof/>
            <w:webHidden/>
          </w:rPr>
          <w:instrText xml:space="preserve"> PAGEREF _Toc93511483 \h </w:instrText>
        </w:r>
        <w:r w:rsidR="00334941">
          <w:rPr>
            <w:noProof/>
            <w:webHidden/>
          </w:rPr>
        </w:r>
        <w:r w:rsidR="00334941">
          <w:rPr>
            <w:noProof/>
            <w:webHidden/>
          </w:rPr>
          <w:fldChar w:fldCharType="separate"/>
        </w:r>
        <w:r w:rsidR="00334941">
          <w:rPr>
            <w:noProof/>
            <w:webHidden/>
          </w:rPr>
          <w:t>48</w:t>
        </w:r>
        <w:r w:rsidR="00334941">
          <w:rPr>
            <w:noProof/>
            <w:webHidden/>
          </w:rPr>
          <w:fldChar w:fldCharType="end"/>
        </w:r>
      </w:hyperlink>
    </w:p>
    <w:p w14:paraId="394067A7"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4" w:history="1">
        <w:r w:rsidR="00334941" w:rsidRPr="00307977">
          <w:rPr>
            <w:rStyle w:val="Hyperlink"/>
            <w:noProof/>
          </w:rPr>
          <w:t>Annex 1: Procedural information</w:t>
        </w:r>
        <w:r w:rsidR="00334941">
          <w:rPr>
            <w:noProof/>
            <w:webHidden/>
          </w:rPr>
          <w:tab/>
        </w:r>
        <w:r w:rsidR="00334941">
          <w:rPr>
            <w:noProof/>
            <w:webHidden/>
          </w:rPr>
          <w:fldChar w:fldCharType="begin"/>
        </w:r>
        <w:r w:rsidR="00334941">
          <w:rPr>
            <w:noProof/>
            <w:webHidden/>
          </w:rPr>
          <w:instrText xml:space="preserve"> PAGEREF _Toc93511484 \h </w:instrText>
        </w:r>
        <w:r w:rsidR="00334941">
          <w:rPr>
            <w:noProof/>
            <w:webHidden/>
          </w:rPr>
        </w:r>
        <w:r w:rsidR="00334941">
          <w:rPr>
            <w:noProof/>
            <w:webHidden/>
          </w:rPr>
          <w:fldChar w:fldCharType="separate"/>
        </w:r>
        <w:r w:rsidR="00334941">
          <w:rPr>
            <w:noProof/>
            <w:webHidden/>
          </w:rPr>
          <w:t>50</w:t>
        </w:r>
        <w:r w:rsidR="00334941">
          <w:rPr>
            <w:noProof/>
            <w:webHidden/>
          </w:rPr>
          <w:fldChar w:fldCharType="end"/>
        </w:r>
      </w:hyperlink>
    </w:p>
    <w:p w14:paraId="76D535C6"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5" w:history="1">
        <w:r w:rsidR="00334941" w:rsidRPr="00307977">
          <w:rPr>
            <w:rStyle w:val="Hyperlink"/>
            <w:noProof/>
          </w:rPr>
          <w:t>Annex 2: Synopsis report of stakeholder consultations</w:t>
        </w:r>
        <w:r w:rsidR="00334941">
          <w:rPr>
            <w:noProof/>
            <w:webHidden/>
          </w:rPr>
          <w:tab/>
        </w:r>
        <w:r w:rsidR="00334941">
          <w:rPr>
            <w:noProof/>
            <w:webHidden/>
          </w:rPr>
          <w:fldChar w:fldCharType="begin"/>
        </w:r>
        <w:r w:rsidR="00334941">
          <w:rPr>
            <w:noProof/>
            <w:webHidden/>
          </w:rPr>
          <w:instrText xml:space="preserve"> PAGEREF _Toc93511485 \h </w:instrText>
        </w:r>
        <w:r w:rsidR="00334941">
          <w:rPr>
            <w:noProof/>
            <w:webHidden/>
          </w:rPr>
        </w:r>
        <w:r w:rsidR="00334941">
          <w:rPr>
            <w:noProof/>
            <w:webHidden/>
          </w:rPr>
          <w:fldChar w:fldCharType="separate"/>
        </w:r>
        <w:r w:rsidR="00334941">
          <w:rPr>
            <w:noProof/>
            <w:webHidden/>
          </w:rPr>
          <w:t>53</w:t>
        </w:r>
        <w:r w:rsidR="00334941">
          <w:rPr>
            <w:noProof/>
            <w:webHidden/>
          </w:rPr>
          <w:fldChar w:fldCharType="end"/>
        </w:r>
      </w:hyperlink>
    </w:p>
    <w:p w14:paraId="6C7CF167"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6" w:history="1">
        <w:r w:rsidR="00334941" w:rsidRPr="00307977">
          <w:rPr>
            <w:rStyle w:val="Hyperlink"/>
            <w:noProof/>
          </w:rPr>
          <w:t>Annex 3: Who is affected and how?</w:t>
        </w:r>
        <w:r w:rsidR="00334941">
          <w:rPr>
            <w:noProof/>
            <w:webHidden/>
          </w:rPr>
          <w:tab/>
        </w:r>
        <w:r w:rsidR="00334941">
          <w:rPr>
            <w:noProof/>
            <w:webHidden/>
          </w:rPr>
          <w:fldChar w:fldCharType="begin"/>
        </w:r>
        <w:r w:rsidR="00334941">
          <w:rPr>
            <w:noProof/>
            <w:webHidden/>
          </w:rPr>
          <w:instrText xml:space="preserve"> PAGEREF _Toc93511486 \h </w:instrText>
        </w:r>
        <w:r w:rsidR="00334941">
          <w:rPr>
            <w:noProof/>
            <w:webHidden/>
          </w:rPr>
        </w:r>
        <w:r w:rsidR="00334941">
          <w:rPr>
            <w:noProof/>
            <w:webHidden/>
          </w:rPr>
          <w:fldChar w:fldCharType="separate"/>
        </w:r>
        <w:r w:rsidR="00334941">
          <w:rPr>
            <w:noProof/>
            <w:webHidden/>
          </w:rPr>
          <w:t>58</w:t>
        </w:r>
        <w:r w:rsidR="00334941">
          <w:rPr>
            <w:noProof/>
            <w:webHidden/>
          </w:rPr>
          <w:fldChar w:fldCharType="end"/>
        </w:r>
      </w:hyperlink>
    </w:p>
    <w:p w14:paraId="1045DBA8"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7" w:history="1">
        <w:r w:rsidR="00334941" w:rsidRPr="00307977">
          <w:rPr>
            <w:rStyle w:val="Hyperlink"/>
            <w:noProof/>
          </w:rPr>
          <w:t>Annex 4: Analytical methods</w:t>
        </w:r>
        <w:r w:rsidR="00334941">
          <w:rPr>
            <w:noProof/>
            <w:webHidden/>
          </w:rPr>
          <w:tab/>
        </w:r>
        <w:r w:rsidR="00334941">
          <w:rPr>
            <w:noProof/>
            <w:webHidden/>
          </w:rPr>
          <w:fldChar w:fldCharType="begin"/>
        </w:r>
        <w:r w:rsidR="00334941">
          <w:rPr>
            <w:noProof/>
            <w:webHidden/>
          </w:rPr>
          <w:instrText xml:space="preserve"> PAGEREF _Toc93511487 \h </w:instrText>
        </w:r>
        <w:r w:rsidR="00334941">
          <w:rPr>
            <w:noProof/>
            <w:webHidden/>
          </w:rPr>
        </w:r>
        <w:r w:rsidR="00334941">
          <w:rPr>
            <w:noProof/>
            <w:webHidden/>
          </w:rPr>
          <w:fldChar w:fldCharType="separate"/>
        </w:r>
        <w:r w:rsidR="00334941">
          <w:rPr>
            <w:noProof/>
            <w:webHidden/>
          </w:rPr>
          <w:t>62</w:t>
        </w:r>
        <w:r w:rsidR="00334941">
          <w:rPr>
            <w:noProof/>
            <w:webHidden/>
          </w:rPr>
          <w:fldChar w:fldCharType="end"/>
        </w:r>
      </w:hyperlink>
    </w:p>
    <w:p w14:paraId="63086A69"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8" w:history="1">
        <w:r w:rsidR="00334941" w:rsidRPr="00307977">
          <w:rPr>
            <w:rStyle w:val="Hyperlink"/>
            <w:noProof/>
          </w:rPr>
          <w:t>Annex 5: Detailed information on halon banks</w:t>
        </w:r>
        <w:r w:rsidR="00334941">
          <w:rPr>
            <w:noProof/>
            <w:webHidden/>
          </w:rPr>
          <w:tab/>
        </w:r>
        <w:r w:rsidR="00334941">
          <w:rPr>
            <w:noProof/>
            <w:webHidden/>
          </w:rPr>
          <w:fldChar w:fldCharType="begin"/>
        </w:r>
        <w:r w:rsidR="00334941">
          <w:rPr>
            <w:noProof/>
            <w:webHidden/>
          </w:rPr>
          <w:instrText xml:space="preserve"> PAGEREF _Toc93511488 \h </w:instrText>
        </w:r>
        <w:r w:rsidR="00334941">
          <w:rPr>
            <w:noProof/>
            <w:webHidden/>
          </w:rPr>
        </w:r>
        <w:r w:rsidR="00334941">
          <w:rPr>
            <w:noProof/>
            <w:webHidden/>
          </w:rPr>
          <w:fldChar w:fldCharType="separate"/>
        </w:r>
        <w:r w:rsidR="00334941">
          <w:rPr>
            <w:noProof/>
            <w:webHidden/>
          </w:rPr>
          <w:t>81</w:t>
        </w:r>
        <w:r w:rsidR="00334941">
          <w:rPr>
            <w:noProof/>
            <w:webHidden/>
          </w:rPr>
          <w:fldChar w:fldCharType="end"/>
        </w:r>
      </w:hyperlink>
    </w:p>
    <w:p w14:paraId="54E728B1"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89" w:history="1">
        <w:r w:rsidR="00334941" w:rsidRPr="00307977">
          <w:rPr>
            <w:rStyle w:val="Hyperlink"/>
            <w:noProof/>
          </w:rPr>
          <w:t>Annex 6: Detailed information on foams recovery</w:t>
        </w:r>
        <w:r w:rsidR="00334941">
          <w:rPr>
            <w:noProof/>
            <w:webHidden/>
          </w:rPr>
          <w:tab/>
        </w:r>
        <w:r w:rsidR="00334941">
          <w:rPr>
            <w:noProof/>
            <w:webHidden/>
          </w:rPr>
          <w:fldChar w:fldCharType="begin"/>
        </w:r>
        <w:r w:rsidR="00334941">
          <w:rPr>
            <w:noProof/>
            <w:webHidden/>
          </w:rPr>
          <w:instrText xml:space="preserve"> PAGEREF _Toc93511489 \h </w:instrText>
        </w:r>
        <w:r w:rsidR="00334941">
          <w:rPr>
            <w:noProof/>
            <w:webHidden/>
          </w:rPr>
        </w:r>
        <w:r w:rsidR="00334941">
          <w:rPr>
            <w:noProof/>
            <w:webHidden/>
          </w:rPr>
          <w:fldChar w:fldCharType="separate"/>
        </w:r>
        <w:r w:rsidR="00334941">
          <w:rPr>
            <w:noProof/>
            <w:webHidden/>
          </w:rPr>
          <w:t>84</w:t>
        </w:r>
        <w:r w:rsidR="00334941">
          <w:rPr>
            <w:noProof/>
            <w:webHidden/>
          </w:rPr>
          <w:fldChar w:fldCharType="end"/>
        </w:r>
      </w:hyperlink>
    </w:p>
    <w:p w14:paraId="4310F361"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90" w:history="1">
        <w:r w:rsidR="00334941" w:rsidRPr="00307977">
          <w:rPr>
            <w:rStyle w:val="Hyperlink"/>
            <w:noProof/>
          </w:rPr>
          <w:t>Annex 7: List of clarifications needed in Regulation</w:t>
        </w:r>
        <w:r w:rsidR="00334941">
          <w:rPr>
            <w:noProof/>
            <w:webHidden/>
          </w:rPr>
          <w:tab/>
        </w:r>
        <w:r w:rsidR="00334941">
          <w:rPr>
            <w:noProof/>
            <w:webHidden/>
          </w:rPr>
          <w:fldChar w:fldCharType="begin"/>
        </w:r>
        <w:r w:rsidR="00334941">
          <w:rPr>
            <w:noProof/>
            <w:webHidden/>
          </w:rPr>
          <w:instrText xml:space="preserve"> PAGEREF _Toc93511490 \h </w:instrText>
        </w:r>
        <w:r w:rsidR="00334941">
          <w:rPr>
            <w:noProof/>
            <w:webHidden/>
          </w:rPr>
        </w:r>
        <w:r w:rsidR="00334941">
          <w:rPr>
            <w:noProof/>
            <w:webHidden/>
          </w:rPr>
          <w:fldChar w:fldCharType="separate"/>
        </w:r>
        <w:r w:rsidR="00334941">
          <w:rPr>
            <w:noProof/>
            <w:webHidden/>
          </w:rPr>
          <w:t>95</w:t>
        </w:r>
        <w:r w:rsidR="00334941">
          <w:rPr>
            <w:noProof/>
            <w:webHidden/>
          </w:rPr>
          <w:fldChar w:fldCharType="end"/>
        </w:r>
      </w:hyperlink>
    </w:p>
    <w:p w14:paraId="7C55AB59"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91" w:history="1">
        <w:r w:rsidR="00334941" w:rsidRPr="00307977">
          <w:rPr>
            <w:rStyle w:val="Hyperlink"/>
            <w:noProof/>
          </w:rPr>
          <w:t>Annex 8: Measures and Intervention logic of Regulation (EC) No 1005/2009</w:t>
        </w:r>
        <w:r w:rsidR="00334941">
          <w:rPr>
            <w:noProof/>
            <w:webHidden/>
          </w:rPr>
          <w:tab/>
        </w:r>
        <w:r w:rsidR="00334941">
          <w:rPr>
            <w:noProof/>
            <w:webHidden/>
          </w:rPr>
          <w:fldChar w:fldCharType="begin"/>
        </w:r>
        <w:r w:rsidR="00334941">
          <w:rPr>
            <w:noProof/>
            <w:webHidden/>
          </w:rPr>
          <w:instrText xml:space="preserve"> PAGEREF _Toc93511491 \h </w:instrText>
        </w:r>
        <w:r w:rsidR="00334941">
          <w:rPr>
            <w:noProof/>
            <w:webHidden/>
          </w:rPr>
        </w:r>
        <w:r w:rsidR="00334941">
          <w:rPr>
            <w:noProof/>
            <w:webHidden/>
          </w:rPr>
          <w:fldChar w:fldCharType="separate"/>
        </w:r>
        <w:r w:rsidR="00334941">
          <w:rPr>
            <w:noProof/>
            <w:webHidden/>
          </w:rPr>
          <w:t>96</w:t>
        </w:r>
        <w:r w:rsidR="00334941">
          <w:rPr>
            <w:noProof/>
            <w:webHidden/>
          </w:rPr>
          <w:fldChar w:fldCharType="end"/>
        </w:r>
      </w:hyperlink>
    </w:p>
    <w:p w14:paraId="7D9B70BC"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92" w:history="1">
        <w:r w:rsidR="00334941" w:rsidRPr="00307977">
          <w:rPr>
            <w:rStyle w:val="Hyperlink"/>
            <w:noProof/>
          </w:rPr>
          <w:t>Annex 9: List of discarded options</w:t>
        </w:r>
        <w:r w:rsidR="00334941">
          <w:rPr>
            <w:noProof/>
            <w:webHidden/>
          </w:rPr>
          <w:tab/>
        </w:r>
        <w:r w:rsidR="00334941">
          <w:rPr>
            <w:noProof/>
            <w:webHidden/>
          </w:rPr>
          <w:fldChar w:fldCharType="begin"/>
        </w:r>
        <w:r w:rsidR="00334941">
          <w:rPr>
            <w:noProof/>
            <w:webHidden/>
          </w:rPr>
          <w:instrText xml:space="preserve"> PAGEREF _Toc93511492 \h </w:instrText>
        </w:r>
        <w:r w:rsidR="00334941">
          <w:rPr>
            <w:noProof/>
            <w:webHidden/>
          </w:rPr>
        </w:r>
        <w:r w:rsidR="00334941">
          <w:rPr>
            <w:noProof/>
            <w:webHidden/>
          </w:rPr>
          <w:fldChar w:fldCharType="separate"/>
        </w:r>
        <w:r w:rsidR="00334941">
          <w:rPr>
            <w:noProof/>
            <w:webHidden/>
          </w:rPr>
          <w:t>1</w:t>
        </w:r>
        <w:r w:rsidR="00334941">
          <w:rPr>
            <w:noProof/>
            <w:webHidden/>
          </w:rPr>
          <w:fldChar w:fldCharType="end"/>
        </w:r>
      </w:hyperlink>
    </w:p>
    <w:p w14:paraId="4F40E2CB" w14:textId="77777777" w:rsidR="00334941" w:rsidRDefault="00C105BC">
      <w:pPr>
        <w:pStyle w:val="TOC1"/>
        <w:rPr>
          <w:rFonts w:asciiTheme="minorHAnsi" w:eastAsiaTheme="minorEastAsia" w:hAnsiTheme="minorHAnsi" w:cstheme="minorBidi"/>
          <w:caps w:val="0"/>
          <w:noProof/>
          <w:sz w:val="22"/>
          <w:szCs w:val="22"/>
          <w:lang w:eastAsia="en-GB"/>
        </w:rPr>
      </w:pPr>
      <w:hyperlink w:anchor="_Toc93511493" w:history="1">
        <w:r w:rsidR="00334941" w:rsidRPr="00307977">
          <w:rPr>
            <w:rStyle w:val="Hyperlink"/>
            <w:noProof/>
          </w:rPr>
          <w:t>Annex 10: Visual aid showing the links between the problems identified, relevant drivers and individual measures to address the problems</w:t>
        </w:r>
        <w:r w:rsidR="00334941">
          <w:rPr>
            <w:noProof/>
            <w:webHidden/>
          </w:rPr>
          <w:tab/>
        </w:r>
        <w:r w:rsidR="00334941">
          <w:rPr>
            <w:noProof/>
            <w:webHidden/>
          </w:rPr>
          <w:fldChar w:fldCharType="begin"/>
        </w:r>
        <w:r w:rsidR="00334941">
          <w:rPr>
            <w:noProof/>
            <w:webHidden/>
          </w:rPr>
          <w:instrText xml:space="preserve"> PAGEREF _Toc93511493 \h </w:instrText>
        </w:r>
        <w:r w:rsidR="00334941">
          <w:rPr>
            <w:noProof/>
            <w:webHidden/>
          </w:rPr>
        </w:r>
        <w:r w:rsidR="00334941">
          <w:rPr>
            <w:noProof/>
            <w:webHidden/>
          </w:rPr>
          <w:fldChar w:fldCharType="separate"/>
        </w:r>
        <w:r w:rsidR="00334941">
          <w:rPr>
            <w:noProof/>
            <w:webHidden/>
          </w:rPr>
          <w:t>5</w:t>
        </w:r>
        <w:r w:rsidR="00334941">
          <w:rPr>
            <w:noProof/>
            <w:webHidden/>
          </w:rPr>
          <w:fldChar w:fldCharType="end"/>
        </w:r>
      </w:hyperlink>
    </w:p>
    <w:p w14:paraId="07496163" w14:textId="77777777" w:rsidR="006B087E" w:rsidRDefault="00501849" w:rsidP="006B087E">
      <w:pPr>
        <w:rPr>
          <w:b/>
          <w:noProof/>
          <w:sz w:val="28"/>
          <w:szCs w:val="28"/>
        </w:rPr>
      </w:pPr>
      <w:r>
        <w:rPr>
          <w:rFonts w:ascii="Times New Roman" w:eastAsia="Times New Roman" w:hAnsi="Times New Roman" w:cs="Times New Roman"/>
          <w:caps/>
          <w:noProof/>
          <w:sz w:val="20"/>
          <w:szCs w:val="20"/>
        </w:rPr>
        <w:fldChar w:fldCharType="end"/>
      </w:r>
    </w:p>
    <w:p w14:paraId="2529CC10" w14:textId="77777777" w:rsidR="00522B82" w:rsidRDefault="00522B82">
      <w:pPr>
        <w:rPr>
          <w:b/>
          <w:noProof/>
          <w:sz w:val="28"/>
          <w:szCs w:val="28"/>
        </w:rPr>
      </w:pPr>
      <w:r>
        <w:rPr>
          <w:b/>
          <w:noProof/>
          <w:sz w:val="28"/>
          <w:szCs w:val="28"/>
        </w:rPr>
        <w:br w:type="page"/>
      </w:r>
    </w:p>
    <w:p w14:paraId="4F864506" w14:textId="77777777" w:rsidR="006B087E" w:rsidRPr="00C83358" w:rsidRDefault="006B087E" w:rsidP="006B087E">
      <w:pPr>
        <w:jc w:val="center"/>
        <w:rPr>
          <w:b/>
          <w:noProof/>
          <w:sz w:val="28"/>
          <w:szCs w:val="28"/>
        </w:rPr>
      </w:pPr>
      <w:r w:rsidRPr="00C83358">
        <w:rPr>
          <w:b/>
          <w:noProof/>
          <w:sz w:val="28"/>
          <w:szCs w:val="28"/>
        </w:rPr>
        <w:t>Glossary</w:t>
      </w:r>
    </w:p>
    <w:tbl>
      <w:tblPr>
        <w:tblStyle w:val="TableGrid"/>
        <w:tblW w:w="9606" w:type="dxa"/>
        <w:tblLook w:val="04A0" w:firstRow="1" w:lastRow="0" w:firstColumn="1" w:lastColumn="0" w:noHBand="0" w:noVBand="1"/>
      </w:tblPr>
      <w:tblGrid>
        <w:gridCol w:w="3227"/>
        <w:gridCol w:w="6379"/>
      </w:tblGrid>
      <w:tr w:rsidR="006B087E" w14:paraId="5605E0B3" w14:textId="77777777" w:rsidTr="00B01A7B">
        <w:tc>
          <w:tcPr>
            <w:tcW w:w="3227" w:type="dxa"/>
            <w:tcBorders>
              <w:bottom w:val="double" w:sz="4" w:space="0" w:color="auto"/>
            </w:tcBorders>
            <w:shd w:val="clear" w:color="auto" w:fill="F2F2F2" w:themeFill="background1" w:themeFillShade="F2"/>
          </w:tcPr>
          <w:p w14:paraId="6D12CE65" w14:textId="77777777" w:rsidR="006B087E" w:rsidRPr="001548C7" w:rsidRDefault="006B087E" w:rsidP="00C83358">
            <w:pPr>
              <w:spacing w:before="120" w:after="120"/>
              <w:jc w:val="center"/>
              <w:rPr>
                <w:b/>
                <w:i/>
                <w:noProof/>
              </w:rPr>
            </w:pPr>
            <w:r w:rsidRPr="00C83358">
              <w:rPr>
                <w:b/>
                <w:i/>
                <w:noProof/>
              </w:rPr>
              <w:t>Term or acronym</w:t>
            </w:r>
          </w:p>
        </w:tc>
        <w:tc>
          <w:tcPr>
            <w:tcW w:w="6379" w:type="dxa"/>
            <w:tcBorders>
              <w:bottom w:val="double" w:sz="4" w:space="0" w:color="auto"/>
            </w:tcBorders>
            <w:shd w:val="clear" w:color="auto" w:fill="F2F2F2" w:themeFill="background1" w:themeFillShade="F2"/>
          </w:tcPr>
          <w:p w14:paraId="0584E305" w14:textId="77777777" w:rsidR="006B087E" w:rsidRPr="001548C7" w:rsidRDefault="006B087E">
            <w:pPr>
              <w:spacing w:before="120" w:after="120"/>
              <w:jc w:val="center"/>
              <w:rPr>
                <w:b/>
                <w:i/>
                <w:noProof/>
              </w:rPr>
            </w:pPr>
            <w:r w:rsidRPr="0B986999">
              <w:rPr>
                <w:b/>
                <w:i/>
                <w:noProof/>
              </w:rPr>
              <w:t>Meaning or definition</w:t>
            </w:r>
          </w:p>
        </w:tc>
      </w:tr>
      <w:tr w:rsidR="00A1718E" w14:paraId="1CFE4D1D"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A8A2179" w14:textId="77777777" w:rsidR="00A1718E" w:rsidRPr="00A1718E" w:rsidRDefault="00A1718E" w:rsidP="007B1431">
            <w:pPr>
              <w:rPr>
                <w:rFonts w:ascii="Calibri" w:hAnsi="Calibri" w:cs="Calibri"/>
                <w:noProof/>
                <w:color w:val="000000" w:themeColor="text1"/>
                <w:sz w:val="24"/>
                <w:szCs w:val="24"/>
              </w:rPr>
            </w:pPr>
            <w:r w:rsidRPr="00A1718E">
              <w:rPr>
                <w:rFonts w:ascii="Calibri" w:hAnsi="Calibri" w:cs="Calibri"/>
                <w:noProof/>
                <w:color w:val="000000" w:themeColor="text1"/>
                <w:sz w:val="24"/>
                <w:szCs w:val="24"/>
              </w:rPr>
              <w:t>2-BTP</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032EEC1" w14:textId="77777777" w:rsidR="00A1718E" w:rsidRPr="00942B85" w:rsidRDefault="00A1718E" w:rsidP="007B1431">
            <w:pPr>
              <w:rPr>
                <w:rFonts w:ascii="Calibri" w:hAnsi="Calibri" w:cs="Calibri"/>
                <w:noProof/>
                <w:color w:val="000000" w:themeColor="text1"/>
                <w:sz w:val="22"/>
                <w:szCs w:val="22"/>
              </w:rPr>
            </w:pPr>
            <w:r w:rsidRPr="00942B85">
              <w:rPr>
                <w:rFonts w:ascii="Calibri" w:hAnsi="Calibri" w:cs="Calibri"/>
                <w:noProof/>
                <w:color w:val="000000" w:themeColor="text1"/>
                <w:sz w:val="22"/>
                <w:szCs w:val="22"/>
              </w:rPr>
              <w:t>2-bromo-3,3,3-trifluoroprop-1-ene (C3H2F3Br);  a halon replacement in fire</w:t>
            </w:r>
            <w:r w:rsidR="00013484" w:rsidRPr="00942B85">
              <w:rPr>
                <w:rFonts w:ascii="Calibri" w:hAnsi="Calibri" w:cs="Calibri"/>
                <w:noProof/>
                <w:color w:val="000000" w:themeColor="text1"/>
                <w:sz w:val="22"/>
                <w:szCs w:val="22"/>
              </w:rPr>
              <w:t>-</w:t>
            </w:r>
            <w:r w:rsidRPr="00942B85">
              <w:rPr>
                <w:rFonts w:ascii="Calibri" w:hAnsi="Calibri" w:cs="Calibri"/>
                <w:noProof/>
                <w:color w:val="000000" w:themeColor="text1"/>
                <w:sz w:val="22"/>
                <w:szCs w:val="22"/>
              </w:rPr>
              <w:t>fighting equipment</w:t>
            </w:r>
          </w:p>
        </w:tc>
      </w:tr>
      <w:tr w:rsidR="007B1431" w14:paraId="535AC5CC"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2E113B2" w14:textId="77777777" w:rsidR="007B1431" w:rsidRDefault="007B1431" w:rsidP="007B1431">
            <w:pPr>
              <w:rPr>
                <w:noProof/>
              </w:rPr>
            </w:pPr>
            <w:r w:rsidRPr="67E52342">
              <w:rPr>
                <w:rFonts w:ascii="Calibri" w:hAnsi="Calibri" w:cs="Calibri"/>
                <w:noProof/>
                <w:color w:val="000000" w:themeColor="text1"/>
                <w:sz w:val="22"/>
                <w:szCs w:val="22"/>
              </w:rPr>
              <w:t>Bank(s)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FBD7C69" w14:textId="77777777" w:rsidR="007B1431" w:rsidRDefault="007B1431" w:rsidP="00013484">
            <w:pPr>
              <w:rPr>
                <w:noProof/>
              </w:rPr>
            </w:pPr>
            <w:r w:rsidRPr="67E52342">
              <w:rPr>
                <w:rFonts w:ascii="Calibri" w:hAnsi="Calibri" w:cs="Calibri"/>
                <w:noProof/>
                <w:color w:val="000000" w:themeColor="text1"/>
                <w:sz w:val="22"/>
                <w:szCs w:val="22"/>
              </w:rPr>
              <w:t xml:space="preserve">The amount of </w:t>
            </w:r>
            <w:r w:rsidR="00013484">
              <w:rPr>
                <w:rFonts w:ascii="Calibri" w:hAnsi="Calibri" w:cs="Calibri"/>
                <w:noProof/>
                <w:color w:val="000000" w:themeColor="text1"/>
                <w:sz w:val="22"/>
                <w:szCs w:val="22"/>
              </w:rPr>
              <w:t>o</w:t>
            </w:r>
            <w:r w:rsidRPr="67E52342">
              <w:rPr>
                <w:rFonts w:ascii="Calibri" w:hAnsi="Calibri" w:cs="Calibri"/>
                <w:noProof/>
                <w:color w:val="000000" w:themeColor="text1"/>
                <w:sz w:val="22"/>
                <w:szCs w:val="22"/>
              </w:rPr>
              <w:t>zone-</w:t>
            </w:r>
            <w:r w:rsidR="00013484">
              <w:rPr>
                <w:rFonts w:ascii="Calibri" w:hAnsi="Calibri" w:cs="Calibri"/>
                <w:noProof/>
                <w:color w:val="000000" w:themeColor="text1"/>
                <w:sz w:val="22"/>
                <w:szCs w:val="22"/>
              </w:rPr>
              <w:t>d</w:t>
            </w:r>
            <w:r w:rsidRPr="67E52342">
              <w:rPr>
                <w:rFonts w:ascii="Calibri" w:hAnsi="Calibri" w:cs="Calibri"/>
                <w:noProof/>
                <w:color w:val="000000" w:themeColor="text1"/>
                <w:sz w:val="22"/>
                <w:szCs w:val="22"/>
              </w:rPr>
              <w:t xml:space="preserve">epleting </w:t>
            </w:r>
            <w:r w:rsidR="00013484">
              <w:rPr>
                <w:rFonts w:ascii="Calibri" w:hAnsi="Calibri" w:cs="Calibri"/>
                <w:noProof/>
                <w:color w:val="000000" w:themeColor="text1"/>
                <w:sz w:val="22"/>
                <w:szCs w:val="22"/>
              </w:rPr>
              <w:t>s</w:t>
            </w:r>
            <w:r w:rsidRPr="67E52342">
              <w:rPr>
                <w:rFonts w:ascii="Calibri" w:hAnsi="Calibri" w:cs="Calibri"/>
                <w:noProof/>
                <w:color w:val="000000" w:themeColor="text1"/>
                <w:sz w:val="22"/>
                <w:szCs w:val="22"/>
              </w:rPr>
              <w:t>ubstances (ODS) contained in existing equipment (e.g. refrigerators, foams, fire equipment), chemical stockpiles and other products, including after their end of useful lifeor recovered and stored ready for use</w:t>
            </w:r>
          </w:p>
        </w:tc>
      </w:tr>
      <w:tr w:rsidR="007B1431" w:rsidRPr="007B1431" w14:paraId="2EF77056"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C631479" w14:textId="77777777" w:rsidR="007B1431" w:rsidRPr="007D4CEE" w:rsidRDefault="007B1431" w:rsidP="007B1431">
            <w:pPr>
              <w:rPr>
                <w:noProof/>
              </w:rPr>
            </w:pPr>
            <w:r w:rsidRPr="67E52342">
              <w:rPr>
                <w:rFonts w:ascii="Calibri" w:hAnsi="Calibri" w:cs="Calibri"/>
                <w:noProof/>
                <w:color w:val="000000" w:themeColor="text1"/>
                <w:sz w:val="22"/>
                <w:szCs w:val="22"/>
              </w:rPr>
              <w:t>BAT</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0155F57" w14:textId="77777777" w:rsidR="007B1431" w:rsidRPr="007D4CEE" w:rsidRDefault="007B1431" w:rsidP="007B1431">
            <w:pPr>
              <w:rPr>
                <w:noProof/>
              </w:rPr>
            </w:pPr>
            <w:r w:rsidRPr="67E52342">
              <w:rPr>
                <w:rFonts w:ascii="Calibri" w:hAnsi="Calibri" w:cs="Calibri"/>
                <w:noProof/>
                <w:color w:val="000000" w:themeColor="text1"/>
                <w:sz w:val="22"/>
                <w:szCs w:val="22"/>
              </w:rPr>
              <w:t xml:space="preserve">Best Available Technique (as relevant to </w:t>
            </w:r>
            <w:r w:rsidR="00013484">
              <w:rPr>
                <w:rFonts w:ascii="Calibri" w:hAnsi="Calibri" w:cs="Calibri"/>
                <w:noProof/>
                <w:color w:val="000000" w:themeColor="text1"/>
                <w:sz w:val="22"/>
                <w:szCs w:val="22"/>
              </w:rPr>
              <w:t xml:space="preserve">the </w:t>
            </w:r>
            <w:r w:rsidRPr="67E52342">
              <w:rPr>
                <w:rFonts w:ascii="Calibri" w:hAnsi="Calibri" w:cs="Calibri"/>
                <w:noProof/>
                <w:color w:val="000000" w:themeColor="text1"/>
                <w:sz w:val="22"/>
                <w:szCs w:val="22"/>
              </w:rPr>
              <w:t>Industrial Emissions Directive)</w:t>
            </w:r>
          </w:p>
        </w:tc>
      </w:tr>
      <w:tr w:rsidR="00A14107" w:rsidRPr="007B1431" w14:paraId="045AA699"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59D6403" w14:textId="77777777" w:rsidR="00A14107" w:rsidRPr="67E52342" w:rsidRDefault="00A14107" w:rsidP="00A14107">
            <w:pPr>
              <w:rPr>
                <w:rFonts w:ascii="Calibri" w:hAnsi="Calibri" w:cs="Calibri"/>
                <w:noProof/>
                <w:color w:val="000000" w:themeColor="text1"/>
              </w:rPr>
            </w:pPr>
            <w:r>
              <w:rPr>
                <w:rFonts w:ascii="Calibri" w:hAnsi="Calibri" w:cs="Calibri"/>
                <w:noProof/>
                <w:color w:val="000000" w:themeColor="text1"/>
              </w:rPr>
              <w:t>CERTEX</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212BFF3" w14:textId="77777777" w:rsidR="00A14107" w:rsidRPr="67E52342" w:rsidRDefault="00A14107" w:rsidP="00A14107">
            <w:pPr>
              <w:rPr>
                <w:rFonts w:ascii="Calibri" w:hAnsi="Calibri" w:cs="Calibri"/>
                <w:noProof/>
                <w:color w:val="000000" w:themeColor="text1"/>
              </w:rPr>
            </w:pPr>
            <w:r w:rsidRPr="004907B7">
              <w:rPr>
                <w:rFonts w:ascii="Calibri" w:hAnsi="Calibri" w:cs="Calibri"/>
                <w:noProof/>
                <w:color w:val="000000" w:themeColor="text1"/>
                <w:sz w:val="22"/>
                <w:szCs w:val="22"/>
              </w:rPr>
              <w:t xml:space="preserve">IT system that allows to exchange data (“certificates”) on relevant ODS shipments between the central EU ODS licensing system and custom offices in the Member States directly; IT precursor of the European Single Window Environment for Customs </w:t>
            </w:r>
          </w:p>
        </w:tc>
      </w:tr>
      <w:tr w:rsidR="00A14107" w:rsidRPr="007B1431" w14:paraId="4D25BDC4"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4B5DC7A" w14:textId="77777777" w:rsidR="00A14107" w:rsidRPr="67E52342" w:rsidRDefault="00A14107" w:rsidP="00A14107">
            <w:pPr>
              <w:rPr>
                <w:rFonts w:ascii="Calibri" w:hAnsi="Calibri" w:cs="Calibri"/>
                <w:noProof/>
                <w:color w:val="000000" w:themeColor="text1"/>
              </w:rPr>
            </w:pPr>
            <w:r>
              <w:rPr>
                <w:rFonts w:ascii="Calibri" w:hAnsi="Calibri" w:cs="Calibri"/>
                <w:noProof/>
                <w:color w:val="000000" w:themeColor="text1"/>
              </w:rPr>
              <w:t>CDW</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FD80431" w14:textId="77777777" w:rsidR="00A14107" w:rsidRPr="67E52342" w:rsidRDefault="00A14107" w:rsidP="00A14107">
            <w:pPr>
              <w:rPr>
                <w:rFonts w:ascii="Calibri" w:hAnsi="Calibri" w:cs="Calibri"/>
                <w:noProof/>
                <w:color w:val="000000" w:themeColor="text1"/>
              </w:rPr>
            </w:pPr>
            <w:r w:rsidRPr="004907B7">
              <w:rPr>
                <w:rFonts w:ascii="Calibri" w:hAnsi="Calibri" w:cs="Calibri"/>
                <w:noProof/>
                <w:color w:val="000000" w:themeColor="text1"/>
                <w:sz w:val="22"/>
                <w:szCs w:val="22"/>
              </w:rPr>
              <w:t>Construction and demolition wastes</w:t>
            </w:r>
          </w:p>
        </w:tc>
      </w:tr>
      <w:tr w:rsidR="00A14107" w:rsidRPr="007B1431" w14:paraId="0BC0E2FD"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BEDECAF" w14:textId="77777777" w:rsidR="00A14107" w:rsidRPr="007D4CEE" w:rsidRDefault="00A14107" w:rsidP="00A14107">
            <w:pPr>
              <w:rPr>
                <w:noProof/>
              </w:rPr>
            </w:pPr>
            <w:r w:rsidRPr="67E52342">
              <w:rPr>
                <w:rFonts w:ascii="Calibri" w:hAnsi="Calibri" w:cs="Calibri"/>
                <w:noProof/>
                <w:color w:val="000000" w:themeColor="text1"/>
                <w:sz w:val="22"/>
                <w:szCs w:val="22"/>
              </w:rPr>
              <w:t>CFCs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19DBF4E" w14:textId="77777777" w:rsidR="00A14107" w:rsidRPr="007D4CEE" w:rsidRDefault="00A14107" w:rsidP="00A14107">
            <w:pPr>
              <w:rPr>
                <w:noProof/>
              </w:rPr>
            </w:pPr>
            <w:r w:rsidRPr="67E52342">
              <w:rPr>
                <w:rFonts w:ascii="Calibri" w:hAnsi="Calibri" w:cs="Calibri"/>
                <w:noProof/>
                <w:color w:val="000000" w:themeColor="text1"/>
                <w:sz w:val="22"/>
                <w:szCs w:val="22"/>
              </w:rPr>
              <w:t>Chlorofluorocarbons. Group of ODS consisting only of chlorine, fluorine, and carbon. First generation of ozone-depleting substances banned by the Montreal Protocol. CFCs were commonly used as refrigerants, solvents, and foam blowing agents</w:t>
            </w:r>
          </w:p>
        </w:tc>
      </w:tr>
      <w:tr w:rsidR="00A14107" w:rsidRPr="007B1431" w14:paraId="21C969E8"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01D0BA9D" w14:textId="77777777" w:rsidR="00A14107" w:rsidRPr="005522F3" w:rsidRDefault="00A14107" w:rsidP="00A14107">
            <w:pPr>
              <w:rPr>
                <w:rFonts w:ascii="Calibri" w:hAnsi="Calibri" w:cs="Calibri"/>
                <w:noProof/>
                <w:color w:val="000000" w:themeColor="text1"/>
                <w:sz w:val="22"/>
                <w:szCs w:val="22"/>
              </w:rPr>
            </w:pPr>
            <w:r w:rsidRPr="005522F3">
              <w:rPr>
                <w:rFonts w:ascii="Calibri" w:hAnsi="Calibri" w:cs="Calibri"/>
                <w:noProof/>
                <w:color w:val="000000" w:themeColor="text1"/>
                <w:sz w:val="22"/>
                <w:szCs w:val="22"/>
              </w:rPr>
              <w:t>CF3I</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F93BD13" w14:textId="77777777" w:rsidR="00A14107" w:rsidRPr="005522F3" w:rsidRDefault="00A14107" w:rsidP="00013484">
            <w:pPr>
              <w:rPr>
                <w:rFonts w:ascii="Calibri" w:hAnsi="Calibri" w:cs="Calibri"/>
                <w:noProof/>
                <w:color w:val="000000" w:themeColor="text1"/>
                <w:sz w:val="22"/>
                <w:szCs w:val="22"/>
              </w:rPr>
            </w:pPr>
            <w:r w:rsidRPr="005522F3">
              <w:rPr>
                <w:rFonts w:ascii="Calibri" w:hAnsi="Calibri" w:cs="Calibri"/>
                <w:noProof/>
                <w:color w:val="000000" w:themeColor="text1"/>
                <w:sz w:val="22"/>
                <w:szCs w:val="22"/>
              </w:rPr>
              <w:t>Trifluoroiodomethane</w:t>
            </w:r>
            <w:r w:rsidR="00013484" w:rsidRPr="005522F3">
              <w:rPr>
                <w:rFonts w:ascii="Calibri" w:hAnsi="Calibri" w:cs="Calibri"/>
                <w:noProof/>
                <w:color w:val="000000" w:themeColor="text1"/>
                <w:sz w:val="22"/>
                <w:szCs w:val="22"/>
              </w:rPr>
              <w:t>:</w:t>
            </w:r>
            <w:r w:rsidRPr="005522F3">
              <w:rPr>
                <w:rFonts w:ascii="Calibri" w:hAnsi="Calibri" w:cs="Calibri"/>
                <w:noProof/>
                <w:color w:val="000000" w:themeColor="text1"/>
                <w:sz w:val="22"/>
                <w:szCs w:val="22"/>
              </w:rPr>
              <w:t xml:space="preserve"> an ODS listed in Annex II</w:t>
            </w:r>
          </w:p>
        </w:tc>
      </w:tr>
      <w:tr w:rsidR="00A14107" w:rsidRPr="007B1431" w14:paraId="022AA912"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6F0B841" w14:textId="77777777" w:rsidR="00A14107" w:rsidRPr="007D4CEE" w:rsidRDefault="00A14107" w:rsidP="00A14107">
            <w:pPr>
              <w:rPr>
                <w:noProof/>
              </w:rPr>
            </w:pPr>
            <w:r w:rsidRPr="67E52342">
              <w:rPr>
                <w:rFonts w:ascii="Calibri" w:hAnsi="Calibri" w:cs="Calibri"/>
                <w:noProof/>
                <w:color w:val="000000" w:themeColor="text1"/>
                <w:sz w:val="22"/>
                <w:szCs w:val="22"/>
              </w:rPr>
              <w:t>CO</w:t>
            </w:r>
            <w:r w:rsidRPr="67E52342">
              <w:rPr>
                <w:rFonts w:ascii="Calibri" w:hAnsi="Calibri" w:cs="Calibri"/>
                <w:noProof/>
                <w:color w:val="000000" w:themeColor="text1"/>
                <w:sz w:val="22"/>
                <w:szCs w:val="22"/>
                <w:vertAlign w:val="subscript"/>
              </w:rPr>
              <w:t>2</w:t>
            </w:r>
            <w:r w:rsidRPr="67E52342">
              <w:rPr>
                <w:rFonts w:ascii="Calibri" w:hAnsi="Calibri" w:cs="Calibri"/>
                <w:noProof/>
                <w:color w:val="000000" w:themeColor="text1"/>
                <w:sz w:val="22"/>
                <w:szCs w:val="22"/>
              </w:rPr>
              <w:t>e(</w:t>
            </w:r>
            <w:r w:rsidR="00763089">
              <w:rPr>
                <w:rFonts w:ascii="Calibri" w:hAnsi="Calibri" w:cs="Calibri"/>
                <w:noProof/>
                <w:color w:val="000000" w:themeColor="text1"/>
                <w:sz w:val="22"/>
                <w:szCs w:val="22"/>
              </w:rPr>
              <w:t>e</w:t>
            </w:r>
            <w:r w:rsidRPr="67E52342">
              <w:rPr>
                <w:rFonts w:ascii="Calibri" w:hAnsi="Calibri" w:cs="Calibri"/>
                <w:noProof/>
                <w:color w:val="000000" w:themeColor="text1"/>
                <w:sz w:val="22"/>
                <w:szCs w:val="22"/>
              </w:rPr>
              <w:t>quivalent)</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BD980B0" w14:textId="77777777" w:rsidR="00A14107" w:rsidRPr="007D4CEE" w:rsidRDefault="00A14107" w:rsidP="00763089">
            <w:pPr>
              <w:rPr>
                <w:noProof/>
              </w:rPr>
            </w:pPr>
            <w:r w:rsidRPr="67E52342">
              <w:rPr>
                <w:rFonts w:ascii="Calibri" w:hAnsi="Calibri" w:cs="Calibri"/>
                <w:noProof/>
                <w:color w:val="000000" w:themeColor="text1"/>
                <w:sz w:val="22"/>
                <w:szCs w:val="22"/>
              </w:rPr>
              <w:t>The quantity of a gas in metric tonnes multiplied by its associated global warming potential (GWP). This is used to compare the emissions from various greenhouse gases based upon their global warming potential</w:t>
            </w:r>
          </w:p>
        </w:tc>
      </w:tr>
      <w:tr w:rsidR="00A14107" w:rsidRPr="007B1431" w14:paraId="55B18E46"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9A4D5CE" w14:textId="77777777" w:rsidR="00A14107" w:rsidRPr="00A15D39" w:rsidRDefault="00A14107" w:rsidP="00A14107">
            <w:pPr>
              <w:rPr>
                <w:noProof/>
              </w:rPr>
            </w:pPr>
            <w:r w:rsidRPr="00A15D39">
              <w:rPr>
                <w:rFonts w:ascii="Calibri" w:hAnsi="Calibri" w:cs="Calibri"/>
                <w:noProof/>
                <w:color w:val="000000" w:themeColor="text1"/>
                <w:sz w:val="22"/>
                <w:szCs w:val="22"/>
              </w:rPr>
              <w:t>Consumption</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3AB1782" w14:textId="77777777" w:rsidR="00A14107" w:rsidRPr="00A15D39" w:rsidRDefault="00A14107" w:rsidP="00A14107">
            <w:pPr>
              <w:rPr>
                <w:noProof/>
              </w:rPr>
            </w:pPr>
            <w:r w:rsidRPr="00A15D39">
              <w:rPr>
                <w:rFonts w:ascii="Calibri" w:hAnsi="Calibri" w:cs="Calibri"/>
                <w:noProof/>
                <w:color w:val="000000" w:themeColor="text1"/>
                <w:sz w:val="22"/>
                <w:szCs w:val="22"/>
              </w:rPr>
              <w:t xml:space="preserve">The quantity of ODS produced plus imported, minus </w:t>
            </w:r>
            <w:r w:rsidR="00763089">
              <w:rPr>
                <w:rFonts w:ascii="Calibri" w:hAnsi="Calibri" w:cs="Calibri"/>
                <w:noProof/>
                <w:color w:val="000000" w:themeColor="text1"/>
                <w:sz w:val="22"/>
                <w:szCs w:val="22"/>
              </w:rPr>
              <w:t xml:space="preserve">the quantity </w:t>
            </w:r>
            <w:r w:rsidRPr="00A15D39">
              <w:rPr>
                <w:rFonts w:ascii="Calibri" w:hAnsi="Calibri" w:cs="Calibri"/>
                <w:noProof/>
                <w:color w:val="000000" w:themeColor="text1"/>
                <w:sz w:val="22"/>
                <w:szCs w:val="22"/>
              </w:rPr>
              <w:t xml:space="preserve">exported minus </w:t>
            </w:r>
            <w:r w:rsidR="00763089">
              <w:rPr>
                <w:rFonts w:ascii="Calibri" w:hAnsi="Calibri" w:cs="Calibri"/>
                <w:noProof/>
                <w:color w:val="000000" w:themeColor="text1"/>
                <w:sz w:val="22"/>
                <w:szCs w:val="22"/>
              </w:rPr>
              <w:t xml:space="preserve">the quantity </w:t>
            </w:r>
            <w:r w:rsidRPr="00A15D39">
              <w:rPr>
                <w:rFonts w:ascii="Calibri" w:hAnsi="Calibri" w:cs="Calibri"/>
                <w:noProof/>
                <w:color w:val="000000" w:themeColor="text1"/>
                <w:sz w:val="22"/>
                <w:szCs w:val="22"/>
              </w:rPr>
              <w:t xml:space="preserve">destroyed. Calculation of consumption under the Montreal Protocol excludes non-virgin </w:t>
            </w:r>
            <w:r>
              <w:rPr>
                <w:rFonts w:ascii="Calibri" w:hAnsi="Calibri" w:cs="Calibri"/>
                <w:noProof/>
                <w:color w:val="000000" w:themeColor="text1"/>
                <w:sz w:val="22"/>
                <w:szCs w:val="22"/>
              </w:rPr>
              <w:t xml:space="preserve">bulk </w:t>
            </w:r>
            <w:r w:rsidRPr="00A15D39">
              <w:rPr>
                <w:rFonts w:ascii="Calibri" w:hAnsi="Calibri" w:cs="Calibri"/>
                <w:noProof/>
                <w:color w:val="000000" w:themeColor="text1"/>
                <w:sz w:val="22"/>
                <w:szCs w:val="22"/>
              </w:rPr>
              <w:t>imports and exports, as well as substances intended for feedstock and process agent use</w:t>
            </w:r>
          </w:p>
        </w:tc>
      </w:tr>
      <w:tr w:rsidR="00A14107" w:rsidRPr="007B1431" w14:paraId="6EC4A87B"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7ABE82D" w14:textId="77777777" w:rsidR="00A14107" w:rsidRPr="007D4CEE" w:rsidRDefault="00A14107" w:rsidP="00A14107">
            <w:pPr>
              <w:rPr>
                <w:noProof/>
              </w:rPr>
            </w:pPr>
            <w:r w:rsidRPr="67E52342">
              <w:rPr>
                <w:rFonts w:ascii="Calibri" w:hAnsi="Calibri" w:cs="Calibri"/>
                <w:noProof/>
                <w:color w:val="000000" w:themeColor="text1"/>
                <w:sz w:val="22"/>
                <w:szCs w:val="22"/>
              </w:rPr>
              <w:t>CTC</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8F6CA88" w14:textId="77777777" w:rsidR="00A14107" w:rsidRPr="007D4CEE" w:rsidRDefault="00A14107" w:rsidP="00A14107">
            <w:pPr>
              <w:rPr>
                <w:noProof/>
              </w:rPr>
            </w:pPr>
            <w:r w:rsidRPr="67E52342">
              <w:rPr>
                <w:rFonts w:ascii="Calibri" w:hAnsi="Calibri" w:cs="Calibri"/>
                <w:noProof/>
                <w:color w:val="000000" w:themeColor="text1"/>
                <w:sz w:val="22"/>
                <w:szCs w:val="22"/>
              </w:rPr>
              <w:t>Carbon tetrachloride, also called tetrachloromethane</w:t>
            </w:r>
            <w:r>
              <w:rPr>
                <w:rFonts w:ascii="Calibri" w:hAnsi="Calibri" w:cs="Calibri"/>
                <w:noProof/>
                <w:color w:val="000000" w:themeColor="text1"/>
                <w:sz w:val="22"/>
                <w:szCs w:val="22"/>
              </w:rPr>
              <w:t xml:space="preserve"> (CCl</w:t>
            </w:r>
            <w:r w:rsidRPr="00751603">
              <w:rPr>
                <w:rFonts w:ascii="Calibri" w:hAnsi="Calibri" w:cs="Calibri"/>
                <w:noProof/>
                <w:color w:val="000000" w:themeColor="text1"/>
                <w:sz w:val="22"/>
                <w:szCs w:val="22"/>
                <w:vertAlign w:val="subscript"/>
              </w:rPr>
              <w:t>4</w:t>
            </w:r>
            <w:r>
              <w:rPr>
                <w:rFonts w:ascii="Calibri" w:hAnsi="Calibri" w:cs="Calibri"/>
                <w:noProof/>
                <w:color w:val="000000" w:themeColor="text1"/>
                <w:sz w:val="22"/>
                <w:szCs w:val="22"/>
              </w:rPr>
              <w:t>);</w:t>
            </w:r>
            <w:r w:rsidRPr="67E52342">
              <w:rPr>
                <w:rFonts w:ascii="Calibri" w:hAnsi="Calibri" w:cs="Calibri"/>
                <w:noProof/>
                <w:color w:val="000000" w:themeColor="text1"/>
                <w:sz w:val="22"/>
                <w:szCs w:val="22"/>
              </w:rPr>
              <w:t xml:space="preserve"> commonly used as a raw material in many industrial uses, including the production of chlorofluorocarbons and as a solvent</w:t>
            </w:r>
          </w:p>
        </w:tc>
      </w:tr>
      <w:tr w:rsidR="00A14107" w:rsidRPr="007B1431" w14:paraId="18818440"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0980782A" w14:textId="77777777" w:rsidR="00A14107" w:rsidRPr="00A1718E" w:rsidRDefault="00A14107" w:rsidP="00A14107">
            <w:pPr>
              <w:rPr>
                <w:rFonts w:ascii="Calibri" w:hAnsi="Calibri" w:cs="Calibri"/>
                <w:noProof/>
                <w:color w:val="000000" w:themeColor="text1"/>
                <w:sz w:val="22"/>
                <w:szCs w:val="22"/>
              </w:rPr>
            </w:pPr>
            <w:r w:rsidRPr="00A1718E">
              <w:rPr>
                <w:rFonts w:ascii="Calibri" w:hAnsi="Calibri" w:cs="Calibri"/>
                <w:noProof/>
                <w:color w:val="000000" w:themeColor="text1"/>
                <w:sz w:val="22"/>
                <w:szCs w:val="22"/>
              </w:rPr>
              <w:t>DCM</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208E91F1" w14:textId="77777777" w:rsidR="00A14107" w:rsidRPr="00A1718E" w:rsidRDefault="00A14107" w:rsidP="00A14107">
            <w:pPr>
              <w:rPr>
                <w:rFonts w:ascii="Calibri" w:hAnsi="Calibri" w:cs="Calibri"/>
                <w:noProof/>
                <w:color w:val="000000" w:themeColor="text1"/>
                <w:sz w:val="22"/>
                <w:szCs w:val="22"/>
              </w:rPr>
            </w:pPr>
            <w:r w:rsidRPr="00A1718E">
              <w:rPr>
                <w:rFonts w:ascii="Calibri" w:hAnsi="Calibri" w:cs="Calibri"/>
                <w:noProof/>
                <w:color w:val="000000" w:themeColor="text1"/>
                <w:sz w:val="22"/>
                <w:szCs w:val="22"/>
              </w:rPr>
              <w:t xml:space="preserve">Dichloromethane, </w:t>
            </w:r>
            <w:r>
              <w:rPr>
                <w:rFonts w:ascii="Calibri" w:hAnsi="Calibri" w:cs="Calibri"/>
                <w:noProof/>
                <w:color w:val="000000" w:themeColor="text1"/>
                <w:sz w:val="22"/>
                <w:szCs w:val="22"/>
              </w:rPr>
              <w:t xml:space="preserve">also called </w:t>
            </w:r>
            <w:r w:rsidR="00763089">
              <w:rPr>
                <w:rFonts w:ascii="Calibri" w:hAnsi="Calibri" w:cs="Calibri"/>
                <w:noProof/>
                <w:color w:val="000000" w:themeColor="text1"/>
                <w:sz w:val="22"/>
                <w:szCs w:val="22"/>
              </w:rPr>
              <w:t>m</w:t>
            </w:r>
            <w:r>
              <w:rPr>
                <w:rFonts w:ascii="Calibri" w:hAnsi="Calibri" w:cs="Calibri"/>
                <w:noProof/>
                <w:color w:val="000000" w:themeColor="text1"/>
                <w:sz w:val="22"/>
                <w:szCs w:val="22"/>
              </w:rPr>
              <w:t>ethylene chloride (CH2Cl2); used commonly as a solvent</w:t>
            </w:r>
          </w:p>
        </w:tc>
      </w:tr>
      <w:tr w:rsidR="00A14107" w:rsidRPr="007B1431" w14:paraId="40AD2A91"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BBB397B" w14:textId="77777777" w:rsidR="00A14107" w:rsidRPr="007D4CEE" w:rsidRDefault="00A14107" w:rsidP="00A14107">
            <w:pPr>
              <w:rPr>
                <w:noProof/>
              </w:rPr>
            </w:pPr>
            <w:r w:rsidRPr="67E52342">
              <w:rPr>
                <w:rFonts w:ascii="Calibri" w:hAnsi="Calibri" w:cs="Calibri"/>
                <w:noProof/>
                <w:color w:val="000000" w:themeColor="text1"/>
                <w:sz w:val="22"/>
                <w:szCs w:val="22"/>
              </w:rPr>
              <w:t>EEA</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899004C" w14:textId="77777777" w:rsidR="00A14107" w:rsidRPr="007D4CEE" w:rsidRDefault="00A14107" w:rsidP="00A14107">
            <w:pPr>
              <w:rPr>
                <w:noProof/>
              </w:rPr>
            </w:pPr>
            <w:r w:rsidRPr="67E52342">
              <w:rPr>
                <w:rFonts w:ascii="Calibri" w:hAnsi="Calibri" w:cs="Calibri"/>
                <w:noProof/>
                <w:color w:val="000000" w:themeColor="text1"/>
                <w:sz w:val="22"/>
                <w:szCs w:val="22"/>
              </w:rPr>
              <w:t>European Environment Agency</w:t>
            </w:r>
          </w:p>
        </w:tc>
      </w:tr>
      <w:tr w:rsidR="00A14107" w:rsidRPr="007B1431" w14:paraId="3C3B53C0"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E46D70A" w14:textId="77777777" w:rsidR="00A14107" w:rsidRPr="007D4CEE" w:rsidRDefault="00A14107" w:rsidP="00A14107">
            <w:pPr>
              <w:rPr>
                <w:noProof/>
              </w:rPr>
            </w:pPr>
            <w:r w:rsidRPr="67E52342">
              <w:rPr>
                <w:rFonts w:ascii="Calibri" w:hAnsi="Calibri" w:cs="Calibri"/>
                <w:noProof/>
                <w:color w:val="000000" w:themeColor="text1"/>
                <w:sz w:val="22"/>
                <w:szCs w:val="22"/>
              </w:rPr>
              <w:t>E</w:t>
            </w:r>
            <w:r>
              <w:rPr>
                <w:rFonts w:ascii="Calibri" w:hAnsi="Calibri" w:cs="Calibri"/>
                <w:noProof/>
                <w:color w:val="000000" w:themeColor="text1"/>
                <w:sz w:val="22"/>
                <w:szCs w:val="22"/>
              </w:rPr>
              <w:t>-</w:t>
            </w:r>
            <w:r w:rsidRPr="67E52342">
              <w:rPr>
                <w:rFonts w:ascii="Calibri" w:hAnsi="Calibri" w:cs="Calibri"/>
                <w:noProof/>
                <w:color w:val="000000" w:themeColor="text1"/>
                <w:sz w:val="22"/>
                <w:szCs w:val="22"/>
              </w:rPr>
              <w:t>PRTR</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EB476B9" w14:textId="77777777" w:rsidR="00A14107" w:rsidRPr="007D4CEE" w:rsidRDefault="00A14107" w:rsidP="00A14107">
            <w:pPr>
              <w:rPr>
                <w:noProof/>
              </w:rPr>
            </w:pPr>
            <w:r w:rsidRPr="67E52342">
              <w:rPr>
                <w:rFonts w:ascii="Calibri" w:hAnsi="Calibri" w:cs="Calibri"/>
                <w:noProof/>
                <w:color w:val="000000" w:themeColor="text1"/>
                <w:sz w:val="22"/>
                <w:szCs w:val="22"/>
              </w:rPr>
              <w:t>European Polluta</w:t>
            </w:r>
            <w:r>
              <w:rPr>
                <w:rFonts w:ascii="Calibri" w:hAnsi="Calibri" w:cs="Calibri"/>
                <w:noProof/>
                <w:color w:val="000000" w:themeColor="text1"/>
                <w:sz w:val="22"/>
                <w:szCs w:val="22"/>
              </w:rPr>
              <w:t>nt Release and Transfer Register</w:t>
            </w:r>
          </w:p>
        </w:tc>
      </w:tr>
      <w:tr w:rsidR="00A14107" w:rsidRPr="007B1431" w14:paraId="26FD518E"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B08BD99" w14:textId="77777777" w:rsidR="00A14107" w:rsidRPr="00B108F6" w:rsidRDefault="00A14107" w:rsidP="00A14107">
            <w:pPr>
              <w:rPr>
                <w:noProof/>
                <w:sz w:val="22"/>
                <w:szCs w:val="22"/>
              </w:rPr>
            </w:pPr>
            <w:r w:rsidRPr="009A28AC">
              <w:rPr>
                <w:rFonts w:ascii="Calibri" w:hAnsi="Calibri" w:cs="Calibri"/>
                <w:noProof/>
                <w:color w:val="000000" w:themeColor="text1"/>
                <w:sz w:val="22"/>
                <w:szCs w:val="22"/>
              </w:rPr>
              <w:t>Feedstock</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295E700C" w14:textId="77777777" w:rsidR="00A14107" w:rsidRPr="00B108F6" w:rsidRDefault="00A14107" w:rsidP="00A14107">
            <w:pPr>
              <w:rPr>
                <w:noProof/>
                <w:sz w:val="22"/>
                <w:szCs w:val="22"/>
              </w:rPr>
            </w:pPr>
            <w:r w:rsidRPr="00F95296">
              <w:rPr>
                <w:rFonts w:ascii="Calibri" w:hAnsi="Calibri" w:cs="Calibri"/>
                <w:noProof/>
                <w:color w:val="000000" w:themeColor="text1"/>
                <w:sz w:val="22"/>
                <w:szCs w:val="22"/>
              </w:rPr>
              <w:t>Any substance that undergoes chemical tran</w:t>
            </w:r>
            <w:r w:rsidRPr="00EC0F2E">
              <w:rPr>
                <w:rFonts w:ascii="Calibri" w:hAnsi="Calibri" w:cs="Calibri"/>
                <w:noProof/>
                <w:color w:val="000000" w:themeColor="text1"/>
                <w:sz w:val="22"/>
                <w:szCs w:val="22"/>
              </w:rPr>
              <w:t xml:space="preserve">sformation in a process to synthesise other chemicals in which it is entirely converted from its original composition </w:t>
            </w:r>
          </w:p>
        </w:tc>
      </w:tr>
      <w:tr w:rsidR="00A14107" w:rsidRPr="007B1431" w14:paraId="28055607"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F2E7C37" w14:textId="77777777" w:rsidR="00A14107" w:rsidRPr="00B108F6" w:rsidRDefault="00A14107" w:rsidP="00A14107">
            <w:pPr>
              <w:rPr>
                <w:noProof/>
                <w:sz w:val="22"/>
                <w:szCs w:val="22"/>
              </w:rPr>
            </w:pPr>
            <w:r w:rsidRPr="00F95296">
              <w:rPr>
                <w:rFonts w:ascii="Calibri" w:hAnsi="Calibri" w:cs="Calibri"/>
                <w:noProof/>
                <w:color w:val="000000" w:themeColor="text1"/>
                <w:sz w:val="22"/>
                <w:szCs w:val="22"/>
              </w:rPr>
              <w:t>F-gases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5603CB3" w14:textId="77777777" w:rsidR="00A14107" w:rsidRPr="00B108F6" w:rsidRDefault="00A14107" w:rsidP="00A14107">
            <w:pPr>
              <w:rPr>
                <w:noProof/>
                <w:sz w:val="22"/>
                <w:szCs w:val="22"/>
              </w:rPr>
            </w:pPr>
            <w:r w:rsidRPr="00F95296">
              <w:rPr>
                <w:rFonts w:ascii="Calibri" w:hAnsi="Calibri" w:cs="Calibri"/>
                <w:noProof/>
                <w:color w:val="000000" w:themeColor="text1"/>
                <w:sz w:val="22"/>
                <w:szCs w:val="22"/>
              </w:rPr>
              <w:t>Fluorinated greenhouse gases</w:t>
            </w:r>
            <w:r w:rsidRPr="00EC0F2E">
              <w:rPr>
                <w:rFonts w:ascii="Calibri" w:hAnsi="Calibri" w:cs="Calibri"/>
                <w:noProof/>
                <w:color w:val="000000" w:themeColor="text1"/>
                <w:sz w:val="22"/>
                <w:szCs w:val="22"/>
              </w:rPr>
              <w:t xml:space="preserve"> as defined by Regulation (EU) No 517/2014</w:t>
            </w:r>
          </w:p>
        </w:tc>
      </w:tr>
      <w:tr w:rsidR="00A14107" w:rsidRPr="007B1431" w14:paraId="6E1259A6"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FC20A74" w14:textId="77777777" w:rsidR="00A14107" w:rsidRPr="00B108F6" w:rsidRDefault="00A14107" w:rsidP="00A14107">
            <w:pPr>
              <w:rPr>
                <w:rFonts w:ascii="Calibri" w:hAnsi="Calibri" w:cs="Calibri"/>
                <w:noProof/>
                <w:color w:val="000000" w:themeColor="text1"/>
                <w:sz w:val="22"/>
                <w:szCs w:val="22"/>
              </w:rPr>
            </w:pPr>
            <w:r w:rsidRPr="00522B82">
              <w:rPr>
                <w:rFonts w:ascii="Calibri" w:hAnsi="Calibri" w:cs="Calibri"/>
                <w:noProof/>
                <w:color w:val="000000" w:themeColor="text1"/>
                <w:sz w:val="22"/>
                <w:szCs w:val="22"/>
              </w:rPr>
              <w:t>F-gas Regulation</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2180206" w14:textId="77777777" w:rsidR="00A14107" w:rsidRPr="00B108F6" w:rsidRDefault="00A14107" w:rsidP="00A14107">
            <w:pPr>
              <w:rPr>
                <w:rFonts w:ascii="Calibri" w:hAnsi="Calibri" w:cs="Calibri"/>
                <w:noProof/>
                <w:color w:val="000000" w:themeColor="text1"/>
                <w:sz w:val="22"/>
                <w:szCs w:val="22"/>
              </w:rPr>
            </w:pPr>
            <w:r w:rsidRPr="00522B82">
              <w:rPr>
                <w:rFonts w:ascii="Calibri" w:hAnsi="Calibri" w:cs="Calibri"/>
                <w:noProof/>
                <w:color w:val="000000" w:themeColor="text1"/>
                <w:sz w:val="22"/>
                <w:szCs w:val="22"/>
              </w:rPr>
              <w:t>Regulation (EU) No 517/2014</w:t>
            </w:r>
          </w:p>
        </w:tc>
      </w:tr>
      <w:tr w:rsidR="00A14107" w:rsidRPr="007B1431" w14:paraId="2CAA8646"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1061B5C" w14:textId="77777777" w:rsidR="00A14107" w:rsidRPr="00B108F6" w:rsidRDefault="00A14107" w:rsidP="00A14107">
            <w:pPr>
              <w:rPr>
                <w:noProof/>
                <w:sz w:val="22"/>
                <w:szCs w:val="22"/>
              </w:rPr>
            </w:pPr>
            <w:r w:rsidRPr="00F95296">
              <w:rPr>
                <w:rFonts w:ascii="Calibri" w:hAnsi="Calibri" w:cs="Calibri"/>
                <w:noProof/>
                <w:color w:val="000000" w:themeColor="text1"/>
                <w:sz w:val="22"/>
                <w:szCs w:val="22"/>
              </w:rPr>
              <w:t>GWP</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7254721C" w14:textId="77777777" w:rsidR="00A14107" w:rsidRPr="00B108F6" w:rsidRDefault="00A14107" w:rsidP="00364FAC">
            <w:pPr>
              <w:rPr>
                <w:noProof/>
                <w:sz w:val="22"/>
                <w:szCs w:val="22"/>
              </w:rPr>
            </w:pPr>
            <w:r w:rsidRPr="00F95296">
              <w:rPr>
                <w:rFonts w:ascii="Calibri" w:hAnsi="Calibri" w:cs="Calibri"/>
                <w:noProof/>
                <w:color w:val="000000" w:themeColor="text1"/>
                <w:sz w:val="22"/>
                <w:szCs w:val="22"/>
              </w:rPr>
              <w:t>Globa</w:t>
            </w:r>
            <w:r w:rsidRPr="00EC0F2E">
              <w:rPr>
                <w:rFonts w:ascii="Calibri" w:hAnsi="Calibri" w:cs="Calibri"/>
                <w:noProof/>
                <w:color w:val="000000" w:themeColor="text1"/>
                <w:sz w:val="22"/>
                <w:szCs w:val="22"/>
              </w:rPr>
              <w:t xml:space="preserve">l </w:t>
            </w:r>
            <w:r w:rsidR="00364FAC">
              <w:rPr>
                <w:rFonts w:ascii="Calibri" w:hAnsi="Calibri" w:cs="Calibri"/>
                <w:noProof/>
                <w:color w:val="000000" w:themeColor="text1"/>
                <w:sz w:val="22"/>
                <w:szCs w:val="22"/>
              </w:rPr>
              <w:t>w</w:t>
            </w:r>
            <w:r w:rsidRPr="00EC0F2E">
              <w:rPr>
                <w:rFonts w:ascii="Calibri" w:hAnsi="Calibri" w:cs="Calibri"/>
                <w:noProof/>
                <w:color w:val="000000" w:themeColor="text1"/>
                <w:sz w:val="22"/>
                <w:szCs w:val="22"/>
              </w:rPr>
              <w:t xml:space="preserve">arming </w:t>
            </w:r>
            <w:r w:rsidR="00364FAC">
              <w:rPr>
                <w:rFonts w:ascii="Calibri" w:hAnsi="Calibri" w:cs="Calibri"/>
                <w:noProof/>
                <w:color w:val="000000" w:themeColor="text1"/>
                <w:sz w:val="22"/>
                <w:szCs w:val="22"/>
              </w:rPr>
              <w:t>p</w:t>
            </w:r>
            <w:r w:rsidRPr="00EC0F2E">
              <w:rPr>
                <w:rFonts w:ascii="Calibri" w:hAnsi="Calibri" w:cs="Calibri"/>
                <w:noProof/>
                <w:color w:val="000000" w:themeColor="text1"/>
                <w:sz w:val="22"/>
                <w:szCs w:val="22"/>
              </w:rPr>
              <w:t>otential</w:t>
            </w:r>
            <w:r w:rsidR="00364FAC">
              <w:rPr>
                <w:rFonts w:ascii="Calibri" w:hAnsi="Calibri" w:cs="Calibri"/>
                <w:noProof/>
                <w:color w:val="000000" w:themeColor="text1"/>
                <w:sz w:val="22"/>
                <w:szCs w:val="22"/>
              </w:rPr>
              <w:t>:</w:t>
            </w:r>
            <w:r w:rsidRPr="00EC0F2E">
              <w:rPr>
                <w:rFonts w:ascii="Calibri" w:hAnsi="Calibri" w:cs="Calibri"/>
                <w:noProof/>
                <w:color w:val="000000" w:themeColor="text1"/>
                <w:sz w:val="22"/>
                <w:szCs w:val="22"/>
              </w:rPr>
              <w:t xml:space="preserve"> a metric for determining the relative contribution of a substance to climate warming. The GWP indicates how much (solar) energy the emissions of 1 ton of a gas will absorb (and thus contribute to climate warming) over a given per</w:t>
            </w:r>
            <w:r w:rsidRPr="00353E28">
              <w:rPr>
                <w:rFonts w:ascii="Calibri" w:hAnsi="Calibri" w:cs="Calibri"/>
                <w:noProof/>
                <w:color w:val="000000" w:themeColor="text1"/>
                <w:sz w:val="22"/>
                <w:szCs w:val="22"/>
              </w:rPr>
              <w:t>iod of time, e.g. 100 years for GWP</w:t>
            </w:r>
            <w:r w:rsidRPr="00353E28">
              <w:rPr>
                <w:rFonts w:ascii="Calibri" w:hAnsi="Calibri" w:cs="Calibri"/>
                <w:noProof/>
                <w:color w:val="000000" w:themeColor="text1"/>
                <w:sz w:val="22"/>
                <w:szCs w:val="22"/>
                <w:vertAlign w:val="subscript"/>
              </w:rPr>
              <w:t>100</w:t>
            </w:r>
            <w:r w:rsidRPr="00B7168C">
              <w:rPr>
                <w:rFonts w:ascii="Calibri" w:hAnsi="Calibri" w:cs="Calibri"/>
                <w:noProof/>
                <w:color w:val="000000" w:themeColor="text1"/>
                <w:sz w:val="22"/>
                <w:szCs w:val="22"/>
              </w:rPr>
              <w:t>, relative to the emissions of 1 ton of carbon dioxide (CO</w:t>
            </w:r>
            <w:r w:rsidRPr="000D7EFE">
              <w:rPr>
                <w:rFonts w:ascii="Calibri" w:hAnsi="Calibri" w:cs="Calibri"/>
                <w:noProof/>
                <w:color w:val="000000" w:themeColor="text1"/>
                <w:sz w:val="22"/>
                <w:szCs w:val="22"/>
                <w:vertAlign w:val="subscript"/>
              </w:rPr>
              <w:t>2</w:t>
            </w:r>
            <w:r w:rsidRPr="000D7EFE">
              <w:rPr>
                <w:rFonts w:ascii="Calibri" w:hAnsi="Calibri" w:cs="Calibri"/>
                <w:noProof/>
                <w:color w:val="000000" w:themeColor="text1"/>
                <w:sz w:val="22"/>
                <w:szCs w:val="22"/>
              </w:rPr>
              <w:t>).</w:t>
            </w:r>
          </w:p>
        </w:tc>
      </w:tr>
      <w:tr w:rsidR="00A14107" w:rsidRPr="007B1431" w14:paraId="15DCDDA9"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4EDE6B3" w14:textId="77777777" w:rsidR="00A14107" w:rsidRPr="007D4CEE" w:rsidRDefault="00A14107" w:rsidP="00A14107">
            <w:pPr>
              <w:rPr>
                <w:noProof/>
              </w:rPr>
            </w:pPr>
            <w:r w:rsidRPr="67E52342">
              <w:rPr>
                <w:rFonts w:ascii="Calibri" w:hAnsi="Calibri" w:cs="Calibri"/>
                <w:noProof/>
                <w:color w:val="000000" w:themeColor="text1"/>
                <w:sz w:val="22"/>
                <w:szCs w:val="22"/>
              </w:rPr>
              <w:t>Halons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5B82E81" w14:textId="77777777" w:rsidR="00A14107" w:rsidRPr="007D4CEE" w:rsidRDefault="00A14107" w:rsidP="00A14107">
            <w:pPr>
              <w:rPr>
                <w:noProof/>
              </w:rPr>
            </w:pPr>
            <w:r w:rsidRPr="67E52342">
              <w:rPr>
                <w:rFonts w:ascii="Calibri" w:hAnsi="Calibri" w:cs="Calibri"/>
                <w:noProof/>
                <w:color w:val="000000" w:themeColor="text1"/>
                <w:sz w:val="22"/>
                <w:szCs w:val="22"/>
              </w:rPr>
              <w:t>Group of ODS containing bromine and fluorine and one or two carbons. Their production is banned, but existing (non-virgin) halons may still be placed on the EU market for “critical uses”, e.g. for fire-fighting on aircrafts</w:t>
            </w:r>
            <w:r>
              <w:rPr>
                <w:rFonts w:ascii="Calibri" w:hAnsi="Calibri" w:cs="Calibri"/>
                <w:noProof/>
                <w:color w:val="000000" w:themeColor="text1"/>
                <w:sz w:val="22"/>
                <w:szCs w:val="22"/>
              </w:rPr>
              <w:t xml:space="preserve"> and in other specialised applications</w:t>
            </w:r>
          </w:p>
        </w:tc>
      </w:tr>
      <w:tr w:rsidR="00A14107" w:rsidRPr="007B1431" w14:paraId="1080E00F"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5306B38" w14:textId="77777777" w:rsidR="00A14107" w:rsidRPr="00B26A8E" w:rsidRDefault="00A14107" w:rsidP="00A14107">
            <w:pPr>
              <w:rPr>
                <w:noProof/>
                <w:sz w:val="22"/>
                <w:szCs w:val="22"/>
              </w:rPr>
            </w:pPr>
            <w:r w:rsidRPr="00B26A8E">
              <w:rPr>
                <w:rFonts w:ascii="Calibri" w:hAnsi="Calibri" w:cs="Calibri"/>
                <w:noProof/>
                <w:color w:val="000000" w:themeColor="text1"/>
                <w:sz w:val="22"/>
                <w:szCs w:val="22"/>
              </w:rPr>
              <w:t>HCFCs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D8E207B" w14:textId="40FBD396" w:rsidR="00A14107" w:rsidRPr="00B26A8E" w:rsidRDefault="00A14107" w:rsidP="00773AA5">
            <w:pPr>
              <w:rPr>
                <w:noProof/>
                <w:sz w:val="22"/>
                <w:szCs w:val="22"/>
              </w:rPr>
            </w:pPr>
            <w:r w:rsidRPr="00B26A8E">
              <w:rPr>
                <w:rFonts w:ascii="Calibri" w:hAnsi="Calibri" w:cs="Calibri"/>
                <w:noProof/>
                <w:color w:val="000000" w:themeColor="text1"/>
                <w:sz w:val="22"/>
                <w:szCs w:val="22"/>
              </w:rPr>
              <w:t>Hydrochlorofluorocarbons</w:t>
            </w:r>
            <w:r w:rsidR="00773AA5">
              <w:rPr>
                <w:rFonts w:ascii="Calibri" w:hAnsi="Calibri" w:cs="Calibri"/>
                <w:noProof/>
                <w:color w:val="000000" w:themeColor="text1"/>
                <w:sz w:val="22"/>
                <w:szCs w:val="22"/>
              </w:rPr>
              <w:t>:</w:t>
            </w:r>
            <w:r w:rsidRPr="00B26A8E">
              <w:rPr>
                <w:rFonts w:ascii="Calibri" w:hAnsi="Calibri" w:cs="Calibri"/>
                <w:noProof/>
                <w:color w:val="000000" w:themeColor="text1"/>
                <w:sz w:val="22"/>
                <w:szCs w:val="22"/>
              </w:rPr>
              <w:t xml:space="preserve"> </w:t>
            </w:r>
            <w:r w:rsidR="00773AA5">
              <w:rPr>
                <w:rFonts w:ascii="Calibri" w:hAnsi="Calibri" w:cs="Calibri"/>
                <w:noProof/>
                <w:color w:val="000000" w:themeColor="text1"/>
                <w:sz w:val="22"/>
                <w:szCs w:val="22"/>
              </w:rPr>
              <w:t>g</w:t>
            </w:r>
            <w:r w:rsidRPr="00B26A8E">
              <w:rPr>
                <w:rFonts w:ascii="Calibri" w:hAnsi="Calibri" w:cs="Calibri"/>
                <w:noProof/>
                <w:color w:val="000000" w:themeColor="text1"/>
                <w:sz w:val="22"/>
                <w:szCs w:val="22"/>
              </w:rPr>
              <w:t>roup of ODS consisting of hydrogen, chlorine, fluorine and carbon. Second generation of ozone-depleting substances</w:t>
            </w:r>
            <w:r w:rsidR="00364FAC">
              <w:rPr>
                <w:rFonts w:ascii="Calibri" w:hAnsi="Calibri" w:cs="Calibri"/>
                <w:noProof/>
                <w:color w:val="000000" w:themeColor="text1"/>
                <w:sz w:val="22"/>
                <w:szCs w:val="22"/>
              </w:rPr>
              <w:t>.</w:t>
            </w:r>
            <w:r w:rsidR="005522F3">
              <w:rPr>
                <w:rFonts w:ascii="Calibri" w:hAnsi="Calibri" w:cs="Calibri"/>
                <w:noProof/>
                <w:color w:val="000000" w:themeColor="text1"/>
                <w:sz w:val="22"/>
                <w:szCs w:val="22"/>
              </w:rPr>
              <w:t xml:space="preserve"> </w:t>
            </w:r>
            <w:r w:rsidR="00364FAC">
              <w:rPr>
                <w:rFonts w:ascii="Calibri" w:hAnsi="Calibri" w:cs="Calibri"/>
                <w:noProof/>
                <w:color w:val="000000" w:themeColor="text1"/>
                <w:sz w:val="22"/>
                <w:szCs w:val="22"/>
              </w:rPr>
              <w:t>T</w:t>
            </w:r>
            <w:r w:rsidRPr="00B26A8E">
              <w:rPr>
                <w:rFonts w:ascii="Calibri" w:hAnsi="Calibri" w:cs="Calibri"/>
                <w:noProof/>
                <w:color w:val="000000" w:themeColor="text1"/>
                <w:sz w:val="22"/>
                <w:szCs w:val="22"/>
              </w:rPr>
              <w:t xml:space="preserve">hey were used to replace chlorofluorocarbons due to their lower </w:t>
            </w:r>
            <w:r w:rsidR="00364FAC">
              <w:rPr>
                <w:rFonts w:ascii="Calibri" w:hAnsi="Calibri" w:cs="Calibri"/>
                <w:noProof/>
                <w:color w:val="000000" w:themeColor="text1"/>
                <w:sz w:val="22"/>
                <w:szCs w:val="22"/>
              </w:rPr>
              <w:t>o</w:t>
            </w:r>
            <w:r w:rsidRPr="00B26A8E">
              <w:rPr>
                <w:rFonts w:ascii="Calibri" w:hAnsi="Calibri" w:cs="Calibri"/>
                <w:noProof/>
                <w:color w:val="000000" w:themeColor="text1"/>
                <w:sz w:val="22"/>
                <w:szCs w:val="22"/>
              </w:rPr>
              <w:t>zone-</w:t>
            </w:r>
            <w:r w:rsidR="00364FAC">
              <w:rPr>
                <w:rFonts w:ascii="Calibri" w:hAnsi="Calibri" w:cs="Calibri"/>
                <w:noProof/>
                <w:color w:val="000000" w:themeColor="text1"/>
                <w:sz w:val="22"/>
                <w:szCs w:val="22"/>
              </w:rPr>
              <w:t>d</w:t>
            </w:r>
            <w:r w:rsidRPr="00B26A8E">
              <w:rPr>
                <w:rFonts w:ascii="Calibri" w:hAnsi="Calibri" w:cs="Calibri"/>
                <w:noProof/>
                <w:color w:val="000000" w:themeColor="text1"/>
                <w:sz w:val="22"/>
                <w:szCs w:val="22"/>
              </w:rPr>
              <w:t xml:space="preserve">epleting </w:t>
            </w:r>
            <w:r w:rsidR="00364FAC">
              <w:rPr>
                <w:rFonts w:ascii="Calibri" w:hAnsi="Calibri" w:cs="Calibri"/>
                <w:noProof/>
                <w:color w:val="000000" w:themeColor="text1"/>
                <w:sz w:val="22"/>
                <w:szCs w:val="22"/>
              </w:rPr>
              <w:t>p</w:t>
            </w:r>
            <w:r w:rsidRPr="00B26A8E">
              <w:rPr>
                <w:rFonts w:ascii="Calibri" w:hAnsi="Calibri" w:cs="Calibri"/>
                <w:noProof/>
                <w:color w:val="000000" w:themeColor="text1"/>
                <w:sz w:val="22"/>
                <w:szCs w:val="22"/>
              </w:rPr>
              <w:t>otential (ODP, see definition later)</w:t>
            </w:r>
          </w:p>
        </w:tc>
      </w:tr>
      <w:tr w:rsidR="00A14107" w:rsidRPr="007B1431" w14:paraId="581D0F4E"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B205CF7" w14:textId="77777777" w:rsidR="00A14107" w:rsidRPr="00B26A8E" w:rsidRDefault="00A14107" w:rsidP="00A14107">
            <w:pPr>
              <w:rPr>
                <w:rFonts w:ascii="Calibri" w:hAnsi="Calibri" w:cs="Calibri"/>
                <w:noProof/>
                <w:color w:val="000000" w:themeColor="text1"/>
                <w:sz w:val="22"/>
                <w:szCs w:val="22"/>
              </w:rPr>
            </w:pPr>
            <w:r w:rsidRPr="00B26A8E">
              <w:rPr>
                <w:rFonts w:ascii="Calibri" w:hAnsi="Calibri" w:cs="Calibri"/>
                <w:noProof/>
                <w:color w:val="000000" w:themeColor="text1"/>
                <w:sz w:val="22"/>
                <w:szCs w:val="22"/>
              </w:rPr>
              <w:t>HCFC-22</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39B4E70" w14:textId="77777777" w:rsidR="00A14107" w:rsidRPr="00B26A8E" w:rsidRDefault="00A14107" w:rsidP="00A14107">
            <w:pPr>
              <w:rPr>
                <w:rFonts w:ascii="Calibri" w:hAnsi="Calibri" w:cs="Calibri"/>
                <w:noProof/>
                <w:color w:val="000000" w:themeColor="text1"/>
                <w:sz w:val="22"/>
                <w:szCs w:val="22"/>
              </w:rPr>
            </w:pPr>
            <w:r w:rsidRPr="00B26A8E">
              <w:rPr>
                <w:rFonts w:ascii="Calibri" w:hAnsi="Calibri" w:cs="Calibri"/>
                <w:noProof/>
                <w:color w:val="000000" w:themeColor="text1"/>
                <w:sz w:val="22"/>
                <w:szCs w:val="22"/>
              </w:rPr>
              <w:t>Chlorodifluoromethane (CHClF2). The most common HCFC. used in refrigeration in the past, and still used as a feedstock chemical today</w:t>
            </w:r>
          </w:p>
        </w:tc>
      </w:tr>
      <w:tr w:rsidR="00A14107" w:rsidRPr="007B1431" w14:paraId="46CBCBF4"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DE0FD66" w14:textId="77777777" w:rsidR="00A14107" w:rsidRPr="00B26A8E" w:rsidRDefault="00A14107" w:rsidP="00A14107">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HFCs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B6618A1" w14:textId="77777777" w:rsidR="00A14107" w:rsidRPr="00B26A8E" w:rsidRDefault="00A14107" w:rsidP="00BA39C9">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Hydrofluorocarbons (, F-gases</w:t>
            </w:r>
            <w:r w:rsidR="00364FAC" w:rsidRPr="00B26A8E">
              <w:rPr>
                <w:rFonts w:asciiTheme="minorHAnsi" w:hAnsiTheme="minorHAnsi" w:cstheme="minorHAnsi"/>
                <w:noProof/>
                <w:color w:val="000000" w:themeColor="text1"/>
                <w:sz w:val="22"/>
                <w:szCs w:val="22"/>
              </w:rPr>
              <w:t xml:space="preserve"> </w:t>
            </w:r>
            <w:r w:rsidR="00364FAC">
              <w:rPr>
                <w:rFonts w:asciiTheme="minorHAnsi" w:hAnsiTheme="minorHAnsi" w:cstheme="minorHAnsi"/>
                <w:noProof/>
                <w:color w:val="000000" w:themeColor="text1"/>
                <w:sz w:val="22"/>
                <w:szCs w:val="22"/>
              </w:rPr>
              <w:t>rather than ODS</w:t>
            </w:r>
            <w:r w:rsidRPr="00B26A8E">
              <w:rPr>
                <w:rFonts w:asciiTheme="minorHAnsi" w:hAnsiTheme="minorHAnsi" w:cstheme="minorHAnsi"/>
                <w:noProof/>
                <w:color w:val="000000" w:themeColor="text1"/>
                <w:sz w:val="22"/>
                <w:szCs w:val="22"/>
              </w:rPr>
              <w:t>), consisting of hydrogen, fluorine and carbon. They have been used as replacements for ODS because they do not deplete the ozone layer. However</w:t>
            </w:r>
            <w:r w:rsidR="00364FAC">
              <w:rPr>
                <w:rFonts w:asciiTheme="minorHAnsi" w:hAnsiTheme="minorHAnsi" w:cstheme="minorHAnsi"/>
                <w:noProof/>
                <w:color w:val="000000" w:themeColor="text1"/>
                <w:sz w:val="22"/>
                <w:szCs w:val="22"/>
              </w:rPr>
              <w:t>,</w:t>
            </w:r>
            <w:r w:rsidRPr="00B26A8E">
              <w:rPr>
                <w:rFonts w:asciiTheme="minorHAnsi" w:hAnsiTheme="minorHAnsi" w:cstheme="minorHAnsi"/>
                <w:noProof/>
                <w:color w:val="000000" w:themeColor="text1"/>
                <w:sz w:val="22"/>
                <w:szCs w:val="22"/>
              </w:rPr>
              <w:t xml:space="preserve"> they are powerful greenhouse gases</w:t>
            </w:r>
          </w:p>
        </w:tc>
      </w:tr>
      <w:tr w:rsidR="00A14107" w:rsidRPr="007B1431" w14:paraId="1CEEE67B"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35C2609" w14:textId="77777777" w:rsidR="00A14107" w:rsidRPr="00B26A8E" w:rsidRDefault="00A14107" w:rsidP="00A14107">
            <w:pPr>
              <w:rPr>
                <w:rFonts w:asciiTheme="minorHAnsi" w:hAnsiTheme="minorHAnsi" w:cstheme="minorHAnsi"/>
                <w:noProof/>
                <w:color w:val="000000" w:themeColor="text1"/>
                <w:sz w:val="22"/>
                <w:szCs w:val="22"/>
              </w:rPr>
            </w:pPr>
            <w:r w:rsidRPr="00B26A8E">
              <w:rPr>
                <w:rFonts w:asciiTheme="minorHAnsi" w:hAnsiTheme="minorHAnsi" w:cstheme="minorHAnsi"/>
                <w:noProof/>
                <w:color w:val="000000" w:themeColor="text1"/>
                <w:sz w:val="22"/>
                <w:szCs w:val="22"/>
              </w:rPr>
              <w:t>HFC-23</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12BEB4E" w14:textId="77777777" w:rsidR="00A14107" w:rsidRPr="00B26A8E" w:rsidRDefault="00A14107" w:rsidP="00A14107">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T</w:t>
            </w:r>
            <w:r w:rsidRPr="00B26A8E">
              <w:rPr>
                <w:rFonts w:asciiTheme="minorHAnsi" w:hAnsiTheme="minorHAnsi" w:cstheme="minorHAnsi"/>
                <w:noProof/>
                <w:color w:val="000000" w:themeColor="text1"/>
                <w:sz w:val="22"/>
                <w:szCs w:val="22"/>
              </w:rPr>
              <w:t>rifluoromethane</w:t>
            </w:r>
          </w:p>
        </w:tc>
      </w:tr>
      <w:tr w:rsidR="00A14107" w:rsidRPr="007B1431" w14:paraId="625EAA2D"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40CB9AE" w14:textId="77777777" w:rsidR="00A14107" w:rsidRPr="00B26A8E" w:rsidRDefault="00A14107" w:rsidP="00A14107">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HTOC</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473BF624" w14:textId="77777777" w:rsidR="00A14107" w:rsidRPr="00B26A8E" w:rsidRDefault="00A14107" w:rsidP="00A14107">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Montreal Protocol’s Halons Technical Options Committee (sub-group of the Technology and Economic Assessment Panel (TEAP) of the Montreal Protocol)</w:t>
            </w:r>
          </w:p>
        </w:tc>
      </w:tr>
      <w:tr w:rsidR="00A14107" w:rsidRPr="007D4CEE" w14:paraId="4E125814" w14:textId="77777777" w:rsidTr="007D4CEE">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4B37E26" w14:textId="77777777" w:rsidR="00A14107" w:rsidRPr="00B26A8E" w:rsidRDefault="00A14107" w:rsidP="00A14107">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ICAO</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4FB7708" w14:textId="77777777" w:rsidR="00A14107" w:rsidRPr="00B26A8E" w:rsidRDefault="00A14107" w:rsidP="00A14107">
            <w:pPr>
              <w:rPr>
                <w:rFonts w:asciiTheme="minorHAnsi" w:hAnsiTheme="minorHAnsi" w:cstheme="minorHAnsi"/>
                <w:noProof/>
                <w:sz w:val="22"/>
                <w:szCs w:val="22"/>
              </w:rPr>
            </w:pPr>
            <w:r w:rsidRPr="00B26A8E">
              <w:rPr>
                <w:rFonts w:asciiTheme="minorHAnsi" w:hAnsiTheme="minorHAnsi" w:cstheme="minorHAnsi"/>
                <w:noProof/>
                <w:color w:val="000000" w:themeColor="text1"/>
                <w:sz w:val="22"/>
                <w:szCs w:val="22"/>
              </w:rPr>
              <w:t>International Civil Aviation Organization</w:t>
            </w:r>
          </w:p>
        </w:tc>
      </w:tr>
    </w:tbl>
    <w:tbl>
      <w:tblPr>
        <w:tblW w:w="9610" w:type="dxa"/>
        <w:tblInd w:w="-34" w:type="dxa"/>
        <w:tblLook w:val="04A0" w:firstRow="1" w:lastRow="0" w:firstColumn="1" w:lastColumn="0" w:noHBand="0" w:noVBand="1"/>
      </w:tblPr>
      <w:tblGrid>
        <w:gridCol w:w="3261"/>
        <w:gridCol w:w="6349"/>
      </w:tblGrid>
      <w:tr w:rsidR="007B1431" w:rsidRPr="007D4CEE" w14:paraId="09FF268A"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30C9DFDE"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IED</w:t>
            </w:r>
          </w:p>
        </w:tc>
        <w:tc>
          <w:tcPr>
            <w:tcW w:w="6349" w:type="dxa"/>
            <w:tcBorders>
              <w:top w:val="nil"/>
              <w:left w:val="nil"/>
              <w:bottom w:val="single" w:sz="4" w:space="0" w:color="auto"/>
              <w:right w:val="single" w:sz="4" w:space="0" w:color="auto"/>
            </w:tcBorders>
            <w:shd w:val="clear" w:color="auto" w:fill="auto"/>
            <w:vAlign w:val="center"/>
          </w:tcPr>
          <w:p w14:paraId="4B9E1101"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Industrial Emissions Directive</w:t>
            </w:r>
          </w:p>
        </w:tc>
      </w:tr>
      <w:tr w:rsidR="007B1431" w:rsidRPr="007D4CEE" w14:paraId="6FCDDB91" w14:textId="77777777" w:rsidTr="00B01A7B">
        <w:trPr>
          <w:trHeight w:val="340"/>
        </w:trPr>
        <w:tc>
          <w:tcPr>
            <w:tcW w:w="3261" w:type="dxa"/>
            <w:tcBorders>
              <w:top w:val="nil"/>
              <w:left w:val="single" w:sz="4" w:space="0" w:color="auto"/>
              <w:bottom w:val="single" w:sz="4" w:space="0" w:color="auto"/>
              <w:right w:val="single" w:sz="4" w:space="0" w:color="auto"/>
            </w:tcBorders>
            <w:shd w:val="clear" w:color="auto" w:fill="auto"/>
            <w:vAlign w:val="center"/>
          </w:tcPr>
          <w:p w14:paraId="1C762113"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ISG</w:t>
            </w:r>
          </w:p>
        </w:tc>
        <w:tc>
          <w:tcPr>
            <w:tcW w:w="6349" w:type="dxa"/>
            <w:tcBorders>
              <w:top w:val="nil"/>
              <w:left w:val="nil"/>
              <w:bottom w:val="single" w:sz="4" w:space="0" w:color="auto"/>
              <w:right w:val="single" w:sz="4" w:space="0" w:color="auto"/>
            </w:tcBorders>
            <w:shd w:val="clear" w:color="auto" w:fill="auto"/>
            <w:vAlign w:val="center"/>
          </w:tcPr>
          <w:p w14:paraId="7ADF9E6E" w14:textId="77777777" w:rsidR="007B1431" w:rsidRPr="00B26A8E" w:rsidRDefault="007B1431" w:rsidP="00317C91">
            <w:pPr>
              <w:spacing w:before="60" w:after="60"/>
              <w:rPr>
                <w:rFonts w:eastAsia="Times New Roman" w:cstheme="minorHAnsi"/>
                <w:noProof/>
                <w:color w:val="000000" w:themeColor="text1"/>
                <w:lang w:eastAsia="en-GB"/>
              </w:rPr>
            </w:pPr>
            <w:r w:rsidRPr="00773AA5">
              <w:rPr>
                <w:rFonts w:cstheme="minorHAnsi"/>
                <w:noProof/>
                <w:color w:val="000000" w:themeColor="text1"/>
                <w:lang w:eastAsia="en-GB"/>
              </w:rPr>
              <w:t xml:space="preserve">European Commission Inter Service Group accompanying the </w:t>
            </w:r>
            <w:r w:rsidR="00317C91" w:rsidRPr="00773AA5">
              <w:rPr>
                <w:rFonts w:cstheme="minorHAnsi"/>
                <w:noProof/>
                <w:color w:val="000000" w:themeColor="text1"/>
                <w:lang w:eastAsia="en-GB"/>
              </w:rPr>
              <w:t>impact assessment</w:t>
            </w:r>
          </w:p>
        </w:tc>
      </w:tr>
      <w:tr w:rsidR="007B1431" w:rsidRPr="007B1431" w14:paraId="0A8F2E58" w14:textId="77777777" w:rsidTr="00B01A7B">
        <w:trPr>
          <w:trHeight w:val="850"/>
        </w:trPr>
        <w:tc>
          <w:tcPr>
            <w:tcW w:w="3261" w:type="dxa"/>
            <w:tcBorders>
              <w:top w:val="nil"/>
              <w:left w:val="single" w:sz="4" w:space="0" w:color="auto"/>
              <w:bottom w:val="single" w:sz="4" w:space="0" w:color="auto"/>
              <w:right w:val="single" w:sz="4" w:space="0" w:color="auto"/>
            </w:tcBorders>
            <w:shd w:val="clear" w:color="auto" w:fill="auto"/>
            <w:vAlign w:val="center"/>
          </w:tcPr>
          <w:p w14:paraId="476D4263"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Laboratory and analytical uses</w:t>
            </w:r>
          </w:p>
        </w:tc>
        <w:tc>
          <w:tcPr>
            <w:tcW w:w="6349" w:type="dxa"/>
            <w:tcBorders>
              <w:top w:val="nil"/>
              <w:left w:val="nil"/>
              <w:bottom w:val="single" w:sz="4" w:space="0" w:color="auto"/>
              <w:right w:val="single" w:sz="4" w:space="0" w:color="auto"/>
            </w:tcBorders>
            <w:shd w:val="clear" w:color="auto" w:fill="auto"/>
            <w:vAlign w:val="center"/>
          </w:tcPr>
          <w:p w14:paraId="45989B6B"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Use of an ODS as a necessary component or part of a laboratory or analytical process. Decision IX/17 of the Montreal Protocol introduced an exemption for laboratory and analytical uses of ODS</w:t>
            </w:r>
          </w:p>
        </w:tc>
      </w:tr>
      <w:tr w:rsidR="007B1431" w:rsidRPr="007B1431" w14:paraId="56674B07"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31F18A9C" w14:textId="77777777" w:rsidR="007B1431" w:rsidRPr="00B26A8E" w:rsidRDefault="007D4CEE"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w:t>
            </w:r>
            <w:r w:rsidR="007B1431" w:rsidRPr="00B26A8E">
              <w:rPr>
                <w:rFonts w:cstheme="minorHAnsi"/>
                <w:noProof/>
                <w:color w:val="000000" w:themeColor="text1"/>
                <w:lang w:eastAsia="en-GB"/>
              </w:rPr>
              <w:t>Montreal</w:t>
            </w:r>
            <w:r w:rsidRPr="00B26A8E">
              <w:rPr>
                <w:rFonts w:cstheme="minorHAnsi"/>
                <w:noProof/>
                <w:color w:val="000000" w:themeColor="text1"/>
                <w:lang w:eastAsia="en-GB"/>
              </w:rPr>
              <w:t>)</w:t>
            </w:r>
            <w:r w:rsidR="007B1431" w:rsidRPr="00B26A8E">
              <w:rPr>
                <w:rFonts w:cstheme="minorHAnsi"/>
                <w:noProof/>
                <w:color w:val="000000" w:themeColor="text1"/>
                <w:lang w:eastAsia="en-GB"/>
              </w:rPr>
              <w:t xml:space="preserve"> Protocol</w:t>
            </w:r>
          </w:p>
        </w:tc>
        <w:tc>
          <w:tcPr>
            <w:tcW w:w="6349" w:type="dxa"/>
            <w:tcBorders>
              <w:top w:val="nil"/>
              <w:left w:val="nil"/>
              <w:bottom w:val="single" w:sz="4" w:space="0" w:color="auto"/>
              <w:right w:val="single" w:sz="4" w:space="0" w:color="auto"/>
            </w:tcBorders>
            <w:shd w:val="clear" w:color="auto" w:fill="auto"/>
            <w:vAlign w:val="center"/>
          </w:tcPr>
          <w:p w14:paraId="1A5F55B2"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The Montreal Protocol on Substances that Deplete the Ozone Layer</w:t>
            </w:r>
            <w:r w:rsidR="00364FAC">
              <w:rPr>
                <w:rFonts w:cstheme="minorHAnsi"/>
                <w:noProof/>
                <w:color w:val="000000" w:themeColor="text1"/>
                <w:lang w:eastAsia="en-GB"/>
              </w:rPr>
              <w:t>:</w:t>
            </w:r>
            <w:r w:rsidRPr="00B26A8E">
              <w:rPr>
                <w:rFonts w:cstheme="minorHAnsi"/>
                <w:noProof/>
                <w:color w:val="000000" w:themeColor="text1"/>
                <w:lang w:eastAsia="en-GB"/>
              </w:rPr>
              <w:t xml:space="preserve"> an international treaty governing the protection of stratospheric ozone</w:t>
            </w:r>
          </w:p>
        </w:tc>
      </w:tr>
      <w:tr w:rsidR="007B1431" w:rsidRPr="007B1431" w14:paraId="451AFC12" w14:textId="77777777" w:rsidTr="00B01A7B">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53B642AE"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New ODS</w:t>
            </w:r>
          </w:p>
        </w:tc>
        <w:tc>
          <w:tcPr>
            <w:tcW w:w="6349" w:type="dxa"/>
            <w:tcBorders>
              <w:top w:val="nil"/>
              <w:left w:val="nil"/>
              <w:bottom w:val="single" w:sz="4" w:space="0" w:color="auto"/>
              <w:right w:val="single" w:sz="4" w:space="0" w:color="auto"/>
            </w:tcBorders>
            <w:shd w:val="clear" w:color="auto" w:fill="auto"/>
            <w:vAlign w:val="center"/>
          </w:tcPr>
          <w:p w14:paraId="1228DFB6"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Substances listed in Annex II to Regulation (EC) No 1005/2009, whether alone or in a mixture, and whether they are virgin, recovered, recycled or reclaimed. These substances are not controlled under the Montreal Protocol</w:t>
            </w:r>
          </w:p>
        </w:tc>
      </w:tr>
      <w:tr w:rsidR="007B1431" w:rsidRPr="007B1431" w14:paraId="7F3CB925"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374505CC"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Non-Article 5 countries</w:t>
            </w:r>
          </w:p>
        </w:tc>
        <w:tc>
          <w:tcPr>
            <w:tcW w:w="6349" w:type="dxa"/>
            <w:tcBorders>
              <w:top w:val="nil"/>
              <w:left w:val="nil"/>
              <w:bottom w:val="single" w:sz="4" w:space="0" w:color="auto"/>
              <w:right w:val="single" w:sz="4" w:space="0" w:color="auto"/>
            </w:tcBorders>
            <w:shd w:val="clear" w:color="auto" w:fill="auto"/>
            <w:vAlign w:val="center"/>
          </w:tcPr>
          <w:p w14:paraId="6DFC32FB" w14:textId="77777777" w:rsidR="007B1431" w:rsidRPr="00B26A8E" w:rsidRDefault="00E31A2D"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w:t>
            </w:r>
            <w:r w:rsidR="007B1431" w:rsidRPr="00B26A8E">
              <w:rPr>
                <w:rFonts w:cstheme="minorHAnsi"/>
                <w:noProof/>
                <w:color w:val="000000" w:themeColor="text1"/>
                <w:lang w:eastAsia="en-GB"/>
              </w:rPr>
              <w:t>Developed</w:t>
            </w:r>
            <w:r w:rsidRPr="00B26A8E">
              <w:rPr>
                <w:rFonts w:cstheme="minorHAnsi"/>
                <w:noProof/>
                <w:color w:val="000000" w:themeColor="text1"/>
                <w:lang w:eastAsia="en-GB"/>
              </w:rPr>
              <w:t>”</w:t>
            </w:r>
            <w:r w:rsidR="007B1431" w:rsidRPr="00B26A8E">
              <w:rPr>
                <w:rFonts w:cstheme="minorHAnsi"/>
                <w:noProof/>
                <w:color w:val="000000" w:themeColor="text1"/>
                <w:lang w:eastAsia="en-GB"/>
              </w:rPr>
              <w:t xml:space="preserve"> countries, i.e. Parties to the Montreal Protocol not operating under </w:t>
            </w:r>
            <w:r w:rsidRPr="00B26A8E">
              <w:rPr>
                <w:rFonts w:cstheme="minorHAnsi"/>
                <w:noProof/>
                <w:color w:val="000000" w:themeColor="text1"/>
                <w:lang w:eastAsia="en-GB"/>
              </w:rPr>
              <w:t xml:space="preserve">its </w:t>
            </w:r>
            <w:r w:rsidR="007B1431" w:rsidRPr="00B26A8E">
              <w:rPr>
                <w:rFonts w:cstheme="minorHAnsi"/>
                <w:noProof/>
                <w:color w:val="000000" w:themeColor="text1"/>
                <w:lang w:eastAsia="en-GB"/>
              </w:rPr>
              <w:t>Article 5</w:t>
            </w:r>
            <w:r w:rsidRPr="00B26A8E">
              <w:rPr>
                <w:rFonts w:cstheme="minorHAnsi"/>
                <w:noProof/>
                <w:color w:val="000000" w:themeColor="text1"/>
                <w:lang w:eastAsia="en-GB"/>
              </w:rPr>
              <w:t xml:space="preserve"> (the latter defines the “developing countries”)</w:t>
            </w:r>
          </w:p>
        </w:tc>
      </w:tr>
      <w:tr w:rsidR="007B1431" w:rsidRPr="007B1431" w14:paraId="44613BC5" w14:textId="77777777" w:rsidTr="00B01A7B">
        <w:trPr>
          <w:trHeight w:val="907"/>
        </w:trPr>
        <w:tc>
          <w:tcPr>
            <w:tcW w:w="3261" w:type="dxa"/>
            <w:tcBorders>
              <w:top w:val="nil"/>
              <w:left w:val="single" w:sz="4" w:space="0" w:color="auto"/>
              <w:bottom w:val="single" w:sz="4" w:space="0" w:color="auto"/>
              <w:right w:val="single" w:sz="4" w:space="0" w:color="auto"/>
            </w:tcBorders>
            <w:shd w:val="clear" w:color="auto" w:fill="auto"/>
            <w:vAlign w:val="center"/>
          </w:tcPr>
          <w:p w14:paraId="5797CB48"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ODP</w:t>
            </w:r>
          </w:p>
        </w:tc>
        <w:tc>
          <w:tcPr>
            <w:tcW w:w="6349" w:type="dxa"/>
            <w:tcBorders>
              <w:top w:val="nil"/>
              <w:left w:val="nil"/>
              <w:bottom w:val="single" w:sz="4" w:space="0" w:color="auto"/>
              <w:right w:val="single" w:sz="4" w:space="0" w:color="auto"/>
            </w:tcBorders>
            <w:shd w:val="clear" w:color="auto" w:fill="auto"/>
            <w:vAlign w:val="center"/>
          </w:tcPr>
          <w:p w14:paraId="755E7952" w14:textId="77777777" w:rsidR="007B1431" w:rsidRPr="00B26A8E" w:rsidRDefault="007B1431" w:rsidP="00364FAC">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Ozone</w:t>
            </w:r>
            <w:r w:rsidR="00364FAC">
              <w:rPr>
                <w:rFonts w:cstheme="minorHAnsi"/>
                <w:noProof/>
                <w:color w:val="000000" w:themeColor="text1"/>
                <w:lang w:eastAsia="en-GB"/>
              </w:rPr>
              <w:t>-d</w:t>
            </w:r>
            <w:r w:rsidRPr="00B26A8E">
              <w:rPr>
                <w:rFonts w:cstheme="minorHAnsi"/>
                <w:noProof/>
                <w:color w:val="000000" w:themeColor="text1"/>
                <w:lang w:eastAsia="en-GB"/>
              </w:rPr>
              <w:t xml:space="preserve">epleting </w:t>
            </w:r>
            <w:r w:rsidR="00364FAC">
              <w:rPr>
                <w:rFonts w:cstheme="minorHAnsi"/>
                <w:noProof/>
                <w:color w:val="000000" w:themeColor="text1"/>
                <w:lang w:eastAsia="en-GB"/>
              </w:rPr>
              <w:t>p</w:t>
            </w:r>
            <w:r w:rsidRPr="00B26A8E">
              <w:rPr>
                <w:rFonts w:cstheme="minorHAnsi"/>
                <w:noProof/>
                <w:color w:val="000000" w:themeColor="text1"/>
                <w:lang w:eastAsia="en-GB"/>
              </w:rPr>
              <w:t>otential</w:t>
            </w:r>
            <w:r w:rsidR="00364FAC">
              <w:rPr>
                <w:rFonts w:cstheme="minorHAnsi"/>
                <w:noProof/>
                <w:color w:val="000000" w:themeColor="text1"/>
                <w:lang w:eastAsia="en-GB"/>
              </w:rPr>
              <w:t>:</w:t>
            </w:r>
            <w:r w:rsidRPr="00B26A8E">
              <w:rPr>
                <w:rFonts w:cstheme="minorHAnsi"/>
                <w:noProof/>
                <w:color w:val="000000" w:themeColor="text1"/>
                <w:lang w:eastAsia="en-GB"/>
              </w:rPr>
              <w:t xml:space="preserve"> the amount of ozone depletion caused by a substance. More specifically, it is the ratio of global loss of ozone due to a given substance and global loss of ozone due to trichlorofluoromethane (CFC-11) of the same mass. CFC-11 is as</w:t>
            </w:r>
            <w:r w:rsidR="00B07A60">
              <w:rPr>
                <w:rFonts w:cstheme="minorHAnsi"/>
                <w:noProof/>
                <w:color w:val="000000" w:themeColor="text1"/>
                <w:lang w:eastAsia="en-GB"/>
              </w:rPr>
              <w:t>signed an ODP value of 1. The O</w:t>
            </w:r>
            <w:r w:rsidRPr="00B26A8E">
              <w:rPr>
                <w:rFonts w:cstheme="minorHAnsi"/>
                <w:noProof/>
                <w:color w:val="000000" w:themeColor="text1"/>
                <w:lang w:eastAsia="en-GB"/>
              </w:rPr>
              <w:t>D</w:t>
            </w:r>
            <w:r w:rsidR="00B07A60">
              <w:rPr>
                <w:rFonts w:cstheme="minorHAnsi"/>
                <w:noProof/>
                <w:color w:val="000000" w:themeColor="text1"/>
                <w:lang w:eastAsia="en-GB"/>
              </w:rPr>
              <w:t>P</w:t>
            </w:r>
            <w:r w:rsidRPr="00B26A8E">
              <w:rPr>
                <w:rFonts w:cstheme="minorHAnsi"/>
                <w:noProof/>
                <w:color w:val="000000" w:themeColor="text1"/>
                <w:lang w:eastAsia="en-GB"/>
              </w:rPr>
              <w:t xml:space="preserve"> values of the different ODS range from close to 0 to 10. The higher the ODP value, the more the substance depletes the ozone layer</w:t>
            </w:r>
          </w:p>
        </w:tc>
      </w:tr>
      <w:tr w:rsidR="007B1431" w:rsidRPr="007B1431" w14:paraId="6AD26DD7"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613ECD81" w14:textId="77777777" w:rsidR="007B1431" w:rsidRPr="00B26A8E" w:rsidRDefault="007D4CEE"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tODP</w:t>
            </w:r>
          </w:p>
        </w:tc>
        <w:tc>
          <w:tcPr>
            <w:tcW w:w="6349" w:type="dxa"/>
            <w:tcBorders>
              <w:top w:val="nil"/>
              <w:left w:val="nil"/>
              <w:bottom w:val="single" w:sz="4" w:space="0" w:color="auto"/>
              <w:right w:val="single" w:sz="4" w:space="0" w:color="auto"/>
            </w:tcBorders>
            <w:shd w:val="clear" w:color="auto" w:fill="auto"/>
            <w:vAlign w:val="center"/>
          </w:tcPr>
          <w:p w14:paraId="415EBF01" w14:textId="77777777" w:rsidR="007B1431" w:rsidRPr="00B26A8E" w:rsidRDefault="007B1431" w:rsidP="00E31A2D">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 xml:space="preserve">Metric tonnes of a substance multiplied by its ozone-depleting potential, resulting in ODP-weighted tonnes. As an example, 1 metric tonne of HCFC-22 equals 0.055 </w:t>
            </w:r>
            <w:r w:rsidR="00E31A2D" w:rsidRPr="00B26A8E">
              <w:rPr>
                <w:rFonts w:cstheme="minorHAnsi"/>
                <w:noProof/>
                <w:color w:val="000000" w:themeColor="text1"/>
                <w:lang w:eastAsia="en-GB"/>
              </w:rPr>
              <w:t>tODP, while</w:t>
            </w:r>
            <w:r w:rsidRPr="00B26A8E">
              <w:rPr>
                <w:rFonts w:cstheme="minorHAnsi"/>
                <w:noProof/>
                <w:color w:val="000000" w:themeColor="text1"/>
                <w:lang w:eastAsia="en-GB"/>
              </w:rPr>
              <w:t xml:space="preserve"> 1 metric tonne of halon-1301 equals 10 </w:t>
            </w:r>
            <w:r w:rsidR="00E31A2D" w:rsidRPr="00B26A8E">
              <w:rPr>
                <w:rFonts w:cstheme="minorHAnsi"/>
                <w:noProof/>
                <w:color w:val="000000" w:themeColor="text1"/>
                <w:lang w:eastAsia="en-GB"/>
              </w:rPr>
              <w:t>tODP-t</w:t>
            </w:r>
            <w:r w:rsidRPr="00B26A8E">
              <w:rPr>
                <w:rFonts w:cstheme="minorHAnsi"/>
                <w:noProof/>
                <w:color w:val="000000" w:themeColor="text1"/>
                <w:lang w:eastAsia="en-GB"/>
              </w:rPr>
              <w:t>. This is because halon-1301 depletes the ozone layer considerably more than HCFC-22</w:t>
            </w:r>
          </w:p>
        </w:tc>
      </w:tr>
      <w:tr w:rsidR="007B1431" w:rsidRPr="007B1431" w14:paraId="51FA4868"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25CCC133"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ODS</w:t>
            </w:r>
          </w:p>
        </w:tc>
        <w:tc>
          <w:tcPr>
            <w:tcW w:w="6349" w:type="dxa"/>
            <w:tcBorders>
              <w:top w:val="nil"/>
              <w:left w:val="nil"/>
              <w:bottom w:val="single" w:sz="4" w:space="0" w:color="auto"/>
              <w:right w:val="single" w:sz="4" w:space="0" w:color="auto"/>
            </w:tcBorders>
            <w:shd w:val="clear" w:color="auto" w:fill="auto"/>
            <w:vAlign w:val="center"/>
          </w:tcPr>
          <w:p w14:paraId="3B1C912D" w14:textId="77777777" w:rsidR="007B1431" w:rsidRPr="00B26A8E" w:rsidRDefault="007B1431" w:rsidP="00364FAC">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Ozone-</w:t>
            </w:r>
            <w:r w:rsidR="00E47ED2">
              <w:rPr>
                <w:rFonts w:cstheme="minorHAnsi"/>
                <w:noProof/>
                <w:color w:val="000000" w:themeColor="text1"/>
                <w:lang w:eastAsia="en-GB"/>
              </w:rPr>
              <w:t>d</w:t>
            </w:r>
            <w:r w:rsidRPr="00B26A8E">
              <w:rPr>
                <w:rFonts w:cstheme="minorHAnsi"/>
                <w:noProof/>
                <w:color w:val="000000" w:themeColor="text1"/>
                <w:lang w:eastAsia="en-GB"/>
              </w:rPr>
              <w:t xml:space="preserve">epleting </w:t>
            </w:r>
            <w:r w:rsidR="00E47ED2">
              <w:rPr>
                <w:rFonts w:cstheme="minorHAnsi"/>
                <w:noProof/>
                <w:color w:val="000000" w:themeColor="text1"/>
                <w:lang w:eastAsia="en-GB"/>
              </w:rPr>
              <w:t>s</w:t>
            </w:r>
            <w:r w:rsidRPr="00B26A8E">
              <w:rPr>
                <w:rFonts w:cstheme="minorHAnsi"/>
                <w:noProof/>
                <w:color w:val="000000" w:themeColor="text1"/>
                <w:lang w:eastAsia="en-GB"/>
              </w:rPr>
              <w:t>ubstances, i.e. substances that lead to a deterioration of the stratospheric ozone layer by photochemical reactions releasing reactive halogens (bromine, chlorine atoms) that lead to the breakup of ozone molecules</w:t>
            </w:r>
          </w:p>
        </w:tc>
      </w:tr>
      <w:tr w:rsidR="007B1431" w:rsidRPr="007B1431" w14:paraId="4A7F8E42" w14:textId="77777777" w:rsidTr="00B01A7B">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09B8AE8D"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Ozone hole</w:t>
            </w:r>
          </w:p>
        </w:tc>
        <w:tc>
          <w:tcPr>
            <w:tcW w:w="6349" w:type="dxa"/>
            <w:tcBorders>
              <w:top w:val="nil"/>
              <w:left w:val="nil"/>
              <w:bottom w:val="single" w:sz="4" w:space="0" w:color="auto"/>
              <w:right w:val="single" w:sz="4" w:space="0" w:color="auto"/>
            </w:tcBorders>
            <w:shd w:val="clear" w:color="auto" w:fill="auto"/>
            <w:vAlign w:val="center"/>
          </w:tcPr>
          <w:p w14:paraId="0D0D18DD"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A large area of the stratospheric ozone layer with very low amounts of ozone</w:t>
            </w:r>
          </w:p>
        </w:tc>
      </w:tr>
      <w:tr w:rsidR="007B1431" w:rsidRPr="007B1431" w14:paraId="63E71093" w14:textId="77777777" w:rsidTr="00B01A7B">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1A8147C1"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Ozone layer</w:t>
            </w:r>
          </w:p>
        </w:tc>
        <w:tc>
          <w:tcPr>
            <w:tcW w:w="6349" w:type="dxa"/>
            <w:tcBorders>
              <w:top w:val="nil"/>
              <w:left w:val="nil"/>
              <w:bottom w:val="single" w:sz="4" w:space="0" w:color="auto"/>
              <w:right w:val="single" w:sz="4" w:space="0" w:color="auto"/>
            </w:tcBorders>
            <w:shd w:val="clear" w:color="auto" w:fill="auto"/>
            <w:vAlign w:val="center"/>
          </w:tcPr>
          <w:p w14:paraId="6CAA7F6B"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Region of the upper atmosphere containing relatively high concentrations of ozone molecules. It protects humans and other living things from harmful UV radiation from the sun</w:t>
            </w:r>
          </w:p>
        </w:tc>
      </w:tr>
      <w:tr w:rsidR="007B1431" w:rsidRPr="007B1431" w14:paraId="6161F58E"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3273B60A"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Ozone layer depletion</w:t>
            </w:r>
          </w:p>
        </w:tc>
        <w:tc>
          <w:tcPr>
            <w:tcW w:w="6349" w:type="dxa"/>
            <w:tcBorders>
              <w:top w:val="nil"/>
              <w:left w:val="nil"/>
              <w:bottom w:val="single" w:sz="4" w:space="0" w:color="auto"/>
              <w:right w:val="single" w:sz="4" w:space="0" w:color="auto"/>
            </w:tcBorders>
            <w:shd w:val="clear" w:color="auto" w:fill="auto"/>
            <w:vAlign w:val="center"/>
          </w:tcPr>
          <w:p w14:paraId="1C1B60EC"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Chemical destruction of ozone molecules in the ozone layer leading to low concentrations of ozone and more UV radiation reaching the Earth’s surface</w:t>
            </w:r>
          </w:p>
        </w:tc>
      </w:tr>
      <w:tr w:rsidR="007B1431" w:rsidRPr="007B1431" w14:paraId="58554D6A"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06162ECB"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Placing on the market</w:t>
            </w:r>
          </w:p>
        </w:tc>
        <w:tc>
          <w:tcPr>
            <w:tcW w:w="6349" w:type="dxa"/>
            <w:tcBorders>
              <w:top w:val="nil"/>
              <w:left w:val="nil"/>
              <w:bottom w:val="single" w:sz="4" w:space="0" w:color="auto"/>
              <w:right w:val="single" w:sz="4" w:space="0" w:color="auto"/>
            </w:tcBorders>
            <w:shd w:val="clear" w:color="auto" w:fill="auto"/>
            <w:vAlign w:val="center"/>
          </w:tcPr>
          <w:p w14:paraId="1C0DCBEF"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Supplying or making available to third persons within the European Union for the first time, for payment or free of charge</w:t>
            </w:r>
          </w:p>
        </w:tc>
      </w:tr>
      <w:tr w:rsidR="007B1431" w:rsidRPr="007B1431" w14:paraId="7E20FF79"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5B87C12F"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Process agents</w:t>
            </w:r>
          </w:p>
        </w:tc>
        <w:tc>
          <w:tcPr>
            <w:tcW w:w="6349" w:type="dxa"/>
            <w:tcBorders>
              <w:top w:val="nil"/>
              <w:left w:val="nil"/>
              <w:bottom w:val="single" w:sz="4" w:space="0" w:color="auto"/>
              <w:right w:val="single" w:sz="4" w:space="0" w:color="auto"/>
            </w:tcBorders>
            <w:shd w:val="clear" w:color="auto" w:fill="auto"/>
            <w:vAlign w:val="center"/>
          </w:tcPr>
          <w:p w14:paraId="020B1493" w14:textId="77777777" w:rsidR="007B1431" w:rsidRPr="00B26A8E" w:rsidRDefault="00BA39C9" w:rsidP="00BA39C9">
            <w:pPr>
              <w:spacing w:before="60" w:after="60"/>
              <w:rPr>
                <w:rFonts w:eastAsia="Times New Roman" w:cstheme="minorHAnsi"/>
                <w:noProof/>
                <w:color w:val="000000" w:themeColor="text1"/>
                <w:lang w:eastAsia="en-GB"/>
              </w:rPr>
            </w:pPr>
            <w:r>
              <w:rPr>
                <w:rFonts w:cstheme="minorHAnsi"/>
                <w:noProof/>
                <w:color w:val="000000" w:themeColor="text1"/>
                <w:lang w:eastAsia="en-GB"/>
              </w:rPr>
              <w:t>Substances</w:t>
            </w:r>
            <w:r w:rsidR="007B1431" w:rsidRPr="00B26A8E">
              <w:rPr>
                <w:rFonts w:cstheme="minorHAnsi"/>
                <w:noProof/>
                <w:color w:val="000000" w:themeColor="text1"/>
                <w:lang w:eastAsia="en-GB"/>
              </w:rPr>
              <w:t xml:space="preserve"> used in chemical reactions in industrial processes but, contrary to feedstock, do not undergo chemical transformations themselves during the process. The applications where ODS are allowed to be used as process agents are listed in Annex III to Regulation (EC) No 1005/2009</w:t>
            </w:r>
          </w:p>
        </w:tc>
      </w:tr>
      <w:tr w:rsidR="007B1431" w:rsidRPr="007B1431" w14:paraId="513CD7C9" w14:textId="77777777" w:rsidTr="00B01A7B">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52F5CE61"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Reclamation</w:t>
            </w:r>
          </w:p>
        </w:tc>
        <w:tc>
          <w:tcPr>
            <w:tcW w:w="6349" w:type="dxa"/>
            <w:tcBorders>
              <w:top w:val="nil"/>
              <w:left w:val="nil"/>
              <w:bottom w:val="single" w:sz="4" w:space="0" w:color="auto"/>
              <w:right w:val="single" w:sz="4" w:space="0" w:color="auto"/>
            </w:tcBorders>
            <w:shd w:val="clear" w:color="auto" w:fill="auto"/>
            <w:vAlign w:val="center"/>
          </w:tcPr>
          <w:p w14:paraId="3AFB2EBD" w14:textId="77777777" w:rsidR="007B1431" w:rsidRPr="00B26A8E" w:rsidRDefault="007B1431" w:rsidP="00645EE5">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 xml:space="preserve">Reprocessing of a recovered </w:t>
            </w:r>
            <w:r w:rsidR="00645EE5" w:rsidRPr="00B26A8E">
              <w:rPr>
                <w:rFonts w:cstheme="minorHAnsi"/>
                <w:noProof/>
                <w:color w:val="000000" w:themeColor="text1"/>
                <w:lang w:eastAsia="en-GB"/>
              </w:rPr>
              <w:t>ODS</w:t>
            </w:r>
            <w:r w:rsidRPr="00B26A8E">
              <w:rPr>
                <w:rFonts w:cstheme="minorHAnsi"/>
                <w:noProof/>
                <w:color w:val="000000" w:themeColor="text1"/>
                <w:lang w:eastAsia="en-GB"/>
              </w:rPr>
              <w:t xml:space="preserve"> in order to meet the equivalent performance of a virgin substance, taking into account its intended use</w:t>
            </w:r>
          </w:p>
        </w:tc>
      </w:tr>
      <w:tr w:rsidR="007B1431" w:rsidRPr="007B1431" w14:paraId="5530DB1B" w14:textId="77777777" w:rsidTr="00B01A7B">
        <w:trPr>
          <w:trHeight w:val="624"/>
        </w:trPr>
        <w:tc>
          <w:tcPr>
            <w:tcW w:w="3261" w:type="dxa"/>
            <w:tcBorders>
              <w:top w:val="nil"/>
              <w:left w:val="single" w:sz="4" w:space="0" w:color="auto"/>
              <w:bottom w:val="single" w:sz="4" w:space="0" w:color="auto"/>
              <w:right w:val="single" w:sz="4" w:space="0" w:color="auto"/>
            </w:tcBorders>
            <w:shd w:val="clear" w:color="auto" w:fill="auto"/>
            <w:vAlign w:val="center"/>
          </w:tcPr>
          <w:p w14:paraId="262F0CAB"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Recovery</w:t>
            </w:r>
          </w:p>
        </w:tc>
        <w:tc>
          <w:tcPr>
            <w:tcW w:w="6349" w:type="dxa"/>
            <w:tcBorders>
              <w:top w:val="nil"/>
              <w:left w:val="nil"/>
              <w:bottom w:val="single" w:sz="4" w:space="0" w:color="auto"/>
              <w:right w:val="single" w:sz="4" w:space="0" w:color="auto"/>
            </w:tcBorders>
            <w:shd w:val="clear" w:color="auto" w:fill="auto"/>
            <w:vAlign w:val="center"/>
          </w:tcPr>
          <w:p w14:paraId="7605BD02" w14:textId="77777777" w:rsidR="007B1431" w:rsidRPr="00B26A8E" w:rsidRDefault="007B1431" w:rsidP="00645EE5">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 xml:space="preserve">Collection and storage of </w:t>
            </w:r>
            <w:r w:rsidR="00645EE5" w:rsidRPr="00B26A8E">
              <w:rPr>
                <w:rFonts w:cstheme="minorHAnsi"/>
                <w:noProof/>
                <w:color w:val="000000" w:themeColor="text1"/>
                <w:lang w:eastAsia="en-GB"/>
              </w:rPr>
              <w:t>ODS</w:t>
            </w:r>
            <w:r w:rsidRPr="00B26A8E">
              <w:rPr>
                <w:rFonts w:cstheme="minorHAnsi"/>
                <w:noProof/>
                <w:color w:val="000000" w:themeColor="text1"/>
                <w:lang w:eastAsia="en-GB"/>
              </w:rPr>
              <w:t xml:space="preserve"> from products and equipment or containers during maintenance or servicing or before disposal</w:t>
            </w:r>
          </w:p>
        </w:tc>
      </w:tr>
      <w:tr w:rsidR="007B1431" w:rsidRPr="007B1431" w14:paraId="6CFC3A8C" w14:textId="77777777" w:rsidTr="00B01A7B">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4E526B81"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Recycling</w:t>
            </w:r>
          </w:p>
        </w:tc>
        <w:tc>
          <w:tcPr>
            <w:tcW w:w="6349" w:type="dxa"/>
            <w:tcBorders>
              <w:top w:val="nil"/>
              <w:left w:val="nil"/>
              <w:bottom w:val="single" w:sz="4" w:space="0" w:color="auto"/>
              <w:right w:val="single" w:sz="4" w:space="0" w:color="auto"/>
            </w:tcBorders>
            <w:shd w:val="clear" w:color="auto" w:fill="auto"/>
            <w:vAlign w:val="center"/>
          </w:tcPr>
          <w:p w14:paraId="4AF325C1" w14:textId="77777777" w:rsidR="007B1431" w:rsidRPr="00B26A8E" w:rsidRDefault="007B1431" w:rsidP="00645EE5">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 xml:space="preserve">Reuse of a recovered </w:t>
            </w:r>
            <w:r w:rsidR="00645EE5" w:rsidRPr="00B26A8E">
              <w:rPr>
                <w:rFonts w:cstheme="minorHAnsi"/>
                <w:noProof/>
                <w:color w:val="000000" w:themeColor="text1"/>
                <w:lang w:eastAsia="en-GB"/>
              </w:rPr>
              <w:t>ODS</w:t>
            </w:r>
            <w:r w:rsidRPr="00B26A8E">
              <w:rPr>
                <w:rFonts w:cstheme="minorHAnsi"/>
                <w:noProof/>
                <w:color w:val="000000" w:themeColor="text1"/>
                <w:lang w:eastAsia="en-GB"/>
              </w:rPr>
              <w:t xml:space="preserve"> following a basic cleaning process</w:t>
            </w:r>
          </w:p>
        </w:tc>
      </w:tr>
      <w:tr w:rsidR="007B1431" w:rsidRPr="007B1431" w14:paraId="5B79B7D7"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235EFA1B"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REIO</w:t>
            </w:r>
          </w:p>
        </w:tc>
        <w:tc>
          <w:tcPr>
            <w:tcW w:w="6349" w:type="dxa"/>
            <w:tcBorders>
              <w:top w:val="nil"/>
              <w:left w:val="nil"/>
              <w:bottom w:val="single" w:sz="4" w:space="0" w:color="auto"/>
              <w:right w:val="single" w:sz="4" w:space="0" w:color="auto"/>
            </w:tcBorders>
            <w:shd w:val="clear" w:color="auto" w:fill="auto"/>
            <w:vAlign w:val="center"/>
          </w:tcPr>
          <w:p w14:paraId="0DADB15B"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Regional Economic Integration Organization. The EU is considered a REIO pursuant to Article 1(6) of the Vienna Convention for the Protection of the Ozone Layer</w:t>
            </w:r>
          </w:p>
        </w:tc>
      </w:tr>
      <w:tr w:rsidR="007B1431" w:rsidRPr="007B1431" w14:paraId="5B045C39"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78E8D64"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RSB</w:t>
            </w:r>
          </w:p>
        </w:tc>
        <w:tc>
          <w:tcPr>
            <w:tcW w:w="6349" w:type="dxa"/>
            <w:tcBorders>
              <w:top w:val="nil"/>
              <w:left w:val="nil"/>
              <w:bottom w:val="single" w:sz="4" w:space="0" w:color="auto"/>
              <w:right w:val="single" w:sz="4" w:space="0" w:color="auto"/>
            </w:tcBorders>
            <w:shd w:val="clear" w:color="auto" w:fill="auto"/>
            <w:vAlign w:val="center"/>
          </w:tcPr>
          <w:p w14:paraId="62D330CF"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Regulatory Scrutiny Board</w:t>
            </w:r>
          </w:p>
        </w:tc>
      </w:tr>
      <w:tr w:rsidR="00751603" w:rsidRPr="007B1431" w14:paraId="5CB7BA7B"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5152ED8B" w14:textId="77777777" w:rsidR="00751603" w:rsidRPr="00B26A8E" w:rsidRDefault="00751603" w:rsidP="007B1431">
            <w:pPr>
              <w:spacing w:after="0"/>
              <w:rPr>
                <w:rFonts w:cstheme="minorHAnsi"/>
                <w:noProof/>
                <w:color w:val="000000" w:themeColor="text1"/>
                <w:lang w:eastAsia="en-GB"/>
              </w:rPr>
            </w:pPr>
            <w:r w:rsidRPr="00B26A8E">
              <w:rPr>
                <w:rFonts w:cstheme="minorHAnsi"/>
                <w:noProof/>
                <w:color w:val="000000" w:themeColor="text1"/>
                <w:lang w:eastAsia="en-GB"/>
              </w:rPr>
              <w:t>PCE</w:t>
            </w:r>
          </w:p>
        </w:tc>
        <w:tc>
          <w:tcPr>
            <w:tcW w:w="6349" w:type="dxa"/>
            <w:tcBorders>
              <w:top w:val="nil"/>
              <w:left w:val="nil"/>
              <w:bottom w:val="single" w:sz="4" w:space="0" w:color="auto"/>
              <w:right w:val="single" w:sz="4" w:space="0" w:color="auto"/>
            </w:tcBorders>
            <w:shd w:val="clear" w:color="auto" w:fill="auto"/>
            <w:vAlign w:val="center"/>
          </w:tcPr>
          <w:p w14:paraId="756FCA7B" w14:textId="77777777" w:rsidR="00751603" w:rsidRPr="00B26A8E" w:rsidRDefault="00751603" w:rsidP="00BA39C9">
            <w:pPr>
              <w:spacing w:before="60" w:after="60"/>
              <w:rPr>
                <w:rFonts w:cstheme="minorHAnsi"/>
                <w:noProof/>
                <w:color w:val="000000" w:themeColor="text1"/>
                <w:lang w:eastAsia="en-GB"/>
              </w:rPr>
            </w:pPr>
            <w:r w:rsidRPr="00B26A8E">
              <w:rPr>
                <w:rFonts w:cstheme="minorHAnsi"/>
                <w:noProof/>
                <w:color w:val="000000" w:themeColor="text1"/>
                <w:lang w:eastAsia="en-GB"/>
              </w:rPr>
              <w:t>Perchloroethylene (also called Tetrachloroethylene or –ethene, C</w:t>
            </w:r>
            <w:r w:rsidRPr="00B26A8E">
              <w:rPr>
                <w:rFonts w:cstheme="minorHAnsi"/>
                <w:noProof/>
                <w:color w:val="000000" w:themeColor="text1"/>
                <w:vertAlign w:val="subscript"/>
                <w:lang w:eastAsia="en-GB"/>
              </w:rPr>
              <w:t>2</w:t>
            </w:r>
            <w:r w:rsidRPr="00B26A8E">
              <w:rPr>
                <w:rFonts w:cstheme="minorHAnsi"/>
                <w:noProof/>
                <w:color w:val="000000" w:themeColor="text1"/>
                <w:lang w:eastAsia="en-GB"/>
              </w:rPr>
              <w:t>Cl</w:t>
            </w:r>
            <w:r w:rsidRPr="00B26A8E">
              <w:rPr>
                <w:rFonts w:cstheme="minorHAnsi"/>
                <w:noProof/>
                <w:color w:val="000000" w:themeColor="text1"/>
                <w:vertAlign w:val="subscript"/>
                <w:lang w:eastAsia="en-GB"/>
              </w:rPr>
              <w:t>4</w:t>
            </w:r>
            <w:r w:rsidRPr="00B26A8E">
              <w:rPr>
                <w:rFonts w:cstheme="minorHAnsi"/>
                <w:noProof/>
                <w:color w:val="000000" w:themeColor="text1"/>
                <w:lang w:eastAsia="en-GB"/>
              </w:rPr>
              <w:t xml:space="preserve">); used commonly </w:t>
            </w:r>
            <w:r w:rsidR="00BA39C9" w:rsidRPr="00B26A8E">
              <w:rPr>
                <w:rFonts w:cstheme="minorHAnsi"/>
                <w:noProof/>
                <w:color w:val="000000" w:themeColor="text1"/>
                <w:lang w:eastAsia="en-GB"/>
              </w:rPr>
              <w:t xml:space="preserve">e.g. </w:t>
            </w:r>
            <w:r w:rsidRPr="00B26A8E">
              <w:rPr>
                <w:rFonts w:cstheme="minorHAnsi"/>
                <w:noProof/>
                <w:color w:val="000000" w:themeColor="text1"/>
                <w:lang w:eastAsia="en-GB"/>
              </w:rPr>
              <w:t>in dry cleaning</w:t>
            </w:r>
          </w:p>
        </w:tc>
      </w:tr>
      <w:tr w:rsidR="007B1431" w:rsidRPr="007B1431" w14:paraId="35ECFB68"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0F79ECCF" w14:textId="77777777" w:rsidR="007B1431" w:rsidRPr="00B26A8E" w:rsidRDefault="007B1431" w:rsidP="007B1431">
            <w:pPr>
              <w:spacing w:after="0"/>
              <w:rPr>
                <w:rFonts w:eastAsia="Times New Roman" w:cstheme="minorHAnsi"/>
                <w:noProof/>
                <w:color w:val="000000" w:themeColor="text1"/>
                <w:lang w:eastAsia="en-GB"/>
              </w:rPr>
            </w:pPr>
            <w:r w:rsidRPr="00B26A8E">
              <w:rPr>
                <w:rFonts w:cstheme="minorHAnsi"/>
                <w:noProof/>
                <w:color w:val="000000" w:themeColor="text1"/>
                <w:lang w:eastAsia="en-GB"/>
              </w:rPr>
              <w:t>SAP</w:t>
            </w:r>
          </w:p>
        </w:tc>
        <w:tc>
          <w:tcPr>
            <w:tcW w:w="6349" w:type="dxa"/>
            <w:tcBorders>
              <w:top w:val="nil"/>
              <w:left w:val="nil"/>
              <w:bottom w:val="single" w:sz="4" w:space="0" w:color="auto"/>
              <w:right w:val="single" w:sz="4" w:space="0" w:color="auto"/>
            </w:tcBorders>
            <w:shd w:val="clear" w:color="auto" w:fill="auto"/>
            <w:vAlign w:val="center"/>
          </w:tcPr>
          <w:p w14:paraId="537E78CC" w14:textId="77777777" w:rsidR="007B1431" w:rsidRPr="00B26A8E" w:rsidRDefault="007B1431" w:rsidP="007B1431">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Scientific Assessment Panel (of the Montreal Protocol)</w:t>
            </w:r>
          </w:p>
        </w:tc>
      </w:tr>
      <w:tr w:rsidR="00A14107" w:rsidRPr="007B1431" w14:paraId="3C31703B"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5F75A1B1" w14:textId="77777777" w:rsidR="00A14107" w:rsidRPr="00B26A8E" w:rsidRDefault="00A14107" w:rsidP="00A14107">
            <w:pPr>
              <w:spacing w:after="0"/>
              <w:rPr>
                <w:rFonts w:cstheme="minorHAnsi"/>
                <w:noProof/>
                <w:color w:val="000000" w:themeColor="text1"/>
                <w:lang w:eastAsia="en-GB"/>
              </w:rPr>
            </w:pPr>
            <w:r>
              <w:rPr>
                <w:rFonts w:cstheme="minorHAnsi"/>
                <w:noProof/>
                <w:color w:val="000000" w:themeColor="text1"/>
                <w:lang w:eastAsia="en-GB"/>
              </w:rPr>
              <w:t>Single Window</w:t>
            </w:r>
          </w:p>
        </w:tc>
        <w:tc>
          <w:tcPr>
            <w:tcW w:w="6349" w:type="dxa"/>
            <w:tcBorders>
              <w:top w:val="nil"/>
              <w:left w:val="nil"/>
              <w:bottom w:val="single" w:sz="4" w:space="0" w:color="auto"/>
              <w:right w:val="single" w:sz="4" w:space="0" w:color="auto"/>
            </w:tcBorders>
            <w:shd w:val="clear" w:color="auto" w:fill="auto"/>
            <w:vAlign w:val="center"/>
          </w:tcPr>
          <w:p w14:paraId="3EC8E622" w14:textId="77777777" w:rsidR="00A14107" w:rsidRPr="00B26A8E" w:rsidRDefault="00A14107" w:rsidP="00A14107">
            <w:pPr>
              <w:spacing w:after="0"/>
              <w:rPr>
                <w:rFonts w:cstheme="minorHAnsi"/>
                <w:noProof/>
                <w:color w:val="000000" w:themeColor="text1"/>
                <w:lang w:eastAsia="en-GB"/>
              </w:rPr>
            </w:pPr>
            <w:r>
              <w:rPr>
                <w:rFonts w:cstheme="minorHAnsi"/>
                <w:noProof/>
                <w:color w:val="000000" w:themeColor="text1"/>
                <w:lang w:eastAsia="en-GB"/>
              </w:rPr>
              <w:t xml:space="preserve">European Single Environment for Customs; </w:t>
            </w:r>
            <w:r w:rsidRPr="0010546E">
              <w:rPr>
                <w:rFonts w:cstheme="minorHAnsi"/>
                <w:noProof/>
                <w:color w:val="000000" w:themeColor="text1"/>
                <w:lang w:eastAsia="en-GB"/>
              </w:rPr>
              <w:t>https://ec.europa.eu/taxation_customs/general-information-customs/electronic-customs/eu-single-window-environment-for-customs_en</w:t>
            </w:r>
          </w:p>
        </w:tc>
      </w:tr>
      <w:tr w:rsidR="00A14107" w:rsidRPr="007B1431" w14:paraId="652F495E"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4FAB6505" w14:textId="77777777" w:rsidR="00A14107" w:rsidRPr="00B26A8E" w:rsidRDefault="00A14107" w:rsidP="00A14107">
            <w:pPr>
              <w:spacing w:after="0"/>
              <w:rPr>
                <w:rFonts w:cstheme="minorHAnsi"/>
                <w:noProof/>
                <w:color w:val="000000" w:themeColor="text1"/>
                <w:lang w:eastAsia="en-GB"/>
              </w:rPr>
            </w:pPr>
            <w:r w:rsidRPr="00B26A8E">
              <w:rPr>
                <w:rFonts w:cstheme="minorHAnsi"/>
                <w:noProof/>
                <w:color w:val="000000" w:themeColor="text1"/>
                <w:lang w:eastAsia="en-GB"/>
              </w:rPr>
              <w:t>TARIC</w:t>
            </w:r>
          </w:p>
        </w:tc>
        <w:tc>
          <w:tcPr>
            <w:tcW w:w="6349" w:type="dxa"/>
            <w:tcBorders>
              <w:top w:val="nil"/>
              <w:left w:val="nil"/>
              <w:bottom w:val="single" w:sz="4" w:space="0" w:color="auto"/>
              <w:right w:val="single" w:sz="4" w:space="0" w:color="auto"/>
            </w:tcBorders>
            <w:shd w:val="clear" w:color="auto" w:fill="auto"/>
            <w:vAlign w:val="center"/>
          </w:tcPr>
          <w:p w14:paraId="7D4F45A2" w14:textId="77777777" w:rsidR="00A14107" w:rsidRPr="00B26A8E" w:rsidRDefault="00A14107" w:rsidP="00A14107">
            <w:pPr>
              <w:spacing w:after="0"/>
              <w:rPr>
                <w:rFonts w:cstheme="minorHAnsi"/>
                <w:noProof/>
                <w:color w:val="000000" w:themeColor="text1"/>
                <w:lang w:eastAsia="en-GB"/>
              </w:rPr>
            </w:pPr>
            <w:r w:rsidRPr="00B26A8E">
              <w:rPr>
                <w:rFonts w:cstheme="minorHAnsi"/>
                <w:noProof/>
                <w:color w:val="000000" w:themeColor="text1"/>
                <w:lang w:eastAsia="en-GB"/>
              </w:rPr>
              <w:t>TARI</w:t>
            </w:r>
            <w:r>
              <w:rPr>
                <w:rFonts w:cstheme="minorHAnsi"/>
                <w:noProof/>
                <w:color w:val="000000" w:themeColor="text1"/>
                <w:lang w:eastAsia="en-GB"/>
              </w:rPr>
              <w:t>C = Integrated tariff of the EU</w:t>
            </w:r>
          </w:p>
        </w:tc>
      </w:tr>
      <w:tr w:rsidR="00A14107" w:rsidRPr="007B1431" w14:paraId="7047E605"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21E7C2E" w14:textId="77777777" w:rsidR="00A14107" w:rsidRPr="00B26A8E" w:rsidRDefault="00A14107" w:rsidP="00A14107">
            <w:pPr>
              <w:spacing w:after="0"/>
              <w:rPr>
                <w:rFonts w:eastAsia="Times New Roman" w:cstheme="minorHAnsi"/>
                <w:noProof/>
                <w:color w:val="000000" w:themeColor="text1"/>
                <w:lang w:eastAsia="en-GB"/>
              </w:rPr>
            </w:pPr>
            <w:r w:rsidRPr="00B26A8E">
              <w:rPr>
                <w:rFonts w:cstheme="minorHAnsi"/>
                <w:noProof/>
                <w:color w:val="000000" w:themeColor="text1"/>
                <w:lang w:eastAsia="en-GB"/>
              </w:rPr>
              <w:t>TFE</w:t>
            </w:r>
          </w:p>
        </w:tc>
        <w:tc>
          <w:tcPr>
            <w:tcW w:w="6349" w:type="dxa"/>
            <w:tcBorders>
              <w:top w:val="nil"/>
              <w:left w:val="nil"/>
              <w:bottom w:val="single" w:sz="4" w:space="0" w:color="auto"/>
              <w:right w:val="single" w:sz="4" w:space="0" w:color="auto"/>
            </w:tcBorders>
            <w:shd w:val="clear" w:color="auto" w:fill="auto"/>
            <w:vAlign w:val="center"/>
          </w:tcPr>
          <w:p w14:paraId="468ED32B" w14:textId="77777777" w:rsidR="00A14107" w:rsidRPr="00B26A8E" w:rsidRDefault="00A14107" w:rsidP="00A14107">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Tetrafluoroethylene (or –ethene, C</w:t>
            </w:r>
            <w:r w:rsidRPr="00B26A8E">
              <w:rPr>
                <w:rFonts w:cstheme="minorHAnsi"/>
                <w:noProof/>
                <w:color w:val="000000" w:themeColor="text1"/>
                <w:vertAlign w:val="subscript"/>
                <w:lang w:eastAsia="en-GB"/>
              </w:rPr>
              <w:t>2</w:t>
            </w:r>
            <w:r w:rsidRPr="00B26A8E">
              <w:rPr>
                <w:rFonts w:cstheme="minorHAnsi"/>
                <w:noProof/>
                <w:color w:val="000000" w:themeColor="text1"/>
                <w:lang w:eastAsia="en-GB"/>
              </w:rPr>
              <w:t>F</w:t>
            </w:r>
            <w:r w:rsidRPr="00B26A8E">
              <w:rPr>
                <w:rFonts w:cstheme="minorHAnsi"/>
                <w:noProof/>
                <w:color w:val="000000" w:themeColor="text1"/>
                <w:vertAlign w:val="subscript"/>
                <w:lang w:eastAsia="en-GB"/>
              </w:rPr>
              <w:t>4</w:t>
            </w:r>
            <w:r w:rsidRPr="00B26A8E">
              <w:rPr>
                <w:rFonts w:cstheme="minorHAnsi"/>
                <w:noProof/>
                <w:color w:val="000000" w:themeColor="text1"/>
                <w:lang w:eastAsia="en-GB"/>
              </w:rPr>
              <w:t>); used commonly in the production of fluoro-polymers</w:t>
            </w:r>
          </w:p>
        </w:tc>
      </w:tr>
      <w:tr w:rsidR="00A14107" w:rsidRPr="007B1431" w14:paraId="78C7263E"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11504003" w14:textId="77777777" w:rsidR="00A14107" w:rsidRPr="00B26A8E" w:rsidRDefault="00A14107" w:rsidP="00A14107">
            <w:pPr>
              <w:spacing w:after="0"/>
              <w:rPr>
                <w:rFonts w:eastAsia="Times New Roman" w:cstheme="minorHAnsi"/>
                <w:noProof/>
                <w:color w:val="000000" w:themeColor="text1"/>
                <w:lang w:eastAsia="en-GB"/>
              </w:rPr>
            </w:pPr>
            <w:r w:rsidRPr="00B26A8E">
              <w:rPr>
                <w:rFonts w:cstheme="minorHAnsi"/>
                <w:noProof/>
                <w:color w:val="000000" w:themeColor="text1"/>
                <w:lang w:eastAsia="en-GB"/>
              </w:rPr>
              <w:t>UV radiation</w:t>
            </w:r>
          </w:p>
        </w:tc>
        <w:tc>
          <w:tcPr>
            <w:tcW w:w="6349" w:type="dxa"/>
            <w:tcBorders>
              <w:top w:val="nil"/>
              <w:left w:val="nil"/>
              <w:bottom w:val="single" w:sz="4" w:space="0" w:color="auto"/>
              <w:right w:val="single" w:sz="4" w:space="0" w:color="auto"/>
            </w:tcBorders>
            <w:shd w:val="clear" w:color="auto" w:fill="auto"/>
            <w:vAlign w:val="center"/>
          </w:tcPr>
          <w:p w14:paraId="4EB45FAC" w14:textId="77777777" w:rsidR="00A14107" w:rsidRPr="00B26A8E" w:rsidRDefault="00A14107" w:rsidP="00A14107">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Ultraviolet radiation</w:t>
            </w:r>
            <w:r w:rsidR="00BA39C9">
              <w:rPr>
                <w:rFonts w:cstheme="minorHAnsi"/>
                <w:noProof/>
                <w:color w:val="000000" w:themeColor="text1"/>
                <w:lang w:eastAsia="en-GB"/>
              </w:rPr>
              <w:t>:</w:t>
            </w:r>
            <w:r w:rsidRPr="00B26A8E">
              <w:rPr>
                <w:rFonts w:cstheme="minorHAnsi"/>
                <w:noProof/>
                <w:color w:val="000000" w:themeColor="text1"/>
                <w:lang w:eastAsia="en-GB"/>
              </w:rPr>
              <w:t xml:space="preserve"> Portion of the electromagnetic spectrum with wavelengths shorter than visible light. When the ozone layer becomes thin, more UV radiation from the sun reaches Earth’s surface and may have hazardous effects on the biospere including humans</w:t>
            </w:r>
          </w:p>
        </w:tc>
      </w:tr>
      <w:tr w:rsidR="00A14107" w:rsidRPr="00F42426" w14:paraId="47B5DC00" w14:textId="77777777" w:rsidTr="00B01A7B">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0B1313C9" w14:textId="77777777" w:rsidR="00A14107" w:rsidRPr="00B26A8E" w:rsidRDefault="00A14107" w:rsidP="00A14107">
            <w:pPr>
              <w:spacing w:after="0"/>
              <w:rPr>
                <w:rFonts w:eastAsia="Times New Roman" w:cstheme="minorHAnsi"/>
                <w:noProof/>
                <w:color w:val="000000" w:themeColor="text1"/>
                <w:lang w:eastAsia="en-GB"/>
              </w:rPr>
            </w:pPr>
            <w:r w:rsidRPr="00B26A8E">
              <w:rPr>
                <w:rFonts w:cstheme="minorHAnsi"/>
                <w:noProof/>
                <w:color w:val="000000" w:themeColor="text1"/>
                <w:lang w:eastAsia="en-GB"/>
              </w:rPr>
              <w:t>UNEP</w:t>
            </w:r>
          </w:p>
        </w:tc>
        <w:tc>
          <w:tcPr>
            <w:tcW w:w="6349" w:type="dxa"/>
            <w:tcBorders>
              <w:top w:val="nil"/>
              <w:left w:val="nil"/>
              <w:bottom w:val="single" w:sz="4" w:space="0" w:color="auto"/>
              <w:right w:val="single" w:sz="4" w:space="0" w:color="auto"/>
            </w:tcBorders>
            <w:shd w:val="clear" w:color="auto" w:fill="auto"/>
            <w:vAlign w:val="center"/>
          </w:tcPr>
          <w:p w14:paraId="75EAB1DA" w14:textId="77777777" w:rsidR="00A14107" w:rsidRPr="00B26A8E" w:rsidRDefault="00A14107" w:rsidP="00A14107">
            <w:pPr>
              <w:spacing w:before="60" w:after="60"/>
              <w:rPr>
                <w:rFonts w:eastAsia="Times New Roman" w:cstheme="minorHAnsi"/>
                <w:noProof/>
                <w:color w:val="000000" w:themeColor="text1"/>
                <w:lang w:val="fr-BE" w:eastAsia="en-GB"/>
              </w:rPr>
            </w:pPr>
            <w:r w:rsidRPr="00B26A8E">
              <w:rPr>
                <w:rFonts w:cstheme="minorHAnsi"/>
                <w:noProof/>
                <w:color w:val="000000" w:themeColor="text1"/>
                <w:lang w:val="fr-BE" w:eastAsia="en-GB"/>
              </w:rPr>
              <w:t>United Nations Environment Programme, now UN Environment</w:t>
            </w:r>
          </w:p>
        </w:tc>
      </w:tr>
      <w:tr w:rsidR="00A14107" w:rsidRPr="007B1431" w14:paraId="08E208BF" w14:textId="77777777" w:rsidTr="00B01A7B">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26C5C3BE" w14:textId="77777777" w:rsidR="00A14107" w:rsidRPr="00B26A8E" w:rsidRDefault="00A14107" w:rsidP="00A14107">
            <w:pPr>
              <w:spacing w:after="0"/>
              <w:rPr>
                <w:rFonts w:eastAsia="Times New Roman" w:cstheme="minorHAnsi"/>
                <w:noProof/>
                <w:color w:val="000000" w:themeColor="text1"/>
                <w:lang w:eastAsia="en-GB"/>
              </w:rPr>
            </w:pPr>
            <w:r w:rsidRPr="00B26A8E">
              <w:rPr>
                <w:rFonts w:cstheme="minorHAnsi"/>
                <w:noProof/>
                <w:color w:val="000000" w:themeColor="text1"/>
                <w:lang w:eastAsia="en-GB"/>
              </w:rPr>
              <w:t>Use of ODS</w:t>
            </w:r>
          </w:p>
        </w:tc>
        <w:tc>
          <w:tcPr>
            <w:tcW w:w="6349" w:type="dxa"/>
            <w:tcBorders>
              <w:top w:val="nil"/>
              <w:left w:val="nil"/>
              <w:bottom w:val="single" w:sz="4" w:space="0" w:color="auto"/>
              <w:right w:val="single" w:sz="4" w:space="0" w:color="auto"/>
            </w:tcBorders>
            <w:shd w:val="clear" w:color="auto" w:fill="auto"/>
            <w:vAlign w:val="center"/>
          </w:tcPr>
          <w:p w14:paraId="0BF31E67" w14:textId="77777777" w:rsidR="00A14107" w:rsidRPr="00B26A8E" w:rsidRDefault="00A14107" w:rsidP="00BA39C9">
            <w:pPr>
              <w:spacing w:before="60" w:after="60"/>
              <w:rPr>
                <w:rFonts w:eastAsia="Times New Roman" w:cstheme="minorHAnsi"/>
                <w:noProof/>
                <w:color w:val="000000" w:themeColor="text1"/>
                <w:lang w:eastAsia="en-GB"/>
              </w:rPr>
            </w:pPr>
            <w:r w:rsidRPr="00B26A8E">
              <w:rPr>
                <w:rFonts w:cstheme="minorHAnsi"/>
                <w:noProof/>
                <w:color w:val="000000" w:themeColor="text1"/>
                <w:lang w:eastAsia="en-GB"/>
              </w:rPr>
              <w:t xml:space="preserve">The utilisation of ODS in the production, maintenance or servicing </w:t>
            </w:r>
            <w:r w:rsidR="00BA39C9">
              <w:rPr>
                <w:rFonts w:cstheme="minorHAnsi"/>
                <w:noProof/>
                <w:color w:val="000000" w:themeColor="text1"/>
                <w:lang w:eastAsia="en-GB"/>
              </w:rPr>
              <w:t>(</w:t>
            </w:r>
            <w:r w:rsidRPr="00B26A8E">
              <w:rPr>
                <w:rFonts w:cstheme="minorHAnsi"/>
                <w:noProof/>
                <w:color w:val="000000" w:themeColor="text1"/>
                <w:lang w:eastAsia="en-GB"/>
              </w:rPr>
              <w:t>including refilling</w:t>
            </w:r>
            <w:r w:rsidR="00BA39C9">
              <w:rPr>
                <w:rFonts w:cstheme="minorHAnsi"/>
                <w:noProof/>
                <w:color w:val="000000" w:themeColor="text1"/>
                <w:lang w:eastAsia="en-GB"/>
              </w:rPr>
              <w:t>)</w:t>
            </w:r>
            <w:r w:rsidRPr="00B26A8E">
              <w:rPr>
                <w:rFonts w:cstheme="minorHAnsi"/>
                <w:noProof/>
                <w:color w:val="000000" w:themeColor="text1"/>
                <w:lang w:eastAsia="en-GB"/>
              </w:rPr>
              <w:t>, of products and equipment or in other processes</w:t>
            </w:r>
          </w:p>
        </w:tc>
      </w:tr>
      <w:tr w:rsidR="00A14107" w:rsidRPr="007B1431" w14:paraId="23B0AFAB" w14:textId="77777777" w:rsidTr="00B4529F">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2764B1F" w14:textId="77777777" w:rsidR="00A14107" w:rsidRPr="00B26A8E" w:rsidRDefault="00A14107" w:rsidP="00A14107">
            <w:pPr>
              <w:spacing w:after="0"/>
              <w:rPr>
                <w:rFonts w:eastAsia="Times New Roman" w:cstheme="minorHAnsi"/>
                <w:noProof/>
                <w:color w:val="000000" w:themeColor="text1"/>
                <w:lang w:eastAsia="en-GB"/>
              </w:rPr>
            </w:pPr>
            <w:r w:rsidRPr="00B26A8E">
              <w:rPr>
                <w:rFonts w:cstheme="minorHAnsi"/>
                <w:noProof/>
                <w:color w:val="000000" w:themeColor="text1"/>
                <w:lang w:eastAsia="en-GB"/>
              </w:rPr>
              <w:t>Virgin ODS</w:t>
            </w:r>
          </w:p>
        </w:tc>
        <w:tc>
          <w:tcPr>
            <w:tcW w:w="6349" w:type="dxa"/>
            <w:tcBorders>
              <w:top w:val="nil"/>
              <w:left w:val="nil"/>
              <w:bottom w:val="single" w:sz="4" w:space="0" w:color="auto"/>
              <w:right w:val="single" w:sz="4" w:space="0" w:color="auto"/>
            </w:tcBorders>
            <w:shd w:val="clear" w:color="auto" w:fill="auto"/>
            <w:vAlign w:val="center"/>
          </w:tcPr>
          <w:p w14:paraId="6F2CC5E4" w14:textId="77777777" w:rsidR="00A14107" w:rsidRPr="00B26A8E" w:rsidRDefault="00BA39C9" w:rsidP="00BA39C9">
            <w:pPr>
              <w:spacing w:before="60" w:after="60"/>
              <w:rPr>
                <w:rFonts w:eastAsia="Times New Roman" w:cstheme="minorHAnsi"/>
                <w:noProof/>
                <w:color w:val="000000" w:themeColor="text1"/>
                <w:lang w:eastAsia="en-GB"/>
              </w:rPr>
            </w:pPr>
            <w:r>
              <w:rPr>
                <w:rFonts w:cstheme="minorHAnsi"/>
                <w:noProof/>
                <w:color w:val="000000" w:themeColor="text1"/>
                <w:lang w:eastAsia="en-GB"/>
              </w:rPr>
              <w:t>N</w:t>
            </w:r>
            <w:r w:rsidRPr="00B26A8E">
              <w:rPr>
                <w:rFonts w:cstheme="minorHAnsi"/>
                <w:noProof/>
                <w:color w:val="000000" w:themeColor="text1"/>
                <w:lang w:eastAsia="en-GB"/>
              </w:rPr>
              <w:t xml:space="preserve">ewly produced </w:t>
            </w:r>
            <w:r w:rsidR="00A14107" w:rsidRPr="00B26A8E">
              <w:rPr>
                <w:rFonts w:cstheme="minorHAnsi"/>
                <w:noProof/>
                <w:color w:val="000000" w:themeColor="text1"/>
                <w:lang w:eastAsia="en-GB"/>
              </w:rPr>
              <w:t xml:space="preserve">ODS </w:t>
            </w:r>
            <w:r>
              <w:rPr>
                <w:rFonts w:cstheme="minorHAnsi"/>
                <w:noProof/>
                <w:color w:val="000000" w:themeColor="text1"/>
                <w:lang w:eastAsia="en-GB"/>
              </w:rPr>
              <w:t>that</w:t>
            </w:r>
            <w:r w:rsidRPr="00B26A8E">
              <w:rPr>
                <w:rFonts w:cstheme="minorHAnsi"/>
                <w:noProof/>
                <w:color w:val="000000" w:themeColor="text1"/>
                <w:lang w:eastAsia="en-GB"/>
              </w:rPr>
              <w:t xml:space="preserve"> </w:t>
            </w:r>
            <w:r w:rsidR="00A14107" w:rsidRPr="00B26A8E">
              <w:rPr>
                <w:rFonts w:cstheme="minorHAnsi"/>
                <w:noProof/>
                <w:color w:val="000000" w:themeColor="text1"/>
                <w:lang w:eastAsia="en-GB"/>
              </w:rPr>
              <w:t>have not previously been used</w:t>
            </w:r>
          </w:p>
        </w:tc>
      </w:tr>
      <w:tr w:rsidR="00A14107" w:rsidRPr="007B1431" w14:paraId="327C4A15" w14:textId="77777777" w:rsidTr="00B4529F">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C500611" w14:textId="77777777" w:rsidR="00A14107" w:rsidRPr="00B26A8E" w:rsidRDefault="00A14107" w:rsidP="00A14107">
            <w:pPr>
              <w:spacing w:after="0"/>
              <w:rPr>
                <w:rFonts w:cstheme="minorHAnsi"/>
                <w:noProof/>
                <w:color w:val="000000" w:themeColor="text1"/>
                <w:lang w:eastAsia="en-GB"/>
              </w:rPr>
            </w:pPr>
            <w:r>
              <w:rPr>
                <w:rFonts w:cstheme="minorHAnsi"/>
                <w:noProof/>
                <w:color w:val="000000" w:themeColor="text1"/>
                <w:lang w:eastAsia="en-GB"/>
              </w:rPr>
              <w:t>VSLS</w:t>
            </w:r>
          </w:p>
        </w:tc>
        <w:tc>
          <w:tcPr>
            <w:tcW w:w="6349" w:type="dxa"/>
            <w:tcBorders>
              <w:top w:val="single" w:sz="4" w:space="0" w:color="auto"/>
              <w:left w:val="nil"/>
              <w:bottom w:val="single" w:sz="4" w:space="0" w:color="auto"/>
              <w:right w:val="single" w:sz="4" w:space="0" w:color="auto"/>
            </w:tcBorders>
            <w:shd w:val="clear" w:color="auto" w:fill="auto"/>
            <w:vAlign w:val="center"/>
          </w:tcPr>
          <w:p w14:paraId="350596F0" w14:textId="77777777" w:rsidR="00A14107" w:rsidRPr="00B26A8E" w:rsidRDefault="00A14107" w:rsidP="00A14107">
            <w:pPr>
              <w:spacing w:before="60" w:after="60"/>
              <w:rPr>
                <w:rFonts w:cstheme="minorHAnsi"/>
                <w:noProof/>
                <w:color w:val="000000" w:themeColor="text1"/>
                <w:lang w:eastAsia="en-GB"/>
              </w:rPr>
            </w:pPr>
            <w:r>
              <w:rPr>
                <w:rFonts w:cstheme="minorHAnsi"/>
                <w:noProof/>
                <w:color w:val="000000" w:themeColor="text1"/>
                <w:lang w:eastAsia="en-GB"/>
              </w:rPr>
              <w:t>Very Short-Lived Substance</w:t>
            </w:r>
          </w:p>
        </w:tc>
      </w:tr>
      <w:tr w:rsidR="00CE34BC" w:rsidRPr="007B1431" w14:paraId="0D70915C" w14:textId="77777777" w:rsidTr="00B4529F">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532D9C0" w14:textId="77777777" w:rsidR="00CE34BC" w:rsidRDefault="00CE34BC" w:rsidP="00A14107">
            <w:pPr>
              <w:spacing w:after="0"/>
              <w:rPr>
                <w:rFonts w:cstheme="minorHAnsi"/>
                <w:noProof/>
                <w:color w:val="000000" w:themeColor="text1"/>
                <w:lang w:eastAsia="en-GB"/>
              </w:rPr>
            </w:pPr>
            <w:r>
              <w:rPr>
                <w:rFonts w:cstheme="minorHAnsi"/>
                <w:noProof/>
                <w:color w:val="000000" w:themeColor="text1"/>
                <w:lang w:eastAsia="en-GB"/>
              </w:rPr>
              <w:t>WFD</w:t>
            </w:r>
          </w:p>
        </w:tc>
        <w:tc>
          <w:tcPr>
            <w:tcW w:w="6349" w:type="dxa"/>
            <w:tcBorders>
              <w:top w:val="single" w:sz="4" w:space="0" w:color="auto"/>
              <w:left w:val="nil"/>
              <w:bottom w:val="single" w:sz="4" w:space="0" w:color="auto"/>
              <w:right w:val="single" w:sz="4" w:space="0" w:color="auto"/>
            </w:tcBorders>
            <w:shd w:val="clear" w:color="auto" w:fill="auto"/>
            <w:vAlign w:val="center"/>
          </w:tcPr>
          <w:p w14:paraId="6AD87795" w14:textId="77777777" w:rsidR="00CE34BC" w:rsidRDefault="00CE34BC" w:rsidP="00A14107">
            <w:pPr>
              <w:spacing w:before="60" w:after="60"/>
              <w:rPr>
                <w:rFonts w:cstheme="minorHAnsi"/>
                <w:noProof/>
                <w:color w:val="000000" w:themeColor="text1"/>
                <w:lang w:eastAsia="en-GB"/>
              </w:rPr>
            </w:pPr>
            <w:r>
              <w:rPr>
                <w:rFonts w:cstheme="minorHAnsi"/>
                <w:noProof/>
                <w:color w:val="000000" w:themeColor="text1"/>
                <w:lang w:eastAsia="en-GB"/>
              </w:rPr>
              <w:t>Waste Framework Directive</w:t>
            </w:r>
          </w:p>
        </w:tc>
      </w:tr>
    </w:tbl>
    <w:p w14:paraId="32851E36" w14:textId="77777777" w:rsidR="007D4CEE" w:rsidRDefault="007D4CEE">
      <w:pPr>
        <w:rPr>
          <w:noProof/>
          <w:highlight w:val="lightGray"/>
        </w:rPr>
        <w:sectPr w:rsidR="007D4CEE" w:rsidSect="00C371B5">
          <w:headerReference w:type="even" r:id="rId18"/>
          <w:headerReference w:type="default" r:id="rId19"/>
          <w:footerReference w:type="even" r:id="rId20"/>
          <w:footerReference w:type="default" r:id="rId21"/>
          <w:headerReference w:type="first" r:id="rId22"/>
          <w:footerReference w:type="first" r:id="rId23"/>
          <w:pgSz w:w="11906" w:h="16838"/>
          <w:pgMar w:top="1020" w:right="1701" w:bottom="1020" w:left="1587" w:header="601" w:footer="1077" w:gutter="0"/>
          <w:pgNumType w:fmt="lowerRoman" w:start="1"/>
          <w:cols w:space="720"/>
          <w:titlePg/>
        </w:sectPr>
      </w:pPr>
    </w:p>
    <w:p w14:paraId="37E4C267" w14:textId="14DD6DDA" w:rsidR="006B087E" w:rsidRPr="00F30C16" w:rsidRDefault="00896FDA" w:rsidP="00896FDA">
      <w:pPr>
        <w:pStyle w:val="Heading1"/>
        <w:rPr>
          <w:noProof/>
        </w:rPr>
      </w:pPr>
      <w:bookmarkStart w:id="2" w:name="_Toc71559386"/>
      <w:bookmarkStart w:id="3" w:name="_Toc71706991"/>
      <w:bookmarkStart w:id="4" w:name="_Toc71708201"/>
      <w:bookmarkStart w:id="5" w:name="_Toc71710933"/>
      <w:bookmarkStart w:id="6" w:name="_Toc93511447"/>
      <w:r w:rsidRPr="00896FDA">
        <w:t>1.</w:t>
      </w:r>
      <w:r w:rsidRPr="00896FDA">
        <w:tab/>
      </w:r>
      <w:r w:rsidR="006B087E" w:rsidRPr="00F30C16">
        <w:rPr>
          <w:noProof/>
        </w:rPr>
        <w:t>Introduction: Political and legal context</w:t>
      </w:r>
      <w:bookmarkEnd w:id="2"/>
      <w:bookmarkEnd w:id="3"/>
      <w:bookmarkEnd w:id="4"/>
      <w:bookmarkEnd w:id="5"/>
      <w:bookmarkEnd w:id="6"/>
    </w:p>
    <w:p w14:paraId="5E02B984" w14:textId="12C46EDA" w:rsidR="00F7062C" w:rsidRDefault="00896FDA" w:rsidP="00896FDA">
      <w:pPr>
        <w:pStyle w:val="Heading2"/>
        <w:rPr>
          <w:noProof/>
          <w:lang w:eastAsia="de-DE"/>
        </w:rPr>
      </w:pPr>
      <w:bookmarkStart w:id="7" w:name="_Toc71559387"/>
      <w:bookmarkStart w:id="8" w:name="_Toc71706992"/>
      <w:bookmarkStart w:id="9" w:name="_Toc71708202"/>
      <w:bookmarkStart w:id="10" w:name="_Toc71710934"/>
      <w:bookmarkStart w:id="11" w:name="_Toc93511448"/>
      <w:r w:rsidRPr="00896FDA">
        <w:t>1.1.</w:t>
      </w:r>
      <w:r w:rsidRPr="00896FDA">
        <w:tab/>
      </w:r>
      <w:r w:rsidR="00D7465A">
        <w:rPr>
          <w:noProof/>
          <w:lang w:eastAsia="de-DE"/>
        </w:rPr>
        <w:t xml:space="preserve">The European Green Deal and </w:t>
      </w:r>
      <w:r w:rsidR="003B636E">
        <w:rPr>
          <w:noProof/>
          <w:lang w:eastAsia="de-DE"/>
        </w:rPr>
        <w:t xml:space="preserve">the </w:t>
      </w:r>
      <w:r w:rsidR="00D7465A">
        <w:rPr>
          <w:noProof/>
          <w:lang w:eastAsia="de-DE"/>
        </w:rPr>
        <w:t>Paris Agreement on Climate Change</w:t>
      </w:r>
      <w:bookmarkEnd w:id="7"/>
      <w:bookmarkEnd w:id="8"/>
      <w:bookmarkEnd w:id="9"/>
      <w:bookmarkEnd w:id="10"/>
      <w:bookmarkEnd w:id="11"/>
    </w:p>
    <w:p w14:paraId="2993DD76" w14:textId="10405C13" w:rsidR="00A14107" w:rsidRPr="00A14107" w:rsidRDefault="00A14107" w:rsidP="00A14107">
      <w:pPr>
        <w:spacing w:after="120"/>
        <w:jc w:val="both"/>
        <w:rPr>
          <w:rFonts w:ascii="Times New Roman" w:hAnsi="Times New Roman" w:cs="Times New Roman"/>
          <w:iCs/>
          <w:noProof/>
          <w:sz w:val="24"/>
          <w:szCs w:val="24"/>
        </w:rPr>
      </w:pPr>
      <w:r w:rsidRPr="00A14107">
        <w:rPr>
          <w:rFonts w:ascii="Times New Roman" w:hAnsi="Times New Roman" w:cs="Times New Roman"/>
          <w:noProof/>
          <w:sz w:val="24"/>
          <w:szCs w:val="24"/>
        </w:rPr>
        <w:t>The European Green Deal</w:t>
      </w:r>
      <w:r w:rsidRPr="00A14107">
        <w:rPr>
          <w:noProof/>
          <w:sz w:val="24"/>
          <w:szCs w:val="24"/>
          <w:vertAlign w:val="superscript"/>
        </w:rPr>
        <w:footnoteReference w:id="2"/>
      </w:r>
      <w:r w:rsidRPr="00A14107">
        <w:rPr>
          <w:rFonts w:ascii="Times New Roman" w:hAnsi="Times New Roman" w:cs="Times New Roman"/>
          <w:noProof/>
          <w:sz w:val="24"/>
          <w:szCs w:val="24"/>
        </w:rPr>
        <w:t xml:space="preserve"> aims at preventing climate change and protecting, conserving and enhancing the EU's natural capital as well as protecting the health and well-being of citizens from environment-related risk</w:t>
      </w:r>
      <w:r w:rsidR="00D522F0">
        <w:rPr>
          <w:rFonts w:ascii="Times New Roman" w:hAnsi="Times New Roman" w:cs="Times New Roman"/>
          <w:noProof/>
          <w:sz w:val="24"/>
          <w:szCs w:val="24"/>
        </w:rPr>
        <w:t>s</w:t>
      </w:r>
      <w:r w:rsidRPr="00A14107">
        <w:rPr>
          <w:rFonts w:ascii="Times New Roman" w:hAnsi="Times New Roman" w:cs="Times New Roman"/>
          <w:noProof/>
          <w:sz w:val="24"/>
          <w:szCs w:val="24"/>
        </w:rPr>
        <w:t xml:space="preserve">. </w:t>
      </w:r>
      <w:r w:rsidRPr="00A14107">
        <w:rPr>
          <w:rFonts w:ascii="Times New Roman" w:hAnsi="Times New Roman" w:cs="Times New Roman"/>
          <w:iCs/>
          <w:noProof/>
          <w:sz w:val="24"/>
          <w:szCs w:val="24"/>
        </w:rPr>
        <w:t>Emissions from ozone</w:t>
      </w:r>
      <w:r w:rsidR="00D522F0">
        <w:rPr>
          <w:rFonts w:ascii="Times New Roman" w:hAnsi="Times New Roman" w:cs="Times New Roman"/>
          <w:iCs/>
          <w:noProof/>
          <w:sz w:val="24"/>
          <w:szCs w:val="24"/>
        </w:rPr>
        <w:t>-</w:t>
      </w:r>
      <w:r w:rsidRPr="00A14107">
        <w:rPr>
          <w:rFonts w:ascii="Times New Roman" w:hAnsi="Times New Roman" w:cs="Times New Roman"/>
          <w:iCs/>
          <w:noProof/>
          <w:sz w:val="24"/>
          <w:szCs w:val="24"/>
        </w:rPr>
        <w:t xml:space="preserve">depleting substances (ODS) are resulting both in </w:t>
      </w:r>
      <w:r w:rsidR="00DA72F7">
        <w:rPr>
          <w:rFonts w:ascii="Times New Roman" w:hAnsi="Times New Roman" w:cs="Times New Roman"/>
          <w:iCs/>
          <w:noProof/>
          <w:sz w:val="24"/>
          <w:szCs w:val="24"/>
        </w:rPr>
        <w:t xml:space="preserve">the formation of </w:t>
      </w:r>
      <w:r w:rsidRPr="00A14107">
        <w:rPr>
          <w:rFonts w:ascii="Times New Roman" w:hAnsi="Times New Roman" w:cs="Times New Roman"/>
          <w:iCs/>
          <w:noProof/>
          <w:sz w:val="24"/>
          <w:szCs w:val="24"/>
        </w:rPr>
        <w:t>a ‘</w:t>
      </w:r>
      <w:r w:rsidRPr="00A14107">
        <w:rPr>
          <w:rFonts w:ascii="Times New Roman" w:hAnsi="Times New Roman" w:cs="Times New Roman"/>
          <w:b/>
          <w:iCs/>
          <w:noProof/>
          <w:sz w:val="24"/>
          <w:szCs w:val="24"/>
        </w:rPr>
        <w:t>hole’ in the ozone layer</w:t>
      </w:r>
      <w:r w:rsidRPr="00A14107">
        <w:rPr>
          <w:rFonts w:ascii="Times New Roman" w:hAnsi="Times New Roman" w:cs="Times New Roman"/>
          <w:iCs/>
          <w:noProof/>
          <w:sz w:val="24"/>
          <w:szCs w:val="24"/>
        </w:rPr>
        <w:t xml:space="preserve">, as well as in </w:t>
      </w:r>
      <w:r w:rsidR="00DA72F7">
        <w:rPr>
          <w:rFonts w:ascii="Times New Roman" w:hAnsi="Times New Roman" w:cs="Times New Roman"/>
          <w:iCs/>
          <w:noProof/>
          <w:sz w:val="24"/>
          <w:szCs w:val="24"/>
        </w:rPr>
        <w:t xml:space="preserve">contributing to </w:t>
      </w:r>
      <w:r w:rsidRPr="00A14107">
        <w:rPr>
          <w:rFonts w:ascii="Times New Roman" w:hAnsi="Times New Roman" w:cs="Times New Roman"/>
          <w:iCs/>
          <w:noProof/>
          <w:sz w:val="24"/>
          <w:szCs w:val="24"/>
        </w:rPr>
        <w:t xml:space="preserve">climate warming. </w:t>
      </w:r>
      <w:r w:rsidRPr="00A14107">
        <w:rPr>
          <w:rFonts w:ascii="Times New Roman" w:hAnsi="Times New Roman" w:cs="Times New Roman"/>
          <w:noProof/>
          <w:sz w:val="24"/>
          <w:szCs w:val="24"/>
        </w:rPr>
        <w:t xml:space="preserve">Consequently, preventing such emissions is key </w:t>
      </w:r>
      <w:r w:rsidR="00D522F0">
        <w:rPr>
          <w:rFonts w:ascii="Times New Roman" w:hAnsi="Times New Roman" w:cs="Times New Roman"/>
          <w:noProof/>
          <w:sz w:val="24"/>
          <w:szCs w:val="24"/>
        </w:rPr>
        <w:t>to</w:t>
      </w:r>
      <w:r w:rsidR="00D522F0"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preventing </w:t>
      </w:r>
      <w:r w:rsidR="00D522F0">
        <w:rPr>
          <w:rFonts w:ascii="Times New Roman" w:hAnsi="Times New Roman" w:cs="Times New Roman"/>
          <w:noProof/>
          <w:sz w:val="24"/>
          <w:szCs w:val="24"/>
        </w:rPr>
        <w:t xml:space="preserve">adverse </w:t>
      </w:r>
      <w:r w:rsidRPr="00A14107">
        <w:rPr>
          <w:rFonts w:ascii="Times New Roman" w:hAnsi="Times New Roman" w:cs="Times New Roman"/>
          <w:noProof/>
          <w:sz w:val="24"/>
          <w:szCs w:val="24"/>
        </w:rPr>
        <w:t>health effects from a damaged</w:t>
      </w:r>
      <w:r w:rsidRPr="00A14107">
        <w:rPr>
          <w:rFonts w:ascii="Times New Roman" w:hAnsi="Times New Roman" w:cs="Times New Roman"/>
          <w:b/>
          <w:noProof/>
          <w:sz w:val="24"/>
          <w:szCs w:val="24"/>
        </w:rPr>
        <w:t xml:space="preserve"> ozone layer</w:t>
      </w:r>
      <w:r w:rsidRPr="00A14107">
        <w:rPr>
          <w:rFonts w:ascii="Times New Roman" w:hAnsi="Times New Roman" w:cs="Times New Roman"/>
          <w:noProof/>
          <w:sz w:val="24"/>
          <w:szCs w:val="24"/>
        </w:rPr>
        <w:t xml:space="preserve"> and </w:t>
      </w:r>
      <w:r w:rsidRPr="00A14107">
        <w:rPr>
          <w:rFonts w:ascii="Times New Roman" w:hAnsi="Times New Roman" w:cs="Times New Roman"/>
          <w:b/>
          <w:noProof/>
          <w:sz w:val="24"/>
          <w:szCs w:val="24"/>
        </w:rPr>
        <w:t xml:space="preserve">for reaching the objective of the </w:t>
      </w:r>
      <w:r w:rsidRPr="00A14107">
        <w:rPr>
          <w:rFonts w:ascii="Times New Roman" w:hAnsi="Times New Roman" w:cs="Times New Roman"/>
          <w:b/>
          <w:i/>
          <w:noProof/>
          <w:sz w:val="24"/>
          <w:szCs w:val="24"/>
        </w:rPr>
        <w:t>Paris Agreement on Climate Change</w:t>
      </w:r>
      <w:r w:rsidRPr="00A14107">
        <w:rPr>
          <w:rFonts w:ascii="Times New Roman" w:hAnsi="Times New Roman" w:cs="Times New Roman"/>
          <w:i/>
          <w:iCs/>
          <w:noProof/>
          <w:sz w:val="24"/>
          <w:szCs w:val="24"/>
        </w:rPr>
        <w:t>.</w:t>
      </w:r>
      <w:r w:rsidR="005522F3">
        <w:rPr>
          <w:rFonts w:ascii="Times New Roman" w:hAnsi="Times New Roman" w:cs="Times New Roman"/>
          <w:i/>
          <w:iCs/>
          <w:noProof/>
          <w:sz w:val="24"/>
          <w:szCs w:val="24"/>
        </w:rPr>
        <w:t xml:space="preserve"> </w:t>
      </w:r>
      <w:r w:rsidRPr="00A14107">
        <w:rPr>
          <w:rFonts w:ascii="Times New Roman" w:hAnsi="Times New Roman" w:cs="Times New Roman"/>
          <w:noProof/>
          <w:sz w:val="24"/>
          <w:szCs w:val="24"/>
        </w:rPr>
        <w:t>This report is an impact assessment of options that aim at improving the EU’s policy to reduce such emissions.</w:t>
      </w:r>
      <w:r w:rsidRPr="00A14107">
        <w:rPr>
          <w:rFonts w:ascii="Times New Roman" w:hAnsi="Times New Roman" w:cs="Times New Roman"/>
          <w:noProof/>
          <w:sz w:val="24"/>
          <w:szCs w:val="24"/>
          <w:lang w:eastAsia="de-DE"/>
        </w:rPr>
        <w:t xml:space="preserve"> </w:t>
      </w:r>
    </w:p>
    <w:p w14:paraId="28A3CFE9" w14:textId="77777777" w:rsidR="00A14107" w:rsidRPr="00A14107" w:rsidRDefault="00A14107" w:rsidP="00A14107">
      <w:pPr>
        <w:spacing w:after="120"/>
        <w:jc w:val="both"/>
        <w:rPr>
          <w:rFonts w:ascii="Times New Roman" w:hAnsi="Times New Roman" w:cs="Times New Roman"/>
          <w:noProof/>
          <w:sz w:val="24"/>
          <w:szCs w:val="24"/>
          <w:lang w:eastAsia="de-DE"/>
        </w:rPr>
      </w:pPr>
      <w:r w:rsidRPr="00A14107">
        <w:rPr>
          <w:rFonts w:ascii="Times New Roman" w:hAnsi="Times New Roman" w:cs="Times New Roman"/>
          <w:noProof/>
          <w:sz w:val="24"/>
          <w:szCs w:val="24"/>
          <w:lang w:eastAsia="de-DE"/>
        </w:rPr>
        <w:t xml:space="preserve">ODS are man-made chemicals that frequently reach the upper atmosphere after emission. The </w:t>
      </w:r>
      <w:r w:rsidRPr="00A14107">
        <w:rPr>
          <w:rFonts w:ascii="Times New Roman" w:hAnsi="Times New Roman" w:cs="Times New Roman"/>
          <w:noProof/>
          <w:sz w:val="24"/>
          <w:szCs w:val="24"/>
        </w:rPr>
        <w:t>so-called “hole” in the ozone layer was discovered in the 1980s. It is now on the way to recovery</w:t>
      </w:r>
      <w:r w:rsidRPr="00A14107">
        <w:rPr>
          <w:noProof/>
          <w:sz w:val="24"/>
          <w:szCs w:val="24"/>
          <w:vertAlign w:val="superscript"/>
        </w:rPr>
        <w:footnoteReference w:id="3"/>
      </w:r>
      <w:r w:rsidRPr="00A14107">
        <w:rPr>
          <w:rFonts w:ascii="Times New Roman" w:hAnsi="Times New Roman" w:cs="Times New Roman"/>
          <w:noProof/>
          <w:sz w:val="24"/>
          <w:szCs w:val="24"/>
        </w:rPr>
        <w:t xml:space="preserve"> </w:t>
      </w:r>
      <w:r w:rsidR="00DA72F7">
        <w:rPr>
          <w:rFonts w:ascii="Times New Roman" w:hAnsi="Times New Roman" w:cs="Times New Roman"/>
          <w:noProof/>
          <w:sz w:val="24"/>
          <w:szCs w:val="24"/>
        </w:rPr>
        <w:t>which</w:t>
      </w:r>
      <w:r w:rsidRPr="00A14107">
        <w:rPr>
          <w:rFonts w:ascii="Times New Roman" w:hAnsi="Times New Roman" w:cs="Times New Roman"/>
          <w:noProof/>
          <w:sz w:val="24"/>
          <w:szCs w:val="24"/>
        </w:rPr>
        <w:t xml:space="preserve"> is preventing</w:t>
      </w:r>
      <w:r w:rsidR="00DA72F7">
        <w:rPr>
          <w:rFonts w:ascii="Times New Roman" w:hAnsi="Times New Roman" w:cs="Times New Roman"/>
          <w:noProof/>
          <w:sz w:val="24"/>
          <w:szCs w:val="24"/>
        </w:rPr>
        <w:t xml:space="preserve"> </w:t>
      </w:r>
      <w:r w:rsidR="00E47ED2">
        <w:rPr>
          <w:rFonts w:ascii="Times New Roman" w:hAnsi="Times New Roman" w:cs="Times New Roman"/>
          <w:noProof/>
          <w:sz w:val="24"/>
          <w:szCs w:val="24"/>
        </w:rPr>
        <w:t xml:space="preserve">any </w:t>
      </w:r>
      <w:r w:rsidR="00DA72F7">
        <w:rPr>
          <w:rFonts w:ascii="Times New Roman" w:hAnsi="Times New Roman" w:cs="Times New Roman"/>
          <w:noProof/>
          <w:sz w:val="24"/>
          <w:szCs w:val="24"/>
        </w:rPr>
        <w:t>further</w:t>
      </w:r>
      <w:r w:rsidRPr="00A14107">
        <w:rPr>
          <w:rFonts w:ascii="Times New Roman" w:hAnsi="Times New Roman" w:cs="Times New Roman"/>
          <w:noProof/>
          <w:sz w:val="24"/>
          <w:szCs w:val="24"/>
        </w:rPr>
        <w:t xml:space="preserve"> significant adverse impacts on our health</w:t>
      </w:r>
      <w:r w:rsidR="00DA72F7">
        <w:rPr>
          <w:rFonts w:ascii="Times New Roman" w:hAnsi="Times New Roman" w:cs="Times New Roman"/>
          <w:noProof/>
          <w:sz w:val="24"/>
          <w:szCs w:val="24"/>
        </w:rPr>
        <w:t xml:space="preserve"> and</w:t>
      </w:r>
      <w:r w:rsidRPr="00A14107">
        <w:rPr>
          <w:rFonts w:ascii="Times New Roman" w:hAnsi="Times New Roman" w:cs="Times New Roman"/>
          <w:noProof/>
          <w:sz w:val="24"/>
          <w:szCs w:val="24"/>
        </w:rPr>
        <w:t xml:space="preserve"> the biosphere</w:t>
      </w:r>
      <w:r w:rsidR="00DA72F7">
        <w:rPr>
          <w:rFonts w:ascii="Times New Roman" w:hAnsi="Times New Roman" w:cs="Times New Roman"/>
          <w:noProof/>
          <w:sz w:val="24"/>
          <w:szCs w:val="24"/>
        </w:rPr>
        <w:t>,</w:t>
      </w:r>
      <w:r w:rsidRPr="00A14107">
        <w:rPr>
          <w:rFonts w:ascii="Times New Roman" w:hAnsi="Times New Roman" w:cs="Times New Roman"/>
          <w:noProof/>
          <w:sz w:val="24"/>
          <w:szCs w:val="24"/>
        </w:rPr>
        <w:t xml:space="preserve"> as well as </w:t>
      </w:r>
      <w:r w:rsidR="00DA72F7">
        <w:rPr>
          <w:rFonts w:ascii="Times New Roman" w:hAnsi="Times New Roman" w:cs="Times New Roman"/>
          <w:noProof/>
          <w:sz w:val="24"/>
          <w:szCs w:val="24"/>
        </w:rPr>
        <w:t>having widespread</w:t>
      </w:r>
      <w:r w:rsidR="00DA72F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economic implications.</w:t>
      </w:r>
      <w:r w:rsidRPr="00A14107">
        <w:rPr>
          <w:rFonts w:ascii="Times New Roman" w:hAnsi="Times New Roman" w:cs="Times New Roman"/>
          <w:noProof/>
          <w:sz w:val="24"/>
          <w:szCs w:val="24"/>
          <w:lang w:eastAsia="de-DE"/>
        </w:rPr>
        <w:t xml:space="preserve"> </w:t>
      </w:r>
      <w:r w:rsidRPr="00A14107">
        <w:rPr>
          <w:rFonts w:ascii="Times New Roman" w:hAnsi="Times New Roman" w:cs="Times New Roman"/>
          <w:noProof/>
          <w:sz w:val="24"/>
          <w:szCs w:val="24"/>
        </w:rPr>
        <w:t xml:space="preserve">Most ODS are also very strong greenhouse gases. Global action to eliminate ODS has already </w:t>
      </w:r>
      <w:r w:rsidR="00DA72F7">
        <w:rPr>
          <w:rFonts w:ascii="Times New Roman" w:hAnsi="Times New Roman" w:cs="Times New Roman"/>
          <w:noProof/>
          <w:sz w:val="24"/>
          <w:szCs w:val="24"/>
        </w:rPr>
        <w:t>achieved</w:t>
      </w:r>
      <w:r w:rsidR="00DA72F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significant climate</w:t>
      </w:r>
      <w:r w:rsidR="00DA72F7">
        <w:rPr>
          <w:rFonts w:ascii="Times New Roman" w:hAnsi="Times New Roman" w:cs="Times New Roman"/>
          <w:noProof/>
          <w:sz w:val="24"/>
          <w:szCs w:val="24"/>
        </w:rPr>
        <w:t>-related</w:t>
      </w:r>
      <w:r w:rsidRPr="00A14107">
        <w:rPr>
          <w:rFonts w:ascii="Times New Roman" w:hAnsi="Times New Roman" w:cs="Times New Roman"/>
          <w:noProof/>
          <w:sz w:val="24"/>
          <w:szCs w:val="24"/>
        </w:rPr>
        <w:t xml:space="preserve"> benefits, e.g. the </w:t>
      </w:r>
      <w:r w:rsidR="00DA72F7">
        <w:rPr>
          <w:rFonts w:ascii="Times New Roman" w:hAnsi="Times New Roman" w:cs="Times New Roman"/>
          <w:noProof/>
          <w:sz w:val="24"/>
          <w:szCs w:val="24"/>
        </w:rPr>
        <w:t xml:space="preserve">positive </w:t>
      </w:r>
      <w:r w:rsidRPr="00A14107">
        <w:rPr>
          <w:rFonts w:ascii="Times New Roman" w:hAnsi="Times New Roman" w:cs="Times New Roman"/>
          <w:noProof/>
          <w:sz w:val="24"/>
          <w:szCs w:val="24"/>
        </w:rPr>
        <w:t>climate impact</w:t>
      </w:r>
      <w:r w:rsidR="00DA72F7">
        <w:rPr>
          <w:rFonts w:ascii="Times New Roman" w:hAnsi="Times New Roman" w:cs="Times New Roman"/>
          <w:noProof/>
          <w:sz w:val="24"/>
          <w:szCs w:val="24"/>
        </w:rPr>
        <w:t>s</w:t>
      </w:r>
      <w:r w:rsidRPr="00A14107">
        <w:rPr>
          <w:rFonts w:ascii="Times New Roman" w:hAnsi="Times New Roman" w:cs="Times New Roman"/>
          <w:noProof/>
          <w:sz w:val="24"/>
          <w:szCs w:val="24"/>
        </w:rPr>
        <w:t xml:space="preserve"> </w:t>
      </w:r>
      <w:r w:rsidR="00DA72F7">
        <w:rPr>
          <w:rFonts w:ascii="Times New Roman" w:hAnsi="Times New Roman" w:cs="Times New Roman"/>
          <w:noProof/>
          <w:sz w:val="24"/>
          <w:szCs w:val="24"/>
        </w:rPr>
        <w:t>from</w:t>
      </w:r>
      <w:r w:rsidRPr="00A14107">
        <w:rPr>
          <w:rFonts w:ascii="Times New Roman" w:hAnsi="Times New Roman" w:cs="Times New Roman"/>
          <w:noProof/>
          <w:sz w:val="24"/>
          <w:szCs w:val="24"/>
        </w:rPr>
        <w:t xml:space="preserve"> saved ODS emissions </w:t>
      </w:r>
      <w:r w:rsidR="00DA72F7">
        <w:rPr>
          <w:rFonts w:ascii="Times New Roman" w:hAnsi="Times New Roman" w:cs="Times New Roman"/>
          <w:noProof/>
          <w:sz w:val="24"/>
          <w:szCs w:val="24"/>
        </w:rPr>
        <w:t>for the period</w:t>
      </w:r>
      <w:r w:rsidR="00DA72F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1988 to 2010 were 5-6 times higher than those achieved </w:t>
      </w:r>
      <w:r w:rsidR="00DA72F7">
        <w:rPr>
          <w:rFonts w:ascii="Times New Roman" w:hAnsi="Times New Roman" w:cs="Times New Roman"/>
          <w:noProof/>
          <w:sz w:val="24"/>
          <w:szCs w:val="24"/>
        </w:rPr>
        <w:t>during</w:t>
      </w:r>
      <w:r w:rsidR="00DA72F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 Kyoto Protocol’s first commitment period.</w:t>
      </w:r>
      <w:r w:rsidRPr="00A14107">
        <w:rPr>
          <w:noProof/>
          <w:sz w:val="24"/>
          <w:szCs w:val="24"/>
          <w:vertAlign w:val="superscript"/>
        </w:rPr>
        <w:footnoteReference w:id="4"/>
      </w:r>
      <w:r w:rsidRPr="00A14107">
        <w:rPr>
          <w:rFonts w:ascii="Times New Roman" w:hAnsi="Times New Roman" w:cs="Times New Roman"/>
          <w:noProof/>
          <w:sz w:val="24"/>
          <w:szCs w:val="24"/>
        </w:rPr>
        <w:t xml:space="preserve"> </w:t>
      </w:r>
    </w:p>
    <w:p w14:paraId="2F6BE188" w14:textId="77777777" w:rsidR="00A14107" w:rsidRPr="00501849" w:rsidRDefault="00A14107" w:rsidP="00501849">
      <w:pPr>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climate relevance of ODS emissions is not </w:t>
      </w:r>
      <w:r w:rsidR="00DA72F7">
        <w:rPr>
          <w:rFonts w:ascii="Times New Roman" w:hAnsi="Times New Roman" w:cs="Times New Roman"/>
          <w:noProof/>
          <w:sz w:val="24"/>
          <w:szCs w:val="24"/>
        </w:rPr>
        <w:t>included</w:t>
      </w:r>
      <w:r w:rsidR="00DA72F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in the EU’s climate target to reach at least 55% emission reductions by 2030. Thus, any action to reduce ODS emissions further would result in additional savings</w:t>
      </w:r>
      <w:r w:rsidRPr="00A14107">
        <w:rPr>
          <w:noProof/>
          <w:sz w:val="24"/>
          <w:szCs w:val="24"/>
          <w:vertAlign w:val="superscript"/>
        </w:rPr>
        <w:footnoteReference w:id="5"/>
      </w:r>
      <w:r w:rsidRPr="00A14107">
        <w:rPr>
          <w:rFonts w:ascii="Times New Roman" w:hAnsi="Times New Roman" w:cs="Times New Roman"/>
          <w:noProof/>
          <w:sz w:val="24"/>
          <w:szCs w:val="24"/>
        </w:rPr>
        <w:t xml:space="preserve"> for the climate and contribute to reaching climate neutrality by 2050.</w:t>
      </w:r>
      <w:bookmarkStart w:id="12" w:name="_Toc71559388"/>
      <w:bookmarkStart w:id="13" w:name="_Toc71706993"/>
      <w:bookmarkStart w:id="14" w:name="_Toc71708203"/>
      <w:bookmarkStart w:id="15" w:name="_Toc71710935"/>
      <w:bookmarkStart w:id="16" w:name="_Toc72399337"/>
    </w:p>
    <w:p w14:paraId="58B7E79C" w14:textId="4AFE2453" w:rsidR="00A14107" w:rsidRPr="00A14107" w:rsidRDefault="00896FDA" w:rsidP="00896FDA">
      <w:pPr>
        <w:pStyle w:val="Heading2"/>
        <w:rPr>
          <w:noProof/>
          <w:lang w:eastAsia="de-DE"/>
        </w:rPr>
      </w:pPr>
      <w:bookmarkStart w:id="17" w:name="_Toc93511449"/>
      <w:r w:rsidRPr="00896FDA">
        <w:t>1.2.</w:t>
      </w:r>
      <w:r w:rsidRPr="00896FDA">
        <w:tab/>
      </w:r>
      <w:r w:rsidR="00A14107" w:rsidRPr="00A14107">
        <w:rPr>
          <w:noProof/>
          <w:lang w:eastAsia="de-DE"/>
        </w:rPr>
        <w:t>The Montreal Protocol on substances that deplete the ozone layer</w:t>
      </w:r>
      <w:bookmarkEnd w:id="12"/>
      <w:bookmarkEnd w:id="13"/>
      <w:bookmarkEnd w:id="14"/>
      <w:bookmarkEnd w:id="15"/>
      <w:bookmarkEnd w:id="16"/>
      <w:bookmarkEnd w:id="17"/>
    </w:p>
    <w:p w14:paraId="223D3745"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In 1987, the international community adopted the Montreal Protocol on Substances that Deplete the Ozone Layer</w:t>
      </w:r>
      <w:r w:rsidRPr="00A14107">
        <w:rPr>
          <w:noProof/>
          <w:sz w:val="24"/>
          <w:szCs w:val="24"/>
          <w:vertAlign w:val="superscript"/>
        </w:rPr>
        <w:footnoteReference w:id="6"/>
      </w:r>
      <w:r w:rsidRPr="00A14107">
        <w:rPr>
          <w:rFonts w:ascii="Times New Roman" w:hAnsi="Times New Roman" w:cs="Times New Roman"/>
          <w:noProof/>
          <w:sz w:val="24"/>
          <w:szCs w:val="24"/>
        </w:rPr>
        <w:t xml:space="preserve"> (hereafter: the Protocol), which phases out the production and consumption</w:t>
      </w:r>
      <w:r w:rsidRPr="00A14107">
        <w:rPr>
          <w:noProof/>
          <w:sz w:val="24"/>
          <w:szCs w:val="24"/>
          <w:vertAlign w:val="superscript"/>
        </w:rPr>
        <w:footnoteReference w:id="7"/>
      </w:r>
      <w:r w:rsidRPr="00A14107">
        <w:rPr>
          <w:rFonts w:ascii="Times New Roman" w:hAnsi="Times New Roman" w:cs="Times New Roman"/>
          <w:noProof/>
          <w:sz w:val="24"/>
          <w:szCs w:val="24"/>
        </w:rPr>
        <w:t xml:space="preserve"> of substances that contribute to ozone depletion in the stratosphere. The Protocol covers nearly 100 substances, e.g. groups</w:t>
      </w:r>
      <w:r w:rsidRPr="00A14107">
        <w:rPr>
          <w:noProof/>
          <w:sz w:val="24"/>
          <w:szCs w:val="24"/>
          <w:vertAlign w:val="superscript"/>
        </w:rPr>
        <w:footnoteReference w:id="8"/>
      </w:r>
      <w:r w:rsidRPr="00A14107">
        <w:rPr>
          <w:rFonts w:ascii="Times New Roman" w:hAnsi="Times New Roman" w:cs="Times New Roman"/>
          <w:noProof/>
          <w:sz w:val="24"/>
          <w:szCs w:val="24"/>
        </w:rPr>
        <w:t xml:space="preserve"> of chlorofluorocarbons (CFCs), hydrochlorofluorocarbons (HCFCs) and halons. Each </w:t>
      </w:r>
      <w:r w:rsidR="00BF600A">
        <w:rPr>
          <w:rFonts w:ascii="Times New Roman" w:hAnsi="Times New Roman" w:cs="Times New Roman"/>
          <w:noProof/>
          <w:sz w:val="24"/>
          <w:szCs w:val="24"/>
        </w:rPr>
        <w:t>ODS</w:t>
      </w:r>
      <w:r w:rsidRPr="00A14107">
        <w:rPr>
          <w:rFonts w:ascii="Times New Roman" w:hAnsi="Times New Roman" w:cs="Times New Roman"/>
          <w:noProof/>
          <w:sz w:val="24"/>
          <w:szCs w:val="24"/>
        </w:rPr>
        <w:t xml:space="preserve"> has a specific ozone</w:t>
      </w:r>
      <w:r w:rsidR="00DA72F7">
        <w:rPr>
          <w:rFonts w:ascii="Times New Roman" w:hAnsi="Times New Roman" w:cs="Times New Roman"/>
          <w:noProof/>
          <w:sz w:val="24"/>
          <w:szCs w:val="24"/>
        </w:rPr>
        <w:t>-</w:t>
      </w:r>
      <w:r w:rsidRPr="00A14107">
        <w:rPr>
          <w:rFonts w:ascii="Times New Roman" w:hAnsi="Times New Roman" w:cs="Times New Roman"/>
          <w:noProof/>
          <w:sz w:val="24"/>
          <w:szCs w:val="24"/>
        </w:rPr>
        <w:t xml:space="preserve">depleting potential (ODP) value assigned to it. Conversely, the climate impact of each </w:t>
      </w:r>
      <w:r w:rsidR="003B4C68">
        <w:rPr>
          <w:rFonts w:ascii="Times New Roman" w:hAnsi="Times New Roman" w:cs="Times New Roman"/>
          <w:noProof/>
          <w:sz w:val="24"/>
          <w:szCs w:val="24"/>
        </w:rPr>
        <w:t>ODS</w:t>
      </w:r>
      <w:r w:rsidRPr="00A14107">
        <w:rPr>
          <w:rFonts w:ascii="Times New Roman" w:hAnsi="Times New Roman" w:cs="Times New Roman"/>
          <w:noProof/>
          <w:sz w:val="24"/>
          <w:szCs w:val="24"/>
        </w:rPr>
        <w:t>, i.e. its global warming potential (GWP)</w:t>
      </w:r>
      <w:r w:rsidRPr="00A14107">
        <w:rPr>
          <w:noProof/>
          <w:sz w:val="24"/>
          <w:szCs w:val="24"/>
          <w:vertAlign w:val="superscript"/>
        </w:rPr>
        <w:footnoteReference w:id="9"/>
      </w:r>
      <w:r w:rsidRPr="00A14107">
        <w:rPr>
          <w:rFonts w:ascii="Times New Roman" w:hAnsi="Times New Roman" w:cs="Times New Roman"/>
          <w:noProof/>
          <w:sz w:val="24"/>
          <w:szCs w:val="24"/>
        </w:rPr>
        <w:t xml:space="preserve">, is not mentioned in the Protocol. </w:t>
      </w:r>
    </w:p>
    <w:p w14:paraId="217E259D" w14:textId="77777777" w:rsidR="00A14107" w:rsidRPr="00501849" w:rsidRDefault="00A14107" w:rsidP="00501849">
      <w:pPr>
        <w:jc w:val="both"/>
        <w:rPr>
          <w:rFonts w:ascii="Times New Roman" w:hAnsi="Times New Roman" w:cs="Times New Roman"/>
          <w:b/>
          <w:noProof/>
          <w:sz w:val="24"/>
          <w:szCs w:val="24"/>
        </w:rPr>
      </w:pPr>
      <w:r w:rsidRPr="00A14107">
        <w:rPr>
          <w:rFonts w:ascii="Times New Roman" w:hAnsi="Times New Roman" w:cs="Times New Roman"/>
          <w:noProof/>
          <w:sz w:val="24"/>
          <w:szCs w:val="24"/>
        </w:rPr>
        <w:t xml:space="preserve">The Protocol and subsequent decisions of its 197 Parties have created a global legal framework for controlling ODS. The EU and its Member States are </w:t>
      </w:r>
      <w:r w:rsidR="0042608F">
        <w:rPr>
          <w:rFonts w:ascii="Times New Roman" w:hAnsi="Times New Roman" w:cs="Times New Roman"/>
          <w:noProof/>
          <w:sz w:val="24"/>
          <w:szCs w:val="24"/>
        </w:rPr>
        <w:t xml:space="preserve">legally </w:t>
      </w:r>
      <w:r w:rsidRPr="00A14107">
        <w:rPr>
          <w:rFonts w:ascii="Times New Roman" w:hAnsi="Times New Roman" w:cs="Times New Roman"/>
          <w:noProof/>
          <w:sz w:val="24"/>
          <w:szCs w:val="24"/>
        </w:rPr>
        <w:t>bound to phase-out schedules of production and consumption for the different groups of ODS. All phase-out dates are now in the past</w:t>
      </w:r>
      <w:r w:rsidR="00DA72F7">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r w:rsidR="00DA72F7">
        <w:rPr>
          <w:rFonts w:ascii="Times New Roman" w:hAnsi="Times New Roman" w:cs="Times New Roman"/>
          <w:noProof/>
          <w:sz w:val="24"/>
          <w:szCs w:val="24"/>
        </w:rPr>
        <w:t>T</w:t>
      </w:r>
      <w:r w:rsidRPr="00A14107">
        <w:rPr>
          <w:rFonts w:ascii="Times New Roman" w:hAnsi="Times New Roman" w:cs="Times New Roman"/>
          <w:noProof/>
          <w:sz w:val="24"/>
          <w:szCs w:val="24"/>
        </w:rPr>
        <w:t xml:space="preserve">he latest </w:t>
      </w:r>
      <w:r w:rsidR="00DA72F7">
        <w:rPr>
          <w:rFonts w:ascii="Times New Roman" w:hAnsi="Times New Roman" w:cs="Times New Roman"/>
          <w:noProof/>
          <w:sz w:val="24"/>
          <w:szCs w:val="24"/>
        </w:rPr>
        <w:t xml:space="preserve">was </w:t>
      </w:r>
      <w:r w:rsidRPr="00A14107">
        <w:rPr>
          <w:rFonts w:ascii="Times New Roman" w:hAnsi="Times New Roman" w:cs="Times New Roman"/>
          <w:noProof/>
          <w:sz w:val="24"/>
          <w:szCs w:val="24"/>
        </w:rPr>
        <w:t>reached in 2020 for the group of HCFCs, leaving only a few exempted uses of ODS in developed countries</w:t>
      </w:r>
      <w:r w:rsidR="00DA72F7">
        <w:rPr>
          <w:rFonts w:ascii="Times New Roman" w:hAnsi="Times New Roman" w:cs="Times New Roman"/>
          <w:noProof/>
          <w:sz w:val="24"/>
          <w:szCs w:val="24"/>
        </w:rPr>
        <w:t xml:space="preserve"> still remaining</w:t>
      </w:r>
      <w:r w:rsidRPr="00A14107">
        <w:rPr>
          <w:rFonts w:ascii="Times New Roman" w:hAnsi="Times New Roman" w:cs="Times New Roman"/>
          <w:noProof/>
          <w:sz w:val="24"/>
          <w:szCs w:val="24"/>
        </w:rPr>
        <w:t xml:space="preserve"> (see below). Other compulsory obligations under the Protocol include the need to have a licensing system and yearly reporting on ODS trade and use. </w:t>
      </w:r>
      <w:r w:rsidRPr="00A14107">
        <w:rPr>
          <w:rFonts w:ascii="Times New Roman" w:hAnsi="Times New Roman" w:cs="Times New Roman"/>
          <w:b/>
          <w:noProof/>
          <w:sz w:val="24"/>
          <w:szCs w:val="24"/>
        </w:rPr>
        <w:t xml:space="preserve">The EU has taken a leading role both through its positive contribution to the international negotiations and legal framework, but also by setting policies at EU level that often go beyond the requirements of the Protocol, </w:t>
      </w:r>
      <w:r w:rsidRPr="005522F3">
        <w:rPr>
          <w:rFonts w:ascii="Times New Roman" w:hAnsi="Times New Roman" w:cs="Times New Roman"/>
          <w:bCs/>
          <w:noProof/>
          <w:sz w:val="24"/>
          <w:szCs w:val="24"/>
        </w:rPr>
        <w:t>e.g. the EU completed the HCFC consumption phase-out already in 2010</w:t>
      </w:r>
      <w:r w:rsidRPr="00A14107">
        <w:rPr>
          <w:rFonts w:ascii="Times New Roman" w:hAnsi="Times New Roman" w:cs="Times New Roman"/>
          <w:b/>
          <w:noProof/>
          <w:sz w:val="24"/>
          <w:szCs w:val="24"/>
        </w:rPr>
        <w:t xml:space="preserve">. </w:t>
      </w:r>
      <w:bookmarkStart w:id="18" w:name="_Toc71559389"/>
      <w:bookmarkStart w:id="19" w:name="_Toc71706994"/>
      <w:bookmarkStart w:id="20" w:name="_Toc71708204"/>
      <w:bookmarkStart w:id="21" w:name="_Toc71710936"/>
      <w:bookmarkStart w:id="22" w:name="_Toc72399338"/>
    </w:p>
    <w:p w14:paraId="7F75BFD0" w14:textId="3AEDAC77" w:rsidR="00A14107" w:rsidRPr="00A14107" w:rsidRDefault="00896FDA" w:rsidP="00896FDA">
      <w:pPr>
        <w:pStyle w:val="Heading2"/>
        <w:rPr>
          <w:noProof/>
        </w:rPr>
      </w:pPr>
      <w:bookmarkStart w:id="23" w:name="_Toc93511450"/>
      <w:r w:rsidRPr="00896FDA">
        <w:t>1.3.</w:t>
      </w:r>
      <w:r w:rsidRPr="00896FDA">
        <w:tab/>
      </w:r>
      <w:r w:rsidR="00A14107" w:rsidRPr="00A14107">
        <w:rPr>
          <w:noProof/>
        </w:rPr>
        <w:t>The EU ODS Regulation (Regulation (EC) No 1005/2009)</w:t>
      </w:r>
      <w:bookmarkEnd w:id="18"/>
      <w:bookmarkEnd w:id="19"/>
      <w:bookmarkEnd w:id="20"/>
      <w:bookmarkEnd w:id="21"/>
      <w:bookmarkEnd w:id="22"/>
      <w:bookmarkEnd w:id="23"/>
    </w:p>
    <w:p w14:paraId="634C8F36" w14:textId="77777777" w:rsidR="00A14107" w:rsidRPr="00A14107" w:rsidRDefault="00A14107" w:rsidP="00A14107">
      <w:pPr>
        <w:spacing w:after="120"/>
        <w:jc w:val="both"/>
        <w:rPr>
          <w:rFonts w:ascii="Times New Roman" w:eastAsia="Times New Roman" w:hAnsi="Times New Roman" w:cs="Times New Roman"/>
          <w:noProof/>
          <w:sz w:val="24"/>
          <w:szCs w:val="24"/>
        </w:rPr>
      </w:pPr>
      <w:r w:rsidRPr="00A14107">
        <w:rPr>
          <w:rFonts w:ascii="Times New Roman" w:eastAsia="Times New Roman" w:hAnsi="Times New Roman" w:cs="Times New Roman"/>
          <w:noProof/>
          <w:sz w:val="24"/>
          <w:szCs w:val="24"/>
        </w:rPr>
        <w:t>Regulation (EC) No 1005/2009</w:t>
      </w:r>
      <w:r w:rsidR="00942B85">
        <w:rPr>
          <w:rStyle w:val="FootnoteReference"/>
          <w:rFonts w:ascii="Times New Roman" w:eastAsia="Times New Roman" w:hAnsi="Times New Roman" w:cs="Times New Roman"/>
          <w:noProof/>
          <w:sz w:val="24"/>
          <w:szCs w:val="24"/>
        </w:rPr>
        <w:footnoteReference w:id="10"/>
      </w:r>
      <w:r w:rsidRPr="00A14107">
        <w:rPr>
          <w:rFonts w:ascii="Times New Roman" w:eastAsia="Times New Roman" w:hAnsi="Times New Roman" w:cs="Times New Roman"/>
          <w:noProof/>
          <w:sz w:val="24"/>
          <w:szCs w:val="24"/>
        </w:rPr>
        <w:t xml:space="preserve"> (hereafter: the Regulation) is the main EU instrument to ensure that the EU </w:t>
      </w:r>
      <w:r w:rsidRPr="00A14107">
        <w:rPr>
          <w:rFonts w:ascii="Times New Roman" w:eastAsia="Times New Roman" w:hAnsi="Times New Roman" w:cs="Times New Roman"/>
          <w:b/>
          <w:noProof/>
          <w:sz w:val="24"/>
          <w:szCs w:val="24"/>
        </w:rPr>
        <w:t>fulfils its obligations under the Protocol</w:t>
      </w:r>
      <w:r w:rsidRPr="00A14107">
        <w:rPr>
          <w:rFonts w:ascii="Times New Roman" w:eastAsia="Times New Roman" w:hAnsi="Times New Roman" w:cs="Times New Roman"/>
          <w:noProof/>
          <w:sz w:val="24"/>
          <w:szCs w:val="24"/>
        </w:rPr>
        <w:t xml:space="preserve">. It also has the self-standing objective to achieve a </w:t>
      </w:r>
      <w:r w:rsidRPr="00A14107">
        <w:rPr>
          <w:rFonts w:ascii="Times New Roman" w:eastAsia="Times New Roman" w:hAnsi="Times New Roman" w:cs="Times New Roman"/>
          <w:b/>
          <w:noProof/>
          <w:sz w:val="24"/>
          <w:szCs w:val="24"/>
        </w:rPr>
        <w:t>high level of ambition for protecting the ozone layer</w:t>
      </w:r>
      <w:r w:rsidRPr="00A14107">
        <w:rPr>
          <w:rFonts w:ascii="Times New Roman" w:eastAsia="Times New Roman" w:hAnsi="Times New Roman" w:cs="Times New Roman"/>
          <w:noProof/>
          <w:sz w:val="24"/>
          <w:szCs w:val="24"/>
        </w:rPr>
        <w:t xml:space="preserve"> </w:t>
      </w:r>
      <w:r w:rsidRPr="00A14107">
        <w:rPr>
          <w:rFonts w:ascii="Times New Roman" w:eastAsia="Times New Roman" w:hAnsi="Times New Roman" w:cs="Times New Roman"/>
          <w:b/>
          <w:noProof/>
          <w:sz w:val="24"/>
          <w:szCs w:val="24"/>
        </w:rPr>
        <w:t>and contributing to climate change mitigation</w:t>
      </w:r>
      <w:r w:rsidRPr="00A14107">
        <w:rPr>
          <w:rFonts w:ascii="Times New Roman" w:eastAsia="Times New Roman" w:hAnsi="Times New Roman" w:cs="Times New Roman"/>
          <w:noProof/>
          <w:sz w:val="24"/>
          <w:szCs w:val="24"/>
        </w:rPr>
        <w:t xml:space="preserve"> in the EU. The scope of the Ozone Regulation covers, in Annex I, the ODS that are identical to the scope of the Protocol, as well as the products and equipment using them. In addition, it covers, in Annex II, new substances</w:t>
      </w:r>
      <w:r w:rsidRPr="00A14107">
        <w:rPr>
          <w:rFonts w:ascii="Times New Roman" w:eastAsia="Times New Roman" w:hAnsi="Times New Roman" w:cs="Times New Roman"/>
          <w:noProof/>
          <w:sz w:val="24"/>
          <w:szCs w:val="24"/>
          <w:vertAlign w:val="superscript"/>
        </w:rPr>
        <w:t xml:space="preserve"> </w:t>
      </w:r>
      <w:r w:rsidRPr="00A14107">
        <w:rPr>
          <w:rFonts w:ascii="Times New Roman" w:eastAsia="Times New Roman" w:hAnsi="Times New Roman" w:cs="Times New Roman"/>
          <w:noProof/>
          <w:sz w:val="24"/>
          <w:szCs w:val="24"/>
        </w:rPr>
        <w:t xml:space="preserve">(“new ODS”) that are not (yet) controlled by the Protocol. Except for halon-1202, the new ODS are </w:t>
      </w:r>
      <w:r w:rsidR="0042608F">
        <w:rPr>
          <w:rFonts w:ascii="Times New Roman" w:eastAsia="Times New Roman" w:hAnsi="Times New Roman" w:cs="Times New Roman"/>
          <w:noProof/>
          <w:sz w:val="24"/>
          <w:szCs w:val="24"/>
        </w:rPr>
        <w:t xml:space="preserve">currently </w:t>
      </w:r>
      <w:r w:rsidRPr="00A14107">
        <w:rPr>
          <w:rFonts w:ascii="Times New Roman" w:eastAsia="Times New Roman" w:hAnsi="Times New Roman" w:cs="Times New Roman"/>
          <w:noProof/>
          <w:sz w:val="24"/>
          <w:szCs w:val="24"/>
        </w:rPr>
        <w:t xml:space="preserve">only monitored in order to recognise any emerging issues. </w:t>
      </w:r>
    </w:p>
    <w:p w14:paraId="0B1F062D" w14:textId="77777777" w:rsidR="00A14107" w:rsidRPr="00A14107" w:rsidRDefault="00A14107" w:rsidP="00A14107">
      <w:pPr>
        <w:spacing w:after="120"/>
        <w:jc w:val="both"/>
        <w:rPr>
          <w:rFonts w:ascii="Times New Roman" w:eastAsia="Times New Roman" w:hAnsi="Times New Roman" w:cs="Times New Roman"/>
          <w:noProof/>
          <w:sz w:val="24"/>
          <w:szCs w:val="24"/>
        </w:rPr>
      </w:pPr>
      <w:r w:rsidRPr="00A14107">
        <w:rPr>
          <w:rFonts w:ascii="Times New Roman" w:eastAsia="Calibri" w:hAnsi="Times New Roman" w:cs="Times New Roman"/>
          <w:b/>
          <w:bCs/>
          <w:noProof/>
          <w:sz w:val="24"/>
          <w:szCs w:val="24"/>
        </w:rPr>
        <w:t xml:space="preserve">To achieve its objectives, the Regulation generally prohibits </w:t>
      </w:r>
      <w:r w:rsidR="00563C78">
        <w:rPr>
          <w:rFonts w:ascii="Times New Roman" w:eastAsia="Calibri" w:hAnsi="Times New Roman" w:cs="Times New Roman"/>
          <w:b/>
          <w:bCs/>
          <w:noProof/>
          <w:sz w:val="24"/>
          <w:szCs w:val="24"/>
        </w:rPr>
        <w:t xml:space="preserve">the </w:t>
      </w:r>
      <w:r w:rsidRPr="00A14107">
        <w:rPr>
          <w:rFonts w:ascii="Times New Roman" w:eastAsia="Calibri" w:hAnsi="Times New Roman" w:cs="Times New Roman"/>
          <w:b/>
          <w:bCs/>
          <w:noProof/>
          <w:sz w:val="24"/>
          <w:szCs w:val="24"/>
        </w:rPr>
        <w:t>production, trade and use of ODS (Annex I) while exempting only a few specified uses</w:t>
      </w:r>
      <w:r w:rsidRPr="00A14107">
        <w:rPr>
          <w:rFonts w:ascii="Times New Roman" w:eastAsia="Calibri" w:hAnsi="Times New Roman" w:cs="Times New Roman"/>
          <w:noProof/>
          <w:sz w:val="24"/>
          <w:szCs w:val="24"/>
        </w:rPr>
        <w:t xml:space="preserve"> where alternatives were not available at the time of its adoption (2009). </w:t>
      </w:r>
      <w:bookmarkStart w:id="24" w:name="_Ref50134397"/>
      <w:bookmarkStart w:id="25" w:name="_Ref50134403"/>
      <w:r w:rsidRPr="00A14107">
        <w:rPr>
          <w:rFonts w:ascii="Times New Roman" w:eastAsia="Calibri" w:hAnsi="Times New Roman" w:cs="Times New Roman"/>
          <w:noProof/>
          <w:sz w:val="24"/>
          <w:szCs w:val="24"/>
        </w:rPr>
        <w:t>Consequently, all traditional uses of ODS, e.g. in cooling, aerosols (i.e. in spray cans) and foams are no longer allowed. The remaining exempted uses today are:</w:t>
      </w:r>
    </w:p>
    <w:p w14:paraId="403CB3FB" w14:textId="77777777" w:rsidR="00A14107" w:rsidRPr="00A14107" w:rsidRDefault="00A14107" w:rsidP="00243A67">
      <w:pPr>
        <w:numPr>
          <w:ilvl w:val="0"/>
          <w:numId w:val="3"/>
        </w:numPr>
        <w:spacing w:after="0" w:line="259" w:lineRule="auto"/>
        <w:ind w:left="714" w:right="-23" w:hanging="357"/>
        <w:jc w:val="both"/>
        <w:rPr>
          <w:rFonts w:ascii="Times New Roman" w:eastAsia="Calibri" w:hAnsi="Times New Roman" w:cs="Times New Roman"/>
          <w:noProof/>
          <w:sz w:val="24"/>
          <w:szCs w:val="24"/>
        </w:rPr>
      </w:pPr>
      <w:r w:rsidRPr="00A14107">
        <w:rPr>
          <w:rFonts w:ascii="Times New Roman" w:eastAsia="Calibri" w:hAnsi="Times New Roman" w:cs="Times New Roman"/>
          <w:noProof/>
          <w:sz w:val="24"/>
          <w:szCs w:val="24"/>
        </w:rPr>
        <w:t xml:space="preserve">Use as </w:t>
      </w:r>
      <w:r w:rsidRPr="00A14107">
        <w:rPr>
          <w:rFonts w:ascii="Times New Roman" w:eastAsia="Calibri" w:hAnsi="Times New Roman" w:cs="Times New Roman"/>
          <w:b/>
          <w:noProof/>
          <w:sz w:val="24"/>
          <w:szCs w:val="24"/>
        </w:rPr>
        <w:t>feedstock chemical</w:t>
      </w:r>
      <w:r w:rsidRPr="00A14107">
        <w:rPr>
          <w:rFonts w:eastAsia="Calibri"/>
          <w:b/>
          <w:noProof/>
          <w:sz w:val="24"/>
          <w:szCs w:val="24"/>
          <w:vertAlign w:val="superscript"/>
        </w:rPr>
        <w:footnoteReference w:id="11"/>
      </w:r>
      <w:r w:rsidRPr="00A14107">
        <w:rPr>
          <w:rFonts w:ascii="Times New Roman" w:eastAsia="Calibri" w:hAnsi="Times New Roman" w:cs="Times New Roman"/>
          <w:noProof/>
          <w:sz w:val="24"/>
          <w:szCs w:val="24"/>
        </w:rPr>
        <w:t xml:space="preserve"> in the chemical production to produce a number of high-value, indispensable goods including polymers, plastics, pesticides and pharmaceuticals,</w:t>
      </w:r>
    </w:p>
    <w:p w14:paraId="73D17088" w14:textId="77777777" w:rsidR="00A14107" w:rsidRPr="00A14107" w:rsidRDefault="00A14107" w:rsidP="00243A67">
      <w:pPr>
        <w:numPr>
          <w:ilvl w:val="0"/>
          <w:numId w:val="3"/>
        </w:numPr>
        <w:spacing w:after="0" w:line="259" w:lineRule="auto"/>
        <w:ind w:left="714" w:right="-23" w:hanging="357"/>
        <w:jc w:val="both"/>
        <w:rPr>
          <w:rFonts w:ascii="Times New Roman" w:eastAsia="Calibri" w:hAnsi="Times New Roman" w:cs="Times New Roman"/>
          <w:noProof/>
          <w:sz w:val="24"/>
          <w:szCs w:val="24"/>
        </w:rPr>
      </w:pPr>
      <w:r w:rsidRPr="00A14107">
        <w:rPr>
          <w:rFonts w:ascii="Times New Roman" w:eastAsia="Calibri" w:hAnsi="Times New Roman" w:cs="Times New Roman"/>
          <w:noProof/>
          <w:sz w:val="24"/>
          <w:szCs w:val="24"/>
        </w:rPr>
        <w:t xml:space="preserve">Use of three ODS as </w:t>
      </w:r>
      <w:r w:rsidRPr="00A14107">
        <w:rPr>
          <w:rFonts w:ascii="Times New Roman" w:eastAsia="Calibri" w:hAnsi="Times New Roman" w:cs="Times New Roman"/>
          <w:b/>
          <w:noProof/>
          <w:sz w:val="24"/>
          <w:szCs w:val="24"/>
        </w:rPr>
        <w:t>process agents</w:t>
      </w:r>
      <w:r w:rsidRPr="00A14107">
        <w:rPr>
          <w:rFonts w:eastAsia="Calibri"/>
          <w:b/>
          <w:noProof/>
          <w:sz w:val="24"/>
          <w:szCs w:val="24"/>
          <w:vertAlign w:val="superscript"/>
        </w:rPr>
        <w:footnoteReference w:id="12"/>
      </w:r>
      <w:r w:rsidRPr="00A14107">
        <w:rPr>
          <w:rFonts w:ascii="Times New Roman" w:eastAsia="Calibri" w:hAnsi="Times New Roman" w:cs="Times New Roman"/>
          <w:noProof/>
          <w:sz w:val="24"/>
          <w:szCs w:val="24"/>
        </w:rPr>
        <w:t xml:space="preserve"> in five old chemical plants for specific chemical production processes, </w:t>
      </w:r>
    </w:p>
    <w:p w14:paraId="44D71521" w14:textId="77777777" w:rsidR="00A14107" w:rsidRPr="00A14107" w:rsidRDefault="00A14107" w:rsidP="00243A67">
      <w:pPr>
        <w:numPr>
          <w:ilvl w:val="0"/>
          <w:numId w:val="3"/>
        </w:numPr>
        <w:spacing w:after="0" w:line="259" w:lineRule="auto"/>
        <w:ind w:left="714" w:right="-23" w:hanging="357"/>
        <w:jc w:val="both"/>
        <w:rPr>
          <w:rFonts w:ascii="Times New Roman" w:eastAsia="Calibri" w:hAnsi="Times New Roman" w:cs="Times New Roman"/>
          <w:noProof/>
          <w:sz w:val="24"/>
          <w:szCs w:val="24"/>
        </w:rPr>
      </w:pPr>
      <w:r w:rsidRPr="00A14107">
        <w:rPr>
          <w:rFonts w:ascii="Times New Roman" w:eastAsia="Calibri" w:hAnsi="Times New Roman" w:cs="Times New Roman"/>
          <w:noProof/>
          <w:sz w:val="24"/>
          <w:szCs w:val="24"/>
        </w:rPr>
        <w:t xml:space="preserve">Use by </w:t>
      </w:r>
      <w:r w:rsidRPr="00A14107">
        <w:rPr>
          <w:rFonts w:ascii="Times New Roman" w:eastAsia="Calibri" w:hAnsi="Times New Roman" w:cs="Times New Roman"/>
          <w:b/>
          <w:noProof/>
          <w:sz w:val="24"/>
          <w:szCs w:val="24"/>
        </w:rPr>
        <w:t>laboratories and for analytical purposes</w:t>
      </w:r>
      <w:r w:rsidRPr="00A14107">
        <w:rPr>
          <w:rFonts w:ascii="Times New Roman" w:eastAsia="Calibri" w:hAnsi="Times New Roman" w:cs="Times New Roman"/>
          <w:noProof/>
          <w:sz w:val="24"/>
          <w:szCs w:val="24"/>
        </w:rPr>
        <w:t>, and</w:t>
      </w:r>
    </w:p>
    <w:p w14:paraId="0A52796B" w14:textId="77777777" w:rsidR="00A14107" w:rsidRPr="00A14107" w:rsidRDefault="00A14107" w:rsidP="00243A67">
      <w:pPr>
        <w:numPr>
          <w:ilvl w:val="0"/>
          <w:numId w:val="3"/>
        </w:numPr>
        <w:spacing w:after="60" w:line="259" w:lineRule="auto"/>
        <w:ind w:right="-23"/>
        <w:jc w:val="both"/>
        <w:rPr>
          <w:rFonts w:ascii="Times New Roman" w:eastAsia="Calibri" w:hAnsi="Times New Roman" w:cs="Times New Roman"/>
          <w:noProof/>
          <w:sz w:val="24"/>
          <w:szCs w:val="24"/>
        </w:rPr>
      </w:pPr>
      <w:r w:rsidRPr="00A14107">
        <w:rPr>
          <w:rFonts w:ascii="Times New Roman" w:eastAsia="Calibri" w:hAnsi="Times New Roman" w:cs="Times New Roman"/>
          <w:b/>
          <w:bCs/>
          <w:noProof/>
          <w:sz w:val="24"/>
          <w:szCs w:val="24"/>
        </w:rPr>
        <w:t xml:space="preserve">Critical uses of halons related to </w:t>
      </w:r>
      <w:r w:rsidRPr="00A14107">
        <w:rPr>
          <w:rFonts w:ascii="Times New Roman" w:eastAsia="Calibri" w:hAnsi="Times New Roman" w:cs="Times New Roman"/>
          <w:b/>
          <w:noProof/>
          <w:sz w:val="24"/>
          <w:szCs w:val="24"/>
        </w:rPr>
        <w:t xml:space="preserve">fire protection </w:t>
      </w:r>
      <w:r w:rsidRPr="00A14107">
        <w:rPr>
          <w:rFonts w:ascii="Times New Roman" w:eastAsia="Calibri" w:hAnsi="Times New Roman" w:cs="Times New Roman"/>
          <w:noProof/>
          <w:sz w:val="24"/>
          <w:szCs w:val="24"/>
        </w:rPr>
        <w:t>of specific parts of aircraft and military equipment.</w:t>
      </w:r>
    </w:p>
    <w:p w14:paraId="1908BCF7" w14:textId="77777777" w:rsidR="00A14107" w:rsidRDefault="00563C78" w:rsidP="00A14107">
      <w:pPr>
        <w:spacing w:after="120" w:line="259" w:lineRule="auto"/>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to the above</w:t>
      </w:r>
      <w:r w:rsidR="00A14107" w:rsidRPr="00A14107">
        <w:rPr>
          <w:rFonts w:ascii="Times New Roman" w:eastAsia="Calibri" w:hAnsi="Times New Roman" w:cs="Times New Roman"/>
          <w:noProof/>
          <w:sz w:val="24"/>
          <w:szCs w:val="24"/>
        </w:rPr>
        <w:t xml:space="preserve">, there exists the possibility of </w:t>
      </w:r>
      <w:r>
        <w:rPr>
          <w:rFonts w:ascii="Times New Roman" w:eastAsia="Calibri" w:hAnsi="Times New Roman" w:cs="Times New Roman"/>
          <w:noProof/>
          <w:sz w:val="24"/>
          <w:szCs w:val="24"/>
        </w:rPr>
        <w:t xml:space="preserve">the </w:t>
      </w:r>
      <w:r w:rsidR="00A14107" w:rsidRPr="00A14107">
        <w:rPr>
          <w:rFonts w:ascii="Times New Roman" w:eastAsia="Calibri" w:hAnsi="Times New Roman" w:cs="Times New Roman"/>
          <w:noProof/>
          <w:sz w:val="24"/>
          <w:szCs w:val="24"/>
        </w:rPr>
        <w:t>emergency use of methyl bromide</w:t>
      </w:r>
      <w:r w:rsidR="00A14107" w:rsidRPr="00A14107">
        <w:rPr>
          <w:rFonts w:eastAsia="Calibri"/>
          <w:noProof/>
          <w:sz w:val="24"/>
          <w:szCs w:val="24"/>
          <w:vertAlign w:val="superscript"/>
        </w:rPr>
        <w:footnoteReference w:id="13"/>
      </w:r>
      <w:r w:rsidR="00A14107" w:rsidRPr="00A14107">
        <w:rPr>
          <w:rFonts w:ascii="Times New Roman" w:eastAsia="Calibri" w:hAnsi="Times New Roman" w:cs="Times New Roman"/>
          <w:noProof/>
          <w:sz w:val="24"/>
          <w:szCs w:val="24"/>
        </w:rPr>
        <w:t xml:space="preserve"> as an effective killing agent for some agricultural pests.</w:t>
      </w:r>
      <w:r w:rsidR="00A14107" w:rsidRPr="00A14107">
        <w:rPr>
          <w:rFonts w:eastAsia="Calibri"/>
          <w:noProof/>
          <w:sz w:val="24"/>
          <w:szCs w:val="24"/>
          <w:vertAlign w:val="superscript"/>
        </w:rPr>
        <w:footnoteReference w:id="14"/>
      </w:r>
      <w:r w:rsidR="00A14107" w:rsidRPr="00A14107">
        <w:rPr>
          <w:rFonts w:ascii="Times New Roman" w:eastAsia="Calibri" w:hAnsi="Times New Roman" w:cs="Times New Roman"/>
          <w:noProof/>
          <w:sz w:val="24"/>
          <w:szCs w:val="24"/>
        </w:rPr>
        <w:t xml:space="preserve"> Destruction and reclamation of ODS is </w:t>
      </w:r>
      <w:r>
        <w:rPr>
          <w:rFonts w:ascii="Times New Roman" w:eastAsia="Calibri" w:hAnsi="Times New Roman" w:cs="Times New Roman"/>
          <w:noProof/>
          <w:sz w:val="24"/>
          <w:szCs w:val="24"/>
        </w:rPr>
        <w:t xml:space="preserve">also still </w:t>
      </w:r>
      <w:r w:rsidR="00A14107" w:rsidRPr="00A14107">
        <w:rPr>
          <w:rFonts w:ascii="Times New Roman" w:eastAsia="Calibri" w:hAnsi="Times New Roman" w:cs="Times New Roman"/>
          <w:noProof/>
          <w:sz w:val="24"/>
          <w:szCs w:val="24"/>
        </w:rPr>
        <w:t xml:space="preserve">allowed. In addition, to prevent illegal activities and to comply with licencing and reporting obligations under the Protocol, </w:t>
      </w:r>
      <w:r w:rsidR="00BD156A">
        <w:rPr>
          <w:rFonts w:ascii="Times New Roman" w:eastAsia="Calibri" w:hAnsi="Times New Roman" w:cs="Times New Roman"/>
          <w:noProof/>
          <w:sz w:val="24"/>
          <w:szCs w:val="24"/>
        </w:rPr>
        <w:t xml:space="preserve">the Regulation foresees </w:t>
      </w:r>
      <w:r w:rsidR="00942B85">
        <w:rPr>
          <w:rFonts w:ascii="Times New Roman" w:eastAsia="Calibri" w:hAnsi="Times New Roman" w:cs="Times New Roman"/>
          <w:noProof/>
          <w:sz w:val="24"/>
          <w:szCs w:val="24"/>
        </w:rPr>
        <w:t xml:space="preserve">strict measures to control and monitor the remaining uses of </w:t>
      </w:r>
      <w:r w:rsidR="00A14107" w:rsidRPr="00A14107">
        <w:rPr>
          <w:rFonts w:ascii="Times New Roman" w:eastAsia="Calibri" w:hAnsi="Times New Roman" w:cs="Times New Roman"/>
          <w:noProof/>
          <w:sz w:val="24"/>
          <w:szCs w:val="24"/>
        </w:rPr>
        <w:t>ODS. An overview over the individual measures and the logic</w:t>
      </w:r>
      <w:r w:rsidR="00B07A60">
        <w:rPr>
          <w:rFonts w:ascii="Times New Roman" w:eastAsia="Calibri" w:hAnsi="Times New Roman" w:cs="Times New Roman"/>
          <w:noProof/>
          <w:sz w:val="24"/>
          <w:szCs w:val="24"/>
        </w:rPr>
        <w:t>al framework is given in Annex 8</w:t>
      </w:r>
      <w:r w:rsidR="00A14107" w:rsidRPr="00A14107">
        <w:rPr>
          <w:rFonts w:ascii="Times New Roman" w:eastAsia="Calibri" w:hAnsi="Times New Roman" w:cs="Times New Roman"/>
          <w:noProof/>
          <w:sz w:val="24"/>
          <w:szCs w:val="24"/>
        </w:rPr>
        <w:t>.</w:t>
      </w:r>
    </w:p>
    <w:bookmarkEnd w:id="24"/>
    <w:bookmarkEnd w:id="25"/>
    <w:p w14:paraId="7F4600F4" w14:textId="77777777" w:rsidR="008A32D5" w:rsidRDefault="00A14107" w:rsidP="008A32D5">
      <w:pPr>
        <w:spacing w:after="120" w:line="259" w:lineRule="auto"/>
        <w:ind w:right="-23"/>
        <w:jc w:val="both"/>
        <w:rPr>
          <w:rFonts w:ascii="Arial" w:hAnsi="Arial" w:cs="Arial"/>
          <w:noProof/>
          <w:sz w:val="20"/>
          <w:szCs w:val="20"/>
        </w:rPr>
      </w:pPr>
      <w:r w:rsidRPr="00A14107">
        <w:rPr>
          <w:rFonts w:ascii="Times New Roman" w:hAnsi="Times New Roman" w:cs="Times New Roman"/>
          <w:noProof/>
          <w:sz w:val="24"/>
          <w:szCs w:val="24"/>
        </w:rPr>
        <w:t>The Commission decided to submit the Regulation to a REFIT evaluation in 2017 to check if it was fit for purpose. On the basis of the evaluation</w:t>
      </w:r>
      <w:r w:rsidRPr="00A14107">
        <w:rPr>
          <w:noProof/>
          <w:sz w:val="24"/>
          <w:szCs w:val="24"/>
          <w:vertAlign w:val="superscript"/>
        </w:rPr>
        <w:footnoteReference w:id="15"/>
      </w:r>
      <w:r w:rsidRPr="00A14107">
        <w:rPr>
          <w:rFonts w:ascii="Times New Roman" w:hAnsi="Times New Roman" w:cs="Times New Roman"/>
          <w:noProof/>
          <w:sz w:val="24"/>
          <w:szCs w:val="24"/>
        </w:rPr>
        <w:t xml:space="preserve"> completed </w:t>
      </w:r>
      <w:r w:rsidR="00172141">
        <w:rPr>
          <w:rFonts w:ascii="Times New Roman" w:hAnsi="Times New Roman" w:cs="Times New Roman"/>
          <w:noProof/>
          <w:sz w:val="24"/>
          <w:szCs w:val="24"/>
        </w:rPr>
        <w:t>in</w:t>
      </w:r>
      <w:r w:rsidR="00172141"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2019 (hereafter “the evaluation”), it was decided to proceed with a revision of the Regulation in the Commission Work Programme for 2021.</w:t>
      </w:r>
      <w:r w:rsidRPr="00A14107">
        <w:rPr>
          <w:rFonts w:ascii="Arial" w:hAnsi="Arial" w:cs="Arial"/>
          <w:noProof/>
          <w:sz w:val="20"/>
          <w:szCs w:val="20"/>
        </w:rPr>
        <w:t xml:space="preserve"> </w:t>
      </w:r>
    </w:p>
    <w:p w14:paraId="3B9F9DCE" w14:textId="77777777" w:rsidR="00A14107" w:rsidRPr="00A14107" w:rsidRDefault="0056206A" w:rsidP="009C3DE1">
      <w:pPr>
        <w:spacing w:after="120" w:line="259" w:lineRule="auto"/>
        <w:ind w:right="-23"/>
        <w:jc w:val="both"/>
        <w:rPr>
          <w:rFonts w:ascii="Times New Roman" w:hAnsi="Times New Roman" w:cs="Times New Roman"/>
          <w:noProof/>
          <w:sz w:val="24"/>
          <w:szCs w:val="24"/>
        </w:rPr>
      </w:pPr>
      <w:r w:rsidRPr="00A14107">
        <w:rPr>
          <w:rFonts w:ascii="Times New Roman" w:hAnsi="Times New Roman" w:cs="Times New Roman"/>
          <w:noProof/>
          <w:sz w:val="24"/>
          <w:szCs w:val="24"/>
          <w:lang w:eastAsia="en-GB"/>
        </w:rPr>
        <mc:AlternateContent>
          <mc:Choice Requires="wps">
            <w:drawing>
              <wp:anchor distT="45720" distB="45720" distL="114300" distR="114300" simplePos="0" relativeHeight="251653120" behindDoc="0" locked="0" layoutInCell="1" allowOverlap="1" wp14:anchorId="784C0654" wp14:editId="179BCBEA">
                <wp:simplePos x="0" y="0"/>
                <wp:positionH relativeFrom="column">
                  <wp:posOffset>1905</wp:posOffset>
                </wp:positionH>
                <wp:positionV relativeFrom="paragraph">
                  <wp:posOffset>1431290</wp:posOffset>
                </wp:positionV>
                <wp:extent cx="5438775" cy="971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971550"/>
                        </a:xfrm>
                        <a:prstGeom prst="rect">
                          <a:avLst/>
                        </a:prstGeom>
                        <a:solidFill>
                          <a:srgbClr val="FFFFFF"/>
                        </a:solidFill>
                        <a:ln w="9525">
                          <a:solidFill>
                            <a:srgbClr val="000000"/>
                          </a:solidFill>
                          <a:miter lim="800000"/>
                          <a:headEnd/>
                          <a:tailEnd/>
                        </a:ln>
                      </wps:spPr>
                      <wps:txbx>
                        <w:txbxContent>
                          <w:p w14:paraId="76835D88" w14:textId="77777777" w:rsidR="000B4FC1" w:rsidRPr="002B2239" w:rsidRDefault="000B4FC1" w:rsidP="00A14107">
                            <w:pPr>
                              <w:spacing w:line="240" w:lineRule="auto"/>
                              <w:jc w:val="both"/>
                              <w:textboxTightWrap w:val="allLines"/>
                              <w:rPr>
                                <w:rFonts w:ascii="Times New Roman" w:hAnsi="Times New Roman" w:cs="Times New Roman"/>
                                <w:sz w:val="24"/>
                                <w:szCs w:val="24"/>
                              </w:rPr>
                            </w:pPr>
                            <w:r>
                              <w:rPr>
                                <w:rFonts w:ascii="Times New Roman" w:hAnsi="Times New Roman" w:cs="Times New Roman"/>
                                <w:b/>
                                <w:sz w:val="24"/>
                                <w:szCs w:val="24"/>
                              </w:rPr>
                              <w:t xml:space="preserve">An </w:t>
                            </w:r>
                            <w:r w:rsidRPr="0B986999">
                              <w:rPr>
                                <w:rFonts w:ascii="Times New Roman" w:hAnsi="Times New Roman" w:cs="Times New Roman"/>
                                <w:b/>
                                <w:sz w:val="24"/>
                                <w:szCs w:val="24"/>
                              </w:rPr>
                              <w:t xml:space="preserve">effective </w:t>
                            </w:r>
                            <w:r>
                              <w:rPr>
                                <w:rFonts w:ascii="Times New Roman" w:hAnsi="Times New Roman" w:cs="Times New Roman"/>
                                <w:b/>
                                <w:sz w:val="24"/>
                                <w:szCs w:val="24"/>
                              </w:rPr>
                              <w:t xml:space="preserve">ODS </w:t>
                            </w:r>
                            <w:r w:rsidRPr="0B986999">
                              <w:rPr>
                                <w:rFonts w:ascii="Times New Roman" w:hAnsi="Times New Roman" w:cs="Times New Roman"/>
                                <w:b/>
                                <w:sz w:val="24"/>
                                <w:szCs w:val="24"/>
                              </w:rPr>
                              <w:t xml:space="preserve">policy </w:t>
                            </w:r>
                            <w:r w:rsidRPr="000E74DE">
                              <w:rPr>
                                <w:rFonts w:ascii="Times New Roman" w:hAnsi="Times New Roman" w:cs="Times New Roman"/>
                                <w:sz w:val="24"/>
                                <w:szCs w:val="24"/>
                              </w:rPr>
                              <w:t>that is preventing ODS emissions to the extent feasible</w:t>
                            </w:r>
                            <w:r>
                              <w:rPr>
                                <w:rFonts w:ascii="Times New Roman" w:hAnsi="Times New Roman" w:cs="Times New Roman"/>
                                <w:b/>
                                <w:sz w:val="24"/>
                                <w:szCs w:val="24"/>
                              </w:rPr>
                              <w:t xml:space="preserve"> remains crucial for the Green Deal</w:t>
                            </w:r>
                            <w:r>
                              <w:rPr>
                                <w:rFonts w:ascii="Times New Roman" w:hAnsi="Times New Roman" w:cs="Times New Roman"/>
                                <w:sz w:val="24"/>
                                <w:szCs w:val="24"/>
                              </w:rPr>
                              <w:t xml:space="preserve">, notably for </w:t>
                            </w:r>
                            <w:r w:rsidRPr="00C80D68">
                              <w:rPr>
                                <w:rFonts w:ascii="Times New Roman" w:hAnsi="Times New Roman" w:cs="Times New Roman"/>
                                <w:sz w:val="24"/>
                                <w:szCs w:val="24"/>
                              </w:rPr>
                              <w:t>achiev</w:t>
                            </w:r>
                            <w:r>
                              <w:rPr>
                                <w:rFonts w:ascii="Times New Roman" w:hAnsi="Times New Roman" w:cs="Times New Roman"/>
                                <w:sz w:val="24"/>
                                <w:szCs w:val="24"/>
                              </w:rPr>
                              <w:t>ing</w:t>
                            </w:r>
                            <w:r w:rsidRPr="00C80D68">
                              <w:rPr>
                                <w:rFonts w:ascii="Times New Roman" w:hAnsi="Times New Roman" w:cs="Times New Roman"/>
                                <w:sz w:val="24"/>
                                <w:szCs w:val="24"/>
                              </w:rPr>
                              <w:t xml:space="preserve"> full recovery of the ozone layer</w:t>
                            </w:r>
                            <w:r>
                              <w:rPr>
                                <w:rFonts w:ascii="Times New Roman" w:hAnsi="Times New Roman" w:cs="Times New Roman"/>
                                <w:sz w:val="24"/>
                                <w:szCs w:val="24"/>
                              </w:rPr>
                              <w:t xml:space="preserve"> and contributing</w:t>
                            </w:r>
                            <w:r w:rsidRPr="00C80D68">
                              <w:rPr>
                                <w:rFonts w:ascii="Times New Roman" w:hAnsi="Times New Roman" w:cs="Times New Roman"/>
                                <w:sz w:val="24"/>
                                <w:szCs w:val="24"/>
                              </w:rPr>
                              <w:t xml:space="preserve"> to</w:t>
                            </w:r>
                            <w:r>
                              <w:rPr>
                                <w:rFonts w:ascii="Times New Roman" w:hAnsi="Times New Roman" w:cs="Times New Roman"/>
                                <w:sz w:val="24"/>
                                <w:szCs w:val="24"/>
                              </w:rPr>
                              <w:t xml:space="preserve"> climate neutrality and</w:t>
                            </w:r>
                            <w:r w:rsidRPr="00C80D68">
                              <w:rPr>
                                <w:rFonts w:ascii="Times New Roman" w:hAnsi="Times New Roman" w:cs="Times New Roman"/>
                                <w:sz w:val="24"/>
                                <w:szCs w:val="24"/>
                              </w:rPr>
                              <w:t xml:space="preserve"> </w:t>
                            </w:r>
                            <w:r>
                              <w:rPr>
                                <w:rFonts w:ascii="Times New Roman" w:hAnsi="Times New Roman" w:cs="Times New Roman"/>
                                <w:sz w:val="24"/>
                                <w:szCs w:val="24"/>
                              </w:rPr>
                              <w:t xml:space="preserve">staying below </w:t>
                            </w:r>
                            <w:r w:rsidRPr="00C80D68">
                              <w:rPr>
                                <w:rFonts w:ascii="Times New Roman" w:hAnsi="Times New Roman" w:cs="Times New Roman"/>
                                <w:sz w:val="24"/>
                                <w:szCs w:val="24"/>
                              </w:rPr>
                              <w:t xml:space="preserve">the </w:t>
                            </w:r>
                            <w:r>
                              <w:rPr>
                                <w:rFonts w:ascii="Times New Roman" w:hAnsi="Times New Roman" w:cs="Times New Roman"/>
                                <w:sz w:val="24"/>
                                <w:szCs w:val="24"/>
                              </w:rPr>
                              <w:t xml:space="preserve">2 or </w:t>
                            </w:r>
                            <w:r w:rsidRPr="00C80D68">
                              <w:rPr>
                                <w:rFonts w:ascii="Times New Roman" w:hAnsi="Times New Roman" w:cs="Times New Roman"/>
                                <w:sz w:val="24"/>
                                <w:szCs w:val="24"/>
                              </w:rPr>
                              <w:t xml:space="preserve">1.5 degrees Celsius target of the Paris Agreement on Climate Change. </w:t>
                            </w:r>
                            <w:r>
                              <w:rPr>
                                <w:rFonts w:ascii="Times New Roman" w:hAnsi="Times New Roman" w:cs="Times New Roman"/>
                                <w:sz w:val="24"/>
                                <w:szCs w:val="24"/>
                              </w:rPr>
                              <w:t>ODS e</w:t>
                            </w:r>
                            <w:r w:rsidRPr="000E74DE">
                              <w:rPr>
                                <w:rFonts w:ascii="Times New Roman" w:hAnsi="Times New Roman" w:cs="Times New Roman"/>
                                <w:sz w:val="24"/>
                                <w:szCs w:val="24"/>
                              </w:rPr>
                              <w:t xml:space="preserve">mission savings </w:t>
                            </w:r>
                            <w:r>
                              <w:rPr>
                                <w:rFonts w:ascii="Times New Roman" w:hAnsi="Times New Roman" w:cs="Times New Roman"/>
                                <w:b/>
                                <w:sz w:val="24"/>
                                <w:szCs w:val="24"/>
                              </w:rPr>
                              <w:t>will be additional to the min. 55% reductions from other sectors by 2030</w:t>
                            </w:r>
                            <w:r w:rsidRPr="00D451A4">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C0654" id="_x0000_t202" coordsize="21600,21600" o:spt="202" path="m,l,21600r21600,l21600,xe">
                <v:stroke joinstyle="miter"/>
                <v:path gradientshapeok="t" o:connecttype="rect"/>
              </v:shapetype>
              <v:shape id="_x0000_s1026" type="#_x0000_t202" style="position:absolute;left:0;text-align:left;margin-left:.15pt;margin-top:112.7pt;width:428.25pt;height:7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">
                <v:textbox>
                  <w:txbxContent>
                    <w:p w14:paraId="76835D88" w14:textId="77777777" w:rsidR="000B4FC1" w:rsidRPr="002B2239" w:rsidRDefault="000B4FC1" w:rsidP="00A14107">
                      <w:pPr>
                        <w:spacing w:line="240" w:lineRule="auto"/>
                        <w:jc w:val="both"/>
                        <w:textboxTightWrap w:val="allLines"/>
                        <w:rPr>
                          <w:rFonts w:ascii="Times New Roman" w:hAnsi="Times New Roman" w:cs="Times New Roman"/>
                          <w:sz w:val="24"/>
                          <w:szCs w:val="24"/>
                        </w:rPr>
                      </w:pPr>
                      <w:r>
                        <w:rPr>
                          <w:rFonts w:ascii="Times New Roman" w:hAnsi="Times New Roman" w:cs="Times New Roman"/>
                          <w:b/>
                          <w:sz w:val="24"/>
                          <w:szCs w:val="24"/>
                        </w:rPr>
                        <w:t xml:space="preserve">An </w:t>
                      </w:r>
                      <w:r w:rsidRPr="0B986999">
                        <w:rPr>
                          <w:rFonts w:ascii="Times New Roman" w:hAnsi="Times New Roman" w:cs="Times New Roman"/>
                          <w:b/>
                          <w:sz w:val="24"/>
                          <w:szCs w:val="24"/>
                        </w:rPr>
                        <w:t xml:space="preserve">effective </w:t>
                      </w:r>
                      <w:r>
                        <w:rPr>
                          <w:rFonts w:ascii="Times New Roman" w:hAnsi="Times New Roman" w:cs="Times New Roman"/>
                          <w:b/>
                          <w:sz w:val="24"/>
                          <w:szCs w:val="24"/>
                        </w:rPr>
                        <w:t xml:space="preserve">ODS </w:t>
                      </w:r>
                      <w:r w:rsidRPr="0B986999">
                        <w:rPr>
                          <w:rFonts w:ascii="Times New Roman" w:hAnsi="Times New Roman" w:cs="Times New Roman"/>
                          <w:b/>
                          <w:sz w:val="24"/>
                          <w:szCs w:val="24"/>
                        </w:rPr>
                        <w:t xml:space="preserve">policy </w:t>
                      </w:r>
                      <w:r w:rsidRPr="000E74DE">
                        <w:rPr>
                          <w:rFonts w:ascii="Times New Roman" w:hAnsi="Times New Roman" w:cs="Times New Roman"/>
                          <w:sz w:val="24"/>
                          <w:szCs w:val="24"/>
                        </w:rPr>
                        <w:t>that is preventing ODS emissions to the extent feasible</w:t>
                      </w:r>
                      <w:r>
                        <w:rPr>
                          <w:rFonts w:ascii="Times New Roman" w:hAnsi="Times New Roman" w:cs="Times New Roman"/>
                          <w:b/>
                          <w:sz w:val="24"/>
                          <w:szCs w:val="24"/>
                        </w:rPr>
                        <w:t xml:space="preserve"> remains crucial for the Green Deal</w:t>
                      </w:r>
                      <w:r>
                        <w:rPr>
                          <w:rFonts w:ascii="Times New Roman" w:hAnsi="Times New Roman" w:cs="Times New Roman"/>
                          <w:sz w:val="24"/>
                          <w:szCs w:val="24"/>
                        </w:rPr>
                        <w:t xml:space="preserve">, notably for </w:t>
                      </w:r>
                      <w:r w:rsidRPr="00C80D68">
                        <w:rPr>
                          <w:rFonts w:ascii="Times New Roman" w:hAnsi="Times New Roman" w:cs="Times New Roman"/>
                          <w:sz w:val="24"/>
                          <w:szCs w:val="24"/>
                        </w:rPr>
                        <w:t>achiev</w:t>
                      </w:r>
                      <w:r>
                        <w:rPr>
                          <w:rFonts w:ascii="Times New Roman" w:hAnsi="Times New Roman" w:cs="Times New Roman"/>
                          <w:sz w:val="24"/>
                          <w:szCs w:val="24"/>
                        </w:rPr>
                        <w:t>ing</w:t>
                      </w:r>
                      <w:r w:rsidRPr="00C80D68">
                        <w:rPr>
                          <w:rFonts w:ascii="Times New Roman" w:hAnsi="Times New Roman" w:cs="Times New Roman"/>
                          <w:sz w:val="24"/>
                          <w:szCs w:val="24"/>
                        </w:rPr>
                        <w:t xml:space="preserve"> full recovery of the ozone layer</w:t>
                      </w:r>
                      <w:r>
                        <w:rPr>
                          <w:rFonts w:ascii="Times New Roman" w:hAnsi="Times New Roman" w:cs="Times New Roman"/>
                          <w:sz w:val="24"/>
                          <w:szCs w:val="24"/>
                        </w:rPr>
                        <w:t xml:space="preserve"> and contributing</w:t>
                      </w:r>
                      <w:r w:rsidRPr="00C80D68">
                        <w:rPr>
                          <w:rFonts w:ascii="Times New Roman" w:hAnsi="Times New Roman" w:cs="Times New Roman"/>
                          <w:sz w:val="24"/>
                          <w:szCs w:val="24"/>
                        </w:rPr>
                        <w:t xml:space="preserve"> to</w:t>
                      </w:r>
                      <w:r>
                        <w:rPr>
                          <w:rFonts w:ascii="Times New Roman" w:hAnsi="Times New Roman" w:cs="Times New Roman"/>
                          <w:sz w:val="24"/>
                          <w:szCs w:val="24"/>
                        </w:rPr>
                        <w:t xml:space="preserve"> climate neutrality and</w:t>
                      </w:r>
                      <w:r w:rsidRPr="00C80D68">
                        <w:rPr>
                          <w:rFonts w:ascii="Times New Roman" w:hAnsi="Times New Roman" w:cs="Times New Roman"/>
                          <w:sz w:val="24"/>
                          <w:szCs w:val="24"/>
                        </w:rPr>
                        <w:t xml:space="preserve"> </w:t>
                      </w:r>
                      <w:r>
                        <w:rPr>
                          <w:rFonts w:ascii="Times New Roman" w:hAnsi="Times New Roman" w:cs="Times New Roman"/>
                          <w:sz w:val="24"/>
                          <w:szCs w:val="24"/>
                        </w:rPr>
                        <w:t xml:space="preserve">staying below </w:t>
                      </w:r>
                      <w:r w:rsidRPr="00C80D68">
                        <w:rPr>
                          <w:rFonts w:ascii="Times New Roman" w:hAnsi="Times New Roman" w:cs="Times New Roman"/>
                          <w:sz w:val="24"/>
                          <w:szCs w:val="24"/>
                        </w:rPr>
                        <w:t xml:space="preserve">the </w:t>
                      </w:r>
                      <w:r>
                        <w:rPr>
                          <w:rFonts w:ascii="Times New Roman" w:hAnsi="Times New Roman" w:cs="Times New Roman"/>
                          <w:sz w:val="24"/>
                          <w:szCs w:val="24"/>
                        </w:rPr>
                        <w:t xml:space="preserve">2 or </w:t>
                      </w:r>
                      <w:r w:rsidRPr="00C80D68">
                        <w:rPr>
                          <w:rFonts w:ascii="Times New Roman" w:hAnsi="Times New Roman" w:cs="Times New Roman"/>
                          <w:sz w:val="24"/>
                          <w:szCs w:val="24"/>
                        </w:rPr>
                        <w:t xml:space="preserve">1.5 degrees Celsius target of the Paris Agreement on Climate Change. </w:t>
                      </w:r>
                      <w:r>
                        <w:rPr>
                          <w:rFonts w:ascii="Times New Roman" w:hAnsi="Times New Roman" w:cs="Times New Roman"/>
                          <w:sz w:val="24"/>
                          <w:szCs w:val="24"/>
                        </w:rPr>
                        <w:t>ODS e</w:t>
                      </w:r>
                      <w:r w:rsidRPr="000E74DE">
                        <w:rPr>
                          <w:rFonts w:ascii="Times New Roman" w:hAnsi="Times New Roman" w:cs="Times New Roman"/>
                          <w:sz w:val="24"/>
                          <w:szCs w:val="24"/>
                        </w:rPr>
                        <w:t xml:space="preserve">mission savings </w:t>
                      </w:r>
                      <w:r>
                        <w:rPr>
                          <w:rFonts w:ascii="Times New Roman" w:hAnsi="Times New Roman" w:cs="Times New Roman"/>
                          <w:b/>
                          <w:sz w:val="24"/>
                          <w:szCs w:val="24"/>
                        </w:rPr>
                        <w:t>will be additional to the min. 55% reductions from other sectors by 2030</w:t>
                      </w:r>
                      <w:r w:rsidRPr="00D451A4">
                        <w:rPr>
                          <w:rFonts w:ascii="Times New Roman" w:hAnsi="Times New Roman" w:cs="Times New Roman"/>
                          <w:sz w:val="24"/>
                          <w:szCs w:val="24"/>
                        </w:rPr>
                        <w:t>.</w:t>
                      </w:r>
                    </w:p>
                  </w:txbxContent>
                </v:textbox>
                <w10:wrap type="square"/>
              </v:shape>
            </w:pict>
          </mc:Fallback>
        </mc:AlternateContent>
      </w:r>
      <w:r w:rsidR="008A32D5" w:rsidRPr="00944AC4">
        <w:rPr>
          <w:rFonts w:ascii="Times New Roman" w:eastAsia="Calibri" w:hAnsi="Times New Roman" w:cs="Times New Roman"/>
          <w:noProof/>
          <w:sz w:val="24"/>
          <w:szCs w:val="24"/>
        </w:rPr>
        <w:t xml:space="preserve">The Regulation has close links to other EU legislation, notably </w:t>
      </w:r>
      <w:r w:rsidR="008A32D5">
        <w:rPr>
          <w:rFonts w:ascii="Times New Roman" w:eastAsia="Calibri" w:hAnsi="Times New Roman" w:cs="Times New Roman"/>
          <w:noProof/>
          <w:sz w:val="24"/>
          <w:szCs w:val="24"/>
        </w:rPr>
        <w:t>Regulation (EU</w:t>
      </w:r>
      <w:r w:rsidR="008A32D5" w:rsidRPr="00944AC4">
        <w:rPr>
          <w:rFonts w:ascii="Times New Roman" w:eastAsia="Calibri" w:hAnsi="Times New Roman" w:cs="Times New Roman"/>
          <w:noProof/>
          <w:sz w:val="24"/>
          <w:szCs w:val="24"/>
        </w:rPr>
        <w:t xml:space="preserve">) </w:t>
      </w:r>
      <w:r w:rsidR="008A32D5">
        <w:rPr>
          <w:rFonts w:ascii="Times New Roman" w:eastAsia="Calibri" w:hAnsi="Times New Roman" w:cs="Times New Roman"/>
          <w:noProof/>
          <w:sz w:val="24"/>
          <w:szCs w:val="24"/>
        </w:rPr>
        <w:t>517/2014</w:t>
      </w:r>
      <w:r w:rsidR="008A32D5" w:rsidRPr="00944AC4">
        <w:rPr>
          <w:rFonts w:ascii="Times New Roman" w:eastAsia="Calibri" w:hAnsi="Times New Roman" w:cs="Times New Roman"/>
          <w:noProof/>
          <w:sz w:val="24"/>
          <w:szCs w:val="24"/>
        </w:rPr>
        <w:t xml:space="preserve"> on </w:t>
      </w:r>
      <w:r w:rsidR="008A32D5">
        <w:rPr>
          <w:rFonts w:ascii="Times New Roman" w:eastAsia="Calibri" w:hAnsi="Times New Roman" w:cs="Times New Roman"/>
          <w:noProof/>
          <w:sz w:val="24"/>
          <w:szCs w:val="24"/>
        </w:rPr>
        <w:t>fluorinated greenhouse gases, as the</w:t>
      </w:r>
      <w:r w:rsidR="002746E6">
        <w:rPr>
          <w:rFonts w:ascii="Times New Roman" w:eastAsia="Calibri" w:hAnsi="Times New Roman" w:cs="Times New Roman"/>
          <w:noProof/>
          <w:sz w:val="24"/>
          <w:szCs w:val="24"/>
        </w:rPr>
        <w:t>se gases</w:t>
      </w:r>
      <w:r w:rsidR="008A32D5">
        <w:rPr>
          <w:rFonts w:ascii="Times New Roman" w:eastAsia="Calibri" w:hAnsi="Times New Roman" w:cs="Times New Roman"/>
          <w:noProof/>
          <w:sz w:val="24"/>
          <w:szCs w:val="24"/>
        </w:rPr>
        <w:t xml:space="preserve"> have replaced ODS in many of their original uses and the two Regulations apply similar measures to reduce the substances controlled and their emissions</w:t>
      </w:r>
      <w:r w:rsidR="008A32D5" w:rsidRPr="00944AC4">
        <w:rPr>
          <w:rFonts w:ascii="Times New Roman" w:eastAsia="Calibri" w:hAnsi="Times New Roman" w:cs="Times New Roman"/>
          <w:noProof/>
          <w:sz w:val="24"/>
          <w:szCs w:val="24"/>
        </w:rPr>
        <w:t xml:space="preserve">. </w:t>
      </w:r>
      <w:r w:rsidR="008A32D5">
        <w:rPr>
          <w:rFonts w:ascii="Times New Roman" w:eastAsia="Calibri" w:hAnsi="Times New Roman" w:cs="Times New Roman"/>
          <w:noProof/>
          <w:sz w:val="24"/>
          <w:szCs w:val="24"/>
        </w:rPr>
        <w:t>Both Regulation are</w:t>
      </w:r>
      <w:r w:rsidR="008A32D5" w:rsidRPr="00944AC4">
        <w:rPr>
          <w:rFonts w:ascii="Times New Roman" w:eastAsia="Calibri" w:hAnsi="Times New Roman" w:cs="Times New Roman"/>
          <w:noProof/>
          <w:sz w:val="24"/>
          <w:szCs w:val="24"/>
        </w:rPr>
        <w:t xml:space="preserve"> being reviewed in parallel. </w:t>
      </w:r>
      <w:r w:rsidRPr="0056206A">
        <w:rPr>
          <w:rFonts w:ascii="Times New Roman" w:eastAsia="Calibri" w:hAnsi="Times New Roman" w:cs="Times New Roman"/>
          <w:noProof/>
          <w:sz w:val="24"/>
          <w:szCs w:val="24"/>
        </w:rPr>
        <w:t>There are also close links to</w:t>
      </w:r>
      <w:r>
        <w:rPr>
          <w:rFonts w:ascii="Times New Roman" w:eastAsia="Calibri" w:hAnsi="Times New Roman" w:cs="Times New Roman"/>
          <w:noProof/>
          <w:sz w:val="24"/>
          <w:szCs w:val="24"/>
        </w:rPr>
        <w:t xml:space="preserve">, </w:t>
      </w:r>
      <w:r w:rsidRPr="0056206A">
        <w:rPr>
          <w:rFonts w:ascii="Times New Roman" w:eastAsia="Calibri" w:hAnsi="Times New Roman" w:cs="Times New Roman"/>
          <w:i/>
          <w:noProof/>
          <w:sz w:val="24"/>
          <w:szCs w:val="24"/>
        </w:rPr>
        <w:t>inter alia</w:t>
      </w:r>
      <w:r>
        <w:rPr>
          <w:rFonts w:ascii="Times New Roman" w:eastAsia="Calibri" w:hAnsi="Times New Roman" w:cs="Times New Roman"/>
          <w:noProof/>
          <w:sz w:val="24"/>
          <w:szCs w:val="24"/>
        </w:rPr>
        <w:t>,</w:t>
      </w:r>
      <w:r w:rsidRPr="0056206A">
        <w:rPr>
          <w:rFonts w:ascii="Times New Roman" w:eastAsia="Calibri" w:hAnsi="Times New Roman" w:cs="Times New Roman"/>
          <w:noProof/>
          <w:sz w:val="24"/>
          <w:szCs w:val="24"/>
        </w:rPr>
        <w:t xml:space="preserve"> waste</w:t>
      </w:r>
      <w:r w:rsidRPr="0056206A">
        <w:rPr>
          <w:rFonts w:ascii="Times New Roman" w:eastAsia="Calibri" w:hAnsi="Times New Roman" w:cs="Times New Roman"/>
          <w:noProof/>
          <w:sz w:val="24"/>
          <w:szCs w:val="24"/>
          <w:vertAlign w:val="superscript"/>
        </w:rPr>
        <w:footnoteReference w:id="16"/>
      </w:r>
      <w:r>
        <w:rPr>
          <w:rFonts w:ascii="Times New Roman" w:eastAsia="Calibri" w:hAnsi="Times New Roman" w:cs="Times New Roman"/>
          <w:noProof/>
          <w:sz w:val="24"/>
          <w:szCs w:val="24"/>
        </w:rPr>
        <w:t xml:space="preserve"> and chemical</w:t>
      </w:r>
      <w:r>
        <w:rPr>
          <w:rStyle w:val="FootnoteReference"/>
          <w:rFonts w:ascii="Times New Roman" w:eastAsia="Calibri" w:hAnsi="Times New Roman" w:cs="Times New Roman"/>
          <w:noProof/>
          <w:sz w:val="24"/>
          <w:szCs w:val="24"/>
        </w:rPr>
        <w:footnoteReference w:id="17"/>
      </w:r>
      <w:r>
        <w:rPr>
          <w:rFonts w:ascii="Times New Roman" w:eastAsia="Calibri" w:hAnsi="Times New Roman" w:cs="Times New Roman"/>
          <w:noProof/>
          <w:sz w:val="24"/>
          <w:szCs w:val="24"/>
        </w:rPr>
        <w:t xml:space="preserve"> policies, </w:t>
      </w:r>
      <w:r w:rsidR="00021B71">
        <w:rPr>
          <w:rFonts w:ascii="Times New Roman" w:eastAsia="Calibri" w:hAnsi="Times New Roman" w:cs="Times New Roman"/>
          <w:noProof/>
          <w:sz w:val="24"/>
          <w:szCs w:val="24"/>
        </w:rPr>
        <w:t xml:space="preserve">and </w:t>
      </w:r>
      <w:r>
        <w:rPr>
          <w:rFonts w:ascii="Times New Roman" w:eastAsia="Calibri" w:hAnsi="Times New Roman" w:cs="Times New Roman"/>
          <w:noProof/>
          <w:sz w:val="24"/>
          <w:szCs w:val="24"/>
        </w:rPr>
        <w:t xml:space="preserve">customs </w:t>
      </w:r>
      <w:r w:rsidR="00021B71">
        <w:rPr>
          <w:rFonts w:ascii="Times New Roman" w:eastAsia="Calibri" w:hAnsi="Times New Roman" w:cs="Times New Roman"/>
          <w:noProof/>
          <w:sz w:val="24"/>
          <w:szCs w:val="24"/>
        </w:rPr>
        <w:t xml:space="preserve">and market surveillance </w:t>
      </w:r>
      <w:r>
        <w:rPr>
          <w:rFonts w:ascii="Times New Roman" w:eastAsia="Calibri" w:hAnsi="Times New Roman" w:cs="Times New Roman"/>
          <w:noProof/>
          <w:sz w:val="24"/>
          <w:szCs w:val="24"/>
        </w:rPr>
        <w:t>legislation.</w:t>
      </w:r>
    </w:p>
    <w:p w14:paraId="7575C9C4" w14:textId="32BA94DD" w:rsidR="00A14107" w:rsidRPr="00A14107" w:rsidRDefault="00896FDA" w:rsidP="00896FDA">
      <w:pPr>
        <w:pStyle w:val="Heading1"/>
        <w:rPr>
          <w:noProof/>
        </w:rPr>
      </w:pPr>
      <w:bookmarkStart w:id="26" w:name="_Toc71559390"/>
      <w:bookmarkStart w:id="27" w:name="_Toc71706995"/>
      <w:bookmarkStart w:id="28" w:name="_Toc71708205"/>
      <w:bookmarkStart w:id="29" w:name="_Toc71710937"/>
      <w:bookmarkStart w:id="30" w:name="_Toc72399339"/>
      <w:bookmarkStart w:id="31" w:name="_Toc93511451"/>
      <w:r w:rsidRPr="00896FDA">
        <w:t>2.</w:t>
      </w:r>
      <w:r w:rsidRPr="00896FDA">
        <w:tab/>
      </w:r>
      <w:r w:rsidR="00A14107" w:rsidRPr="00A14107">
        <w:rPr>
          <w:noProof/>
        </w:rPr>
        <w:t>Problem definition</w:t>
      </w:r>
      <w:bookmarkEnd w:id="26"/>
      <w:bookmarkEnd w:id="27"/>
      <w:bookmarkEnd w:id="28"/>
      <w:bookmarkEnd w:id="29"/>
      <w:bookmarkEnd w:id="30"/>
      <w:bookmarkEnd w:id="31"/>
    </w:p>
    <w:p w14:paraId="42CA4D8D" w14:textId="399C0D64" w:rsidR="00A14107" w:rsidRPr="00F30C16" w:rsidRDefault="00896FDA" w:rsidP="00896FDA">
      <w:pPr>
        <w:pStyle w:val="Heading2"/>
        <w:rPr>
          <w:noProof/>
        </w:rPr>
      </w:pPr>
      <w:bookmarkStart w:id="32" w:name="_Toc71559391"/>
      <w:bookmarkStart w:id="33" w:name="_Toc71706996"/>
      <w:bookmarkStart w:id="34" w:name="_Toc71708206"/>
      <w:bookmarkStart w:id="35" w:name="_Toc71710938"/>
      <w:bookmarkStart w:id="36" w:name="_Toc72399340"/>
      <w:bookmarkStart w:id="37" w:name="_Toc93511452"/>
      <w:r w:rsidRPr="00896FDA">
        <w:t>2.1.</w:t>
      </w:r>
      <w:r w:rsidRPr="00896FDA">
        <w:tab/>
      </w:r>
      <w:r w:rsidR="00A14107" w:rsidRPr="00F30C16">
        <w:rPr>
          <w:noProof/>
        </w:rPr>
        <w:t>What is the problem?</w:t>
      </w:r>
      <w:bookmarkEnd w:id="32"/>
      <w:bookmarkEnd w:id="33"/>
      <w:bookmarkEnd w:id="34"/>
      <w:bookmarkEnd w:id="35"/>
      <w:bookmarkEnd w:id="36"/>
      <w:bookmarkEnd w:id="37"/>
    </w:p>
    <w:p w14:paraId="660E030C" w14:textId="77777777" w:rsidR="00A14107" w:rsidRPr="00A14107" w:rsidRDefault="00A14107" w:rsidP="002E001A">
      <w:pPr>
        <w:spacing w:after="120"/>
        <w:jc w:val="both"/>
        <w:rPr>
          <w:rFonts w:ascii="Times New Roman" w:hAnsi="Times New Roman" w:cs="Times New Roman"/>
          <w:b/>
          <w:noProof/>
          <w:sz w:val="24"/>
          <w:szCs w:val="24"/>
        </w:rPr>
      </w:pPr>
      <w:r w:rsidRPr="00A14107">
        <w:rPr>
          <w:rFonts w:ascii="Times New Roman" w:hAnsi="Times New Roman" w:cs="Times New Roman"/>
          <w:noProof/>
          <w:sz w:val="24"/>
          <w:szCs w:val="24"/>
        </w:rPr>
        <w:t xml:space="preserve">The evaluation found that the Regulation ensures compliance with the Protocol and exerts a positive influence on third countries to do likewise. It has safeguarded a high environmental ambition by eliminating the majority of past ODS uses, while also ensuring a level playing field for concerned industries and undertakings among Member States. </w:t>
      </w:r>
      <w:r w:rsidRPr="00A14107">
        <w:rPr>
          <w:rFonts w:ascii="Times New Roman" w:hAnsi="Times New Roman" w:cs="Times New Roman"/>
          <w:b/>
          <w:noProof/>
          <w:sz w:val="24"/>
          <w:szCs w:val="24"/>
        </w:rPr>
        <w:t xml:space="preserve">Thus, most of the obligations and measures of the current Regulation are fit for purpose and should therefore remain in place </w:t>
      </w:r>
      <w:r w:rsidRPr="00A14107">
        <w:rPr>
          <w:rFonts w:ascii="Times New Roman" w:hAnsi="Times New Roman" w:cs="Times New Roman"/>
          <w:noProof/>
          <w:sz w:val="24"/>
          <w:szCs w:val="24"/>
        </w:rPr>
        <w:t>(see intervention logic in Annex 8).</w:t>
      </w:r>
    </w:p>
    <w:p w14:paraId="4297C19F" w14:textId="77777777" w:rsidR="00A14107" w:rsidRPr="00A14107" w:rsidRDefault="00A14107" w:rsidP="00A14107">
      <w:pPr>
        <w:spacing w:after="120"/>
        <w:jc w:val="both"/>
        <w:rPr>
          <w:rFonts w:ascii="Times New Roman" w:hAnsi="Times New Roman" w:cs="Times New Roman"/>
          <w:b/>
          <w:noProof/>
          <w:sz w:val="24"/>
          <w:szCs w:val="24"/>
        </w:rPr>
      </w:pPr>
      <w:r w:rsidRPr="00A14107">
        <w:rPr>
          <w:rFonts w:ascii="Times New Roman" w:hAnsi="Times New Roman" w:cs="Times New Roman"/>
          <w:noProof/>
          <w:sz w:val="24"/>
          <w:szCs w:val="24"/>
        </w:rPr>
        <w:t>However, the design of the Regulation could be slightly improved:</w:t>
      </w:r>
    </w:p>
    <w:p w14:paraId="52EBB791" w14:textId="77777777" w:rsidR="00A14107" w:rsidRPr="00A14107" w:rsidRDefault="00A14107" w:rsidP="00AD73CF">
      <w:pPr>
        <w:numPr>
          <w:ilvl w:val="0"/>
          <w:numId w:val="15"/>
        </w:num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Some measures are not sufficiently </w:t>
      </w:r>
      <w:r w:rsidRPr="00A14107">
        <w:rPr>
          <w:rFonts w:ascii="Times New Roman" w:hAnsi="Times New Roman" w:cs="Times New Roman"/>
          <w:b/>
          <w:noProof/>
          <w:sz w:val="24"/>
          <w:szCs w:val="24"/>
        </w:rPr>
        <w:t>efficient</w:t>
      </w:r>
      <w:r w:rsidRPr="00A14107">
        <w:rPr>
          <w:rFonts w:ascii="Times New Roman" w:hAnsi="Times New Roman" w:cs="Times New Roman"/>
          <w:noProof/>
          <w:sz w:val="24"/>
          <w:szCs w:val="24"/>
        </w:rPr>
        <w:t xml:space="preserve">; </w:t>
      </w:r>
    </w:p>
    <w:p w14:paraId="37EE2877" w14:textId="1019056B" w:rsidR="00A14107" w:rsidRPr="00A14107" w:rsidRDefault="00172141" w:rsidP="00AD73CF">
      <w:pPr>
        <w:numPr>
          <w:ilvl w:val="0"/>
          <w:numId w:val="15"/>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are </w:t>
      </w:r>
      <w:r w:rsidR="00A14107" w:rsidRPr="00A14107">
        <w:rPr>
          <w:rFonts w:ascii="Times New Roman" w:hAnsi="Times New Roman" w:cs="Times New Roman"/>
          <w:noProof/>
          <w:sz w:val="24"/>
          <w:szCs w:val="24"/>
        </w:rPr>
        <w:t xml:space="preserve">minor gaps in </w:t>
      </w:r>
      <w:r w:rsidR="00A14107" w:rsidRPr="00A14107">
        <w:rPr>
          <w:rFonts w:ascii="Times New Roman" w:hAnsi="Times New Roman" w:cs="Times New Roman"/>
          <w:b/>
          <w:noProof/>
          <w:sz w:val="24"/>
          <w:szCs w:val="24"/>
        </w:rPr>
        <w:t>monitoring</w:t>
      </w:r>
      <w:r w:rsidR="005522F3" w:rsidRPr="005522F3">
        <w:rPr>
          <w:rFonts w:ascii="Times New Roman" w:hAnsi="Times New Roman" w:cs="Times New Roman"/>
          <w:bCs/>
          <w:noProof/>
          <w:sz w:val="24"/>
          <w:szCs w:val="24"/>
        </w:rPr>
        <w:t>;</w:t>
      </w:r>
      <w:r w:rsidR="00A14107" w:rsidRPr="00A14107">
        <w:rPr>
          <w:rFonts w:ascii="Times New Roman" w:hAnsi="Times New Roman" w:cs="Times New Roman"/>
          <w:noProof/>
          <w:sz w:val="24"/>
          <w:szCs w:val="24"/>
        </w:rPr>
        <w:t xml:space="preserve"> and</w:t>
      </w:r>
    </w:p>
    <w:p w14:paraId="4693418F" w14:textId="77777777" w:rsidR="00A14107" w:rsidRPr="00A14107" w:rsidRDefault="00172141" w:rsidP="00AD73CF">
      <w:pPr>
        <w:numPr>
          <w:ilvl w:val="0"/>
          <w:numId w:val="15"/>
        </w:numPr>
        <w:spacing w:after="120"/>
        <w:ind w:left="714" w:hanging="357"/>
        <w:jc w:val="both"/>
        <w:rPr>
          <w:rFonts w:ascii="Times New Roman" w:hAnsi="Times New Roman" w:cs="Times New Roman"/>
          <w:noProof/>
          <w:sz w:val="24"/>
          <w:szCs w:val="24"/>
        </w:rPr>
      </w:pPr>
      <w:r>
        <w:rPr>
          <w:rFonts w:ascii="Times New Roman" w:hAnsi="Times New Roman" w:cs="Times New Roman"/>
          <w:noProof/>
          <w:sz w:val="24"/>
          <w:szCs w:val="24"/>
        </w:rPr>
        <w:t>There is a n</w:t>
      </w:r>
      <w:r w:rsidR="00A14107" w:rsidRPr="00A14107">
        <w:rPr>
          <w:rFonts w:ascii="Times New Roman" w:hAnsi="Times New Roman" w:cs="Times New Roman"/>
          <w:noProof/>
          <w:sz w:val="24"/>
          <w:szCs w:val="24"/>
        </w:rPr>
        <w:t>eed for</w:t>
      </w:r>
      <w:r w:rsidR="00A14107" w:rsidRPr="00A14107">
        <w:rPr>
          <w:rFonts w:ascii="Times New Roman" w:hAnsi="Times New Roman" w:cs="Times New Roman"/>
          <w:b/>
          <w:noProof/>
          <w:sz w:val="24"/>
          <w:szCs w:val="24"/>
        </w:rPr>
        <w:t xml:space="preserve"> clarity</w:t>
      </w:r>
      <w:r w:rsidR="00A14107" w:rsidRPr="00A14107">
        <w:rPr>
          <w:rFonts w:ascii="Times New Roman" w:hAnsi="Times New Roman" w:cs="Times New Roman"/>
          <w:noProof/>
          <w:sz w:val="24"/>
          <w:szCs w:val="24"/>
        </w:rPr>
        <w:t xml:space="preserve"> </w:t>
      </w:r>
      <w:r w:rsidR="00A14107" w:rsidRPr="00A14107">
        <w:rPr>
          <w:rFonts w:ascii="Times New Roman" w:hAnsi="Times New Roman" w:cs="Times New Roman"/>
          <w:b/>
          <w:noProof/>
          <w:sz w:val="24"/>
          <w:szCs w:val="24"/>
        </w:rPr>
        <w:t>and coherence</w:t>
      </w:r>
      <w:r w:rsidR="00A14107" w:rsidRPr="00A14107">
        <w:rPr>
          <w:rFonts w:ascii="Times New Roman" w:hAnsi="Times New Roman" w:cs="Times New Roman"/>
          <w:noProof/>
          <w:sz w:val="24"/>
          <w:szCs w:val="24"/>
        </w:rPr>
        <w:t xml:space="preserve"> with other rule</w:t>
      </w:r>
      <w:r>
        <w:rPr>
          <w:rFonts w:ascii="Times New Roman" w:hAnsi="Times New Roman" w:cs="Times New Roman"/>
          <w:noProof/>
          <w:sz w:val="24"/>
          <w:szCs w:val="24"/>
        </w:rPr>
        <w:t>s</w:t>
      </w:r>
      <w:r w:rsidR="00A14107" w:rsidRPr="00A14107">
        <w:rPr>
          <w:rFonts w:ascii="Times New Roman" w:hAnsi="Times New Roman" w:cs="Times New Roman"/>
          <w:noProof/>
          <w:sz w:val="24"/>
          <w:szCs w:val="24"/>
        </w:rPr>
        <w:t>.</w:t>
      </w:r>
    </w:p>
    <w:p w14:paraId="1A46ED1C" w14:textId="2AF19C69" w:rsidR="00501849" w:rsidRDefault="00A14107" w:rsidP="00A14107">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As most uses are now prohibited, </w:t>
      </w:r>
      <w:r w:rsidR="00172141">
        <w:rPr>
          <w:rFonts w:ascii="Times New Roman" w:hAnsi="Times New Roman" w:cs="Times New Roman"/>
          <w:noProof/>
          <w:sz w:val="24"/>
          <w:szCs w:val="24"/>
        </w:rPr>
        <w:t>e</w:t>
      </w:r>
      <w:r w:rsidR="00D82896">
        <w:rPr>
          <w:rFonts w:ascii="Times New Roman" w:hAnsi="Times New Roman" w:cs="Times New Roman"/>
          <w:noProof/>
          <w:sz w:val="24"/>
          <w:szCs w:val="24"/>
        </w:rPr>
        <w:t>ffective</w:t>
      </w:r>
      <w:r w:rsidR="00172141"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control needs to be </w:t>
      </w:r>
      <w:r w:rsidR="00172141">
        <w:rPr>
          <w:rFonts w:ascii="Times New Roman" w:hAnsi="Times New Roman" w:cs="Times New Roman"/>
          <w:noProof/>
          <w:sz w:val="24"/>
          <w:szCs w:val="24"/>
        </w:rPr>
        <w:t>maintained</w:t>
      </w:r>
      <w:r w:rsidR="00172141"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in the long run.</w:t>
      </w:r>
      <w:r w:rsidRPr="00A14107">
        <w:rPr>
          <w:rFonts w:ascii="Times New Roman" w:hAnsi="Times New Roman" w:cs="Times New Roman"/>
          <w:noProof/>
          <w:sz w:val="24"/>
          <w:szCs w:val="24"/>
          <w:lang w:val="en-US"/>
        </w:rPr>
        <w:t xml:space="preserve"> </w:t>
      </w:r>
      <w:r w:rsidRPr="00A14107">
        <w:rPr>
          <w:rFonts w:ascii="Times New Roman" w:hAnsi="Times New Roman" w:cs="Times New Roman"/>
          <w:noProof/>
          <w:sz w:val="24"/>
          <w:szCs w:val="24"/>
        </w:rPr>
        <w:t xml:space="preserve">Furthermore, in light of the Green Deal and the goal of reaching climate neutrality by 2050, </w:t>
      </w:r>
      <w:r w:rsidRPr="00A14107">
        <w:rPr>
          <w:rFonts w:ascii="Times New Roman" w:hAnsi="Times New Roman" w:cs="Times New Roman"/>
          <w:b/>
          <w:noProof/>
          <w:sz w:val="24"/>
          <w:szCs w:val="24"/>
        </w:rPr>
        <w:t xml:space="preserve">any remaining emissions of ODS should be scrutinised </w:t>
      </w:r>
      <w:r w:rsidRPr="00A14107">
        <w:rPr>
          <w:rFonts w:ascii="Times New Roman" w:hAnsi="Times New Roman" w:cs="Times New Roman"/>
          <w:noProof/>
          <w:sz w:val="24"/>
          <w:szCs w:val="24"/>
        </w:rPr>
        <w:t>to determine</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if further emission reductions would be technically feasible at proportionate costs. The drivers for these issues and developments are described below.</w:t>
      </w:r>
    </w:p>
    <w:p w14:paraId="120A2703" w14:textId="77777777" w:rsidR="005522F3" w:rsidRDefault="005522F3" w:rsidP="00A14107">
      <w:pPr>
        <w:spacing w:after="0"/>
        <w:jc w:val="both"/>
        <w:rPr>
          <w:rFonts w:ascii="Times New Roman" w:hAnsi="Times New Roman" w:cs="Times New Roman"/>
          <w:noProof/>
          <w:sz w:val="24"/>
          <w:szCs w:val="24"/>
        </w:rPr>
      </w:pPr>
    </w:p>
    <w:p w14:paraId="2E02FCB3" w14:textId="77777777" w:rsidR="00A14107" w:rsidRPr="00A14107" w:rsidRDefault="00A14107" w:rsidP="00A14107">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lang w:eastAsia="en-GB"/>
        </w:rPr>
        <mc:AlternateContent>
          <mc:Choice Requires="wps">
            <w:drawing>
              <wp:inline distT="0" distB="0" distL="0" distR="0" wp14:anchorId="4EEA8C2D" wp14:editId="17106EB8">
                <wp:extent cx="5534025" cy="1076325"/>
                <wp:effectExtent l="0" t="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076325"/>
                        </a:xfrm>
                        <a:prstGeom prst="rect">
                          <a:avLst/>
                        </a:prstGeom>
                        <a:solidFill>
                          <a:srgbClr val="FFFFFF"/>
                        </a:solidFill>
                        <a:ln w="9525">
                          <a:solidFill>
                            <a:srgbClr val="000000"/>
                          </a:solidFill>
                          <a:miter lim="800000"/>
                          <a:headEnd/>
                          <a:tailEnd/>
                        </a:ln>
                      </wps:spPr>
                      <wps:txbx>
                        <w:txbxContent>
                          <w:p w14:paraId="57FB8309" w14:textId="77777777" w:rsidR="000B4FC1" w:rsidRDefault="000B4FC1" w:rsidP="00A14107">
                            <w:pPr>
                              <w:spacing w:after="0"/>
                              <w:jc w:val="both"/>
                              <w:rPr>
                                <w:rFonts w:ascii="Times New Roman" w:hAnsi="Times New Roman" w:cs="Times New Roman"/>
                                <w:sz w:val="24"/>
                                <w:szCs w:val="24"/>
                              </w:rPr>
                            </w:pPr>
                            <w:r>
                              <w:rPr>
                                <w:rFonts w:ascii="Times New Roman" w:hAnsi="Times New Roman" w:cs="Times New Roman"/>
                                <w:sz w:val="24"/>
                                <w:szCs w:val="24"/>
                              </w:rPr>
                              <w:t xml:space="preserve">This review seeks to </w:t>
                            </w:r>
                            <w:r w:rsidRPr="00981042">
                              <w:rPr>
                                <w:rFonts w:ascii="Times New Roman" w:hAnsi="Times New Roman" w:cs="Times New Roman"/>
                                <w:b/>
                                <w:sz w:val="24"/>
                                <w:szCs w:val="24"/>
                              </w:rPr>
                              <w:t>step up ambition</w:t>
                            </w:r>
                            <w:r>
                              <w:rPr>
                                <w:rFonts w:ascii="Times New Roman" w:hAnsi="Times New Roman" w:cs="Times New Roman"/>
                                <w:sz w:val="24"/>
                                <w:szCs w:val="24"/>
                              </w:rPr>
                              <w:t xml:space="preserve"> without questioning the overall concept, approach and measures of the Regulation,</w:t>
                            </w:r>
                            <w:r w:rsidRPr="00A723E6">
                              <w:rPr>
                                <w:rFonts w:ascii="Times New Roman" w:hAnsi="Times New Roman" w:cs="Times New Roman"/>
                                <w:sz w:val="24"/>
                                <w:szCs w:val="24"/>
                              </w:rPr>
                              <w:t xml:space="preserve"> </w:t>
                            </w:r>
                            <w:r>
                              <w:rPr>
                                <w:rFonts w:ascii="Times New Roman" w:hAnsi="Times New Roman" w:cs="Times New Roman"/>
                                <w:sz w:val="24"/>
                                <w:szCs w:val="24"/>
                              </w:rPr>
                              <w:t xml:space="preserve">as it was generally deemed to be fit for purpose. It also explores how the </w:t>
                            </w:r>
                            <w:r w:rsidRPr="00981042">
                              <w:rPr>
                                <w:rFonts w:ascii="Times New Roman" w:hAnsi="Times New Roman" w:cs="Times New Roman"/>
                                <w:b/>
                                <w:sz w:val="24"/>
                                <w:szCs w:val="24"/>
                              </w:rPr>
                              <w:t>design of the Regulation can be fine-tuned</w:t>
                            </w:r>
                            <w:r>
                              <w:rPr>
                                <w:rFonts w:ascii="Times New Roman" w:hAnsi="Times New Roman" w:cs="Times New Roman"/>
                                <w:sz w:val="24"/>
                                <w:szCs w:val="24"/>
                              </w:rPr>
                              <w:t xml:space="preserve"> to improve efficiency of existing measures and maintain effective</w:t>
                            </w:r>
                            <w:r w:rsidRPr="00D82896">
                              <w:rPr>
                                <w:rFonts w:ascii="Times New Roman" w:hAnsi="Times New Roman" w:cs="Times New Roman"/>
                                <w:sz w:val="24"/>
                                <w:szCs w:val="24"/>
                              </w:rPr>
                              <w:t xml:space="preserve"> control</w:t>
                            </w:r>
                            <w:r>
                              <w:rPr>
                                <w:rFonts w:ascii="Times New Roman" w:hAnsi="Times New Roman" w:cs="Times New Roman"/>
                                <w:sz w:val="24"/>
                                <w:szCs w:val="24"/>
                              </w:rPr>
                              <w:t xml:space="preserve">. Many suggested changes will result in minor improvements without other impacts. </w:t>
                            </w:r>
                          </w:p>
                          <w:p w14:paraId="66DEC456" w14:textId="77777777" w:rsidR="000B4FC1" w:rsidRPr="002B2239" w:rsidRDefault="000B4FC1" w:rsidP="00A14107">
                            <w:pPr>
                              <w:spacing w:line="240" w:lineRule="auto"/>
                              <w:jc w:val="both"/>
                              <w:textboxTightWrap w:val="allLine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EEA8C2D" id="Text Box 2" o:spid="_x0000_s1027" type="#_x0000_t202" style="width:435.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">
                <v:textbox>
                  <w:txbxContent>
                    <w:p w14:paraId="57FB8309" w14:textId="77777777" w:rsidR="000B4FC1" w:rsidRDefault="000B4FC1" w:rsidP="00A14107">
                      <w:pPr>
                        <w:spacing w:after="0"/>
                        <w:jc w:val="both"/>
                        <w:rPr>
                          <w:rFonts w:ascii="Times New Roman" w:hAnsi="Times New Roman" w:cs="Times New Roman"/>
                          <w:sz w:val="24"/>
                          <w:szCs w:val="24"/>
                        </w:rPr>
                      </w:pPr>
                      <w:r>
                        <w:rPr>
                          <w:rFonts w:ascii="Times New Roman" w:hAnsi="Times New Roman" w:cs="Times New Roman"/>
                          <w:sz w:val="24"/>
                          <w:szCs w:val="24"/>
                        </w:rPr>
                        <w:t xml:space="preserve">This review seeks to </w:t>
                      </w:r>
                      <w:r w:rsidRPr="00981042">
                        <w:rPr>
                          <w:rFonts w:ascii="Times New Roman" w:hAnsi="Times New Roman" w:cs="Times New Roman"/>
                          <w:b/>
                          <w:sz w:val="24"/>
                          <w:szCs w:val="24"/>
                        </w:rPr>
                        <w:t>step up ambition</w:t>
                      </w:r>
                      <w:r>
                        <w:rPr>
                          <w:rFonts w:ascii="Times New Roman" w:hAnsi="Times New Roman" w:cs="Times New Roman"/>
                          <w:sz w:val="24"/>
                          <w:szCs w:val="24"/>
                        </w:rPr>
                        <w:t xml:space="preserve"> without questioning the overall concept, approach and measures of the Regulation,</w:t>
                      </w:r>
                      <w:r w:rsidRPr="00A723E6">
                        <w:rPr>
                          <w:rFonts w:ascii="Times New Roman" w:hAnsi="Times New Roman" w:cs="Times New Roman"/>
                          <w:sz w:val="24"/>
                          <w:szCs w:val="24"/>
                        </w:rPr>
                        <w:t xml:space="preserve"> </w:t>
                      </w:r>
                      <w:r>
                        <w:rPr>
                          <w:rFonts w:ascii="Times New Roman" w:hAnsi="Times New Roman" w:cs="Times New Roman"/>
                          <w:sz w:val="24"/>
                          <w:szCs w:val="24"/>
                        </w:rPr>
                        <w:t xml:space="preserve">as it was generally deemed to be fit for purpose. It also explores how the </w:t>
                      </w:r>
                      <w:r w:rsidRPr="00981042">
                        <w:rPr>
                          <w:rFonts w:ascii="Times New Roman" w:hAnsi="Times New Roman" w:cs="Times New Roman"/>
                          <w:b/>
                          <w:sz w:val="24"/>
                          <w:szCs w:val="24"/>
                        </w:rPr>
                        <w:t>design of the Regulation can be fine-tuned</w:t>
                      </w:r>
                      <w:r>
                        <w:rPr>
                          <w:rFonts w:ascii="Times New Roman" w:hAnsi="Times New Roman" w:cs="Times New Roman"/>
                          <w:sz w:val="24"/>
                          <w:szCs w:val="24"/>
                        </w:rPr>
                        <w:t xml:space="preserve"> to improve efficiency of existing measures and maintain effective</w:t>
                      </w:r>
                      <w:r w:rsidRPr="00D82896">
                        <w:rPr>
                          <w:rFonts w:ascii="Times New Roman" w:hAnsi="Times New Roman" w:cs="Times New Roman"/>
                          <w:sz w:val="24"/>
                          <w:szCs w:val="24"/>
                        </w:rPr>
                        <w:t xml:space="preserve"> control</w:t>
                      </w:r>
                      <w:r>
                        <w:rPr>
                          <w:rFonts w:ascii="Times New Roman" w:hAnsi="Times New Roman" w:cs="Times New Roman"/>
                          <w:sz w:val="24"/>
                          <w:szCs w:val="24"/>
                        </w:rPr>
                        <w:t xml:space="preserve">. Many suggested changes will result in minor improvements without other impacts. </w:t>
                      </w:r>
                    </w:p>
                    <w:p w14:paraId="66DEC456" w14:textId="77777777" w:rsidR="000B4FC1" w:rsidRPr="002B2239" w:rsidRDefault="000B4FC1" w:rsidP="00A14107">
                      <w:pPr>
                        <w:spacing w:line="240" w:lineRule="auto"/>
                        <w:jc w:val="both"/>
                        <w:textboxTightWrap w:val="allLines"/>
                        <w:rPr>
                          <w:rFonts w:ascii="Times New Roman" w:hAnsi="Times New Roman" w:cs="Times New Roman"/>
                          <w:sz w:val="24"/>
                          <w:szCs w:val="24"/>
                        </w:rPr>
                      </w:pPr>
                    </w:p>
                  </w:txbxContent>
                </v:textbox>
                <w10:anchorlock/>
              </v:shape>
            </w:pict>
          </mc:Fallback>
        </mc:AlternateContent>
      </w:r>
    </w:p>
    <w:p w14:paraId="43A53B57" w14:textId="77777777" w:rsidR="00A14107" w:rsidRPr="00A14107" w:rsidRDefault="00A14107" w:rsidP="00A14107">
      <w:pPr>
        <w:spacing w:after="0"/>
        <w:rPr>
          <w:rFonts w:ascii="Times New Roman" w:hAnsi="Times New Roman" w:cs="Times New Roman"/>
          <w:noProof/>
          <w:sz w:val="24"/>
          <w:szCs w:val="24"/>
        </w:rPr>
      </w:pPr>
    </w:p>
    <w:p w14:paraId="34E24A0E" w14:textId="4DC92BA4" w:rsidR="00A14107" w:rsidRPr="00F30C16" w:rsidRDefault="00896FDA" w:rsidP="00896FDA">
      <w:pPr>
        <w:pStyle w:val="Heading3"/>
        <w:rPr>
          <w:noProof/>
        </w:rPr>
      </w:pPr>
      <w:bookmarkStart w:id="38" w:name="_Toc71559392"/>
      <w:bookmarkStart w:id="39" w:name="_Toc71706997"/>
      <w:bookmarkStart w:id="40" w:name="_Toc71708207"/>
      <w:bookmarkStart w:id="41" w:name="_Toc71710939"/>
      <w:bookmarkStart w:id="42" w:name="_Toc72399341"/>
      <w:bookmarkStart w:id="43" w:name="_Toc93511453"/>
      <w:r w:rsidRPr="00896FDA">
        <w:t>2.1.1.</w:t>
      </w:r>
      <w:r w:rsidRPr="00896FDA">
        <w:tab/>
      </w:r>
      <w:r w:rsidR="00A14107" w:rsidRPr="00F30C16">
        <w:rPr>
          <w:noProof/>
        </w:rPr>
        <w:t>Where the residual em</w:t>
      </w:r>
      <w:bookmarkEnd w:id="38"/>
      <w:bookmarkEnd w:id="39"/>
      <w:bookmarkEnd w:id="40"/>
      <w:bookmarkEnd w:id="41"/>
      <w:bookmarkEnd w:id="42"/>
      <w:r w:rsidR="00A14107" w:rsidRPr="00F30C16">
        <w:rPr>
          <w:noProof/>
        </w:rPr>
        <w:t>issions come from</w:t>
      </w:r>
      <w:bookmarkEnd w:id="43"/>
      <w:r w:rsidR="00A14107" w:rsidRPr="00F30C16">
        <w:rPr>
          <w:noProof/>
        </w:rPr>
        <w:t xml:space="preserve"> </w:t>
      </w:r>
    </w:p>
    <w:p w14:paraId="683FBF91" w14:textId="77777777" w:rsidR="00A14107" w:rsidRPr="00A14107" w:rsidRDefault="00A14107" w:rsidP="00A362D6">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rPr>
        <w:t>The main emissions (over 98% both ozone and climate effect</w:t>
      </w:r>
      <w:r w:rsidRPr="00A14107">
        <w:rPr>
          <w:noProof/>
          <w:sz w:val="24"/>
          <w:szCs w:val="24"/>
          <w:vertAlign w:val="superscript"/>
        </w:rPr>
        <w:footnoteReference w:id="18"/>
      </w:r>
      <w:r w:rsidRPr="00A14107">
        <w:rPr>
          <w:rFonts w:ascii="Times New Roman" w:hAnsi="Times New Roman" w:cs="Times New Roman"/>
          <w:noProof/>
          <w:sz w:val="24"/>
          <w:szCs w:val="24"/>
        </w:rPr>
        <w:t>) are a result of ODS banks</w:t>
      </w:r>
      <w:r w:rsidRPr="00A14107">
        <w:rPr>
          <w:noProof/>
          <w:sz w:val="24"/>
          <w:szCs w:val="24"/>
          <w:vertAlign w:val="superscript"/>
        </w:rPr>
        <w:footnoteReference w:id="19"/>
      </w:r>
      <w:r w:rsidRPr="00A14107">
        <w:rPr>
          <w:rFonts w:ascii="Times New Roman" w:hAnsi="Times New Roman" w:cs="Times New Roman"/>
          <w:noProof/>
          <w:sz w:val="24"/>
          <w:szCs w:val="24"/>
        </w:rPr>
        <w:t>, in particular from insulation foams</w:t>
      </w:r>
      <w:bookmarkStart w:id="44" w:name="_Ref73022356"/>
      <w:r w:rsidRPr="00A14107">
        <w:rPr>
          <w:noProof/>
          <w:sz w:val="24"/>
          <w:szCs w:val="24"/>
          <w:vertAlign w:val="superscript"/>
        </w:rPr>
        <w:footnoteReference w:id="20"/>
      </w:r>
      <w:bookmarkEnd w:id="44"/>
      <w:r w:rsidRPr="00A14107">
        <w:rPr>
          <w:rFonts w:ascii="Times New Roman" w:hAnsi="Times New Roman" w:cs="Times New Roman"/>
          <w:noProof/>
          <w:sz w:val="24"/>
          <w:szCs w:val="24"/>
        </w:rPr>
        <w:t>. Additionally, some emissions result from production and the exempted uses of ODS (listed in Annex I); production and the use of new ODS (listed in Annex II); and ODS not listed in the Ozone Regulation, see Table 1.</w:t>
      </w:r>
    </w:p>
    <w:p w14:paraId="70A51EA0" w14:textId="77777777" w:rsidR="007E5BD2" w:rsidRDefault="007E5BD2" w:rsidP="00A14107">
      <w:pPr>
        <w:keepNext/>
        <w:spacing w:after="0"/>
        <w:jc w:val="both"/>
        <w:rPr>
          <w:b/>
          <w:noProof/>
          <w:color w:val="0070C0"/>
          <w:sz w:val="20"/>
          <w:szCs w:val="20"/>
        </w:rPr>
      </w:pPr>
    </w:p>
    <w:p w14:paraId="2D274271" w14:textId="77777777" w:rsidR="00A14107" w:rsidRPr="00A14107" w:rsidRDefault="00A14107" w:rsidP="00A14107">
      <w:pPr>
        <w:keepNext/>
        <w:spacing w:after="0"/>
        <w:jc w:val="both"/>
        <w:rPr>
          <w:rFonts w:eastAsia="Calibri"/>
          <w:i/>
          <w:noProof/>
          <w:color w:val="0070C0"/>
          <w:sz w:val="18"/>
          <w:szCs w:val="18"/>
        </w:rPr>
      </w:pPr>
      <w:r w:rsidRPr="00A14107">
        <w:rPr>
          <w:b/>
          <w:noProof/>
          <w:color w:val="0070C0"/>
          <w:sz w:val="20"/>
          <w:szCs w:val="20"/>
        </w:rPr>
        <w:t>Table 1.</w:t>
      </w:r>
      <w:r w:rsidRPr="00A14107">
        <w:rPr>
          <w:noProof/>
          <w:color w:val="0070C0"/>
          <w:sz w:val="20"/>
          <w:szCs w:val="20"/>
        </w:rPr>
        <w:t xml:space="preserve"> 2019 emissions of ODS from different sources and recent trends of emissions factors</w:t>
      </w:r>
      <w:r w:rsidRPr="00A14107">
        <w:rPr>
          <w:rFonts w:eastAsia="Calibri"/>
          <w:i/>
          <w:noProof/>
          <w:color w:val="0070C0"/>
          <w:sz w:val="18"/>
          <w:szCs w:val="18"/>
        </w:rPr>
        <w:t xml:space="preserve"> </w:t>
      </w:r>
    </w:p>
    <w:p w14:paraId="562CBB05" w14:textId="77777777" w:rsidR="00A14107" w:rsidRPr="00A14107" w:rsidRDefault="00A14107" w:rsidP="00A14107">
      <w:pPr>
        <w:autoSpaceDE w:val="0"/>
        <w:autoSpaceDN w:val="0"/>
        <w:adjustRightInd w:val="0"/>
        <w:spacing w:after="0" w:line="240" w:lineRule="auto"/>
        <w:jc w:val="both"/>
        <w:rPr>
          <w:rFonts w:ascii="Arial" w:eastAsia="Calibri" w:hAnsi="Arial" w:cs="Arial"/>
          <w:i/>
          <w:iCs/>
          <w:noProof/>
          <w:color w:val="808080"/>
          <w:sz w:val="18"/>
          <w:szCs w:val="18"/>
        </w:rPr>
      </w:pPr>
    </w:p>
    <w:tbl>
      <w:tblPr>
        <w:tblStyle w:val="Mainbidtables131"/>
        <w:tblW w:w="8897" w:type="dxa"/>
        <w:tblLook w:val="04A0" w:firstRow="1" w:lastRow="0" w:firstColumn="1" w:lastColumn="0" w:noHBand="0" w:noVBand="1"/>
      </w:tblPr>
      <w:tblGrid>
        <w:gridCol w:w="1809"/>
        <w:gridCol w:w="378"/>
        <w:gridCol w:w="2174"/>
        <w:gridCol w:w="4536"/>
      </w:tblGrid>
      <w:tr w:rsidR="00A14107" w:rsidRPr="00A14107" w14:paraId="2CF2610F" w14:textId="77777777" w:rsidTr="001D408A">
        <w:trPr>
          <w:cnfStyle w:val="100000000000" w:firstRow="1" w:lastRow="0" w:firstColumn="0" w:lastColumn="0" w:oddVBand="0" w:evenVBand="0" w:oddHBand="0" w:evenHBand="0" w:firstRowFirstColumn="0" w:firstRowLastColumn="0" w:lastRowFirstColumn="0" w:lastRowLastColumn="0"/>
        </w:trPr>
        <w:tc>
          <w:tcPr>
            <w:tcW w:w="1809" w:type="dxa"/>
          </w:tcPr>
          <w:p w14:paraId="0D0FA415" w14:textId="77777777" w:rsidR="00A14107" w:rsidRPr="00A14107" w:rsidRDefault="00A14107" w:rsidP="00A14107">
            <w:pPr>
              <w:jc w:val="both"/>
              <w:rPr>
                <w:rFonts w:cs="Arial"/>
                <w:noProof/>
                <w:sz w:val="18"/>
                <w:szCs w:val="18"/>
              </w:rPr>
            </w:pPr>
          </w:p>
        </w:tc>
        <w:tc>
          <w:tcPr>
            <w:tcW w:w="378" w:type="dxa"/>
          </w:tcPr>
          <w:p w14:paraId="2C16775F" w14:textId="77777777" w:rsidR="00A14107" w:rsidRPr="00A14107" w:rsidRDefault="00A14107" w:rsidP="00A14107">
            <w:pPr>
              <w:jc w:val="both"/>
              <w:rPr>
                <w:rFonts w:cs="Arial"/>
                <w:noProof/>
                <w:sz w:val="18"/>
                <w:szCs w:val="18"/>
              </w:rPr>
            </w:pPr>
          </w:p>
        </w:tc>
        <w:tc>
          <w:tcPr>
            <w:tcW w:w="2174" w:type="dxa"/>
          </w:tcPr>
          <w:p w14:paraId="74EE44C3" w14:textId="77777777" w:rsidR="00A14107" w:rsidRPr="00A14107" w:rsidRDefault="00A14107" w:rsidP="00A14107">
            <w:pPr>
              <w:jc w:val="both"/>
              <w:rPr>
                <w:rFonts w:cs="Arial"/>
                <w:noProof/>
                <w:sz w:val="18"/>
                <w:szCs w:val="18"/>
              </w:rPr>
            </w:pPr>
            <w:r w:rsidRPr="00A14107">
              <w:rPr>
                <w:rFonts w:cs="Arial"/>
                <w:noProof/>
                <w:sz w:val="18"/>
                <w:szCs w:val="18"/>
              </w:rPr>
              <w:t>ODS source</w:t>
            </w:r>
          </w:p>
        </w:tc>
        <w:tc>
          <w:tcPr>
            <w:tcW w:w="4536" w:type="dxa"/>
          </w:tcPr>
          <w:p w14:paraId="73D0D117" w14:textId="77777777" w:rsidR="00A14107" w:rsidRPr="00A14107" w:rsidRDefault="00A14107" w:rsidP="00A14107">
            <w:pPr>
              <w:jc w:val="both"/>
              <w:rPr>
                <w:rFonts w:cs="Arial"/>
                <w:noProof/>
                <w:sz w:val="18"/>
                <w:szCs w:val="18"/>
              </w:rPr>
            </w:pPr>
            <w:r w:rsidRPr="00A14107">
              <w:rPr>
                <w:rFonts w:cs="Arial"/>
                <w:noProof/>
                <w:sz w:val="18"/>
                <w:szCs w:val="18"/>
              </w:rPr>
              <w:t xml:space="preserve">2019 Emissions </w:t>
            </w:r>
          </w:p>
        </w:tc>
      </w:tr>
      <w:tr w:rsidR="00A14107" w:rsidRPr="00A14107" w14:paraId="7FE3FF06" w14:textId="77777777" w:rsidTr="001D408A">
        <w:trPr>
          <w:cnfStyle w:val="000000100000" w:firstRow="0" w:lastRow="0" w:firstColumn="0" w:lastColumn="0" w:oddVBand="0" w:evenVBand="0" w:oddHBand="1" w:evenHBand="0" w:firstRowFirstColumn="0" w:firstRowLastColumn="0" w:lastRowFirstColumn="0" w:lastRowLastColumn="0"/>
        </w:trPr>
        <w:tc>
          <w:tcPr>
            <w:tcW w:w="1809" w:type="dxa"/>
            <w:vMerge w:val="restart"/>
            <w:shd w:val="clear" w:color="auto" w:fill="auto"/>
          </w:tcPr>
          <w:p w14:paraId="6982401B" w14:textId="77777777" w:rsidR="00A14107" w:rsidRPr="00A14107" w:rsidRDefault="00A14107" w:rsidP="00A14107">
            <w:pPr>
              <w:jc w:val="both"/>
              <w:rPr>
                <w:rFonts w:cs="Arial"/>
                <w:noProof/>
                <w:sz w:val="18"/>
                <w:szCs w:val="18"/>
              </w:rPr>
            </w:pPr>
            <w:r w:rsidRPr="00A14107">
              <w:rPr>
                <w:rFonts w:cs="Arial"/>
                <w:noProof/>
                <w:sz w:val="18"/>
                <w:szCs w:val="18"/>
              </w:rPr>
              <w:t>Raw materials</w:t>
            </w:r>
          </w:p>
        </w:tc>
        <w:tc>
          <w:tcPr>
            <w:tcW w:w="2552" w:type="dxa"/>
            <w:gridSpan w:val="2"/>
            <w:tcBorders>
              <w:bottom w:val="single" w:sz="4" w:space="0" w:color="1F497D" w:themeColor="text2"/>
            </w:tcBorders>
            <w:shd w:val="clear" w:color="auto" w:fill="auto"/>
          </w:tcPr>
          <w:p w14:paraId="44E24CD6" w14:textId="77777777" w:rsidR="00A14107" w:rsidRPr="00A14107" w:rsidRDefault="00A14107" w:rsidP="00A14107">
            <w:pPr>
              <w:rPr>
                <w:rFonts w:cs="Arial"/>
                <w:noProof/>
                <w:sz w:val="18"/>
                <w:szCs w:val="18"/>
              </w:rPr>
            </w:pPr>
            <w:r w:rsidRPr="00A14107">
              <w:rPr>
                <w:rFonts w:cs="Arial"/>
                <w:noProof/>
                <w:sz w:val="18"/>
                <w:szCs w:val="18"/>
              </w:rPr>
              <w:t xml:space="preserve">Production of ODS (Annex I) </w:t>
            </w:r>
          </w:p>
        </w:tc>
        <w:tc>
          <w:tcPr>
            <w:tcW w:w="4536" w:type="dxa"/>
            <w:tcBorders>
              <w:bottom w:val="single" w:sz="4" w:space="0" w:color="1F497D" w:themeColor="text2"/>
            </w:tcBorders>
            <w:shd w:val="clear" w:color="auto" w:fill="auto"/>
          </w:tcPr>
          <w:p w14:paraId="38AA7F57" w14:textId="77777777" w:rsidR="00A14107" w:rsidRPr="00A14107" w:rsidRDefault="00A14107" w:rsidP="00A14107">
            <w:pPr>
              <w:rPr>
                <w:rFonts w:cs="Arial"/>
                <w:noProof/>
                <w:color w:val="000000" w:themeColor="text1"/>
                <w:sz w:val="18"/>
                <w:szCs w:val="18"/>
              </w:rPr>
            </w:pPr>
            <w:r w:rsidRPr="00A14107">
              <w:rPr>
                <w:rFonts w:cs="Arial"/>
                <w:noProof/>
                <w:color w:val="000000" w:themeColor="text1"/>
                <w:sz w:val="18"/>
                <w:szCs w:val="18"/>
              </w:rPr>
              <w:t>10* ODPt       &amp;       0.06 Mt CO2e</w:t>
            </w:r>
          </w:p>
        </w:tc>
      </w:tr>
      <w:tr w:rsidR="00A14107" w:rsidRPr="00A14107" w14:paraId="5D689047" w14:textId="77777777" w:rsidTr="001D408A">
        <w:trPr>
          <w:cnfStyle w:val="000000010000" w:firstRow="0" w:lastRow="0" w:firstColumn="0" w:lastColumn="0" w:oddVBand="0" w:evenVBand="0" w:oddHBand="0" w:evenHBand="1" w:firstRowFirstColumn="0" w:firstRowLastColumn="0" w:lastRowFirstColumn="0" w:lastRowLastColumn="0"/>
        </w:trPr>
        <w:tc>
          <w:tcPr>
            <w:tcW w:w="1809" w:type="dxa"/>
            <w:vMerge/>
            <w:tcBorders>
              <w:bottom w:val="single" w:sz="12" w:space="0" w:color="auto"/>
            </w:tcBorders>
            <w:shd w:val="clear" w:color="auto" w:fill="auto"/>
          </w:tcPr>
          <w:p w14:paraId="68BB81E3" w14:textId="77777777" w:rsidR="00A14107" w:rsidRPr="00A14107" w:rsidRDefault="00A14107" w:rsidP="00A14107">
            <w:pPr>
              <w:jc w:val="both"/>
              <w:rPr>
                <w:rFonts w:cs="Arial"/>
                <w:noProof/>
                <w:sz w:val="18"/>
                <w:szCs w:val="18"/>
              </w:rPr>
            </w:pPr>
          </w:p>
        </w:tc>
        <w:tc>
          <w:tcPr>
            <w:tcW w:w="2552" w:type="dxa"/>
            <w:gridSpan w:val="2"/>
            <w:tcBorders>
              <w:top w:val="single" w:sz="4" w:space="0" w:color="1F497D" w:themeColor="text2"/>
              <w:bottom w:val="single" w:sz="12" w:space="0" w:color="auto"/>
            </w:tcBorders>
            <w:shd w:val="clear" w:color="auto" w:fill="auto"/>
          </w:tcPr>
          <w:p w14:paraId="7C72D347" w14:textId="77777777" w:rsidR="00A14107" w:rsidRPr="00A14107" w:rsidRDefault="00A14107" w:rsidP="00A14107">
            <w:pPr>
              <w:rPr>
                <w:rFonts w:cs="Arial"/>
                <w:noProof/>
                <w:sz w:val="18"/>
                <w:szCs w:val="18"/>
                <w:lang w:val="en-IE"/>
              </w:rPr>
            </w:pPr>
            <w:r w:rsidRPr="00A14107">
              <w:rPr>
                <w:rFonts w:cs="Arial"/>
                <w:noProof/>
                <w:sz w:val="18"/>
                <w:szCs w:val="18"/>
                <w:lang w:val="en-IE"/>
              </w:rPr>
              <w:t>Production of Annex II substances</w:t>
            </w:r>
          </w:p>
        </w:tc>
        <w:tc>
          <w:tcPr>
            <w:tcW w:w="4536" w:type="dxa"/>
            <w:tcBorders>
              <w:top w:val="single" w:sz="4" w:space="0" w:color="1F497D" w:themeColor="text2"/>
              <w:bottom w:val="single" w:sz="12" w:space="0" w:color="auto"/>
            </w:tcBorders>
            <w:shd w:val="clear" w:color="auto" w:fill="auto"/>
          </w:tcPr>
          <w:p w14:paraId="5C20479F" w14:textId="77777777" w:rsidR="00A14107" w:rsidRPr="00A14107" w:rsidRDefault="00A14107" w:rsidP="00A14107">
            <w:pPr>
              <w:rPr>
                <w:rFonts w:cs="Arial"/>
                <w:i/>
                <w:noProof/>
                <w:color w:val="000000" w:themeColor="text1"/>
                <w:sz w:val="18"/>
                <w:szCs w:val="18"/>
              </w:rPr>
            </w:pPr>
            <w:r w:rsidRPr="00A14107">
              <w:rPr>
                <w:rFonts w:cs="Arial"/>
                <w:i/>
                <w:iCs/>
                <w:noProof/>
                <w:color w:val="000000"/>
                <w:sz w:val="18"/>
                <w:szCs w:val="18"/>
              </w:rPr>
              <w:t>Not reported, estimated as 4 tODP based on emission factors established for Annex I substances as above</w:t>
            </w:r>
          </w:p>
        </w:tc>
      </w:tr>
      <w:tr w:rsidR="00A14107" w:rsidRPr="00A14107" w14:paraId="008B4A17" w14:textId="77777777" w:rsidTr="001D408A">
        <w:trPr>
          <w:cnfStyle w:val="000000100000" w:firstRow="0" w:lastRow="0" w:firstColumn="0" w:lastColumn="0" w:oddVBand="0" w:evenVBand="0" w:oddHBand="1" w:evenHBand="0" w:firstRowFirstColumn="0" w:firstRowLastColumn="0" w:lastRowFirstColumn="0" w:lastRowLastColumn="0"/>
          <w:trHeight w:val="280"/>
        </w:trPr>
        <w:tc>
          <w:tcPr>
            <w:tcW w:w="1809" w:type="dxa"/>
            <w:vMerge w:val="restart"/>
            <w:tcBorders>
              <w:top w:val="single" w:sz="12" w:space="0" w:color="auto"/>
            </w:tcBorders>
            <w:shd w:val="clear" w:color="auto" w:fill="FFFFFF" w:themeFill="background1"/>
          </w:tcPr>
          <w:p w14:paraId="0F73D4C1" w14:textId="77777777" w:rsidR="00A362D6" w:rsidRDefault="00A362D6" w:rsidP="00A14107">
            <w:pPr>
              <w:jc w:val="both"/>
              <w:rPr>
                <w:rFonts w:cs="Arial"/>
                <w:noProof/>
                <w:sz w:val="18"/>
                <w:szCs w:val="18"/>
              </w:rPr>
            </w:pPr>
            <w:r>
              <w:rPr>
                <w:rFonts w:cs="Arial"/>
                <w:noProof/>
                <w:sz w:val="18"/>
                <w:szCs w:val="18"/>
              </w:rPr>
              <w:t>(Exempted)</w:t>
            </w:r>
          </w:p>
          <w:p w14:paraId="69B5A53C" w14:textId="77777777" w:rsidR="00A14107" w:rsidRPr="00A14107" w:rsidRDefault="00A14107" w:rsidP="00A14107">
            <w:pPr>
              <w:jc w:val="both"/>
              <w:rPr>
                <w:rFonts w:cs="Arial"/>
                <w:noProof/>
                <w:sz w:val="18"/>
                <w:szCs w:val="18"/>
              </w:rPr>
            </w:pPr>
            <w:r w:rsidRPr="00A14107">
              <w:rPr>
                <w:rFonts w:cs="Arial"/>
                <w:noProof/>
                <w:sz w:val="18"/>
                <w:szCs w:val="18"/>
              </w:rPr>
              <w:t>Use of ODS</w:t>
            </w:r>
          </w:p>
        </w:tc>
        <w:tc>
          <w:tcPr>
            <w:tcW w:w="2552" w:type="dxa"/>
            <w:gridSpan w:val="2"/>
            <w:tcBorders>
              <w:top w:val="single" w:sz="12" w:space="0" w:color="auto"/>
              <w:bottom w:val="single" w:sz="4" w:space="0" w:color="1F497D" w:themeColor="text2"/>
            </w:tcBorders>
            <w:shd w:val="clear" w:color="auto" w:fill="FFFFFF" w:themeFill="background1"/>
          </w:tcPr>
          <w:p w14:paraId="7890E6AE" w14:textId="77777777" w:rsidR="00A14107" w:rsidRPr="00A14107" w:rsidRDefault="00A14107" w:rsidP="00A14107">
            <w:pPr>
              <w:rPr>
                <w:rFonts w:cs="Arial"/>
                <w:noProof/>
                <w:sz w:val="18"/>
                <w:szCs w:val="18"/>
              </w:rPr>
            </w:pPr>
            <w:r w:rsidRPr="00A14107">
              <w:rPr>
                <w:rFonts w:cs="Arial"/>
                <w:noProof/>
                <w:sz w:val="18"/>
                <w:szCs w:val="18"/>
              </w:rPr>
              <w:t>Feedstock – Annex I</w:t>
            </w:r>
          </w:p>
        </w:tc>
        <w:tc>
          <w:tcPr>
            <w:tcW w:w="4536" w:type="dxa"/>
            <w:tcBorders>
              <w:top w:val="single" w:sz="12" w:space="0" w:color="auto"/>
              <w:bottom w:val="single" w:sz="4" w:space="0" w:color="1F497D" w:themeColor="text2"/>
            </w:tcBorders>
            <w:shd w:val="clear" w:color="auto" w:fill="FFFFFF" w:themeFill="background1"/>
          </w:tcPr>
          <w:p w14:paraId="69EE9306" w14:textId="77777777" w:rsidR="00A14107" w:rsidRPr="00A14107" w:rsidRDefault="00A14107" w:rsidP="00A14107">
            <w:pPr>
              <w:rPr>
                <w:rFonts w:cs="Arial"/>
                <w:noProof/>
                <w:color w:val="000000" w:themeColor="text1"/>
                <w:sz w:val="18"/>
                <w:szCs w:val="18"/>
              </w:rPr>
            </w:pPr>
            <w:r w:rsidRPr="00A14107">
              <w:rPr>
                <w:rFonts w:cs="Arial"/>
                <w:noProof/>
                <w:color w:val="000000" w:themeColor="text1"/>
                <w:sz w:val="18"/>
                <w:szCs w:val="18"/>
              </w:rPr>
              <w:t>35 ODPt        &amp;       0.20 Mt CO2e</w:t>
            </w:r>
          </w:p>
        </w:tc>
      </w:tr>
      <w:tr w:rsidR="00A14107" w:rsidRPr="00A14107" w14:paraId="0989716E" w14:textId="77777777" w:rsidTr="001D408A">
        <w:trPr>
          <w:cnfStyle w:val="000000010000" w:firstRow="0" w:lastRow="0" w:firstColumn="0" w:lastColumn="0" w:oddVBand="0" w:evenVBand="0" w:oddHBand="0" w:evenHBand="1" w:firstRowFirstColumn="0" w:firstRowLastColumn="0" w:lastRowFirstColumn="0" w:lastRowLastColumn="0"/>
          <w:trHeight w:val="206"/>
        </w:trPr>
        <w:tc>
          <w:tcPr>
            <w:tcW w:w="1809" w:type="dxa"/>
            <w:vMerge/>
            <w:shd w:val="clear" w:color="auto" w:fill="FFFFFF" w:themeFill="background1"/>
          </w:tcPr>
          <w:p w14:paraId="7AA5FFF6" w14:textId="77777777" w:rsidR="00A14107" w:rsidRPr="00A14107" w:rsidRDefault="00A14107" w:rsidP="00A14107">
            <w:pPr>
              <w:jc w:val="both"/>
              <w:rPr>
                <w:rFonts w:cs="Arial"/>
                <w:noProof/>
                <w:sz w:val="18"/>
                <w:szCs w:val="18"/>
              </w:rPr>
            </w:pPr>
          </w:p>
        </w:tc>
        <w:tc>
          <w:tcPr>
            <w:tcW w:w="2552" w:type="dxa"/>
            <w:gridSpan w:val="2"/>
            <w:tcBorders>
              <w:top w:val="single" w:sz="4" w:space="0" w:color="1F497D" w:themeColor="text2"/>
              <w:bottom w:val="single" w:sz="4" w:space="0" w:color="1F497D" w:themeColor="text2"/>
            </w:tcBorders>
            <w:shd w:val="clear" w:color="auto" w:fill="FFFFFF" w:themeFill="background1"/>
          </w:tcPr>
          <w:p w14:paraId="4D5975A1" w14:textId="77777777" w:rsidR="00A14107" w:rsidRPr="00A14107" w:rsidRDefault="00A14107" w:rsidP="00A14107">
            <w:pPr>
              <w:jc w:val="both"/>
              <w:rPr>
                <w:rFonts w:cs="Arial"/>
                <w:noProof/>
                <w:sz w:val="18"/>
                <w:szCs w:val="18"/>
              </w:rPr>
            </w:pPr>
            <w:r w:rsidRPr="00A14107">
              <w:rPr>
                <w:rFonts w:cs="Arial"/>
                <w:noProof/>
                <w:sz w:val="18"/>
                <w:szCs w:val="18"/>
              </w:rPr>
              <w:t>Feedstock – Annex II</w:t>
            </w:r>
          </w:p>
        </w:tc>
        <w:tc>
          <w:tcPr>
            <w:tcW w:w="4536" w:type="dxa"/>
            <w:tcBorders>
              <w:top w:val="single" w:sz="4" w:space="0" w:color="1F497D" w:themeColor="text2"/>
              <w:bottom w:val="single" w:sz="4" w:space="0" w:color="1F497D" w:themeColor="text2"/>
            </w:tcBorders>
            <w:shd w:val="clear" w:color="auto" w:fill="FFFFFF" w:themeFill="background1"/>
          </w:tcPr>
          <w:p w14:paraId="7C029134" w14:textId="77777777" w:rsidR="00A14107" w:rsidRPr="00A14107" w:rsidRDefault="00B07A60" w:rsidP="00A14107">
            <w:pPr>
              <w:rPr>
                <w:rFonts w:cs="Arial"/>
                <w:noProof/>
                <w:color w:val="000000" w:themeColor="text1"/>
                <w:sz w:val="18"/>
                <w:szCs w:val="18"/>
              </w:rPr>
            </w:pPr>
            <w:r>
              <w:rPr>
                <w:rFonts w:cs="Arial"/>
                <w:noProof/>
                <w:color w:val="000000" w:themeColor="text1"/>
                <w:sz w:val="18"/>
                <w:szCs w:val="18"/>
              </w:rPr>
              <w:t>18 O</w:t>
            </w:r>
            <w:r w:rsidR="00A14107" w:rsidRPr="00A14107">
              <w:rPr>
                <w:rFonts w:cs="Arial"/>
                <w:noProof/>
                <w:color w:val="000000" w:themeColor="text1"/>
                <w:sz w:val="18"/>
                <w:szCs w:val="18"/>
              </w:rPr>
              <w:t>D</w:t>
            </w:r>
            <w:r>
              <w:rPr>
                <w:rFonts w:cs="Arial"/>
                <w:noProof/>
                <w:color w:val="000000" w:themeColor="text1"/>
                <w:sz w:val="18"/>
                <w:szCs w:val="18"/>
              </w:rPr>
              <w:t>P</w:t>
            </w:r>
            <w:r w:rsidR="00A14107" w:rsidRPr="00A14107">
              <w:rPr>
                <w:rFonts w:cs="Arial"/>
                <w:noProof/>
                <w:color w:val="000000" w:themeColor="text1"/>
                <w:sz w:val="18"/>
                <w:szCs w:val="18"/>
              </w:rPr>
              <w:t>t        &amp;       0.010 Mt CO2e</w:t>
            </w:r>
          </w:p>
        </w:tc>
      </w:tr>
      <w:tr w:rsidR="00A14107" w:rsidRPr="00A14107" w14:paraId="40948299" w14:textId="77777777" w:rsidTr="001D408A">
        <w:trPr>
          <w:cnfStyle w:val="000000100000" w:firstRow="0" w:lastRow="0" w:firstColumn="0" w:lastColumn="0" w:oddVBand="0" w:evenVBand="0" w:oddHBand="1" w:evenHBand="0" w:firstRowFirstColumn="0" w:firstRowLastColumn="0" w:lastRowFirstColumn="0" w:lastRowLastColumn="0"/>
          <w:trHeight w:val="353"/>
        </w:trPr>
        <w:tc>
          <w:tcPr>
            <w:tcW w:w="1809" w:type="dxa"/>
            <w:vMerge/>
            <w:shd w:val="clear" w:color="auto" w:fill="FFFFFF" w:themeFill="background1"/>
          </w:tcPr>
          <w:p w14:paraId="78D12E0C" w14:textId="77777777" w:rsidR="00A14107" w:rsidRPr="00A14107" w:rsidRDefault="00A14107" w:rsidP="00A14107">
            <w:pPr>
              <w:jc w:val="both"/>
              <w:rPr>
                <w:rFonts w:cs="Arial"/>
                <w:noProof/>
                <w:sz w:val="18"/>
                <w:szCs w:val="18"/>
              </w:rPr>
            </w:pPr>
          </w:p>
        </w:tc>
        <w:tc>
          <w:tcPr>
            <w:tcW w:w="2552" w:type="dxa"/>
            <w:gridSpan w:val="2"/>
            <w:tcBorders>
              <w:top w:val="single" w:sz="4" w:space="0" w:color="1F497D" w:themeColor="text2"/>
              <w:bottom w:val="single" w:sz="4" w:space="0" w:color="1F497D" w:themeColor="text2"/>
            </w:tcBorders>
            <w:shd w:val="clear" w:color="auto" w:fill="FFFFFF" w:themeFill="background1"/>
          </w:tcPr>
          <w:p w14:paraId="0BE07F32" w14:textId="77777777" w:rsidR="00A14107" w:rsidRPr="00A14107" w:rsidRDefault="00A14107" w:rsidP="00A14107">
            <w:pPr>
              <w:rPr>
                <w:rFonts w:cs="Arial"/>
                <w:noProof/>
                <w:sz w:val="18"/>
                <w:szCs w:val="18"/>
              </w:rPr>
            </w:pPr>
            <w:r w:rsidRPr="00A14107">
              <w:rPr>
                <w:rFonts w:cs="Arial"/>
                <w:noProof/>
                <w:sz w:val="18"/>
                <w:szCs w:val="18"/>
              </w:rPr>
              <w:t>Process agents – Annex I</w:t>
            </w:r>
          </w:p>
        </w:tc>
        <w:tc>
          <w:tcPr>
            <w:tcW w:w="4536" w:type="dxa"/>
            <w:tcBorders>
              <w:top w:val="single" w:sz="4" w:space="0" w:color="1F497D" w:themeColor="text2"/>
              <w:bottom w:val="single" w:sz="4" w:space="0" w:color="1F497D" w:themeColor="text2"/>
            </w:tcBorders>
            <w:shd w:val="clear" w:color="auto" w:fill="FFFFFF" w:themeFill="background1"/>
          </w:tcPr>
          <w:p w14:paraId="3E7C45F4" w14:textId="77777777" w:rsidR="00A14107" w:rsidRPr="00A14107" w:rsidRDefault="00A14107" w:rsidP="00A14107">
            <w:pPr>
              <w:rPr>
                <w:rFonts w:cs="Arial"/>
                <w:noProof/>
                <w:color w:val="000000" w:themeColor="text1"/>
                <w:sz w:val="18"/>
                <w:szCs w:val="18"/>
              </w:rPr>
            </w:pPr>
            <w:r w:rsidRPr="00A14107">
              <w:rPr>
                <w:rFonts w:cs="Arial"/>
                <w:noProof/>
                <w:color w:val="000000" w:themeColor="text1"/>
                <w:sz w:val="18"/>
                <w:szCs w:val="18"/>
              </w:rPr>
              <w:t>4 ODPt          &amp;       0.014 Mt CO2e</w:t>
            </w:r>
          </w:p>
        </w:tc>
      </w:tr>
      <w:tr w:rsidR="00A14107" w:rsidRPr="00A14107" w14:paraId="41CB872C" w14:textId="77777777" w:rsidTr="001D408A">
        <w:trPr>
          <w:cnfStyle w:val="000000010000" w:firstRow="0" w:lastRow="0" w:firstColumn="0" w:lastColumn="0" w:oddVBand="0" w:evenVBand="0" w:oddHBand="0" w:evenHBand="1" w:firstRowFirstColumn="0" w:firstRowLastColumn="0" w:lastRowFirstColumn="0" w:lastRowLastColumn="0"/>
        </w:trPr>
        <w:tc>
          <w:tcPr>
            <w:tcW w:w="1809" w:type="dxa"/>
            <w:vMerge/>
            <w:shd w:val="clear" w:color="auto" w:fill="FFFFFF" w:themeFill="background1"/>
          </w:tcPr>
          <w:p w14:paraId="1C630312" w14:textId="77777777" w:rsidR="00A14107" w:rsidRPr="00A14107" w:rsidRDefault="00A14107" w:rsidP="00A14107">
            <w:pPr>
              <w:jc w:val="both"/>
              <w:rPr>
                <w:rFonts w:cs="Arial"/>
                <w:noProof/>
                <w:sz w:val="18"/>
                <w:szCs w:val="18"/>
              </w:rPr>
            </w:pPr>
          </w:p>
        </w:tc>
        <w:tc>
          <w:tcPr>
            <w:tcW w:w="2552" w:type="dxa"/>
            <w:gridSpan w:val="2"/>
            <w:tcBorders>
              <w:top w:val="single" w:sz="4" w:space="0" w:color="1F497D" w:themeColor="text2"/>
              <w:bottom w:val="single" w:sz="4" w:space="0" w:color="1F497D" w:themeColor="text2"/>
            </w:tcBorders>
            <w:shd w:val="clear" w:color="auto" w:fill="FFFFFF" w:themeFill="background1"/>
          </w:tcPr>
          <w:p w14:paraId="1D799B10" w14:textId="77777777" w:rsidR="00A14107" w:rsidRPr="00A14107" w:rsidRDefault="00A14107" w:rsidP="00A14107">
            <w:pPr>
              <w:jc w:val="both"/>
              <w:rPr>
                <w:rFonts w:cs="Arial"/>
                <w:noProof/>
                <w:sz w:val="18"/>
                <w:szCs w:val="18"/>
              </w:rPr>
            </w:pPr>
            <w:r w:rsidRPr="00A14107">
              <w:rPr>
                <w:rFonts w:cs="Arial"/>
                <w:noProof/>
                <w:sz w:val="18"/>
                <w:szCs w:val="18"/>
              </w:rPr>
              <w:t>Laboratory use – Annex I</w:t>
            </w:r>
          </w:p>
        </w:tc>
        <w:tc>
          <w:tcPr>
            <w:tcW w:w="4536" w:type="dxa"/>
            <w:tcBorders>
              <w:top w:val="single" w:sz="4" w:space="0" w:color="1F497D" w:themeColor="text2"/>
              <w:bottom w:val="single" w:sz="4" w:space="0" w:color="1F497D" w:themeColor="text2"/>
            </w:tcBorders>
            <w:shd w:val="clear" w:color="auto" w:fill="FFFFFF" w:themeFill="background1"/>
          </w:tcPr>
          <w:p w14:paraId="5D3E8044" w14:textId="77777777" w:rsidR="00A14107" w:rsidRPr="00A14107" w:rsidRDefault="00A14107" w:rsidP="00A14107">
            <w:pPr>
              <w:rPr>
                <w:rFonts w:cs="Arial"/>
                <w:noProof/>
                <w:color w:val="000000" w:themeColor="text1"/>
                <w:sz w:val="18"/>
                <w:szCs w:val="18"/>
              </w:rPr>
            </w:pPr>
            <w:r w:rsidRPr="00A14107">
              <w:rPr>
                <w:rFonts w:cs="Arial"/>
                <w:noProof/>
                <w:color w:val="000000" w:themeColor="text1"/>
                <w:sz w:val="18"/>
                <w:szCs w:val="18"/>
              </w:rPr>
              <w:t>&lt; 1 ODPt        &amp;       ca 0 Mt CO2e***</w:t>
            </w:r>
          </w:p>
        </w:tc>
      </w:tr>
      <w:tr w:rsidR="00A14107" w:rsidRPr="00A14107" w14:paraId="30D87BA6" w14:textId="77777777" w:rsidTr="001D408A">
        <w:trPr>
          <w:cnfStyle w:val="000000100000" w:firstRow="0" w:lastRow="0" w:firstColumn="0" w:lastColumn="0" w:oddVBand="0" w:evenVBand="0" w:oddHBand="1" w:evenHBand="0" w:firstRowFirstColumn="0" w:firstRowLastColumn="0" w:lastRowFirstColumn="0" w:lastRowLastColumn="0"/>
        </w:trPr>
        <w:tc>
          <w:tcPr>
            <w:tcW w:w="1809" w:type="dxa"/>
            <w:vMerge/>
            <w:shd w:val="clear" w:color="auto" w:fill="DBE5F1" w:themeFill="accent1" w:themeFillTint="33"/>
          </w:tcPr>
          <w:p w14:paraId="380D6DFD" w14:textId="77777777" w:rsidR="00A14107" w:rsidRPr="00A14107" w:rsidRDefault="00A14107" w:rsidP="00A14107">
            <w:pPr>
              <w:jc w:val="both"/>
              <w:rPr>
                <w:rFonts w:cs="Arial"/>
                <w:noProof/>
                <w:sz w:val="18"/>
                <w:szCs w:val="18"/>
              </w:rPr>
            </w:pPr>
          </w:p>
        </w:tc>
        <w:tc>
          <w:tcPr>
            <w:tcW w:w="2552" w:type="dxa"/>
            <w:gridSpan w:val="2"/>
            <w:tcBorders>
              <w:top w:val="single" w:sz="4" w:space="0" w:color="1F497D" w:themeColor="text2"/>
              <w:bottom w:val="single" w:sz="4" w:space="0" w:color="1F497D" w:themeColor="text2"/>
            </w:tcBorders>
            <w:shd w:val="clear" w:color="auto" w:fill="auto"/>
          </w:tcPr>
          <w:p w14:paraId="764155ED" w14:textId="77777777" w:rsidR="00A14107" w:rsidRPr="00A14107" w:rsidRDefault="00A14107" w:rsidP="00A14107">
            <w:pPr>
              <w:jc w:val="both"/>
              <w:rPr>
                <w:rFonts w:cs="Arial"/>
                <w:noProof/>
                <w:sz w:val="18"/>
                <w:szCs w:val="18"/>
              </w:rPr>
            </w:pPr>
            <w:r w:rsidRPr="00A14107">
              <w:rPr>
                <w:rFonts w:cs="Arial"/>
                <w:noProof/>
                <w:sz w:val="18"/>
                <w:szCs w:val="18"/>
              </w:rPr>
              <w:t>Halon for critical use</w:t>
            </w:r>
          </w:p>
        </w:tc>
        <w:tc>
          <w:tcPr>
            <w:tcW w:w="4536" w:type="dxa"/>
            <w:tcBorders>
              <w:top w:val="single" w:sz="4" w:space="0" w:color="1F497D" w:themeColor="text2"/>
              <w:bottom w:val="single" w:sz="4" w:space="0" w:color="1F497D" w:themeColor="text2"/>
            </w:tcBorders>
            <w:shd w:val="clear" w:color="auto" w:fill="auto"/>
          </w:tcPr>
          <w:p w14:paraId="438A6F31" w14:textId="77777777" w:rsidR="00A14107" w:rsidRPr="00A14107" w:rsidRDefault="00A14107" w:rsidP="00A14107">
            <w:pPr>
              <w:rPr>
                <w:rFonts w:cs="Arial"/>
                <w:noProof/>
                <w:color w:val="000000" w:themeColor="text1"/>
                <w:sz w:val="18"/>
                <w:szCs w:val="18"/>
              </w:rPr>
            </w:pPr>
            <w:r w:rsidRPr="00A14107">
              <w:rPr>
                <w:rFonts w:cs="Arial"/>
                <w:noProof/>
                <w:color w:val="000000"/>
                <w:sz w:val="18"/>
                <w:szCs w:val="18"/>
              </w:rPr>
              <w:t>23.7</w:t>
            </w:r>
            <w:r w:rsidR="00B07A60">
              <w:rPr>
                <w:rFonts w:cs="Arial"/>
                <w:noProof/>
                <w:color w:val="000000" w:themeColor="text1"/>
                <w:sz w:val="18"/>
                <w:szCs w:val="18"/>
              </w:rPr>
              <w:t xml:space="preserve"> O</w:t>
            </w:r>
            <w:r w:rsidRPr="00A14107">
              <w:rPr>
                <w:rFonts w:cs="Arial"/>
                <w:noProof/>
                <w:color w:val="000000" w:themeColor="text1"/>
                <w:sz w:val="18"/>
                <w:szCs w:val="18"/>
              </w:rPr>
              <w:t>D</w:t>
            </w:r>
            <w:r w:rsidR="00B07A60">
              <w:rPr>
                <w:rFonts w:cs="Arial"/>
                <w:noProof/>
                <w:color w:val="000000" w:themeColor="text1"/>
                <w:sz w:val="18"/>
                <w:szCs w:val="18"/>
              </w:rPr>
              <w:t>P</w:t>
            </w:r>
            <w:r w:rsidRPr="00A14107">
              <w:rPr>
                <w:rFonts w:cs="Arial"/>
                <w:noProof/>
                <w:color w:val="000000" w:themeColor="text1"/>
                <w:sz w:val="18"/>
                <w:szCs w:val="18"/>
              </w:rPr>
              <w:t>t      &amp;       0.015 Mt CO2e</w:t>
            </w:r>
          </w:p>
        </w:tc>
      </w:tr>
      <w:tr w:rsidR="00A14107" w:rsidRPr="00A14107" w14:paraId="610654F4" w14:textId="77777777" w:rsidTr="001D408A">
        <w:trPr>
          <w:cnfStyle w:val="000000010000" w:firstRow="0" w:lastRow="0" w:firstColumn="0" w:lastColumn="0" w:oddVBand="0" w:evenVBand="0" w:oddHBand="0" w:evenHBand="1" w:firstRowFirstColumn="0" w:firstRowLastColumn="0" w:lastRowFirstColumn="0" w:lastRowLastColumn="0"/>
        </w:trPr>
        <w:tc>
          <w:tcPr>
            <w:tcW w:w="1809" w:type="dxa"/>
            <w:tcBorders>
              <w:top w:val="single" w:sz="12" w:space="0" w:color="auto"/>
              <w:bottom w:val="single" w:sz="12" w:space="0" w:color="auto"/>
            </w:tcBorders>
            <w:shd w:val="clear" w:color="auto" w:fill="DBE5F1" w:themeFill="accent1" w:themeFillTint="33"/>
          </w:tcPr>
          <w:p w14:paraId="7C0C68C4" w14:textId="77777777" w:rsidR="00A14107" w:rsidRPr="00A14107" w:rsidRDefault="00A14107" w:rsidP="00A14107">
            <w:pPr>
              <w:rPr>
                <w:rFonts w:cs="Arial"/>
                <w:b/>
                <w:noProof/>
                <w:sz w:val="18"/>
                <w:szCs w:val="18"/>
              </w:rPr>
            </w:pPr>
            <w:r w:rsidRPr="00A14107">
              <w:rPr>
                <w:rFonts w:cs="Arial"/>
                <w:b/>
                <w:noProof/>
                <w:sz w:val="18"/>
                <w:szCs w:val="18"/>
              </w:rPr>
              <w:t>Total Annex I</w:t>
            </w:r>
          </w:p>
          <w:p w14:paraId="031C22C4" w14:textId="77777777" w:rsidR="00A14107" w:rsidRPr="00A14107" w:rsidRDefault="00A14107" w:rsidP="00A14107">
            <w:pPr>
              <w:rPr>
                <w:rFonts w:cs="Arial"/>
                <w:b/>
                <w:noProof/>
                <w:sz w:val="18"/>
                <w:szCs w:val="18"/>
              </w:rPr>
            </w:pPr>
          </w:p>
        </w:tc>
        <w:tc>
          <w:tcPr>
            <w:tcW w:w="2552" w:type="dxa"/>
            <w:gridSpan w:val="2"/>
            <w:tcBorders>
              <w:top w:val="single" w:sz="12" w:space="0" w:color="auto"/>
              <w:bottom w:val="single" w:sz="12" w:space="0" w:color="auto"/>
            </w:tcBorders>
            <w:shd w:val="clear" w:color="auto" w:fill="DBE5F1" w:themeFill="accent1" w:themeFillTint="33"/>
          </w:tcPr>
          <w:p w14:paraId="696E5A8B" w14:textId="77777777" w:rsidR="00A14107" w:rsidRPr="00A14107" w:rsidRDefault="00A14107" w:rsidP="00A14107">
            <w:pPr>
              <w:rPr>
                <w:rFonts w:cs="Arial"/>
                <w:noProof/>
                <w:sz w:val="18"/>
                <w:szCs w:val="18"/>
              </w:rPr>
            </w:pPr>
            <w:r w:rsidRPr="00A14107">
              <w:rPr>
                <w:rFonts w:cs="Arial"/>
                <w:noProof/>
                <w:sz w:val="18"/>
                <w:szCs w:val="18"/>
              </w:rPr>
              <w:t>Total exempted uses &amp; production</w:t>
            </w:r>
          </w:p>
        </w:tc>
        <w:tc>
          <w:tcPr>
            <w:tcW w:w="4536" w:type="dxa"/>
            <w:tcBorders>
              <w:top w:val="single" w:sz="12" w:space="0" w:color="auto"/>
              <w:bottom w:val="single" w:sz="12" w:space="0" w:color="auto"/>
            </w:tcBorders>
            <w:shd w:val="clear" w:color="auto" w:fill="DBE5F1" w:themeFill="accent1" w:themeFillTint="33"/>
          </w:tcPr>
          <w:p w14:paraId="4994802F" w14:textId="77777777" w:rsidR="00A14107" w:rsidRPr="00A14107" w:rsidRDefault="00B07A60" w:rsidP="00A14107">
            <w:pPr>
              <w:rPr>
                <w:rFonts w:cs="Arial"/>
                <w:b/>
                <w:noProof/>
                <w:color w:val="000000" w:themeColor="text1"/>
                <w:sz w:val="18"/>
                <w:szCs w:val="18"/>
              </w:rPr>
            </w:pPr>
            <w:r>
              <w:rPr>
                <w:rFonts w:cs="Arial"/>
                <w:b/>
                <w:noProof/>
                <w:color w:val="000000" w:themeColor="text1"/>
                <w:sz w:val="18"/>
                <w:szCs w:val="18"/>
              </w:rPr>
              <w:t>74 O</w:t>
            </w:r>
            <w:r w:rsidR="00A14107" w:rsidRPr="00A14107">
              <w:rPr>
                <w:rFonts w:cs="Arial"/>
                <w:b/>
                <w:noProof/>
                <w:color w:val="000000" w:themeColor="text1"/>
                <w:sz w:val="18"/>
                <w:szCs w:val="18"/>
              </w:rPr>
              <w:t>D</w:t>
            </w:r>
            <w:r>
              <w:rPr>
                <w:rFonts w:cs="Arial"/>
                <w:b/>
                <w:noProof/>
                <w:color w:val="000000" w:themeColor="text1"/>
                <w:sz w:val="18"/>
                <w:szCs w:val="18"/>
              </w:rPr>
              <w:t>P</w:t>
            </w:r>
            <w:r w:rsidR="00A14107" w:rsidRPr="00A14107">
              <w:rPr>
                <w:rFonts w:cs="Arial"/>
                <w:b/>
                <w:noProof/>
                <w:color w:val="000000" w:themeColor="text1"/>
                <w:sz w:val="18"/>
                <w:szCs w:val="18"/>
              </w:rPr>
              <w:t>t         &amp;      ca 0.3 Mt CO2e</w:t>
            </w:r>
          </w:p>
        </w:tc>
      </w:tr>
      <w:tr w:rsidR="00A14107" w:rsidRPr="00A14107" w14:paraId="26598E91" w14:textId="77777777" w:rsidTr="001D408A">
        <w:trPr>
          <w:cnfStyle w:val="000000100000" w:firstRow="0" w:lastRow="0" w:firstColumn="0" w:lastColumn="0" w:oddVBand="0" w:evenVBand="0" w:oddHBand="1" w:evenHBand="0" w:firstRowFirstColumn="0" w:firstRowLastColumn="0" w:lastRowFirstColumn="0" w:lastRowLastColumn="0"/>
          <w:trHeight w:val="405"/>
        </w:trPr>
        <w:tc>
          <w:tcPr>
            <w:tcW w:w="1809" w:type="dxa"/>
            <w:tcBorders>
              <w:top w:val="single" w:sz="12" w:space="0" w:color="auto"/>
            </w:tcBorders>
            <w:shd w:val="clear" w:color="auto" w:fill="DBE5F1" w:themeFill="accent1" w:themeFillTint="33"/>
            <w:noWrap/>
          </w:tcPr>
          <w:p w14:paraId="4AF5F23A" w14:textId="77777777" w:rsidR="00A14107" w:rsidRPr="00A14107" w:rsidRDefault="00A14107" w:rsidP="00A14107">
            <w:pPr>
              <w:rPr>
                <w:rFonts w:cs="Arial"/>
                <w:b/>
                <w:noProof/>
                <w:sz w:val="18"/>
                <w:szCs w:val="18"/>
              </w:rPr>
            </w:pPr>
            <w:r w:rsidRPr="00A14107">
              <w:rPr>
                <w:rFonts w:cs="Arial"/>
                <w:b/>
                <w:noProof/>
                <w:sz w:val="18"/>
                <w:szCs w:val="18"/>
              </w:rPr>
              <w:t xml:space="preserve">Total Annex II </w:t>
            </w:r>
          </w:p>
        </w:tc>
        <w:tc>
          <w:tcPr>
            <w:tcW w:w="2552" w:type="dxa"/>
            <w:gridSpan w:val="2"/>
            <w:tcBorders>
              <w:top w:val="single" w:sz="12" w:space="0" w:color="auto"/>
              <w:bottom w:val="single" w:sz="4" w:space="0" w:color="1F497D" w:themeColor="text2"/>
            </w:tcBorders>
            <w:shd w:val="clear" w:color="auto" w:fill="DBE5F1" w:themeFill="accent1" w:themeFillTint="33"/>
          </w:tcPr>
          <w:p w14:paraId="585A6FE3" w14:textId="77777777" w:rsidR="00A14107" w:rsidRPr="00A14107" w:rsidRDefault="00A14107" w:rsidP="00A14107">
            <w:pPr>
              <w:rPr>
                <w:rFonts w:cs="Arial"/>
                <w:noProof/>
                <w:sz w:val="18"/>
                <w:szCs w:val="18"/>
              </w:rPr>
            </w:pPr>
            <w:r w:rsidRPr="00A14107">
              <w:rPr>
                <w:rFonts w:cs="Arial"/>
                <w:noProof/>
                <w:sz w:val="18"/>
                <w:szCs w:val="18"/>
              </w:rPr>
              <w:t xml:space="preserve">Feedstock use </w:t>
            </w:r>
          </w:p>
          <w:p w14:paraId="208348FC" w14:textId="77777777" w:rsidR="00A14107" w:rsidRPr="00A14107" w:rsidRDefault="00A14107" w:rsidP="00A14107">
            <w:pPr>
              <w:rPr>
                <w:rFonts w:cs="Arial"/>
                <w:noProof/>
                <w:sz w:val="18"/>
                <w:szCs w:val="18"/>
              </w:rPr>
            </w:pPr>
            <w:r w:rsidRPr="00A14107">
              <w:rPr>
                <w:rFonts w:cs="Arial"/>
                <w:noProof/>
                <w:sz w:val="18"/>
                <w:szCs w:val="18"/>
              </w:rPr>
              <w:t>&amp; production</w:t>
            </w:r>
          </w:p>
        </w:tc>
        <w:tc>
          <w:tcPr>
            <w:tcW w:w="4536" w:type="dxa"/>
            <w:tcBorders>
              <w:top w:val="single" w:sz="12" w:space="0" w:color="auto"/>
              <w:bottom w:val="single" w:sz="4" w:space="0" w:color="1F497D" w:themeColor="text2"/>
            </w:tcBorders>
            <w:shd w:val="clear" w:color="auto" w:fill="DBE5F1" w:themeFill="accent1" w:themeFillTint="33"/>
          </w:tcPr>
          <w:p w14:paraId="6793A624" w14:textId="77777777" w:rsidR="00A14107" w:rsidRPr="00A14107" w:rsidRDefault="00B07A60" w:rsidP="00A14107">
            <w:pPr>
              <w:rPr>
                <w:rFonts w:cs="Arial"/>
                <w:b/>
                <w:noProof/>
                <w:color w:val="000000" w:themeColor="text1"/>
                <w:sz w:val="18"/>
                <w:szCs w:val="18"/>
              </w:rPr>
            </w:pPr>
            <w:r>
              <w:rPr>
                <w:rFonts w:cs="Arial"/>
                <w:b/>
                <w:noProof/>
                <w:color w:val="000000" w:themeColor="text1"/>
                <w:sz w:val="18"/>
                <w:szCs w:val="18"/>
              </w:rPr>
              <w:t>22 O</w:t>
            </w:r>
            <w:r w:rsidR="00A14107" w:rsidRPr="00A14107">
              <w:rPr>
                <w:rFonts w:cs="Arial"/>
                <w:b/>
                <w:noProof/>
                <w:color w:val="000000" w:themeColor="text1"/>
                <w:sz w:val="18"/>
                <w:szCs w:val="18"/>
              </w:rPr>
              <w:t>D</w:t>
            </w:r>
            <w:r>
              <w:rPr>
                <w:rFonts w:cs="Arial"/>
                <w:b/>
                <w:noProof/>
                <w:color w:val="000000" w:themeColor="text1"/>
                <w:sz w:val="18"/>
                <w:szCs w:val="18"/>
              </w:rPr>
              <w:t>P</w:t>
            </w:r>
            <w:r w:rsidR="00A14107" w:rsidRPr="00A14107">
              <w:rPr>
                <w:rFonts w:cs="Arial"/>
                <w:b/>
                <w:noProof/>
                <w:color w:val="000000" w:themeColor="text1"/>
                <w:sz w:val="18"/>
                <w:szCs w:val="18"/>
              </w:rPr>
              <w:t>t         &amp;       ca 0.01 Mt CO2e</w:t>
            </w:r>
          </w:p>
        </w:tc>
      </w:tr>
      <w:tr w:rsidR="00A14107" w:rsidRPr="0056206A" w14:paraId="3AF31E77" w14:textId="77777777" w:rsidTr="001D408A">
        <w:trPr>
          <w:cnfStyle w:val="000000010000" w:firstRow="0" w:lastRow="0" w:firstColumn="0" w:lastColumn="0" w:oddVBand="0" w:evenVBand="0" w:oddHBand="0" w:evenHBand="1" w:firstRowFirstColumn="0" w:firstRowLastColumn="0" w:lastRowFirstColumn="0" w:lastRowLastColumn="0"/>
          <w:trHeight w:val="683"/>
        </w:trPr>
        <w:tc>
          <w:tcPr>
            <w:tcW w:w="1809" w:type="dxa"/>
            <w:tcBorders>
              <w:top w:val="single" w:sz="12" w:space="0" w:color="auto"/>
            </w:tcBorders>
            <w:shd w:val="clear" w:color="auto" w:fill="DBE5F1" w:themeFill="accent1" w:themeFillTint="33"/>
            <w:noWrap/>
          </w:tcPr>
          <w:p w14:paraId="54BF2232" w14:textId="77777777" w:rsidR="00A14107" w:rsidRPr="00A14107" w:rsidRDefault="00A14107" w:rsidP="00A14107">
            <w:pPr>
              <w:rPr>
                <w:rFonts w:cs="Arial"/>
                <w:b/>
                <w:noProof/>
                <w:sz w:val="18"/>
                <w:szCs w:val="18"/>
              </w:rPr>
            </w:pPr>
          </w:p>
          <w:p w14:paraId="438FC9FB" w14:textId="77777777" w:rsidR="00A14107" w:rsidRPr="00A14107" w:rsidRDefault="00A14107" w:rsidP="00A14107">
            <w:pPr>
              <w:rPr>
                <w:rFonts w:cs="Arial"/>
                <w:b/>
                <w:noProof/>
                <w:sz w:val="18"/>
                <w:szCs w:val="18"/>
              </w:rPr>
            </w:pPr>
            <w:r w:rsidRPr="00A14107">
              <w:rPr>
                <w:rFonts w:cs="Arial"/>
                <w:b/>
                <w:noProof/>
                <w:sz w:val="18"/>
                <w:szCs w:val="18"/>
              </w:rPr>
              <w:t>Banks</w:t>
            </w:r>
          </w:p>
          <w:p w14:paraId="7E4478A6" w14:textId="77777777" w:rsidR="00A14107" w:rsidRPr="00A14107" w:rsidRDefault="00A14107" w:rsidP="00A14107">
            <w:pPr>
              <w:rPr>
                <w:rFonts w:cs="Arial"/>
                <w:b/>
                <w:noProof/>
                <w:sz w:val="18"/>
                <w:szCs w:val="18"/>
              </w:rPr>
            </w:pPr>
          </w:p>
        </w:tc>
        <w:tc>
          <w:tcPr>
            <w:tcW w:w="2552" w:type="dxa"/>
            <w:gridSpan w:val="2"/>
            <w:tcBorders>
              <w:top w:val="single" w:sz="12" w:space="0" w:color="auto"/>
              <w:bottom w:val="single" w:sz="4" w:space="0" w:color="1F497D" w:themeColor="text2"/>
            </w:tcBorders>
            <w:shd w:val="clear" w:color="auto" w:fill="DBE5F1" w:themeFill="accent1" w:themeFillTint="33"/>
          </w:tcPr>
          <w:p w14:paraId="23D569AC" w14:textId="77777777" w:rsidR="00A14107" w:rsidRPr="00A14107" w:rsidRDefault="00A14107" w:rsidP="00D95F69">
            <w:pPr>
              <w:rPr>
                <w:rFonts w:cs="Arial"/>
                <w:noProof/>
                <w:sz w:val="18"/>
                <w:szCs w:val="18"/>
              </w:rPr>
            </w:pPr>
            <w:r w:rsidRPr="00A14107">
              <w:rPr>
                <w:rFonts w:cs="Arial"/>
                <w:noProof/>
                <w:sz w:val="18"/>
                <w:szCs w:val="18"/>
              </w:rPr>
              <w:t>Insulation Foams</w:t>
            </w:r>
          </w:p>
        </w:tc>
        <w:tc>
          <w:tcPr>
            <w:tcW w:w="4536" w:type="dxa"/>
            <w:tcBorders>
              <w:top w:val="single" w:sz="12" w:space="0" w:color="auto"/>
              <w:bottom w:val="single" w:sz="4" w:space="0" w:color="1F497D" w:themeColor="text2"/>
            </w:tcBorders>
            <w:shd w:val="clear" w:color="auto" w:fill="DBE5F1" w:themeFill="accent1" w:themeFillTint="33"/>
          </w:tcPr>
          <w:p w14:paraId="4D43BE94" w14:textId="77777777" w:rsidR="00A14107" w:rsidRPr="00942B85" w:rsidRDefault="00D95F69" w:rsidP="00D95F69">
            <w:pPr>
              <w:rPr>
                <w:rFonts w:cs="Arial"/>
                <w:b/>
                <w:noProof/>
                <w:color w:val="000000" w:themeColor="text1"/>
                <w:sz w:val="18"/>
                <w:szCs w:val="18"/>
                <w:lang w:val="pt-PT"/>
              </w:rPr>
            </w:pPr>
            <w:r w:rsidRPr="00942B85">
              <w:rPr>
                <w:rFonts w:cs="Arial"/>
                <w:b/>
                <w:noProof/>
                <w:color w:val="000000" w:themeColor="text1"/>
                <w:sz w:val="18"/>
                <w:szCs w:val="18"/>
                <w:lang w:val="pt-PT"/>
              </w:rPr>
              <w:t>Ca. 60</w:t>
            </w:r>
            <w:r w:rsidR="00B07A60">
              <w:rPr>
                <w:rFonts w:cs="Arial"/>
                <w:b/>
                <w:noProof/>
                <w:color w:val="000000" w:themeColor="text1"/>
                <w:sz w:val="18"/>
                <w:szCs w:val="18"/>
                <w:lang w:val="pt-PT"/>
              </w:rPr>
              <w:t>00** O</w:t>
            </w:r>
            <w:r w:rsidR="00A14107" w:rsidRPr="00942B85">
              <w:rPr>
                <w:rFonts w:cs="Arial"/>
                <w:b/>
                <w:noProof/>
                <w:color w:val="000000" w:themeColor="text1"/>
                <w:sz w:val="18"/>
                <w:szCs w:val="18"/>
                <w:lang w:val="pt-PT"/>
              </w:rPr>
              <w:t>D</w:t>
            </w:r>
            <w:r w:rsidR="00B07A60">
              <w:rPr>
                <w:rFonts w:cs="Arial"/>
                <w:b/>
                <w:noProof/>
                <w:color w:val="000000" w:themeColor="text1"/>
                <w:sz w:val="18"/>
                <w:szCs w:val="18"/>
                <w:lang w:val="pt-PT"/>
              </w:rPr>
              <w:t>P</w:t>
            </w:r>
            <w:r w:rsidR="00A14107" w:rsidRPr="00942B85">
              <w:rPr>
                <w:rFonts w:cs="Arial"/>
                <w:b/>
                <w:noProof/>
                <w:color w:val="000000" w:themeColor="text1"/>
                <w:sz w:val="18"/>
                <w:szCs w:val="18"/>
                <w:lang w:val="pt-PT"/>
              </w:rPr>
              <w:t xml:space="preserve">t     &amp;     ca. </w:t>
            </w:r>
            <w:r w:rsidRPr="00942B85">
              <w:rPr>
                <w:rFonts w:cs="Arial"/>
                <w:b/>
                <w:noProof/>
                <w:color w:val="000000" w:themeColor="text1"/>
                <w:sz w:val="18"/>
                <w:szCs w:val="18"/>
                <w:lang w:val="pt-PT"/>
              </w:rPr>
              <w:t>37</w:t>
            </w:r>
            <w:r w:rsidR="00A14107" w:rsidRPr="00942B85">
              <w:rPr>
                <w:rFonts w:cs="Arial"/>
                <w:b/>
                <w:noProof/>
                <w:color w:val="000000" w:themeColor="text1"/>
                <w:sz w:val="18"/>
                <w:szCs w:val="18"/>
                <w:lang w:val="pt-PT"/>
              </w:rPr>
              <w:t xml:space="preserve"> Mt CO2e</w:t>
            </w:r>
          </w:p>
        </w:tc>
      </w:tr>
    </w:tbl>
    <w:p w14:paraId="1BE487E2" w14:textId="77777777" w:rsidR="001D408A" w:rsidRPr="00A14107" w:rsidRDefault="001D408A" w:rsidP="001D408A">
      <w:pPr>
        <w:spacing w:after="0"/>
        <w:rPr>
          <w:rFonts w:ascii="Times New Roman" w:hAnsi="Times New Roman" w:cs="Times New Roman"/>
          <w:i/>
          <w:noProof/>
          <w:sz w:val="18"/>
          <w:szCs w:val="18"/>
        </w:rPr>
      </w:pPr>
      <w:r w:rsidRPr="00A14107">
        <w:rPr>
          <w:rFonts w:ascii="Times New Roman" w:hAnsi="Times New Roman" w:cs="Times New Roman"/>
          <w:noProof/>
          <w:sz w:val="18"/>
          <w:szCs w:val="18"/>
        </w:rPr>
        <w:t xml:space="preserve">* </w:t>
      </w:r>
      <w:r w:rsidRPr="00A14107">
        <w:rPr>
          <w:rFonts w:ascii="Times New Roman" w:hAnsi="Times New Roman" w:cs="Times New Roman"/>
          <w:i/>
          <w:iCs/>
          <w:noProof/>
          <w:sz w:val="18"/>
          <w:szCs w:val="18"/>
        </w:rPr>
        <w:t>Extrapolated value based on available data for 10% of the total production</w:t>
      </w:r>
      <w:r w:rsidRPr="00A14107">
        <w:rPr>
          <w:noProof/>
        </w:rPr>
        <w:br/>
      </w:r>
      <w:r w:rsidRPr="00A14107">
        <w:rPr>
          <w:rFonts w:ascii="Times New Roman" w:hAnsi="Times New Roman" w:cs="Times New Roman"/>
          <w:noProof/>
          <w:sz w:val="18"/>
          <w:szCs w:val="18"/>
        </w:rPr>
        <w:t xml:space="preserve">** </w:t>
      </w:r>
      <w:r w:rsidRPr="00A14107">
        <w:rPr>
          <w:rFonts w:ascii="Times New Roman" w:hAnsi="Times New Roman" w:cs="Times New Roman"/>
          <w:i/>
          <w:iCs/>
          <w:noProof/>
          <w:sz w:val="18"/>
          <w:szCs w:val="18"/>
        </w:rPr>
        <w:t>Value based on data from SKM Enviros (2012)</w:t>
      </w:r>
      <w:r w:rsidRPr="00A14107">
        <w:rPr>
          <w:i/>
          <w:iCs/>
          <w:noProof/>
          <w:sz w:val="18"/>
          <w:szCs w:val="18"/>
          <w:vertAlign w:val="superscript"/>
        </w:rPr>
        <w:footnoteReference w:id="21"/>
      </w:r>
      <w:r w:rsidRPr="00A14107">
        <w:rPr>
          <w:rFonts w:ascii="Times New Roman" w:hAnsi="Times New Roman" w:cs="Times New Roman"/>
          <w:i/>
          <w:noProof/>
          <w:sz w:val="18"/>
          <w:szCs w:val="18"/>
        </w:rPr>
        <w:t xml:space="preserve"> </w:t>
      </w:r>
    </w:p>
    <w:p w14:paraId="293DBBF9" w14:textId="77777777" w:rsidR="001D408A" w:rsidRPr="00A14107" w:rsidRDefault="001D408A" w:rsidP="001D408A">
      <w:pPr>
        <w:rPr>
          <w:rFonts w:ascii="Times New Roman" w:hAnsi="Times New Roman" w:cs="Times New Roman"/>
          <w:i/>
          <w:noProof/>
          <w:sz w:val="18"/>
          <w:szCs w:val="18"/>
        </w:rPr>
      </w:pPr>
      <w:r w:rsidRPr="00A14107">
        <w:rPr>
          <w:rFonts w:ascii="Times New Roman" w:hAnsi="Times New Roman" w:cs="Times New Roman"/>
          <w:i/>
          <w:noProof/>
          <w:sz w:val="18"/>
          <w:szCs w:val="18"/>
        </w:rPr>
        <w:t>*** Composition not known but climate effects will be &lt; 0.01 MtCO2e</w:t>
      </w:r>
    </w:p>
    <w:p w14:paraId="40611540" w14:textId="3F021414" w:rsidR="00A14107" w:rsidRPr="00EE3193" w:rsidRDefault="00896FDA" w:rsidP="00896FDA">
      <w:pPr>
        <w:pStyle w:val="Heading4"/>
        <w:rPr>
          <w:noProof/>
        </w:rPr>
      </w:pPr>
      <w:r w:rsidRPr="00896FDA">
        <w:t>2.1.1.1.</w:t>
      </w:r>
      <w:r w:rsidRPr="00896FDA">
        <w:tab/>
      </w:r>
      <w:r w:rsidR="00A14107" w:rsidRPr="00EE3193">
        <w:rPr>
          <w:noProof/>
        </w:rPr>
        <w:t>Continuing emissions from ODS foam banks</w:t>
      </w:r>
    </w:p>
    <w:p w14:paraId="67791143" w14:textId="77777777" w:rsidR="00A14107" w:rsidRPr="00A14107" w:rsidRDefault="00A14107" w:rsidP="00243A67">
      <w:pPr>
        <w:keepNext/>
        <w:numPr>
          <w:ilvl w:val="5"/>
          <w:numId w:val="2"/>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Status quo of the issue</w:t>
      </w:r>
    </w:p>
    <w:p w14:paraId="2A982F74"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bCs/>
          <w:noProof/>
          <w:sz w:val="24"/>
          <w:szCs w:val="24"/>
        </w:rPr>
        <w:t xml:space="preserve">The main source of current and future emissions are </w:t>
      </w:r>
      <w:r w:rsidRPr="00A14107">
        <w:rPr>
          <w:rFonts w:ascii="Times New Roman" w:hAnsi="Times New Roman" w:cs="Times New Roman"/>
          <w:b/>
          <w:noProof/>
          <w:sz w:val="24"/>
          <w:szCs w:val="24"/>
        </w:rPr>
        <w:t>from certain building materials containing foams blown with ODS</w:t>
      </w:r>
      <w:r w:rsidRPr="00A14107">
        <w:rPr>
          <w:b/>
          <w:noProof/>
          <w:sz w:val="24"/>
          <w:szCs w:val="24"/>
          <w:vertAlign w:val="superscript"/>
        </w:rPr>
        <w:footnoteReference w:id="22"/>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ODS emissions occur when buildings using such foams are renovated or demolished and the foams are crushed or shredded (releasing the ODS gas from the foam). In addition, significant emissions occur if relatively intact foams from construction and demolition waste (CDW) are landfilled without treatment, as the remaining ODS gases will slowly leak out over time. Annual emissions from all foam banks are estimate</w:t>
      </w:r>
      <w:r w:rsidR="00A362D6">
        <w:rPr>
          <w:rFonts w:ascii="Times New Roman" w:hAnsi="Times New Roman" w:cs="Times New Roman"/>
          <w:noProof/>
          <w:sz w:val="24"/>
          <w:szCs w:val="24"/>
        </w:rPr>
        <w:t>d</w:t>
      </w:r>
      <w:r w:rsidRPr="00A14107">
        <w:rPr>
          <w:rFonts w:ascii="Times New Roman" w:hAnsi="Times New Roman" w:cs="Times New Roman"/>
          <w:noProof/>
          <w:sz w:val="24"/>
          <w:szCs w:val="24"/>
        </w:rPr>
        <w:t xml:space="preserve"> to be ca. </w:t>
      </w:r>
      <w:r w:rsidR="00A45366" w:rsidRPr="00A14107">
        <w:rPr>
          <w:rFonts w:ascii="Times New Roman" w:hAnsi="Times New Roman" w:cs="Times New Roman"/>
          <w:noProof/>
          <w:sz w:val="24"/>
          <w:szCs w:val="24"/>
        </w:rPr>
        <w:t>6</w:t>
      </w:r>
      <w:r w:rsidR="00A45366">
        <w:rPr>
          <w:rFonts w:ascii="Times New Roman" w:hAnsi="Times New Roman" w:cs="Times New Roman"/>
          <w:noProof/>
          <w:sz w:val="24"/>
          <w:szCs w:val="24"/>
        </w:rPr>
        <w:t>0</w:t>
      </w:r>
      <w:r w:rsidR="00A45366" w:rsidRPr="00A14107">
        <w:rPr>
          <w:rFonts w:ascii="Times New Roman" w:hAnsi="Times New Roman" w:cs="Times New Roman"/>
          <w:noProof/>
          <w:sz w:val="24"/>
          <w:szCs w:val="24"/>
        </w:rPr>
        <w:t xml:space="preserve">00 </w:t>
      </w:r>
      <w:r w:rsidRPr="00A14107">
        <w:rPr>
          <w:rFonts w:ascii="Times New Roman" w:hAnsi="Times New Roman" w:cs="Times New Roman"/>
          <w:noProof/>
          <w:sz w:val="24"/>
          <w:szCs w:val="24"/>
        </w:rPr>
        <w:t xml:space="preserve">tODP or </w:t>
      </w:r>
      <w:r w:rsidR="00A45366">
        <w:rPr>
          <w:rFonts w:ascii="Times New Roman" w:hAnsi="Times New Roman" w:cs="Times New Roman"/>
          <w:noProof/>
          <w:sz w:val="24"/>
          <w:szCs w:val="24"/>
        </w:rPr>
        <w:t>37</w:t>
      </w:r>
      <w:r w:rsidRPr="00A14107">
        <w:rPr>
          <w:rFonts w:ascii="Times New Roman" w:hAnsi="Times New Roman" w:cs="Times New Roman"/>
          <w:noProof/>
          <w:sz w:val="24"/>
          <w:szCs w:val="24"/>
        </w:rPr>
        <w:t xml:space="preserve"> Mt CO2e</w:t>
      </w:r>
      <w:r w:rsidR="00A362D6">
        <w:rPr>
          <w:rFonts w:ascii="Times New Roman" w:hAnsi="Times New Roman" w:cs="Times New Roman"/>
          <w:noProof/>
          <w:sz w:val="24"/>
          <w:szCs w:val="24"/>
        </w:rPr>
        <w:t xml:space="preserve"> today</w:t>
      </w:r>
      <w:r w:rsidRPr="00A14107">
        <w:rPr>
          <w:rFonts w:ascii="Times New Roman" w:hAnsi="Times New Roman" w:cs="Times New Roman"/>
          <w:noProof/>
          <w:sz w:val="24"/>
          <w:szCs w:val="24"/>
        </w:rPr>
        <w:t xml:space="preserve">. </w:t>
      </w:r>
    </w:p>
    <w:p w14:paraId="2B612F23" w14:textId="77777777" w:rsidR="00A14107" w:rsidRPr="00A14107" w:rsidRDefault="00A14107" w:rsidP="00243A67">
      <w:pPr>
        <w:keepNext/>
        <w:numPr>
          <w:ilvl w:val="5"/>
          <w:numId w:val="2"/>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Drivers</w:t>
      </w:r>
    </w:p>
    <w:p w14:paraId="4A5A1BD2"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Regulation only requires recovery when it is technically and economically feasible</w:t>
      </w:r>
      <w:r w:rsidRPr="00A14107">
        <w:rPr>
          <w:rFonts w:ascii="Times New Roman" w:hAnsi="Times New Roman" w:cs="Times New Roman"/>
          <w:noProof/>
          <w:sz w:val="24"/>
          <w:szCs w:val="24"/>
        </w:rPr>
        <w:t>. This is open to interpretation and results in little recovery activity in most Member States</w:t>
      </w:r>
      <w:r w:rsidRPr="00A14107">
        <w:rPr>
          <w:noProof/>
          <w:sz w:val="24"/>
          <w:szCs w:val="24"/>
          <w:vertAlign w:val="superscript"/>
        </w:rPr>
        <w:footnoteReference w:id="23"/>
      </w:r>
      <w:r w:rsidR="00F069C0">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r w:rsidR="00F069C0" w:rsidRPr="00A14107">
        <w:rPr>
          <w:rFonts w:ascii="Times New Roman" w:hAnsi="Times New Roman" w:cs="Times New Roman"/>
          <w:noProof/>
          <w:sz w:val="24"/>
          <w:szCs w:val="24"/>
        </w:rPr>
        <w:t>given the weak legislative requirement to recover</w:t>
      </w:r>
      <w:r w:rsidR="00F069C0">
        <w:rPr>
          <w:rFonts w:ascii="Times New Roman" w:hAnsi="Times New Roman" w:cs="Times New Roman"/>
          <w:noProof/>
          <w:sz w:val="24"/>
          <w:szCs w:val="24"/>
        </w:rPr>
        <w:t xml:space="preserve"> only </w:t>
      </w:r>
      <w:r w:rsidR="00F069C0" w:rsidRPr="00F069C0">
        <w:rPr>
          <w:rFonts w:ascii="Times New Roman" w:hAnsi="Times New Roman" w:cs="Times New Roman"/>
          <w:i/>
          <w:noProof/>
          <w:sz w:val="24"/>
          <w:szCs w:val="24"/>
        </w:rPr>
        <w:t>if technically and economically feasible</w:t>
      </w:r>
      <w:r w:rsidR="00F069C0" w:rsidRPr="00A14107">
        <w:rPr>
          <w:rFonts w:ascii="Times New Roman" w:hAnsi="Times New Roman" w:cs="Times New Roman"/>
          <w:noProof/>
          <w:sz w:val="24"/>
          <w:szCs w:val="24"/>
        </w:rPr>
        <w:t xml:space="preserve">. </w:t>
      </w:r>
      <w:r w:rsidR="00F069C0">
        <w:rPr>
          <w:rFonts w:ascii="Times New Roman" w:hAnsi="Times New Roman" w:cs="Times New Roman"/>
          <w:noProof/>
          <w:sz w:val="24"/>
          <w:szCs w:val="24"/>
        </w:rPr>
        <w:t>This requirement places the burden of pro</w:t>
      </w:r>
      <w:r w:rsidR="00195032">
        <w:rPr>
          <w:rFonts w:ascii="Times New Roman" w:hAnsi="Times New Roman" w:cs="Times New Roman"/>
          <w:noProof/>
          <w:sz w:val="24"/>
          <w:szCs w:val="24"/>
        </w:rPr>
        <w:t>of</w:t>
      </w:r>
      <w:r w:rsidR="00F069C0">
        <w:rPr>
          <w:rFonts w:ascii="Times New Roman" w:hAnsi="Times New Roman" w:cs="Times New Roman"/>
          <w:noProof/>
          <w:sz w:val="24"/>
          <w:szCs w:val="24"/>
        </w:rPr>
        <w:t xml:space="preserve"> on authorities and </w:t>
      </w:r>
      <w:r w:rsidRPr="00A14107">
        <w:rPr>
          <w:rFonts w:ascii="Times New Roman" w:hAnsi="Times New Roman" w:cs="Times New Roman"/>
          <w:noProof/>
          <w:sz w:val="24"/>
          <w:szCs w:val="24"/>
        </w:rPr>
        <w:t xml:space="preserve">would require rather strong enforcement efforts to ensure that the right judgement call is made each time ODS foams are being crushed or shredded. </w:t>
      </w:r>
      <w:r w:rsidR="00F069C0">
        <w:rPr>
          <w:rFonts w:ascii="Times New Roman" w:hAnsi="Times New Roman" w:cs="Times New Roman"/>
          <w:noProof/>
          <w:sz w:val="24"/>
          <w:szCs w:val="24"/>
        </w:rPr>
        <w:t>In practice, t</w:t>
      </w:r>
      <w:r w:rsidR="00F069C0" w:rsidRPr="00A14107">
        <w:rPr>
          <w:rFonts w:ascii="Times New Roman" w:hAnsi="Times New Roman" w:cs="Times New Roman"/>
          <w:noProof/>
          <w:sz w:val="24"/>
          <w:szCs w:val="24"/>
        </w:rPr>
        <w:t>he technical and economic feasibility to recover ODS depends on the type of foam (e.g. panels, boards, spray or block; see Annex 6), and where it is installed.</w:t>
      </w:r>
    </w:p>
    <w:p w14:paraId="7DEA136A"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Cs/>
          <w:noProof/>
          <w:sz w:val="24"/>
          <w:szCs w:val="24"/>
        </w:rPr>
        <w:t>Large</w:t>
      </w:r>
      <w:r w:rsidRPr="00A14107">
        <w:rPr>
          <w:rFonts w:ascii="Times New Roman" w:hAnsi="Times New Roman" w:cs="Times New Roman"/>
          <w:noProof/>
          <w:sz w:val="24"/>
          <w:szCs w:val="24"/>
        </w:rPr>
        <w:t xml:space="preserve"> quantities of ODS foams will enter the waste stream each year until 2050, with peak amounts reached </w:t>
      </w:r>
      <w:r w:rsidR="00D67ACB">
        <w:rPr>
          <w:rFonts w:ascii="Times New Roman" w:hAnsi="Times New Roman" w:cs="Times New Roman"/>
          <w:noProof/>
          <w:sz w:val="24"/>
          <w:szCs w:val="24"/>
        </w:rPr>
        <w:t>only after</w:t>
      </w:r>
      <w:r w:rsidRPr="00A14107">
        <w:rPr>
          <w:rFonts w:ascii="Times New Roman" w:hAnsi="Times New Roman" w:cs="Times New Roman"/>
          <w:noProof/>
          <w:sz w:val="24"/>
          <w:szCs w:val="24"/>
        </w:rPr>
        <w:t xml:space="preserve"> 2030 (see Fig. A6.1 in Annex 6). As it is often more costly to separate, transport and destroy the ODS contained in the foam, standard disposal via landfilling without ODS recovery is common practise</w:t>
      </w:r>
      <w:r w:rsidR="001A363B">
        <w:rPr>
          <w:rFonts w:ascii="Times New Roman" w:hAnsi="Times New Roman" w:cs="Times New Roman"/>
          <w:noProof/>
          <w:sz w:val="24"/>
          <w:szCs w:val="24"/>
        </w:rPr>
        <w:t>.</w:t>
      </w:r>
      <w:r w:rsidRPr="00A14107">
        <w:rPr>
          <w:rFonts w:ascii="Times New Roman" w:hAnsi="Times New Roman" w:cs="Times New Roman"/>
          <w:b/>
          <w:bCs/>
          <w:noProof/>
          <w:sz w:val="24"/>
          <w:szCs w:val="24"/>
        </w:rPr>
        <w:t xml:space="preserve"> </w:t>
      </w:r>
      <w:r w:rsidRPr="00A14107">
        <w:rPr>
          <w:rFonts w:ascii="Times New Roman" w:hAnsi="Times New Roman" w:cs="Times New Roman"/>
          <w:noProof/>
          <w:sz w:val="24"/>
          <w:szCs w:val="24"/>
        </w:rPr>
        <w:t xml:space="preserve">Rising prices of raw materials and costs of landfilling are expected </w:t>
      </w:r>
      <w:r w:rsidR="00D67ACB">
        <w:rPr>
          <w:rFonts w:ascii="Times New Roman" w:hAnsi="Times New Roman" w:cs="Times New Roman"/>
          <w:noProof/>
          <w:sz w:val="24"/>
          <w:szCs w:val="24"/>
        </w:rPr>
        <w:t xml:space="preserve">to </w:t>
      </w:r>
      <w:r w:rsidRPr="00A14107">
        <w:rPr>
          <w:rFonts w:ascii="Times New Roman" w:hAnsi="Times New Roman" w:cs="Times New Roman"/>
          <w:noProof/>
          <w:sz w:val="24"/>
          <w:szCs w:val="24"/>
        </w:rPr>
        <w:t xml:space="preserve">encourage some more recycling and recovery of foams in the future. </w:t>
      </w:r>
    </w:p>
    <w:p w14:paraId="17F7B854" w14:textId="77777777" w:rsidR="00A14107" w:rsidRPr="00A14107" w:rsidRDefault="00A14107" w:rsidP="00CA31B8">
      <w:pPr>
        <w:numPr>
          <w:ilvl w:val="5"/>
          <w:numId w:val="2"/>
        </w:numPr>
        <w:spacing w:after="120"/>
        <w:ind w:left="215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 How the problem will evolve</w:t>
      </w:r>
    </w:p>
    <w:p w14:paraId="15673ADF" w14:textId="77777777" w:rsidR="00EE3193"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Very significant amounts of emissions, in particular in climate terms, are expected to continue from the lack of recovery of ODS from foams during the refurbishment and demolition of buildings. Annual emissions will increase to </w:t>
      </w:r>
      <w:r w:rsidR="00D67ACB">
        <w:rPr>
          <w:rFonts w:ascii="Times New Roman" w:hAnsi="Times New Roman" w:cs="Times New Roman"/>
          <w:noProof/>
          <w:sz w:val="24"/>
          <w:szCs w:val="24"/>
        </w:rPr>
        <w:t>ca. 67</w:t>
      </w:r>
      <w:r w:rsidRPr="00A14107">
        <w:rPr>
          <w:rFonts w:ascii="Times New Roman" w:hAnsi="Times New Roman" w:cs="Times New Roman"/>
          <w:noProof/>
          <w:sz w:val="24"/>
          <w:szCs w:val="24"/>
        </w:rPr>
        <w:t xml:space="preserve">00 tODP or </w:t>
      </w:r>
      <w:r w:rsidR="00D67ACB">
        <w:rPr>
          <w:rFonts w:ascii="Times New Roman" w:hAnsi="Times New Roman" w:cs="Times New Roman"/>
          <w:noProof/>
          <w:sz w:val="24"/>
          <w:szCs w:val="24"/>
        </w:rPr>
        <w:t>43</w:t>
      </w:r>
      <w:r w:rsidRPr="00A14107">
        <w:rPr>
          <w:rFonts w:ascii="Times New Roman" w:hAnsi="Times New Roman" w:cs="Times New Roman"/>
          <w:noProof/>
          <w:sz w:val="24"/>
          <w:szCs w:val="24"/>
        </w:rPr>
        <w:t xml:space="preserve"> million tCO2e</w:t>
      </w:r>
      <w:r w:rsidR="00D95F69">
        <w:rPr>
          <w:rFonts w:ascii="Times New Roman" w:hAnsi="Times New Roman" w:cs="Times New Roman"/>
          <w:noProof/>
          <w:sz w:val="24"/>
          <w:szCs w:val="24"/>
        </w:rPr>
        <w:t xml:space="preserve"> (between 2030-35)</w:t>
      </w:r>
      <w:r w:rsidRPr="00A14107">
        <w:rPr>
          <w:rFonts w:ascii="Times New Roman" w:hAnsi="Times New Roman" w:cs="Times New Roman"/>
          <w:noProof/>
          <w:sz w:val="24"/>
          <w:szCs w:val="24"/>
        </w:rPr>
        <w:t>, about half of the total amounts entering the waste stream each year. After 203</w:t>
      </w:r>
      <w:r w:rsidR="00D67ACB">
        <w:rPr>
          <w:rFonts w:ascii="Times New Roman" w:hAnsi="Times New Roman" w:cs="Times New Roman"/>
          <w:noProof/>
          <w:sz w:val="24"/>
          <w:szCs w:val="24"/>
        </w:rPr>
        <w:t>5</w:t>
      </w:r>
      <w:r w:rsidRPr="00A14107">
        <w:rPr>
          <w:rFonts w:ascii="Times New Roman" w:hAnsi="Times New Roman" w:cs="Times New Roman"/>
          <w:noProof/>
          <w:sz w:val="24"/>
          <w:szCs w:val="24"/>
        </w:rPr>
        <w:t xml:space="preserve"> this trend will reverse, but the potential emissions still remain at ca. 4000 tones tODP or </w:t>
      </w:r>
      <w:r w:rsidR="00D95F69">
        <w:rPr>
          <w:rFonts w:ascii="Times New Roman" w:hAnsi="Times New Roman" w:cs="Times New Roman"/>
          <w:noProof/>
          <w:sz w:val="24"/>
          <w:szCs w:val="24"/>
        </w:rPr>
        <w:t>2</w:t>
      </w:r>
      <w:r w:rsidR="003D651B">
        <w:rPr>
          <w:rFonts w:ascii="Times New Roman" w:hAnsi="Times New Roman" w:cs="Times New Roman"/>
          <w:noProof/>
          <w:sz w:val="24"/>
          <w:szCs w:val="24"/>
        </w:rPr>
        <w:t>3</w:t>
      </w:r>
      <w:r w:rsidR="00D67ACB"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million tCO2e even in 2050 (Fig. 1). This is due to the </w:t>
      </w:r>
      <w:r w:rsidR="00D67ACB">
        <w:rPr>
          <w:rFonts w:ascii="Times New Roman" w:hAnsi="Times New Roman" w:cs="Times New Roman"/>
          <w:noProof/>
          <w:sz w:val="24"/>
          <w:szCs w:val="24"/>
        </w:rPr>
        <w:t xml:space="preserve">growing </w:t>
      </w:r>
      <w:r w:rsidRPr="00A14107">
        <w:rPr>
          <w:rFonts w:ascii="Times New Roman" w:hAnsi="Times New Roman" w:cs="Times New Roman"/>
          <w:noProof/>
          <w:sz w:val="24"/>
          <w:szCs w:val="24"/>
        </w:rPr>
        <w:t xml:space="preserve">contribution of long-term leakage from landfilled ODS foams, even though the amount of ODS foams entering the waste stream will already </w:t>
      </w:r>
      <w:r w:rsidR="00911C56">
        <w:rPr>
          <w:rFonts w:ascii="Times New Roman" w:hAnsi="Times New Roman" w:cs="Times New Roman"/>
          <w:noProof/>
          <w:sz w:val="24"/>
          <w:szCs w:val="24"/>
        </w:rPr>
        <w:t>have been</w:t>
      </w:r>
      <w:r w:rsidR="00911C56"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significantly reduced </w:t>
      </w:r>
      <w:r w:rsidR="00911C56">
        <w:rPr>
          <w:rFonts w:ascii="Times New Roman" w:hAnsi="Times New Roman" w:cs="Times New Roman"/>
          <w:noProof/>
          <w:sz w:val="24"/>
          <w:szCs w:val="24"/>
        </w:rPr>
        <w:t>by</w:t>
      </w:r>
      <w:r w:rsidRPr="00A14107">
        <w:rPr>
          <w:rFonts w:ascii="Times New Roman" w:hAnsi="Times New Roman" w:cs="Times New Roman"/>
          <w:noProof/>
          <w:sz w:val="24"/>
          <w:szCs w:val="24"/>
        </w:rPr>
        <w:t xml:space="preserve"> 2050.</w:t>
      </w:r>
      <w:r w:rsidRPr="00A14107">
        <w:rPr>
          <w:rFonts w:ascii="Times New Roman" w:eastAsia="Times New Roman" w:hAnsi="Times New Roman" w:cs="Times New Roman"/>
          <w:noProof/>
          <w:sz w:val="24"/>
          <w:szCs w:val="20"/>
        </w:rPr>
        <w:t xml:space="preserve"> </w:t>
      </w:r>
      <w:r w:rsidRPr="00A14107">
        <w:rPr>
          <w:rFonts w:ascii="Times New Roman" w:hAnsi="Times New Roman" w:cs="Times New Roman"/>
          <w:noProof/>
          <w:sz w:val="24"/>
          <w:szCs w:val="24"/>
        </w:rPr>
        <w:t>The main sources of ODS emissions from insulation foams are metal-faced panels and laminated boards, with smaller contributions from block foam and spray foam</w:t>
      </w:r>
      <w:r w:rsidR="00EE570E">
        <w:rPr>
          <w:rFonts w:ascii="Times New Roman" w:hAnsi="Times New Roman" w:cs="Times New Roman"/>
          <w:noProof/>
          <w:sz w:val="24"/>
          <w:szCs w:val="24"/>
        </w:rPr>
        <w:t xml:space="preserve"> (see Fig. A6.1 in Annex 6)</w:t>
      </w:r>
      <w:r w:rsidRPr="00A14107">
        <w:rPr>
          <w:rFonts w:ascii="Times New Roman" w:hAnsi="Times New Roman" w:cs="Times New Roman"/>
          <w:noProof/>
          <w:sz w:val="24"/>
          <w:szCs w:val="24"/>
        </w:rPr>
        <w:t>.</w:t>
      </w:r>
    </w:p>
    <w:p w14:paraId="344A3403" w14:textId="77777777" w:rsidR="00A14107" w:rsidRPr="00A14107" w:rsidRDefault="00A14107" w:rsidP="00A14107">
      <w:pPr>
        <w:keepNext/>
        <w:tabs>
          <w:tab w:val="left" w:pos="2302"/>
        </w:tabs>
        <w:spacing w:after="240" w:line="240" w:lineRule="auto"/>
        <w:jc w:val="both"/>
        <w:rPr>
          <w:rFonts w:eastAsia="Times New Roman"/>
          <w:noProof/>
          <w:color w:val="0070C0"/>
          <w:sz w:val="20"/>
          <w:szCs w:val="20"/>
        </w:rPr>
      </w:pPr>
      <w:r w:rsidRPr="005818C8">
        <w:rPr>
          <w:rFonts w:eastAsia="Times New Roman"/>
          <w:b/>
          <w:noProof/>
          <w:color w:val="0070C0"/>
          <w:sz w:val="20"/>
          <w:szCs w:val="20"/>
        </w:rPr>
        <w:t>Figure 1.</w:t>
      </w:r>
      <w:r w:rsidRPr="005818C8">
        <w:rPr>
          <w:rFonts w:eastAsia="Times New Roman"/>
          <w:noProof/>
          <w:color w:val="0070C0"/>
          <w:sz w:val="20"/>
          <w:szCs w:val="20"/>
        </w:rPr>
        <w:t xml:space="preserve"> Expected EU annual emissions from foam banks</w:t>
      </w:r>
    </w:p>
    <w:p w14:paraId="1DBA1702" w14:textId="77777777" w:rsidR="00A14107" w:rsidRDefault="005818C8" w:rsidP="00A14107">
      <w:pPr>
        <w:jc w:val="both"/>
        <w:rPr>
          <w:rFonts w:ascii="Times New Roman" w:hAnsi="Times New Roman" w:cs="Times New Roman"/>
          <w:noProof/>
          <w:sz w:val="24"/>
          <w:szCs w:val="24"/>
        </w:rPr>
      </w:pPr>
      <w:r>
        <w:rPr>
          <w:noProof/>
          <w:lang w:eastAsia="en-GB"/>
        </w:rPr>
        <w:drawing>
          <wp:inline distT="0" distB="0" distL="0" distR="0" wp14:anchorId="6C74508C" wp14:editId="4543048B">
            <wp:extent cx="5472430" cy="2653030"/>
            <wp:effectExtent l="0" t="0" r="0" b="0"/>
            <wp:docPr id="1" name="Chart 1">
              <a:extLst xmlns:a="http://schemas.openxmlformats.org/drawingml/2006/main">
                <a:ext uri="{FF2B5EF4-FFF2-40B4-BE49-F238E27FC236}">
                  <a16:creationId xmlns:a16="http://schemas.microsoft.com/office/drawing/2014/main" id="{C717C5CD-5B67-4C2A-A8DD-BDF0662FA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1158E2" w14:textId="77777777" w:rsidR="005818C8" w:rsidRPr="00A14107" w:rsidRDefault="005818C8" w:rsidP="00A14107">
      <w:pPr>
        <w:jc w:val="both"/>
        <w:rPr>
          <w:rFonts w:ascii="Times New Roman" w:hAnsi="Times New Roman" w:cs="Times New Roman"/>
          <w:noProof/>
          <w:sz w:val="24"/>
          <w:szCs w:val="24"/>
        </w:rPr>
      </w:pPr>
    </w:p>
    <w:p w14:paraId="3F8B8F92" w14:textId="3238903C" w:rsidR="00EE3193" w:rsidRPr="00EE3193" w:rsidRDefault="00896FDA" w:rsidP="00896FDA">
      <w:pPr>
        <w:pStyle w:val="Heading4"/>
        <w:rPr>
          <w:noProof/>
        </w:rPr>
      </w:pPr>
      <w:r w:rsidRPr="00896FDA">
        <w:t>2.1.1.2.</w:t>
      </w:r>
      <w:r w:rsidRPr="00896FDA">
        <w:tab/>
      </w:r>
      <w:r w:rsidR="00EE3193">
        <w:rPr>
          <w:noProof/>
        </w:rPr>
        <w:t xml:space="preserve"> Continuing emissions from production and (exempted) uses of ODS (Annex I), new ODS (Annex II) and ODS not listed</w:t>
      </w:r>
    </w:p>
    <w:p w14:paraId="680FBA17" w14:textId="77777777" w:rsidR="00A14107" w:rsidRPr="00A14107" w:rsidRDefault="00A14107" w:rsidP="00AD73CF">
      <w:pPr>
        <w:keepNext/>
        <w:numPr>
          <w:ilvl w:val="5"/>
          <w:numId w:val="11"/>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Status quo of the issue</w:t>
      </w:r>
    </w:p>
    <w:p w14:paraId="3E62ED55" w14:textId="77777777" w:rsidR="00A14107" w:rsidRPr="00A14107" w:rsidRDefault="00A14107" w:rsidP="00CA31B8">
      <w:pPr>
        <w:spacing w:after="0"/>
        <w:jc w:val="both"/>
        <w:rPr>
          <w:rFonts w:ascii="Times New Roman" w:hAnsi="Times New Roman" w:cs="Times New Roman"/>
          <w:b/>
          <w:noProof/>
          <w:sz w:val="24"/>
          <w:szCs w:val="24"/>
        </w:rPr>
      </w:pPr>
      <w:r w:rsidRPr="00A14107">
        <w:rPr>
          <w:rFonts w:ascii="Times New Roman" w:hAnsi="Times New Roman" w:cs="Times New Roman"/>
          <w:b/>
          <w:noProof/>
          <w:sz w:val="24"/>
          <w:szCs w:val="24"/>
        </w:rPr>
        <w:t>The magnitude of these emission is much smaller than that of foam banks</w:t>
      </w:r>
      <w:r w:rsidRPr="00A14107">
        <w:rPr>
          <w:rFonts w:ascii="Times New Roman" w:hAnsi="Times New Roman" w:cs="Times New Roman"/>
          <w:noProof/>
          <w:sz w:val="24"/>
          <w:szCs w:val="24"/>
        </w:rPr>
        <w:t xml:space="preserve">: </w:t>
      </w:r>
    </w:p>
    <w:p w14:paraId="74379BB6" w14:textId="77777777" w:rsidR="00A14107" w:rsidRPr="00A14107" w:rsidRDefault="00A14107" w:rsidP="00AD73CF">
      <w:pPr>
        <w:numPr>
          <w:ilvl w:val="0"/>
          <w:numId w:val="16"/>
        </w:numPr>
        <w:spacing w:after="120"/>
        <w:ind w:left="284" w:hanging="284"/>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Total annual emissions from the </w:t>
      </w:r>
      <w:r w:rsidRPr="00A14107">
        <w:rPr>
          <w:rFonts w:ascii="Times New Roman" w:hAnsi="Times New Roman" w:cs="Times New Roman"/>
          <w:b/>
          <w:noProof/>
          <w:sz w:val="24"/>
          <w:szCs w:val="24"/>
        </w:rPr>
        <w:t>exempted uses of Annex I ODS, including their production</w:t>
      </w:r>
      <w:r w:rsidRPr="00A14107">
        <w:rPr>
          <w:rFonts w:ascii="Times New Roman" w:hAnsi="Times New Roman" w:cs="Times New Roman"/>
          <w:noProof/>
          <w:sz w:val="24"/>
          <w:szCs w:val="24"/>
        </w:rPr>
        <w:t>, are estimated to be ca. 74 tODP or 0.3 Mt CO2e (2019 data). Emission rates (emissions divided by the quantities used), where available</w:t>
      </w:r>
      <w:r w:rsidRPr="00A14107">
        <w:rPr>
          <w:noProof/>
          <w:sz w:val="24"/>
          <w:szCs w:val="24"/>
          <w:vertAlign w:val="superscript"/>
        </w:rPr>
        <w:footnoteReference w:id="24"/>
      </w:r>
      <w:r w:rsidRPr="00A14107">
        <w:rPr>
          <w:rFonts w:ascii="Times New Roman" w:hAnsi="Times New Roman" w:cs="Times New Roman"/>
          <w:noProof/>
          <w:sz w:val="24"/>
          <w:szCs w:val="24"/>
        </w:rPr>
        <w:t>, have generally declined in recent years (2010 to 2019, see Table A4.2 in Annex 4). However, the quantities used as feedstock in chemical production continue to be significant (ca. 39,000 tODP used in 2019, other exempted uses are 1-2 magnitudes lower; see Table A4.1 in Annex 4). While these few exempted uses persist for the sole reason that suitable alternatives are difficult to find, there appear to be alternatives to the use of ODS in two feedstock processes</w:t>
      </w:r>
      <w:r w:rsidRPr="00A14107">
        <w:rPr>
          <w:noProof/>
          <w:sz w:val="24"/>
          <w:szCs w:val="24"/>
          <w:vertAlign w:val="superscript"/>
        </w:rPr>
        <w:footnoteReference w:id="25"/>
      </w:r>
      <w:r w:rsidRPr="00A14107">
        <w:rPr>
          <w:rFonts w:ascii="Times New Roman" w:hAnsi="Times New Roman" w:cs="Times New Roman"/>
          <w:noProof/>
          <w:sz w:val="24"/>
          <w:szCs w:val="24"/>
        </w:rPr>
        <w:t xml:space="preserve"> and for the use of halons in some military equipment</w:t>
      </w:r>
      <w:r w:rsidRPr="00A14107">
        <w:rPr>
          <w:rFonts w:ascii="Times New Roman" w:hAnsi="Times New Roman" w:cs="Times New Roman"/>
          <w:noProof/>
          <w:sz w:val="24"/>
          <w:szCs w:val="24"/>
          <w:vertAlign w:val="superscript"/>
        </w:rPr>
        <w:footnoteReference w:id="26"/>
      </w:r>
      <w:r w:rsidRPr="00A14107">
        <w:rPr>
          <w:rFonts w:ascii="Times New Roman" w:hAnsi="Times New Roman" w:cs="Times New Roman"/>
          <w:noProof/>
          <w:sz w:val="24"/>
          <w:szCs w:val="24"/>
        </w:rPr>
        <w:t xml:space="preserve">. </w:t>
      </w:r>
    </w:p>
    <w:p w14:paraId="145D7A0C" w14:textId="77777777" w:rsidR="00A14107" w:rsidRPr="00A14107" w:rsidRDefault="00A14107" w:rsidP="00AD73CF">
      <w:pPr>
        <w:numPr>
          <w:ilvl w:val="0"/>
          <w:numId w:val="16"/>
        </w:numPr>
        <w:spacing w:after="12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Total annual emissions from </w:t>
      </w:r>
      <w:r w:rsidRPr="00A14107">
        <w:rPr>
          <w:rFonts w:ascii="Times New Roman" w:hAnsi="Times New Roman" w:cs="Times New Roman"/>
          <w:b/>
          <w:noProof/>
          <w:sz w:val="24"/>
          <w:szCs w:val="24"/>
        </w:rPr>
        <w:t>production or feedstock use of ODS listed in Annex II</w:t>
      </w:r>
      <w:r w:rsidRPr="00A14107">
        <w:rPr>
          <w:rFonts w:ascii="Times New Roman" w:hAnsi="Times New Roman" w:cs="Times New Roman"/>
          <w:noProof/>
          <w:sz w:val="24"/>
          <w:szCs w:val="24"/>
        </w:rPr>
        <w:t xml:space="preserve"> is estimated a</w:t>
      </w:r>
      <w:r w:rsidR="00811CB0">
        <w:rPr>
          <w:rFonts w:ascii="Times New Roman" w:hAnsi="Times New Roman" w:cs="Times New Roman"/>
          <w:noProof/>
          <w:sz w:val="24"/>
          <w:szCs w:val="24"/>
        </w:rPr>
        <w:t>t</w:t>
      </w:r>
      <w:r w:rsidRPr="00A14107">
        <w:rPr>
          <w:rFonts w:ascii="Times New Roman" w:hAnsi="Times New Roman" w:cs="Times New Roman"/>
          <w:noProof/>
          <w:sz w:val="24"/>
          <w:szCs w:val="24"/>
        </w:rPr>
        <w:t xml:space="preserve"> 22 tODP or 0.01 Mt CO2e (2019 data). Feedstock uses in chemical production processes are significant (20,500 tODP). However, emission rates are estimated (in the absence of comprehensive reporting data) to be as low as those of Annex I feedstock use. For other uses of Annex II ODS (only about 1% of total quantities used) or for ODS not listed, emissions and use data is not known in detail. ODS not currently listed</w:t>
      </w:r>
      <w:r w:rsidRPr="00A14107">
        <w:rPr>
          <w:noProof/>
          <w:vertAlign w:val="superscript"/>
        </w:rPr>
        <w:footnoteReference w:id="27"/>
      </w:r>
      <w:r w:rsidRPr="00A14107">
        <w:rPr>
          <w:rFonts w:ascii="Times New Roman" w:hAnsi="Times New Roman" w:cs="Times New Roman"/>
          <w:noProof/>
          <w:sz w:val="24"/>
          <w:szCs w:val="24"/>
        </w:rPr>
        <w:t xml:space="preserve"> have lower ODPs and GWPs, but recent research results indicate that some of them may be relevant for ozone depletion nonetheless.</w:t>
      </w:r>
    </w:p>
    <w:p w14:paraId="611FEB9C" w14:textId="77777777" w:rsidR="00A14107" w:rsidRPr="00A14107" w:rsidRDefault="00A14107" w:rsidP="00AD73CF">
      <w:pPr>
        <w:keepNext/>
        <w:numPr>
          <w:ilvl w:val="5"/>
          <w:numId w:val="11"/>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Drivers</w:t>
      </w:r>
    </w:p>
    <w:p w14:paraId="209EA3EE" w14:textId="2A8760C7" w:rsidR="00A14107" w:rsidRPr="00A14107" w:rsidRDefault="00A14107" w:rsidP="00AD73CF">
      <w:pPr>
        <w:numPr>
          <w:ilvl w:val="0"/>
          <w:numId w:val="17"/>
        </w:numPr>
        <w:spacing w:after="120"/>
        <w:ind w:left="284" w:hanging="284"/>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Annex I exempted uses</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 xml:space="preserve">In practice the Regulation </w:t>
      </w:r>
      <w:r w:rsidR="00561E0B">
        <w:rPr>
          <w:rFonts w:ascii="Times New Roman" w:hAnsi="Times New Roman" w:cs="Times New Roman"/>
          <w:b/>
          <w:noProof/>
          <w:sz w:val="24"/>
          <w:szCs w:val="24"/>
        </w:rPr>
        <w:t>does not require</w:t>
      </w:r>
      <w:r w:rsidRPr="00A14107">
        <w:rPr>
          <w:rFonts w:ascii="Times New Roman" w:hAnsi="Times New Roman" w:cs="Times New Roman"/>
          <w:b/>
          <w:noProof/>
          <w:sz w:val="24"/>
          <w:szCs w:val="24"/>
        </w:rPr>
        <w:t xml:space="preserve"> further reductions of the quantities used for the exempted uses</w:t>
      </w:r>
      <w:r w:rsidRPr="006578FA">
        <w:rPr>
          <w:noProof/>
          <w:sz w:val="24"/>
          <w:szCs w:val="24"/>
          <w:vertAlign w:val="superscript"/>
        </w:rPr>
        <w:footnoteReference w:id="28"/>
      </w:r>
      <w:r w:rsidRPr="006578FA">
        <w:rPr>
          <w:rFonts w:ascii="Times New Roman" w:hAnsi="Times New Roman" w:cs="Times New Roman"/>
          <w:noProof/>
          <w:sz w:val="24"/>
          <w:szCs w:val="24"/>
        </w:rPr>
        <w:t>,</w:t>
      </w:r>
      <w:r w:rsidRPr="00A14107">
        <w:rPr>
          <w:rFonts w:ascii="Times New Roman" w:hAnsi="Times New Roman" w:cs="Times New Roman"/>
          <w:noProof/>
          <w:sz w:val="24"/>
          <w:szCs w:val="24"/>
        </w:rPr>
        <w:t xml:space="preserve"> although there are some measures in the Regulation targeting these uses (quota system for import and production; total limits and limits per installation on</w:t>
      </w:r>
      <w:r w:rsidRPr="00A14107">
        <w:rPr>
          <w:rFonts w:ascii="Times New Roman" w:hAnsi="Times New Roman" w:cs="Times New Roman"/>
          <w:b/>
          <w:bCs/>
          <w:noProof/>
          <w:sz w:val="24"/>
          <w:szCs w:val="24"/>
        </w:rPr>
        <w:t xml:space="preserve"> </w:t>
      </w:r>
      <w:r w:rsidRPr="00A14107">
        <w:rPr>
          <w:rFonts w:ascii="Times New Roman" w:hAnsi="Times New Roman" w:cs="Times New Roman"/>
          <w:noProof/>
          <w:sz w:val="24"/>
          <w:szCs w:val="24"/>
        </w:rPr>
        <w:t>process agent use in 5 remaining chemical plants</w:t>
      </w:r>
      <w:r w:rsidRPr="00A14107">
        <w:rPr>
          <w:rFonts w:ascii="Times New Roman" w:hAnsi="Times New Roman" w:cs="Times New Roman"/>
          <w:noProof/>
          <w:sz w:val="24"/>
          <w:szCs w:val="24"/>
          <w:vertAlign w:val="superscript"/>
        </w:rPr>
        <w:footnoteReference w:id="29"/>
      </w:r>
      <w:r w:rsidRPr="00A14107">
        <w:rPr>
          <w:rFonts w:ascii="Times New Roman" w:hAnsi="Times New Roman" w:cs="Times New Roman"/>
          <w:noProof/>
          <w:sz w:val="24"/>
          <w:szCs w:val="24"/>
        </w:rPr>
        <w:t xml:space="preserve"> and an upper limit for laboratory uses)</w:t>
      </w:r>
      <w:r w:rsidR="00561E0B">
        <w:rPr>
          <w:rFonts w:ascii="Times New Roman" w:hAnsi="Times New Roman" w:cs="Times New Roman"/>
          <w:noProof/>
          <w:sz w:val="24"/>
          <w:szCs w:val="24"/>
        </w:rPr>
        <w:t>.</w:t>
      </w:r>
      <w:r w:rsidR="005522F3">
        <w:rPr>
          <w:rFonts w:ascii="Times New Roman" w:hAnsi="Times New Roman" w:cs="Times New Roman"/>
          <w:noProof/>
          <w:sz w:val="24"/>
          <w:szCs w:val="24"/>
        </w:rPr>
        <w:t xml:space="preserve"> </w:t>
      </w:r>
      <w:r w:rsidR="00561E0B">
        <w:rPr>
          <w:rFonts w:ascii="Times New Roman" w:hAnsi="Times New Roman" w:cs="Times New Roman"/>
          <w:noProof/>
          <w:sz w:val="24"/>
          <w:szCs w:val="24"/>
        </w:rPr>
        <w:t>T</w:t>
      </w:r>
      <w:r w:rsidRPr="00A14107">
        <w:rPr>
          <w:rFonts w:ascii="Times New Roman" w:hAnsi="Times New Roman" w:cs="Times New Roman"/>
          <w:noProof/>
          <w:sz w:val="24"/>
          <w:szCs w:val="24"/>
        </w:rPr>
        <w:t>hese limits are not very restrictive and often far exceed the actual needs. Tightening limits without possibly restricting vital economic activities is not straightforward, as for most exempted uses</w:t>
      </w:r>
      <w:r w:rsidR="00983C2C">
        <w:rPr>
          <w:rFonts w:ascii="Times New Roman" w:hAnsi="Times New Roman" w:cs="Times New Roman"/>
          <w:noProof/>
          <w:sz w:val="24"/>
          <w:szCs w:val="24"/>
        </w:rPr>
        <w:t>,</w:t>
      </w:r>
      <w:r w:rsidRPr="00A14107">
        <w:rPr>
          <w:rFonts w:ascii="Times New Roman" w:hAnsi="Times New Roman" w:cs="Times New Roman"/>
          <w:noProof/>
          <w:sz w:val="24"/>
          <w:szCs w:val="24"/>
        </w:rPr>
        <w:t xml:space="preserve"> suitable alternatives are not available</w:t>
      </w:r>
      <w:r w:rsidR="009138FE">
        <w:rPr>
          <w:rFonts w:ascii="Times New Roman" w:hAnsi="Times New Roman" w:cs="Times New Roman"/>
          <w:noProof/>
          <w:sz w:val="24"/>
          <w:szCs w:val="24"/>
        </w:rPr>
        <w:t xml:space="preserve"> (yet)</w:t>
      </w:r>
      <w:r w:rsidRPr="00A14107">
        <w:rPr>
          <w:rFonts w:ascii="Times New Roman" w:hAnsi="Times New Roman" w:cs="Times New Roman"/>
          <w:noProof/>
          <w:sz w:val="24"/>
          <w:szCs w:val="24"/>
        </w:rPr>
        <w:t>. Still, the Regulation does require undertakings to take all precautionary measures practicable to prevent emissions during use. Furthermore, it is possible to regulate ODS emissions, e.g. from chemical production and feedstock use, under the Industrial Emissions Directive (Directive 2010/75/EU, IED)</w:t>
      </w:r>
      <w:r w:rsidR="00561E0B">
        <w:rPr>
          <w:rFonts w:ascii="Times New Roman" w:hAnsi="Times New Roman" w:cs="Times New Roman"/>
          <w:noProof/>
          <w:sz w:val="24"/>
          <w:szCs w:val="24"/>
        </w:rPr>
        <w:t>. To do so would require</w:t>
      </w:r>
      <w:r w:rsidRPr="00A14107">
        <w:rPr>
          <w:rFonts w:ascii="Times New Roman" w:hAnsi="Times New Roman" w:cs="Times New Roman"/>
          <w:noProof/>
          <w:sz w:val="24"/>
          <w:szCs w:val="24"/>
        </w:rPr>
        <w:t xml:space="preserve"> identifying them as a key environmental parameter in Best Available Techniques (BAT) relevant for installations in order to obtain operation permits</w:t>
      </w:r>
      <w:r w:rsidR="00FF5A29">
        <w:rPr>
          <w:rFonts w:ascii="Times New Roman" w:hAnsi="Times New Roman" w:cs="Times New Roman"/>
          <w:noProof/>
          <w:sz w:val="24"/>
          <w:szCs w:val="24"/>
        </w:rPr>
        <w:t xml:space="preserve">. </w:t>
      </w:r>
      <w:r w:rsidR="00561E0B">
        <w:rPr>
          <w:rFonts w:ascii="Times New Roman" w:hAnsi="Times New Roman" w:cs="Times New Roman"/>
          <w:noProof/>
          <w:sz w:val="24"/>
          <w:szCs w:val="24"/>
        </w:rPr>
        <w:t>T</w:t>
      </w:r>
      <w:r w:rsidR="00FF5A29">
        <w:rPr>
          <w:rFonts w:ascii="Times New Roman" w:hAnsi="Times New Roman" w:cs="Times New Roman"/>
          <w:noProof/>
          <w:sz w:val="24"/>
          <w:szCs w:val="24"/>
        </w:rPr>
        <w:t>hi</w:t>
      </w:r>
      <w:r w:rsidRPr="00A14107">
        <w:rPr>
          <w:rFonts w:ascii="Times New Roman" w:hAnsi="Times New Roman" w:cs="Times New Roman"/>
          <w:noProof/>
          <w:sz w:val="24"/>
          <w:szCs w:val="24"/>
        </w:rPr>
        <w:t>s has rarely been the case so far</w:t>
      </w:r>
      <w:r w:rsidR="00561E0B">
        <w:rPr>
          <w:rFonts w:ascii="Times New Roman" w:hAnsi="Times New Roman" w:cs="Times New Roman"/>
          <w:noProof/>
          <w:sz w:val="24"/>
          <w:szCs w:val="24"/>
        </w:rPr>
        <w:t>, however</w:t>
      </w:r>
      <w:r w:rsidRPr="00A14107">
        <w:rPr>
          <w:rFonts w:ascii="Times New Roman" w:hAnsi="Times New Roman" w:cs="Times New Roman"/>
          <w:noProof/>
          <w:sz w:val="24"/>
          <w:szCs w:val="24"/>
        </w:rPr>
        <w:t>.</w:t>
      </w:r>
    </w:p>
    <w:p w14:paraId="0103964A" w14:textId="77777777" w:rsidR="00A14107" w:rsidRPr="00A14107" w:rsidRDefault="00A14107" w:rsidP="00AD73CF">
      <w:pPr>
        <w:numPr>
          <w:ilvl w:val="0"/>
          <w:numId w:val="17"/>
        </w:numPr>
        <w:spacing w:after="120"/>
        <w:ind w:left="284" w:hanging="284"/>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For the use of halons to service a few remaining types of critical appliances, the Regulation stipulates a phase-out schedule up to 2040.</w:t>
      </w:r>
      <w:r w:rsidRPr="00A14107" w:rsidDel="00FB12A2">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These uses depend on existing stocks of halons and halons reclaimed from old equipment, as production of new halons for these uses is prohibited globally under the Protocol</w:t>
      </w:r>
      <w:r w:rsidRPr="00A14107">
        <w:rPr>
          <w:noProof/>
          <w:sz w:val="24"/>
          <w:szCs w:val="24"/>
          <w:vertAlign w:val="superscript"/>
        </w:rPr>
        <w:footnoteReference w:id="30"/>
      </w:r>
      <w:r w:rsidRPr="00A14107">
        <w:rPr>
          <w:rFonts w:ascii="Times New Roman" w:hAnsi="Times New Roman" w:cs="Times New Roman"/>
          <w:noProof/>
          <w:sz w:val="24"/>
          <w:szCs w:val="24"/>
        </w:rPr>
        <w:t>. Recent assessments carried out by the Protocol’s Halons Technical Options Committee (HTOC) indicated that non-virgin halon stocks for critical uses might not be sufficient to meet the needs from 2030 onwards at global level</w:t>
      </w:r>
      <w:r w:rsidRPr="00A14107">
        <w:rPr>
          <w:rFonts w:ascii="Times New Roman" w:hAnsi="Times New Roman" w:cs="Times New Roman"/>
          <w:bCs/>
          <w:noProof/>
          <w:sz w:val="24"/>
          <w:szCs w:val="24"/>
        </w:rPr>
        <w:t>. If future demand for halons cannot be met (including at the global level)</w:t>
      </w:r>
      <w:r w:rsidRPr="00A14107">
        <w:rPr>
          <w:rFonts w:ascii="Times New Roman" w:hAnsi="Times New Roman" w:cs="Times New Roman"/>
          <w:b/>
          <w:bCs/>
          <w:noProof/>
          <w:sz w:val="24"/>
          <w:szCs w:val="24"/>
        </w:rPr>
        <w:t>, new production of halons could become necessary which would result in additional emissions.</w:t>
      </w:r>
    </w:p>
    <w:p w14:paraId="01A94A89" w14:textId="77777777" w:rsidR="00A14107" w:rsidRPr="00A14107" w:rsidRDefault="00A14107" w:rsidP="00AD73CF">
      <w:pPr>
        <w:numPr>
          <w:ilvl w:val="0"/>
          <w:numId w:val="17"/>
        </w:numPr>
        <w:spacing w:after="60"/>
        <w:ind w:left="284" w:hanging="284"/>
        <w:jc w:val="both"/>
        <w:rPr>
          <w:rFonts w:ascii="Times New Roman" w:hAnsi="Times New Roman" w:cs="Times New Roman"/>
          <w:noProof/>
          <w:sz w:val="24"/>
          <w:szCs w:val="24"/>
        </w:rPr>
      </w:pPr>
      <w:r w:rsidRPr="00A14107">
        <w:rPr>
          <w:rFonts w:ascii="Times New Roman" w:hAnsi="Times New Roman" w:cs="Times New Roman"/>
          <w:b/>
          <w:noProof/>
          <w:sz w:val="24"/>
          <w:szCs w:val="24"/>
        </w:rPr>
        <w:t>The use of Annex II ODS is not restricted by the Regulation</w:t>
      </w:r>
      <w:r w:rsidRPr="00A14107">
        <w:rPr>
          <w:b/>
          <w:noProof/>
          <w:sz w:val="24"/>
          <w:szCs w:val="24"/>
          <w:vertAlign w:val="superscript"/>
        </w:rPr>
        <w:footnoteReference w:id="31"/>
      </w:r>
      <w:r w:rsidRPr="00A14107">
        <w:rPr>
          <w:rFonts w:ascii="Times New Roman" w:hAnsi="Times New Roman" w:cs="Times New Roman"/>
          <w:b/>
          <w:noProof/>
          <w:sz w:val="24"/>
          <w:szCs w:val="24"/>
        </w:rPr>
        <w:t>.</w:t>
      </w:r>
      <w:r w:rsidRPr="00A14107">
        <w:rPr>
          <w:rFonts w:ascii="Times New Roman" w:hAnsi="Times New Roman" w:cs="Times New Roman"/>
          <w:noProof/>
          <w:sz w:val="24"/>
          <w:szCs w:val="24"/>
        </w:rPr>
        <w:t xml:space="preserve"> Their future use will depend</w:t>
      </w:r>
      <w:r w:rsidR="00561E0B">
        <w:rPr>
          <w:rFonts w:ascii="Times New Roman" w:hAnsi="Times New Roman" w:cs="Times New Roman"/>
          <w:noProof/>
          <w:sz w:val="24"/>
          <w:szCs w:val="24"/>
        </w:rPr>
        <w:t>,</w:t>
      </w:r>
      <w:r w:rsidRPr="00A14107">
        <w:rPr>
          <w:rFonts w:ascii="Times New Roman" w:hAnsi="Times New Roman" w:cs="Times New Roman"/>
          <w:noProof/>
          <w:sz w:val="24"/>
          <w:szCs w:val="24"/>
        </w:rPr>
        <w:t xml:space="preserve"> to a large degree</w:t>
      </w:r>
      <w:r w:rsidR="00561E0B">
        <w:rPr>
          <w:rFonts w:ascii="Times New Roman" w:hAnsi="Times New Roman" w:cs="Times New Roman"/>
          <w:noProof/>
          <w:sz w:val="24"/>
          <w:szCs w:val="24"/>
        </w:rPr>
        <w:t>,</w:t>
      </w:r>
      <w:r w:rsidRPr="00A14107">
        <w:rPr>
          <w:rFonts w:ascii="Times New Roman" w:hAnsi="Times New Roman" w:cs="Times New Roman"/>
          <w:noProof/>
          <w:sz w:val="24"/>
          <w:szCs w:val="24"/>
        </w:rPr>
        <w:t xml:space="preserve"> on growth in the sectors using them as feedstock and therefore on the general economic situation. There are also some emissive uses (e.g. as solvents) and a potential use of trifluoroiodomethane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I) in blends used for refrigeration and air conditioning appliances.</w:t>
      </w:r>
    </w:p>
    <w:p w14:paraId="569D1F58" w14:textId="77777777" w:rsidR="00A14107" w:rsidRPr="00A14107" w:rsidRDefault="00A14107" w:rsidP="00AD73CF">
      <w:pPr>
        <w:numPr>
          <w:ilvl w:val="5"/>
          <w:numId w:val="11"/>
        </w:numPr>
        <w:spacing w:after="120"/>
        <w:ind w:left="215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 How the problem will evolve</w:t>
      </w:r>
    </w:p>
    <w:p w14:paraId="64C8536F" w14:textId="77777777" w:rsidR="00A14107" w:rsidRDefault="00D82896" w:rsidP="00A14107">
      <w:pPr>
        <w:jc w:val="both"/>
        <w:rPr>
          <w:rFonts w:ascii="Times New Roman" w:hAnsi="Times New Roman" w:cs="Times New Roman"/>
          <w:noProof/>
          <w:sz w:val="24"/>
          <w:szCs w:val="24"/>
        </w:rPr>
      </w:pPr>
      <w:r>
        <w:rPr>
          <w:rFonts w:ascii="Times New Roman" w:hAnsi="Times New Roman" w:cs="Times New Roman"/>
          <w:noProof/>
          <w:sz w:val="24"/>
          <w:szCs w:val="24"/>
        </w:rPr>
        <w:t>E</w:t>
      </w:r>
      <w:r w:rsidR="00A14107" w:rsidRPr="00A14107">
        <w:rPr>
          <w:rFonts w:ascii="Times New Roman" w:hAnsi="Times New Roman" w:cs="Times New Roman"/>
          <w:noProof/>
          <w:sz w:val="24"/>
          <w:szCs w:val="24"/>
        </w:rPr>
        <w:t>missions from</w:t>
      </w:r>
      <w:r w:rsidR="00561E0B">
        <w:rPr>
          <w:rFonts w:ascii="Times New Roman" w:hAnsi="Times New Roman" w:cs="Times New Roman"/>
          <w:noProof/>
          <w:sz w:val="24"/>
          <w:szCs w:val="24"/>
        </w:rPr>
        <w:t xml:space="preserve"> the</w:t>
      </w:r>
      <w:r w:rsidR="00A14107" w:rsidRPr="00A14107">
        <w:rPr>
          <w:rFonts w:ascii="Times New Roman" w:hAnsi="Times New Roman" w:cs="Times New Roman"/>
          <w:noProof/>
          <w:sz w:val="24"/>
          <w:szCs w:val="24"/>
        </w:rPr>
        <w:t xml:space="preserve"> use of ODS in chemical production (production, feedstock, process agents) of both Annex I &amp; II ODS are expected to continue but may slowly decline over the next decades (see Fig. 2). Emissions from EU production of ODS are also expected to be sustained with a slow decline in the long run (see Table 4.4 in Annex 4). In addition, very small emissions (&lt; 1 tODP) from laboratory and analytical use are assumed to be constant over time, as confirmed by stakeholders. </w:t>
      </w:r>
    </w:p>
    <w:p w14:paraId="7435C075" w14:textId="77777777" w:rsidR="00EE3193" w:rsidRPr="00EE3193" w:rsidRDefault="00EE3193" w:rsidP="00EE3193">
      <w:pPr>
        <w:pStyle w:val="Heading4"/>
        <w:rPr>
          <w:noProof/>
          <w:vanish/>
        </w:rPr>
      </w:pPr>
    </w:p>
    <w:p w14:paraId="4D25415D" w14:textId="77777777" w:rsidR="00A14107" w:rsidRPr="00A14107" w:rsidRDefault="00A14107" w:rsidP="00A14107">
      <w:pPr>
        <w:keepNext/>
        <w:jc w:val="both"/>
        <w:rPr>
          <w:noProof/>
          <w:color w:val="0070C0"/>
          <w:sz w:val="20"/>
          <w:szCs w:val="20"/>
        </w:rPr>
      </w:pPr>
      <w:r w:rsidRPr="00A14107">
        <w:rPr>
          <w:noProof/>
          <w:color w:val="0070C0"/>
          <w:sz w:val="20"/>
          <w:szCs w:val="20"/>
        </w:rPr>
        <w:t>Figure 2. Baseline emissions of ODS-using chemical production processes in tODP (controlled substances = Annex I)</w:t>
      </w:r>
    </w:p>
    <w:p w14:paraId="2949662D" w14:textId="77777777" w:rsidR="00A14107" w:rsidRPr="00EE3193" w:rsidRDefault="00A14107" w:rsidP="00EE3193">
      <w:pPr>
        <w:rPr>
          <w:rFonts w:ascii="Times New Roman" w:hAnsi="Times New Roman" w:cs="Times New Roman"/>
          <w:noProof/>
        </w:rPr>
      </w:pPr>
      <w:r w:rsidRPr="00A14107">
        <w:rPr>
          <w:rFonts w:ascii="Times New Roman" w:hAnsi="Times New Roman" w:cs="Times New Roman"/>
          <w:noProof/>
          <w:lang w:eastAsia="en-GB"/>
        </w:rPr>
        <w:drawing>
          <wp:inline distT="0" distB="0" distL="0" distR="0" wp14:anchorId="371221BD" wp14:editId="4DA50FF3">
            <wp:extent cx="4384548" cy="2628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0620" cy="2632540"/>
                    </a:xfrm>
                    <a:prstGeom prst="rect">
                      <a:avLst/>
                    </a:prstGeom>
                    <a:noFill/>
                  </pic:spPr>
                </pic:pic>
              </a:graphicData>
            </a:graphic>
          </wp:inline>
        </w:drawing>
      </w:r>
    </w:p>
    <w:p w14:paraId="7FE19A92" w14:textId="77777777" w:rsidR="00A14107" w:rsidRPr="00A14107" w:rsidRDefault="00A14107" w:rsidP="00A14107">
      <w:pPr>
        <w:jc w:val="both"/>
        <w:rPr>
          <w:rFonts w:ascii="Times New Roman" w:hAnsi="Times New Roman" w:cs="Times New Roman"/>
          <w:noProof/>
          <w:sz w:val="24"/>
          <w:szCs w:val="24"/>
        </w:rPr>
      </w:pPr>
      <w:r w:rsidRPr="00A14107">
        <w:rPr>
          <w:rFonts w:ascii="Times New Roman" w:hAnsi="Times New Roman" w:cs="Times New Roman"/>
          <w:b/>
          <w:bCs/>
          <w:noProof/>
          <w:sz w:val="24"/>
          <w:szCs w:val="24"/>
        </w:rPr>
        <w:t>Halon emissions in tODP are estimated to decline by 40% until 2040</w:t>
      </w:r>
      <w:r w:rsidRPr="006578FA">
        <w:rPr>
          <w:bCs/>
          <w:noProof/>
          <w:sz w:val="24"/>
          <w:szCs w:val="24"/>
          <w:vertAlign w:val="superscript"/>
        </w:rPr>
        <w:footnoteReference w:id="32"/>
      </w:r>
      <w:r w:rsidRPr="00A14107">
        <w:rPr>
          <w:rFonts w:ascii="Times New Roman" w:hAnsi="Times New Roman" w:cs="Times New Roman"/>
          <w:bCs/>
          <w:noProof/>
          <w:sz w:val="24"/>
          <w:szCs w:val="24"/>
        </w:rPr>
        <w:t xml:space="preserve"> and </w:t>
      </w:r>
      <w:r w:rsidR="00D82896">
        <w:rPr>
          <w:rFonts w:ascii="Times New Roman" w:hAnsi="Times New Roman" w:cs="Times New Roman"/>
          <w:bCs/>
          <w:noProof/>
          <w:sz w:val="24"/>
          <w:szCs w:val="24"/>
        </w:rPr>
        <w:t xml:space="preserve">to </w:t>
      </w:r>
      <w:r w:rsidRPr="00A14107">
        <w:rPr>
          <w:rFonts w:ascii="Times New Roman" w:hAnsi="Times New Roman" w:cs="Times New Roman"/>
          <w:bCs/>
          <w:noProof/>
          <w:sz w:val="24"/>
          <w:szCs w:val="24"/>
        </w:rPr>
        <w:t>fall to zero</w:t>
      </w:r>
      <w:r w:rsidRPr="00A14107">
        <w:rPr>
          <w:rFonts w:ascii="Times New Roman" w:hAnsi="Times New Roman" w:cs="Times New Roman"/>
          <w:noProof/>
          <w:sz w:val="24"/>
          <w:szCs w:val="24"/>
        </w:rPr>
        <w:t xml:space="preserve"> thereafter, as all equipment must be halon free by then according to the Regulation. However, this does not take into account that additional emissions of halons with very high ODPs and GWPs may occur if new production of halons becomes necessary.</w:t>
      </w:r>
      <w:r w:rsidRPr="00A14107">
        <w:rPr>
          <w:rFonts w:ascii="Times New Roman" w:eastAsia="Times New Roman" w:hAnsi="Times New Roman" w:cs="Times New Roman"/>
          <w:noProof/>
          <w:sz w:val="24"/>
          <w:szCs w:val="24"/>
        </w:rPr>
        <w:t xml:space="preserve"> An important rationale for the strict EU phase-out schedule for all halon-using equipment has been to drive the development of alternatives, and avoid that production would risk to be permitted again at global level.</w:t>
      </w:r>
    </w:p>
    <w:p w14:paraId="0CF3C529" w14:textId="1628B1C5" w:rsidR="00A14107" w:rsidRPr="00EE3193" w:rsidRDefault="00896FDA" w:rsidP="00896FDA">
      <w:pPr>
        <w:pStyle w:val="Heading3"/>
        <w:rPr>
          <w:rFonts w:eastAsiaTheme="minorEastAsia"/>
          <w:noProof/>
        </w:rPr>
      </w:pPr>
      <w:bookmarkStart w:id="45" w:name="_Toc72399342"/>
      <w:bookmarkStart w:id="46" w:name="_Toc93511454"/>
      <w:r w:rsidRPr="00896FDA">
        <w:t>2.1.2.</w:t>
      </w:r>
      <w:r w:rsidRPr="00896FDA">
        <w:tab/>
      </w:r>
      <w:r w:rsidR="00A14107" w:rsidRPr="00EE3193">
        <w:rPr>
          <w:noProof/>
        </w:rPr>
        <w:t>Efficiency issues</w:t>
      </w:r>
      <w:bookmarkEnd w:id="45"/>
      <w:bookmarkEnd w:id="46"/>
    </w:p>
    <w:p w14:paraId="7EDF5B94"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evaluation concluded that the Regulation has been efficient overall, but for some measures the costs incurred have been more significant than originally foreseen, and some costs for companies persist even though they may no longer be necessary for </w:t>
      </w:r>
      <w:r w:rsidR="00D82896">
        <w:rPr>
          <w:rFonts w:ascii="Times New Roman" w:hAnsi="Times New Roman" w:cs="Times New Roman"/>
          <w:noProof/>
          <w:sz w:val="24"/>
          <w:szCs w:val="24"/>
        </w:rPr>
        <w:t>effective</w:t>
      </w:r>
      <w:r w:rsidR="00D82896"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control now the traditional uses have been phased out and the focus is mostly on strictly </w:t>
      </w:r>
      <w:r w:rsidR="00D82896" w:rsidRPr="00A14107">
        <w:rPr>
          <w:rFonts w:ascii="Times New Roman" w:hAnsi="Times New Roman" w:cs="Times New Roman"/>
          <w:noProof/>
          <w:sz w:val="24"/>
          <w:szCs w:val="24"/>
        </w:rPr>
        <w:t xml:space="preserve">controlling </w:t>
      </w:r>
      <w:r w:rsidRPr="00A14107">
        <w:rPr>
          <w:rFonts w:ascii="Times New Roman" w:hAnsi="Times New Roman" w:cs="Times New Roman"/>
          <w:noProof/>
          <w:sz w:val="24"/>
          <w:szCs w:val="24"/>
        </w:rPr>
        <w:t>the exempted uses. In particular, the evaluation showed that the following could be improved:</w:t>
      </w:r>
    </w:p>
    <w:p w14:paraId="59C94AFA" w14:textId="77777777" w:rsidR="00A14107" w:rsidRPr="00A14107" w:rsidRDefault="00A14107" w:rsidP="00AD73CF">
      <w:pPr>
        <w:numPr>
          <w:ilvl w:val="0"/>
          <w:numId w:val="18"/>
        </w:numPr>
        <w:spacing w:after="0"/>
        <w:ind w:left="714" w:hanging="357"/>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The licensing system for imports and exports, and more ef</w:t>
      </w:r>
      <w:r w:rsidR="006640EC">
        <w:rPr>
          <w:rFonts w:ascii="Times New Roman" w:hAnsi="Times New Roman" w:cs="Times New Roman"/>
          <w:noProof/>
          <w:sz w:val="24"/>
          <w:szCs w:val="24"/>
        </w:rPr>
        <w:t>ficient control of illegal trade</w:t>
      </w:r>
      <w:r w:rsidRPr="00A14107">
        <w:rPr>
          <w:rFonts w:ascii="Times New Roman" w:hAnsi="Times New Roman" w:cs="Times New Roman"/>
          <w:noProof/>
          <w:sz w:val="24"/>
          <w:szCs w:val="24"/>
        </w:rPr>
        <w:t xml:space="preserve">, </w:t>
      </w:r>
    </w:p>
    <w:p w14:paraId="1A4E4FBC" w14:textId="77777777" w:rsidR="00A14107" w:rsidRPr="00A14107" w:rsidRDefault="00A14107" w:rsidP="00AD73CF">
      <w:pPr>
        <w:numPr>
          <w:ilvl w:val="0"/>
          <w:numId w:val="18"/>
        </w:numPr>
        <w:spacing w:after="120"/>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The registration system for laboratories,</w:t>
      </w:r>
    </w:p>
    <w:p w14:paraId="49559CE3" w14:textId="77777777" w:rsidR="00A14107" w:rsidRPr="00A14107" w:rsidRDefault="00A14107" w:rsidP="00AD73CF">
      <w:pPr>
        <w:numPr>
          <w:ilvl w:val="0"/>
          <w:numId w:val="18"/>
        </w:numPr>
        <w:spacing w:after="120"/>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The quota systems for import and production of exempted uses,</w:t>
      </w:r>
    </w:p>
    <w:p w14:paraId="74709624" w14:textId="77777777" w:rsidR="00A14107" w:rsidRPr="00A14107" w:rsidRDefault="00A14107" w:rsidP="00AD73CF">
      <w:pPr>
        <w:numPr>
          <w:ilvl w:val="0"/>
          <w:numId w:val="18"/>
        </w:numPr>
        <w:spacing w:after="120"/>
        <w:ind w:left="71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One prohibition date for halon use aboard aircraft </w:t>
      </w:r>
      <w:r w:rsidR="006640EC">
        <w:rPr>
          <w:rFonts w:ascii="Times New Roman" w:hAnsi="Times New Roman" w:cs="Times New Roman"/>
          <w:noProof/>
          <w:sz w:val="24"/>
          <w:szCs w:val="24"/>
        </w:rPr>
        <w:t xml:space="preserve">that is infeasible and </w:t>
      </w:r>
      <w:r w:rsidRPr="00A14107">
        <w:rPr>
          <w:rFonts w:ascii="Times New Roman" w:hAnsi="Times New Roman" w:cs="Times New Roman"/>
          <w:noProof/>
          <w:sz w:val="24"/>
          <w:szCs w:val="24"/>
        </w:rPr>
        <w:t>leading to costs.</w:t>
      </w:r>
    </w:p>
    <w:p w14:paraId="1E3CCF94" w14:textId="77777777" w:rsidR="00A14107" w:rsidRPr="00A14107" w:rsidRDefault="00A14107" w:rsidP="00AD73CF">
      <w:pPr>
        <w:numPr>
          <w:ilvl w:val="5"/>
          <w:numId w:val="12"/>
        </w:numPr>
        <w:spacing w:after="120"/>
        <w:ind w:left="215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Status quo of the issue</w:t>
      </w:r>
    </w:p>
    <w:p w14:paraId="1DF414D8" w14:textId="77777777" w:rsidR="00A14107" w:rsidRPr="00A14107" w:rsidRDefault="00A14107" w:rsidP="00243A67">
      <w:pPr>
        <w:numPr>
          <w:ilvl w:val="0"/>
          <w:numId w:val="4"/>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b/>
          <w:noProof/>
          <w:sz w:val="24"/>
          <w:szCs w:val="24"/>
        </w:rPr>
        <w:t>The current</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licensing system creates a high burden for EU-level administration and unnecessary costs for industry</w:t>
      </w:r>
      <w:r w:rsidRPr="00A14107">
        <w:rPr>
          <w:rFonts w:ascii="Times New Roman" w:hAnsi="Times New Roman" w:cs="Times New Roman"/>
          <w:noProof/>
          <w:sz w:val="24"/>
          <w:szCs w:val="24"/>
        </w:rPr>
        <w:t xml:space="preserve">. </w:t>
      </w:r>
      <w:r w:rsidRPr="00A14107">
        <w:rPr>
          <w:rFonts w:ascii="Times New Roman" w:eastAsia="Times New Roman" w:hAnsi="Times New Roman" w:cs="Times New Roman"/>
          <w:noProof/>
          <w:sz w:val="24"/>
          <w:szCs w:val="24"/>
        </w:rPr>
        <w:t xml:space="preserve">Providing effective control of trade with third countries </w:t>
      </w:r>
      <w:r w:rsidR="00DF6D1E">
        <w:rPr>
          <w:rFonts w:ascii="Times New Roman" w:eastAsia="Times New Roman" w:hAnsi="Times New Roman" w:cs="Times New Roman"/>
          <w:noProof/>
          <w:sz w:val="24"/>
          <w:szCs w:val="24"/>
        </w:rPr>
        <w:t xml:space="preserve">at reasonable effort </w:t>
      </w:r>
      <w:r w:rsidRPr="00A14107">
        <w:rPr>
          <w:rFonts w:ascii="Times New Roman" w:eastAsia="Times New Roman" w:hAnsi="Times New Roman" w:cs="Times New Roman"/>
          <w:noProof/>
          <w:sz w:val="24"/>
          <w:szCs w:val="24"/>
        </w:rPr>
        <w:t>is extremely important to prevent illegal activities. To this end, licen</w:t>
      </w:r>
      <w:r w:rsidR="006C5205">
        <w:rPr>
          <w:rFonts w:ascii="Times New Roman" w:eastAsia="Times New Roman" w:hAnsi="Times New Roman" w:cs="Times New Roman"/>
          <w:noProof/>
          <w:sz w:val="24"/>
          <w:szCs w:val="24"/>
        </w:rPr>
        <w:t>s</w:t>
      </w:r>
      <w:r w:rsidRPr="00A14107">
        <w:rPr>
          <w:rFonts w:ascii="Times New Roman" w:eastAsia="Times New Roman" w:hAnsi="Times New Roman" w:cs="Times New Roman"/>
          <w:noProof/>
          <w:sz w:val="24"/>
          <w:szCs w:val="24"/>
        </w:rPr>
        <w:t xml:space="preserve">ing of imports and exports is required by the Montreal Protocol and an EU-wide ODS licensing system is in operation. However, </w:t>
      </w:r>
      <w:r w:rsidRPr="00A14107">
        <w:rPr>
          <w:rFonts w:ascii="Times New Roman" w:hAnsi="Times New Roman" w:cs="Times New Roman"/>
          <w:noProof/>
          <w:sz w:val="24"/>
          <w:szCs w:val="24"/>
        </w:rPr>
        <w:t xml:space="preserve">there are costs linked to </w:t>
      </w:r>
      <w:r w:rsidR="006C5205">
        <w:rPr>
          <w:rFonts w:ascii="Times New Roman" w:hAnsi="Times New Roman" w:cs="Times New Roman"/>
          <w:noProof/>
          <w:sz w:val="24"/>
          <w:szCs w:val="24"/>
        </w:rPr>
        <w:t>the</w:t>
      </w:r>
      <w:r w:rsidRPr="00A14107">
        <w:rPr>
          <w:rFonts w:ascii="Times New Roman" w:hAnsi="Times New Roman" w:cs="Times New Roman"/>
          <w:noProof/>
          <w:sz w:val="24"/>
          <w:szCs w:val="24"/>
        </w:rPr>
        <w:t xml:space="preserve"> manual granting of licenses at shipment level and the need for economic operators to apply for licenses for each shipment in addition to declaring at customs. At the same time, t</w:t>
      </w:r>
      <w:r w:rsidRPr="00A14107">
        <w:rPr>
          <w:rFonts w:ascii="Times New Roman" w:eastAsia="Times New Roman" w:hAnsi="Times New Roman" w:cs="Times New Roman"/>
          <w:noProof/>
          <w:sz w:val="24"/>
          <w:szCs w:val="24"/>
        </w:rPr>
        <w:t xml:space="preserve">he European Commission has set up an IT system (CERTEX) that allows </w:t>
      </w:r>
      <w:r w:rsidR="006C5205" w:rsidRPr="00A14107">
        <w:rPr>
          <w:rFonts w:ascii="Times New Roman" w:eastAsia="Times New Roman" w:hAnsi="Times New Roman" w:cs="Times New Roman"/>
          <w:noProof/>
          <w:sz w:val="24"/>
          <w:szCs w:val="24"/>
        </w:rPr>
        <w:t>t</w:t>
      </w:r>
      <w:r w:rsidR="006C5205">
        <w:rPr>
          <w:rFonts w:ascii="Times New Roman" w:eastAsia="Times New Roman" w:hAnsi="Times New Roman" w:cs="Times New Roman"/>
          <w:noProof/>
          <w:sz w:val="24"/>
          <w:szCs w:val="24"/>
        </w:rPr>
        <w:t>he</w:t>
      </w:r>
      <w:r w:rsidR="006C5205" w:rsidRPr="00A14107">
        <w:rPr>
          <w:rFonts w:ascii="Times New Roman" w:eastAsia="Times New Roman" w:hAnsi="Times New Roman" w:cs="Times New Roman"/>
          <w:noProof/>
          <w:sz w:val="24"/>
          <w:szCs w:val="24"/>
        </w:rPr>
        <w:t xml:space="preserve"> </w:t>
      </w:r>
      <w:r w:rsidRPr="00A14107">
        <w:rPr>
          <w:rFonts w:ascii="Times New Roman" w:eastAsia="Times New Roman" w:hAnsi="Times New Roman" w:cs="Times New Roman"/>
          <w:noProof/>
          <w:sz w:val="24"/>
          <w:szCs w:val="24"/>
        </w:rPr>
        <w:t xml:space="preserve">exchange </w:t>
      </w:r>
      <w:r w:rsidR="006C5205">
        <w:rPr>
          <w:rFonts w:ascii="Times New Roman" w:eastAsia="Times New Roman" w:hAnsi="Times New Roman" w:cs="Times New Roman"/>
          <w:noProof/>
          <w:sz w:val="24"/>
          <w:szCs w:val="24"/>
        </w:rPr>
        <w:t xml:space="preserve">of </w:t>
      </w:r>
      <w:r w:rsidRPr="00A14107">
        <w:rPr>
          <w:rFonts w:ascii="Times New Roman" w:eastAsia="Times New Roman" w:hAnsi="Times New Roman" w:cs="Times New Roman"/>
          <w:noProof/>
          <w:sz w:val="24"/>
          <w:szCs w:val="24"/>
        </w:rPr>
        <w:t xml:space="preserve">data (“certificates”) on relevant ODS shipments between the central EU ODS licensing system and custom offices in the Member States directly. The Commission proposal for a Regulation establishing the </w:t>
      </w:r>
      <w:r w:rsidRPr="00A14107">
        <w:rPr>
          <w:rFonts w:ascii="Times New Roman" w:eastAsia="Times New Roman" w:hAnsi="Times New Roman" w:cs="Times New Roman"/>
          <w:i/>
          <w:iCs/>
          <w:noProof/>
          <w:sz w:val="24"/>
          <w:szCs w:val="24"/>
        </w:rPr>
        <w:t>EU Single Window Environment for Customs</w:t>
      </w:r>
      <w:r w:rsidRPr="00A14107">
        <w:rPr>
          <w:rFonts w:eastAsia="Times New Roman"/>
          <w:i/>
          <w:iCs/>
          <w:noProof/>
          <w:sz w:val="24"/>
          <w:szCs w:val="24"/>
          <w:vertAlign w:val="superscript"/>
        </w:rPr>
        <w:footnoteReference w:id="33"/>
      </w:r>
      <w:r w:rsidRPr="00A14107">
        <w:rPr>
          <w:rFonts w:ascii="Times New Roman" w:eastAsia="Times New Roman" w:hAnsi="Times New Roman" w:cs="Times New Roman"/>
          <w:noProof/>
          <w:sz w:val="24"/>
          <w:szCs w:val="24"/>
        </w:rPr>
        <w:t xml:space="preserve">, currently </w:t>
      </w:r>
      <w:r w:rsidR="006C5205">
        <w:rPr>
          <w:rFonts w:ascii="Times New Roman" w:eastAsia="Times New Roman" w:hAnsi="Times New Roman" w:cs="Times New Roman"/>
          <w:noProof/>
          <w:sz w:val="24"/>
          <w:szCs w:val="24"/>
        </w:rPr>
        <w:t xml:space="preserve">being </w:t>
      </w:r>
      <w:r w:rsidRPr="00A14107">
        <w:rPr>
          <w:rFonts w:ascii="Times New Roman" w:eastAsia="Times New Roman" w:hAnsi="Times New Roman" w:cs="Times New Roman"/>
          <w:noProof/>
          <w:sz w:val="24"/>
          <w:szCs w:val="24"/>
        </w:rPr>
        <w:t>negotiated with legislators,</w:t>
      </w:r>
      <w:r w:rsidRPr="00A14107">
        <w:rPr>
          <w:rFonts w:ascii="Times New Roman" w:eastAsia="Times New Roman" w:hAnsi="Times New Roman" w:cs="Times New Roman"/>
          <w:i/>
          <w:iCs/>
          <w:noProof/>
          <w:sz w:val="24"/>
          <w:szCs w:val="24"/>
        </w:rPr>
        <w:t xml:space="preserve"> </w:t>
      </w:r>
      <w:r w:rsidRPr="00A14107">
        <w:rPr>
          <w:rFonts w:ascii="Times New Roman" w:eastAsia="Times New Roman" w:hAnsi="Times New Roman" w:cs="Times New Roman"/>
          <w:noProof/>
          <w:sz w:val="24"/>
          <w:szCs w:val="24"/>
        </w:rPr>
        <w:t>makes</w:t>
      </w:r>
      <w:r w:rsidRPr="00A14107">
        <w:rPr>
          <w:rFonts w:ascii="Times New Roman" w:eastAsia="Times New Roman" w:hAnsi="Times New Roman" w:cs="Times New Roman"/>
          <w:iCs/>
          <w:noProof/>
          <w:sz w:val="24"/>
          <w:szCs w:val="24"/>
        </w:rPr>
        <w:t xml:space="preserve"> th</w:t>
      </w:r>
      <w:r w:rsidRPr="00A14107">
        <w:rPr>
          <w:rFonts w:ascii="Times New Roman" w:eastAsia="Times New Roman" w:hAnsi="Times New Roman" w:cs="Times New Roman"/>
          <w:noProof/>
          <w:sz w:val="24"/>
          <w:szCs w:val="24"/>
        </w:rPr>
        <w:t>e use of this</w:t>
      </w:r>
      <w:r w:rsidRPr="00A14107">
        <w:rPr>
          <w:rFonts w:ascii="Times New Roman" w:eastAsia="Times New Roman" w:hAnsi="Times New Roman" w:cs="Times New Roman"/>
          <w:iCs/>
          <w:noProof/>
          <w:sz w:val="24"/>
          <w:szCs w:val="24"/>
        </w:rPr>
        <w:t xml:space="preserve"> system obligatory</w:t>
      </w:r>
      <w:r w:rsidRPr="00A14107">
        <w:rPr>
          <w:rFonts w:ascii="Times New Roman" w:eastAsia="Times New Roman" w:hAnsi="Times New Roman" w:cs="Times New Roman"/>
          <w:noProof/>
          <w:sz w:val="24"/>
          <w:szCs w:val="24"/>
        </w:rPr>
        <w:t xml:space="preserve"> in all Member States. Due to the linking of the </w:t>
      </w:r>
      <w:r w:rsidR="006C5205">
        <w:rPr>
          <w:rFonts w:ascii="Times New Roman" w:eastAsia="Times New Roman" w:hAnsi="Times New Roman" w:cs="Times New Roman"/>
          <w:noProof/>
          <w:sz w:val="24"/>
          <w:szCs w:val="24"/>
        </w:rPr>
        <w:t xml:space="preserve">two </w:t>
      </w:r>
      <w:r w:rsidRPr="00A14107">
        <w:rPr>
          <w:rFonts w:ascii="Times New Roman" w:eastAsia="Times New Roman" w:hAnsi="Times New Roman" w:cs="Times New Roman"/>
          <w:noProof/>
          <w:sz w:val="24"/>
          <w:szCs w:val="24"/>
        </w:rPr>
        <w:t xml:space="preserve">IT systems, the information in the customs declaration information </w:t>
      </w:r>
      <w:r w:rsidR="006C5205">
        <w:rPr>
          <w:rFonts w:ascii="Times New Roman" w:eastAsia="Times New Roman" w:hAnsi="Times New Roman" w:cs="Times New Roman"/>
          <w:noProof/>
          <w:sz w:val="24"/>
          <w:szCs w:val="24"/>
        </w:rPr>
        <w:t>will be</w:t>
      </w:r>
      <w:r w:rsidR="006C5205" w:rsidRPr="00A14107">
        <w:rPr>
          <w:rFonts w:ascii="Times New Roman" w:eastAsia="Times New Roman" w:hAnsi="Times New Roman" w:cs="Times New Roman"/>
          <w:noProof/>
          <w:sz w:val="24"/>
          <w:szCs w:val="24"/>
        </w:rPr>
        <w:t xml:space="preserve"> </w:t>
      </w:r>
      <w:r w:rsidRPr="00A14107">
        <w:rPr>
          <w:rFonts w:ascii="Times New Roman" w:eastAsia="Times New Roman" w:hAnsi="Times New Roman" w:cs="Times New Roman"/>
          <w:noProof/>
          <w:sz w:val="24"/>
          <w:szCs w:val="24"/>
        </w:rPr>
        <w:t xml:space="preserve">automatically transferred for </w:t>
      </w:r>
      <w:r w:rsidRPr="00A14107">
        <w:rPr>
          <w:rFonts w:ascii="Times New Roman" w:eastAsia="Times New Roman" w:hAnsi="Times New Roman" w:cs="Times New Roman"/>
          <w:i/>
          <w:iCs/>
          <w:noProof/>
          <w:sz w:val="24"/>
          <w:szCs w:val="24"/>
        </w:rPr>
        <w:t>each shipment</w:t>
      </w:r>
      <w:r w:rsidRPr="00A14107">
        <w:rPr>
          <w:rFonts w:ascii="Times New Roman" w:eastAsia="Times New Roman" w:hAnsi="Times New Roman" w:cs="Times New Roman"/>
          <w:noProof/>
          <w:sz w:val="24"/>
          <w:szCs w:val="24"/>
        </w:rPr>
        <w:t xml:space="preserve"> to the ODS licen</w:t>
      </w:r>
      <w:r w:rsidR="006C5205">
        <w:rPr>
          <w:rFonts w:ascii="Times New Roman" w:eastAsia="Times New Roman" w:hAnsi="Times New Roman" w:cs="Times New Roman"/>
          <w:noProof/>
          <w:sz w:val="24"/>
          <w:szCs w:val="24"/>
        </w:rPr>
        <w:t>s</w:t>
      </w:r>
      <w:r w:rsidRPr="00A14107">
        <w:rPr>
          <w:rFonts w:ascii="Times New Roman" w:eastAsia="Times New Roman" w:hAnsi="Times New Roman" w:cs="Times New Roman"/>
          <w:noProof/>
          <w:sz w:val="24"/>
          <w:szCs w:val="24"/>
        </w:rPr>
        <w:t xml:space="preserve">ing system to be checked and stored, and customs </w:t>
      </w:r>
      <w:r w:rsidR="006C5205">
        <w:rPr>
          <w:rFonts w:ascii="Times New Roman" w:eastAsia="Times New Roman" w:hAnsi="Times New Roman" w:cs="Times New Roman"/>
          <w:noProof/>
          <w:sz w:val="24"/>
          <w:szCs w:val="24"/>
        </w:rPr>
        <w:t>offices will be</w:t>
      </w:r>
      <w:r w:rsidRPr="00A14107">
        <w:rPr>
          <w:rFonts w:ascii="Times New Roman" w:eastAsia="Times New Roman" w:hAnsi="Times New Roman" w:cs="Times New Roman"/>
          <w:noProof/>
          <w:sz w:val="24"/>
          <w:szCs w:val="24"/>
        </w:rPr>
        <w:t xml:space="preserve"> advised on ho</w:t>
      </w:r>
      <w:r w:rsidR="00DF6D1E">
        <w:rPr>
          <w:rFonts w:ascii="Times New Roman" w:eastAsia="Times New Roman" w:hAnsi="Times New Roman" w:cs="Times New Roman"/>
          <w:noProof/>
          <w:sz w:val="24"/>
          <w:szCs w:val="24"/>
        </w:rPr>
        <w:t>w to proceed with the shipment.</w:t>
      </w:r>
    </w:p>
    <w:p w14:paraId="37D05F29" w14:textId="77777777" w:rsidR="00A14107" w:rsidRPr="00A14107" w:rsidRDefault="00A14107" w:rsidP="00243A67">
      <w:pPr>
        <w:numPr>
          <w:ilvl w:val="0"/>
          <w:numId w:val="4"/>
        </w:numPr>
        <w:spacing w:after="0"/>
        <w:ind w:left="284" w:hanging="284"/>
        <w:jc w:val="both"/>
        <w:rPr>
          <w:rFonts w:ascii="Times New Roman" w:hAnsi="Times New Roman" w:cs="Times New Roman"/>
          <w:noProof/>
          <w:sz w:val="24"/>
          <w:szCs w:val="24"/>
        </w:rPr>
      </w:pPr>
      <w:r w:rsidRPr="00A14107">
        <w:rPr>
          <w:rFonts w:ascii="Times New Roman" w:eastAsia="Times New Roman" w:hAnsi="Times New Roman" w:cs="Times New Roman"/>
          <w:b/>
          <w:noProof/>
          <w:sz w:val="24"/>
          <w:szCs w:val="24"/>
        </w:rPr>
        <w:t xml:space="preserve">Stakeholders, in particular </w:t>
      </w:r>
      <w:r w:rsidR="002F3DD8">
        <w:rPr>
          <w:rFonts w:ascii="Times New Roman" w:eastAsia="Times New Roman" w:hAnsi="Times New Roman" w:cs="Times New Roman"/>
          <w:b/>
          <w:noProof/>
          <w:sz w:val="24"/>
          <w:szCs w:val="24"/>
        </w:rPr>
        <w:t xml:space="preserve">in </w:t>
      </w:r>
      <w:r w:rsidR="00A20F8F">
        <w:rPr>
          <w:rFonts w:ascii="Times New Roman" w:eastAsia="Times New Roman" w:hAnsi="Times New Roman" w:cs="Times New Roman"/>
          <w:b/>
          <w:noProof/>
          <w:sz w:val="24"/>
          <w:szCs w:val="24"/>
        </w:rPr>
        <w:t xml:space="preserve">the </w:t>
      </w:r>
      <w:r w:rsidRPr="00A14107">
        <w:rPr>
          <w:rFonts w:ascii="Times New Roman" w:eastAsia="Times New Roman" w:hAnsi="Times New Roman" w:cs="Times New Roman"/>
          <w:b/>
          <w:noProof/>
          <w:sz w:val="24"/>
          <w:szCs w:val="24"/>
        </w:rPr>
        <w:t xml:space="preserve">chemical industry, have recently expressed great concerns about </w:t>
      </w:r>
      <w:r w:rsidR="00A20F8F">
        <w:rPr>
          <w:rFonts w:ascii="Times New Roman" w:eastAsia="Times New Roman" w:hAnsi="Times New Roman" w:cs="Times New Roman"/>
          <w:b/>
          <w:noProof/>
          <w:sz w:val="24"/>
          <w:szCs w:val="24"/>
        </w:rPr>
        <w:t xml:space="preserve">the </w:t>
      </w:r>
      <w:r w:rsidRPr="00A14107">
        <w:rPr>
          <w:rFonts w:ascii="Times New Roman" w:eastAsia="Times New Roman" w:hAnsi="Times New Roman" w:cs="Times New Roman"/>
          <w:b/>
          <w:noProof/>
          <w:sz w:val="24"/>
          <w:szCs w:val="24"/>
        </w:rPr>
        <w:t>growing importance of illegal trade</w:t>
      </w:r>
      <w:r w:rsidRPr="00A14107">
        <w:rPr>
          <w:rFonts w:eastAsia="Times New Roman"/>
          <w:b/>
          <w:noProof/>
          <w:sz w:val="24"/>
          <w:szCs w:val="24"/>
          <w:vertAlign w:val="superscript"/>
        </w:rPr>
        <w:footnoteReference w:id="34"/>
      </w:r>
      <w:r w:rsidRPr="00A14107">
        <w:rPr>
          <w:rFonts w:ascii="Times New Roman" w:eastAsia="Times New Roman" w:hAnsi="Times New Roman" w:cs="Times New Roman"/>
          <w:b/>
          <w:noProof/>
          <w:sz w:val="24"/>
          <w:szCs w:val="24"/>
        </w:rPr>
        <w:t>.</w:t>
      </w:r>
      <w:r w:rsidRPr="00A14107">
        <w:rPr>
          <w:rFonts w:ascii="Times New Roman" w:eastAsia="Times New Roman" w:hAnsi="Times New Roman" w:cs="Times New Roman"/>
          <w:noProof/>
          <w:sz w:val="24"/>
          <w:szCs w:val="24"/>
        </w:rPr>
        <w:t xml:space="preserve"> It seems that rogue traders are using e.g. special custom</w:t>
      </w:r>
      <w:r w:rsidR="00A20F8F">
        <w:rPr>
          <w:rFonts w:ascii="Times New Roman" w:eastAsia="Times New Roman" w:hAnsi="Times New Roman" w:cs="Times New Roman"/>
          <w:noProof/>
          <w:sz w:val="24"/>
          <w:szCs w:val="24"/>
        </w:rPr>
        <w:t>s</w:t>
      </w:r>
      <w:r w:rsidRPr="00A14107">
        <w:rPr>
          <w:rFonts w:ascii="Times New Roman" w:eastAsia="Times New Roman" w:hAnsi="Times New Roman" w:cs="Times New Roman"/>
          <w:noProof/>
          <w:sz w:val="24"/>
          <w:szCs w:val="24"/>
        </w:rPr>
        <w:t xml:space="preserve"> procedures (temporary storage, transit etc.) to illegally place ODS on the market. The current ODS rules, notably the licensing system in combination with the legal base for custom</w:t>
      </w:r>
      <w:r w:rsidR="00A20F8F">
        <w:rPr>
          <w:rFonts w:ascii="Times New Roman" w:eastAsia="Times New Roman" w:hAnsi="Times New Roman" w:cs="Times New Roman"/>
          <w:noProof/>
          <w:sz w:val="24"/>
          <w:szCs w:val="24"/>
        </w:rPr>
        <w:t>s</w:t>
      </w:r>
      <w:r w:rsidRPr="00A14107">
        <w:rPr>
          <w:rFonts w:ascii="Times New Roman" w:eastAsia="Times New Roman" w:hAnsi="Times New Roman" w:cs="Times New Roman"/>
          <w:noProof/>
          <w:sz w:val="24"/>
          <w:szCs w:val="24"/>
        </w:rPr>
        <w:t xml:space="preserve"> controls, does not appear adequate </w:t>
      </w:r>
      <w:r w:rsidR="00A20F8F">
        <w:rPr>
          <w:rFonts w:ascii="Times New Roman" w:eastAsia="Times New Roman" w:hAnsi="Times New Roman" w:cs="Times New Roman"/>
          <w:noProof/>
          <w:sz w:val="24"/>
          <w:szCs w:val="24"/>
        </w:rPr>
        <w:t>in</w:t>
      </w:r>
      <w:r w:rsidRPr="00A14107">
        <w:rPr>
          <w:rFonts w:ascii="Times New Roman" w:eastAsia="Times New Roman" w:hAnsi="Times New Roman" w:cs="Times New Roman"/>
          <w:noProof/>
          <w:sz w:val="24"/>
          <w:szCs w:val="24"/>
        </w:rPr>
        <w:t xml:space="preserve"> prevent</w:t>
      </w:r>
      <w:r w:rsidR="00A20F8F">
        <w:rPr>
          <w:rFonts w:ascii="Times New Roman" w:eastAsia="Times New Roman" w:hAnsi="Times New Roman" w:cs="Times New Roman"/>
          <w:noProof/>
          <w:sz w:val="24"/>
          <w:szCs w:val="24"/>
        </w:rPr>
        <w:t>ing</w:t>
      </w:r>
      <w:r w:rsidRPr="00A14107">
        <w:rPr>
          <w:rFonts w:ascii="Times New Roman" w:eastAsia="Times New Roman" w:hAnsi="Times New Roman" w:cs="Times New Roman"/>
          <w:noProof/>
          <w:sz w:val="24"/>
          <w:szCs w:val="24"/>
        </w:rPr>
        <w:t xml:space="preserve"> such activities. </w:t>
      </w:r>
    </w:p>
    <w:p w14:paraId="4FDF86AE" w14:textId="77777777" w:rsidR="00A14107" w:rsidRPr="00A14107" w:rsidRDefault="00A14107" w:rsidP="00243A67">
      <w:pPr>
        <w:numPr>
          <w:ilvl w:val="0"/>
          <w:numId w:val="4"/>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b/>
          <w:noProof/>
          <w:sz w:val="24"/>
          <w:szCs w:val="24"/>
        </w:rPr>
        <w:t>The</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 xml:space="preserve">registration system for laboratories using very small quantities of ODS leads to excessive costs compared to the benefits. </w:t>
      </w:r>
      <w:r w:rsidRPr="00A14107">
        <w:rPr>
          <w:rFonts w:ascii="Times New Roman" w:hAnsi="Times New Roman" w:cs="Times New Roman"/>
          <w:noProof/>
          <w:sz w:val="24"/>
          <w:szCs w:val="24"/>
        </w:rPr>
        <w:t xml:space="preserve">Registration of all laboratories using ODS is intended to prevent that ODS imported or produced for exempted laboratory and analytical uses are not used for processes where ODS is not needed </w:t>
      </w:r>
      <w:r w:rsidR="002F3DD8">
        <w:rPr>
          <w:rFonts w:ascii="Times New Roman" w:hAnsi="Times New Roman" w:cs="Times New Roman"/>
          <w:noProof/>
          <w:sz w:val="24"/>
          <w:szCs w:val="24"/>
        </w:rPr>
        <w:t>or</w:t>
      </w:r>
      <w:r w:rsidR="002F3DD8"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allowed. However, most users consume ODS only in miniscule amounts, e.g. for testing (often below 0.1 kg per year), so the environmental damage avoided is minimal. Many are SMEs that face entry costs in understanding the legislation, becoming acquainted with the registration system and providing the right information. Moreover, laboratories may be unaware about the need to register. This puts into question the cost-efficiency and effectiveness of the requirement. That </w:t>
      </w:r>
      <w:r w:rsidR="0091418C">
        <w:rPr>
          <w:rFonts w:ascii="Times New Roman" w:hAnsi="Times New Roman" w:cs="Times New Roman"/>
          <w:noProof/>
          <w:sz w:val="24"/>
          <w:szCs w:val="24"/>
        </w:rPr>
        <w:t xml:space="preserve">being </w:t>
      </w:r>
      <w:r w:rsidRPr="00A14107">
        <w:rPr>
          <w:rFonts w:ascii="Times New Roman" w:hAnsi="Times New Roman" w:cs="Times New Roman"/>
          <w:noProof/>
          <w:sz w:val="24"/>
          <w:szCs w:val="24"/>
        </w:rPr>
        <w:t xml:space="preserve">said, the collected information from the registration system has, in the past, been useful in facilitating the work of the technical bodies of the Protocol to better understand these uses. </w:t>
      </w:r>
    </w:p>
    <w:p w14:paraId="4D3E926F" w14:textId="77777777" w:rsidR="00A14107" w:rsidRPr="00A14107" w:rsidRDefault="00A14107" w:rsidP="00243A67">
      <w:pPr>
        <w:numPr>
          <w:ilvl w:val="0"/>
          <w:numId w:val="4"/>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b/>
          <w:noProof/>
          <w:sz w:val="24"/>
          <w:szCs w:val="24"/>
        </w:rPr>
        <w:t>Costs of the</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annual quota systems</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for import and production of exempted uses are disproportionate compared to the benefits.</w:t>
      </w:r>
      <w:r w:rsidRPr="00A14107">
        <w:rPr>
          <w:rFonts w:ascii="Times New Roman" w:hAnsi="Times New Roman" w:cs="Times New Roman"/>
          <w:noProof/>
          <w:sz w:val="24"/>
          <w:szCs w:val="24"/>
        </w:rPr>
        <w:t xml:space="preserve"> Based on the results of the evaluation, import and production quotas did not result in any no</w:t>
      </w:r>
      <w:r w:rsidR="006640EC">
        <w:rPr>
          <w:rFonts w:ascii="Times New Roman" w:hAnsi="Times New Roman" w:cs="Times New Roman"/>
          <w:noProof/>
          <w:sz w:val="24"/>
          <w:szCs w:val="24"/>
        </w:rPr>
        <w:t>ticeable environmental effects, a</w:t>
      </w:r>
      <w:r w:rsidR="0091418C">
        <w:rPr>
          <w:rFonts w:ascii="Times New Roman" w:hAnsi="Times New Roman" w:cs="Times New Roman"/>
          <w:noProof/>
          <w:sz w:val="24"/>
          <w:szCs w:val="24"/>
        </w:rPr>
        <w:t>lthough they proved to be</w:t>
      </w:r>
      <w:r w:rsidRPr="00A14107">
        <w:rPr>
          <w:rFonts w:ascii="Times New Roman" w:hAnsi="Times New Roman" w:cs="Times New Roman"/>
          <w:noProof/>
          <w:sz w:val="24"/>
          <w:szCs w:val="24"/>
        </w:rPr>
        <w:t xml:space="preserve"> effective </w:t>
      </w:r>
      <w:r w:rsidR="003023C5">
        <w:rPr>
          <w:rFonts w:ascii="Times New Roman" w:hAnsi="Times New Roman" w:cs="Times New Roman"/>
          <w:noProof/>
          <w:sz w:val="24"/>
          <w:szCs w:val="24"/>
        </w:rPr>
        <w:t>at</w:t>
      </w:r>
      <w:r w:rsidRPr="00A14107">
        <w:rPr>
          <w:rFonts w:ascii="Times New Roman" w:hAnsi="Times New Roman" w:cs="Times New Roman"/>
          <w:noProof/>
          <w:sz w:val="24"/>
          <w:szCs w:val="24"/>
        </w:rPr>
        <w:t xml:space="preserve"> reduc</w:t>
      </w:r>
      <w:r w:rsidR="0091418C">
        <w:rPr>
          <w:rFonts w:ascii="Times New Roman" w:hAnsi="Times New Roman" w:cs="Times New Roman"/>
          <w:noProof/>
          <w:sz w:val="24"/>
          <w:szCs w:val="24"/>
        </w:rPr>
        <w:t>ing</w:t>
      </w:r>
      <w:r w:rsidRPr="00A14107">
        <w:rPr>
          <w:rFonts w:ascii="Times New Roman" w:hAnsi="Times New Roman" w:cs="Times New Roman"/>
          <w:noProof/>
          <w:sz w:val="24"/>
          <w:szCs w:val="24"/>
        </w:rPr>
        <w:t xml:space="preserve"> the use of the relevant </w:t>
      </w:r>
      <w:r w:rsidR="006640EC">
        <w:rPr>
          <w:rFonts w:ascii="Times New Roman" w:hAnsi="Times New Roman" w:cs="Times New Roman"/>
          <w:noProof/>
          <w:sz w:val="24"/>
          <w:szCs w:val="24"/>
        </w:rPr>
        <w:t>substance groups in the past</w:t>
      </w:r>
      <w:r w:rsidRPr="00A14107">
        <w:rPr>
          <w:rFonts w:ascii="Times New Roman" w:hAnsi="Times New Roman" w:cs="Times New Roman"/>
          <w:noProof/>
          <w:sz w:val="24"/>
          <w:szCs w:val="24"/>
        </w:rPr>
        <w:t xml:space="preserve"> when the EU was still reducing the general consumption and production of ODS (Annex I) under the Protocol’s schedules</w:t>
      </w:r>
      <w:r w:rsidR="006640EC">
        <w:rPr>
          <w:rFonts w:ascii="Times New Roman" w:hAnsi="Times New Roman" w:cs="Times New Roman"/>
          <w:noProof/>
          <w:sz w:val="24"/>
          <w:szCs w:val="24"/>
        </w:rPr>
        <w:t>. A</w:t>
      </w:r>
      <w:r w:rsidRPr="00A14107">
        <w:rPr>
          <w:rFonts w:ascii="Times New Roman" w:hAnsi="Times New Roman" w:cs="Times New Roman"/>
          <w:noProof/>
          <w:sz w:val="24"/>
          <w:szCs w:val="24"/>
        </w:rPr>
        <w:t xml:space="preserve">s this has </w:t>
      </w:r>
      <w:r w:rsidR="001277DA">
        <w:rPr>
          <w:rFonts w:ascii="Times New Roman" w:hAnsi="Times New Roman" w:cs="Times New Roman"/>
          <w:noProof/>
          <w:sz w:val="24"/>
          <w:szCs w:val="24"/>
        </w:rPr>
        <w:t xml:space="preserve">now </w:t>
      </w:r>
      <w:r w:rsidRPr="00A14107">
        <w:rPr>
          <w:rFonts w:ascii="Times New Roman" w:hAnsi="Times New Roman" w:cs="Times New Roman"/>
          <w:noProof/>
          <w:sz w:val="24"/>
          <w:szCs w:val="24"/>
        </w:rPr>
        <w:t>been achieved, the remaining exempted uses are allowed only to the extent that they are actually needed</w:t>
      </w:r>
      <w:r w:rsidR="0091418C">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r w:rsidR="0091418C">
        <w:rPr>
          <w:rFonts w:ascii="Times New Roman" w:hAnsi="Times New Roman" w:cs="Times New Roman"/>
          <w:noProof/>
          <w:sz w:val="24"/>
          <w:szCs w:val="24"/>
        </w:rPr>
        <w:t>A</w:t>
      </w:r>
      <w:r w:rsidRPr="00A14107">
        <w:rPr>
          <w:rFonts w:ascii="Times New Roman" w:hAnsi="Times New Roman" w:cs="Times New Roman"/>
          <w:noProof/>
          <w:sz w:val="24"/>
          <w:szCs w:val="24"/>
        </w:rPr>
        <w:t xml:space="preserve"> quota system </w:t>
      </w:r>
      <w:r w:rsidR="0091418C" w:rsidRPr="00A14107">
        <w:rPr>
          <w:rFonts w:ascii="Times New Roman" w:hAnsi="Times New Roman" w:cs="Times New Roman"/>
          <w:noProof/>
          <w:sz w:val="24"/>
          <w:szCs w:val="24"/>
        </w:rPr>
        <w:t>th</w:t>
      </w:r>
      <w:r w:rsidR="0091418C">
        <w:rPr>
          <w:rFonts w:ascii="Times New Roman" w:hAnsi="Times New Roman" w:cs="Times New Roman"/>
          <w:noProof/>
          <w:sz w:val="24"/>
          <w:szCs w:val="24"/>
        </w:rPr>
        <w:t>erefore</w:t>
      </w:r>
      <w:r w:rsidR="0091418C"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appears</w:t>
      </w:r>
      <w:r w:rsidR="0091418C">
        <w:rPr>
          <w:rFonts w:ascii="Times New Roman" w:hAnsi="Times New Roman" w:cs="Times New Roman"/>
          <w:noProof/>
          <w:sz w:val="24"/>
          <w:szCs w:val="24"/>
        </w:rPr>
        <w:t xml:space="preserve"> to be</w:t>
      </w:r>
      <w:r w:rsidRPr="00A14107">
        <w:rPr>
          <w:rFonts w:ascii="Times New Roman" w:hAnsi="Times New Roman" w:cs="Times New Roman"/>
          <w:noProof/>
          <w:sz w:val="24"/>
          <w:szCs w:val="24"/>
        </w:rPr>
        <w:t xml:space="preserve"> redundant. </w:t>
      </w:r>
    </w:p>
    <w:p w14:paraId="74848244" w14:textId="77777777" w:rsidR="00A14107" w:rsidRPr="00A14107" w:rsidRDefault="00A14107" w:rsidP="005522F3">
      <w:pPr>
        <w:numPr>
          <w:ilvl w:val="0"/>
          <w:numId w:val="4"/>
        </w:numPr>
        <w:spacing w:after="120"/>
        <w:ind w:left="284" w:hanging="284"/>
        <w:jc w:val="both"/>
        <w:rPr>
          <w:rFonts w:ascii="Times New Roman" w:hAnsi="Times New Roman" w:cs="Times New Roman"/>
          <w:noProof/>
          <w:sz w:val="24"/>
          <w:szCs w:val="24"/>
        </w:rPr>
      </w:pPr>
      <w:r w:rsidRPr="00A14107">
        <w:rPr>
          <w:rFonts w:ascii="Times New Roman" w:hAnsi="Times New Roman" w:cs="Times New Roman"/>
          <w:b/>
          <w:bCs/>
          <w:noProof/>
          <w:sz w:val="24"/>
          <w:szCs w:val="24"/>
        </w:rPr>
        <w:t>One halon prohibition date cannot be met and may therefore create administrative costs for airline companies and authorities linked to the need for individual derogation requests</w:t>
      </w:r>
      <w:r w:rsidRPr="00A14107">
        <w:rPr>
          <w:rFonts w:ascii="Times New Roman" w:hAnsi="Times New Roman" w:cs="Times New Roman"/>
          <w:noProof/>
          <w:sz w:val="24"/>
          <w:szCs w:val="24"/>
        </w:rPr>
        <w:t xml:space="preserve">. The aircraft industry is finding it challenging to find suitable alternatives for the protection of unoccupied cargo compartments on airplanes. </w:t>
      </w:r>
    </w:p>
    <w:p w14:paraId="1A8651A8" w14:textId="77777777" w:rsidR="00A14107" w:rsidRPr="00A14107" w:rsidRDefault="00A14107" w:rsidP="00AD73CF">
      <w:pPr>
        <w:keepNext/>
        <w:numPr>
          <w:ilvl w:val="5"/>
          <w:numId w:val="12"/>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Drivers</w:t>
      </w:r>
    </w:p>
    <w:p w14:paraId="2DF763B0" w14:textId="77777777" w:rsidR="00A14107" w:rsidRPr="00A14107" w:rsidRDefault="00A14107" w:rsidP="00243A67">
      <w:pPr>
        <w:numPr>
          <w:ilvl w:val="0"/>
          <w:numId w:val="4"/>
        </w:numPr>
        <w:spacing w:after="0"/>
        <w:ind w:left="284" w:hanging="284"/>
        <w:jc w:val="both"/>
        <w:rPr>
          <w:rFonts w:ascii="Times New Roman" w:hAnsi="Times New Roman" w:cs="Times New Roman"/>
          <w:noProof/>
          <w:sz w:val="24"/>
          <w:szCs w:val="24"/>
        </w:rPr>
      </w:pPr>
      <w:r w:rsidRPr="00A14107">
        <w:rPr>
          <w:rFonts w:ascii="Times New Roman" w:eastAsia="Times New Roman" w:hAnsi="Times New Roman" w:cs="Times New Roman"/>
          <w:b/>
          <w:noProof/>
          <w:sz w:val="24"/>
          <w:szCs w:val="24"/>
        </w:rPr>
        <w:t xml:space="preserve">The Regulation requires </w:t>
      </w:r>
      <w:r w:rsidR="002F3DD8">
        <w:rPr>
          <w:rFonts w:ascii="Times New Roman" w:eastAsia="Times New Roman" w:hAnsi="Times New Roman" w:cs="Times New Roman"/>
          <w:b/>
          <w:noProof/>
          <w:sz w:val="24"/>
          <w:szCs w:val="24"/>
        </w:rPr>
        <w:t>the</w:t>
      </w:r>
      <w:r w:rsidRPr="00A14107">
        <w:rPr>
          <w:rFonts w:ascii="Times New Roman" w:eastAsia="Times New Roman" w:hAnsi="Times New Roman" w:cs="Times New Roman"/>
          <w:b/>
          <w:noProof/>
          <w:sz w:val="24"/>
          <w:szCs w:val="24"/>
        </w:rPr>
        <w:t xml:space="preserve"> presentation</w:t>
      </w:r>
      <w:r w:rsidR="001277DA">
        <w:rPr>
          <w:rFonts w:ascii="Times New Roman" w:eastAsia="Times New Roman" w:hAnsi="Times New Roman" w:cs="Times New Roman"/>
          <w:b/>
          <w:noProof/>
          <w:sz w:val="24"/>
          <w:szCs w:val="24"/>
        </w:rPr>
        <w:t xml:space="preserve"> to customs</w:t>
      </w:r>
      <w:r w:rsidRPr="00A14107">
        <w:rPr>
          <w:rFonts w:ascii="Times New Roman" w:eastAsia="Times New Roman" w:hAnsi="Times New Roman" w:cs="Times New Roman"/>
          <w:b/>
          <w:noProof/>
          <w:sz w:val="24"/>
          <w:szCs w:val="24"/>
        </w:rPr>
        <w:t xml:space="preserve"> of an import license for each import</w:t>
      </w:r>
      <w:r w:rsidR="00DF6D1E">
        <w:rPr>
          <w:rFonts w:ascii="Times New Roman" w:eastAsia="Times New Roman" w:hAnsi="Times New Roman" w:cs="Times New Roman"/>
          <w:b/>
          <w:noProof/>
          <w:sz w:val="24"/>
          <w:szCs w:val="24"/>
        </w:rPr>
        <w:t>ed</w:t>
      </w:r>
      <w:r w:rsidRPr="00A14107">
        <w:rPr>
          <w:rFonts w:ascii="Times New Roman" w:eastAsia="Times New Roman" w:hAnsi="Times New Roman" w:cs="Times New Roman"/>
          <w:b/>
          <w:noProof/>
          <w:sz w:val="24"/>
          <w:szCs w:val="24"/>
        </w:rPr>
        <w:t xml:space="preserve"> and export</w:t>
      </w:r>
      <w:r w:rsidR="00DF6D1E">
        <w:rPr>
          <w:rFonts w:ascii="Times New Roman" w:eastAsia="Times New Roman" w:hAnsi="Times New Roman" w:cs="Times New Roman"/>
          <w:b/>
          <w:noProof/>
          <w:sz w:val="24"/>
          <w:szCs w:val="24"/>
        </w:rPr>
        <w:t>ed shipment</w:t>
      </w:r>
      <w:r w:rsidRPr="00A14107">
        <w:rPr>
          <w:rFonts w:ascii="Times New Roman" w:eastAsia="Times New Roman" w:hAnsi="Times New Roman" w:cs="Times New Roman"/>
          <w:b/>
          <w:noProof/>
          <w:sz w:val="24"/>
          <w:szCs w:val="24"/>
        </w:rPr>
        <w:t>.</w:t>
      </w:r>
      <w:r w:rsidRPr="00A14107">
        <w:rPr>
          <w:rFonts w:ascii="Times New Roman" w:eastAsia="Times New Roman" w:hAnsi="Times New Roman" w:cs="Times New Roman"/>
          <w:noProof/>
          <w:sz w:val="24"/>
          <w:szCs w:val="24"/>
        </w:rPr>
        <w:t xml:space="preserve"> Given the linking of custom</w:t>
      </w:r>
      <w:r w:rsidR="00BA1EBD">
        <w:rPr>
          <w:rFonts w:ascii="Times New Roman" w:eastAsia="Times New Roman" w:hAnsi="Times New Roman" w:cs="Times New Roman"/>
          <w:noProof/>
          <w:sz w:val="24"/>
          <w:szCs w:val="24"/>
        </w:rPr>
        <w:t>s</w:t>
      </w:r>
      <w:r w:rsidRPr="00A14107">
        <w:rPr>
          <w:rFonts w:ascii="Times New Roman" w:eastAsia="Times New Roman" w:hAnsi="Times New Roman" w:cs="Times New Roman"/>
          <w:noProof/>
          <w:sz w:val="24"/>
          <w:szCs w:val="24"/>
        </w:rPr>
        <w:t xml:space="preserve"> offices to the EU central database</w:t>
      </w:r>
      <w:r w:rsidR="00DF6D1E">
        <w:rPr>
          <w:rFonts w:ascii="Times New Roman" w:eastAsia="Times New Roman" w:hAnsi="Times New Roman" w:cs="Times New Roman"/>
          <w:noProof/>
          <w:sz w:val="24"/>
          <w:szCs w:val="24"/>
        </w:rPr>
        <w:t>,</w:t>
      </w:r>
      <w:r w:rsidRPr="00A14107">
        <w:rPr>
          <w:rFonts w:ascii="Times New Roman" w:eastAsia="Times New Roman" w:hAnsi="Times New Roman" w:cs="Times New Roman"/>
          <w:noProof/>
          <w:sz w:val="24"/>
          <w:szCs w:val="24"/>
        </w:rPr>
        <w:t xml:space="preserve"> </w:t>
      </w:r>
      <w:r w:rsidR="002F3DD8">
        <w:rPr>
          <w:rFonts w:ascii="Times New Roman" w:eastAsia="Times New Roman" w:hAnsi="Times New Roman" w:cs="Times New Roman"/>
          <w:noProof/>
          <w:sz w:val="24"/>
          <w:szCs w:val="24"/>
        </w:rPr>
        <w:t xml:space="preserve">and </w:t>
      </w:r>
      <w:r w:rsidR="002F3DD8" w:rsidRPr="00A14107">
        <w:rPr>
          <w:rFonts w:ascii="Times New Roman" w:eastAsia="Times New Roman" w:hAnsi="Times New Roman" w:cs="Times New Roman"/>
          <w:noProof/>
          <w:sz w:val="24"/>
          <w:szCs w:val="24"/>
        </w:rPr>
        <w:t>once this system becomes mandatory in all Member States</w:t>
      </w:r>
      <w:r w:rsidR="002F3DD8">
        <w:rPr>
          <w:rFonts w:ascii="Times New Roman" w:eastAsia="Times New Roman" w:hAnsi="Times New Roman" w:cs="Times New Roman"/>
          <w:noProof/>
          <w:sz w:val="24"/>
          <w:szCs w:val="24"/>
        </w:rPr>
        <w:t xml:space="preserve">, </w:t>
      </w:r>
      <w:r w:rsidR="00DF6D1E">
        <w:rPr>
          <w:rFonts w:ascii="Times New Roman" w:eastAsia="Times New Roman" w:hAnsi="Times New Roman" w:cs="Times New Roman"/>
          <w:noProof/>
          <w:sz w:val="24"/>
          <w:szCs w:val="24"/>
        </w:rPr>
        <w:t xml:space="preserve">the additional step of a prior application process on a shipment basis </w:t>
      </w:r>
      <w:r w:rsidRPr="00A14107">
        <w:rPr>
          <w:rFonts w:ascii="Times New Roman" w:eastAsia="Times New Roman" w:hAnsi="Times New Roman" w:cs="Times New Roman"/>
          <w:noProof/>
          <w:sz w:val="24"/>
          <w:szCs w:val="24"/>
        </w:rPr>
        <w:t xml:space="preserve">will </w:t>
      </w:r>
      <w:r w:rsidR="002F3DD8">
        <w:rPr>
          <w:rFonts w:ascii="Times New Roman" w:eastAsia="Times New Roman" w:hAnsi="Times New Roman" w:cs="Times New Roman"/>
          <w:noProof/>
          <w:sz w:val="24"/>
          <w:szCs w:val="24"/>
        </w:rPr>
        <w:t>no longer be necessary</w:t>
      </w:r>
      <w:r w:rsidR="00DF6D1E">
        <w:rPr>
          <w:rFonts w:ascii="Times New Roman" w:eastAsia="Times New Roman" w:hAnsi="Times New Roman" w:cs="Times New Roman"/>
          <w:noProof/>
          <w:sz w:val="24"/>
          <w:szCs w:val="24"/>
        </w:rPr>
        <w:t>, as every shipment can be checked automatically as regards the information contained in the central database and determine its legality on that basis</w:t>
      </w:r>
      <w:r w:rsidR="001277DA">
        <w:rPr>
          <w:rFonts w:ascii="Times New Roman" w:eastAsia="Times New Roman" w:hAnsi="Times New Roman" w:cs="Times New Roman"/>
          <w:noProof/>
          <w:sz w:val="24"/>
          <w:szCs w:val="24"/>
        </w:rPr>
        <w:t>.</w:t>
      </w:r>
      <w:r w:rsidRPr="00A14107">
        <w:rPr>
          <w:rFonts w:ascii="Times New Roman" w:eastAsia="Times New Roman" w:hAnsi="Times New Roman" w:cs="Times New Roman"/>
          <w:noProof/>
          <w:sz w:val="24"/>
          <w:szCs w:val="24"/>
        </w:rPr>
        <w:t xml:space="preserve"> </w:t>
      </w:r>
      <w:r w:rsidR="00555A69">
        <w:rPr>
          <w:rFonts w:ascii="Times New Roman" w:eastAsia="Times New Roman" w:hAnsi="Times New Roman" w:cs="Times New Roman"/>
          <w:noProof/>
          <w:sz w:val="24"/>
          <w:szCs w:val="24"/>
        </w:rPr>
        <w:t>M</w:t>
      </w:r>
      <w:r w:rsidRPr="00A14107">
        <w:rPr>
          <w:rFonts w:ascii="Times New Roman" w:eastAsia="Times New Roman" w:hAnsi="Times New Roman" w:cs="Times New Roman"/>
          <w:noProof/>
          <w:sz w:val="24"/>
          <w:szCs w:val="24"/>
        </w:rPr>
        <w:t xml:space="preserve">aintaining the requirement </w:t>
      </w:r>
      <w:r w:rsidR="00555A69" w:rsidRPr="00A14107">
        <w:rPr>
          <w:rFonts w:ascii="Times New Roman" w:eastAsia="Times New Roman" w:hAnsi="Times New Roman" w:cs="Times New Roman"/>
          <w:noProof/>
          <w:sz w:val="24"/>
          <w:szCs w:val="24"/>
        </w:rPr>
        <w:t>w</w:t>
      </w:r>
      <w:r w:rsidR="00555A69">
        <w:rPr>
          <w:rFonts w:ascii="Times New Roman" w:eastAsia="Times New Roman" w:hAnsi="Times New Roman" w:cs="Times New Roman"/>
          <w:noProof/>
          <w:sz w:val="24"/>
          <w:szCs w:val="24"/>
        </w:rPr>
        <w:t xml:space="preserve">ould therefore </w:t>
      </w:r>
      <w:r w:rsidRPr="00A14107">
        <w:rPr>
          <w:rFonts w:ascii="Times New Roman" w:eastAsia="Times New Roman" w:hAnsi="Times New Roman" w:cs="Times New Roman"/>
          <w:noProof/>
          <w:sz w:val="24"/>
          <w:szCs w:val="24"/>
        </w:rPr>
        <w:t xml:space="preserve">be creating costs </w:t>
      </w:r>
      <w:r w:rsidR="00555A69">
        <w:rPr>
          <w:rFonts w:ascii="Times New Roman" w:eastAsia="Times New Roman" w:hAnsi="Times New Roman" w:cs="Times New Roman"/>
          <w:noProof/>
          <w:sz w:val="24"/>
          <w:szCs w:val="24"/>
        </w:rPr>
        <w:t>with</w:t>
      </w:r>
      <w:r w:rsidR="00555A69" w:rsidRPr="00A14107">
        <w:rPr>
          <w:rFonts w:ascii="Times New Roman" w:eastAsia="Times New Roman" w:hAnsi="Times New Roman" w:cs="Times New Roman"/>
          <w:noProof/>
          <w:sz w:val="24"/>
          <w:szCs w:val="24"/>
        </w:rPr>
        <w:t xml:space="preserve"> </w:t>
      </w:r>
      <w:r w:rsidRPr="00A14107">
        <w:rPr>
          <w:rFonts w:ascii="Times New Roman" w:eastAsia="Times New Roman" w:hAnsi="Times New Roman" w:cs="Times New Roman"/>
          <w:noProof/>
          <w:sz w:val="24"/>
          <w:szCs w:val="24"/>
        </w:rPr>
        <w:t xml:space="preserve">no </w:t>
      </w:r>
      <w:r w:rsidR="00555A69">
        <w:rPr>
          <w:rFonts w:ascii="Times New Roman" w:eastAsia="Times New Roman" w:hAnsi="Times New Roman" w:cs="Times New Roman"/>
          <w:noProof/>
          <w:sz w:val="24"/>
          <w:szCs w:val="24"/>
        </w:rPr>
        <w:t xml:space="preserve">corresponding </w:t>
      </w:r>
      <w:r w:rsidRPr="00A14107">
        <w:rPr>
          <w:rFonts w:ascii="Times New Roman" w:eastAsia="Times New Roman" w:hAnsi="Times New Roman" w:cs="Times New Roman"/>
          <w:noProof/>
          <w:sz w:val="24"/>
          <w:szCs w:val="24"/>
        </w:rPr>
        <w:t>benefit. Instead, a one-time registration (with periodic renewal) of the trader stating the specific conditions under which the trader may import or export, would be fully sufficient (a “trader licence”)</w:t>
      </w:r>
      <w:r w:rsidR="00DF6D1E">
        <w:rPr>
          <w:rFonts w:ascii="Times New Roman" w:eastAsia="Times New Roman" w:hAnsi="Times New Roman" w:cs="Times New Roman"/>
          <w:noProof/>
          <w:sz w:val="24"/>
          <w:szCs w:val="24"/>
        </w:rPr>
        <w:t xml:space="preserve"> and will be checked and monitored through the CERTEX/Single Window system</w:t>
      </w:r>
      <w:r w:rsidRPr="00A14107">
        <w:rPr>
          <w:rFonts w:ascii="Times New Roman" w:eastAsia="Times New Roman" w:hAnsi="Times New Roman" w:cs="Times New Roman"/>
          <w:noProof/>
          <w:sz w:val="24"/>
          <w:szCs w:val="24"/>
        </w:rPr>
        <w:t xml:space="preserve">. </w:t>
      </w:r>
    </w:p>
    <w:p w14:paraId="06B81F9F" w14:textId="77777777" w:rsidR="00A14107" w:rsidRPr="006640EC" w:rsidRDefault="00A14107" w:rsidP="00243A67">
      <w:pPr>
        <w:numPr>
          <w:ilvl w:val="0"/>
          <w:numId w:val="4"/>
        </w:numPr>
        <w:spacing w:after="0"/>
        <w:ind w:left="284" w:hanging="284"/>
        <w:jc w:val="both"/>
        <w:rPr>
          <w:rFonts w:ascii="Times New Roman" w:hAnsi="Times New Roman" w:cs="Times New Roman"/>
          <w:noProof/>
          <w:sz w:val="24"/>
          <w:szCs w:val="24"/>
        </w:rPr>
      </w:pPr>
      <w:r w:rsidRPr="006640EC">
        <w:rPr>
          <w:rFonts w:ascii="Times New Roman" w:hAnsi="Times New Roman" w:cs="Times New Roman"/>
          <w:noProof/>
          <w:sz w:val="24"/>
          <w:szCs w:val="24"/>
        </w:rPr>
        <w:t xml:space="preserve">The flexibility offered to traders by </w:t>
      </w:r>
      <w:r w:rsidRPr="006640EC">
        <w:rPr>
          <w:rFonts w:ascii="Times New Roman" w:hAnsi="Times New Roman" w:cs="Times New Roman"/>
          <w:b/>
          <w:noProof/>
          <w:sz w:val="24"/>
          <w:szCs w:val="24"/>
        </w:rPr>
        <w:t>some custom</w:t>
      </w:r>
      <w:r w:rsidR="00555A69" w:rsidRPr="006640EC">
        <w:rPr>
          <w:rFonts w:ascii="Times New Roman" w:hAnsi="Times New Roman" w:cs="Times New Roman"/>
          <w:b/>
          <w:noProof/>
          <w:sz w:val="24"/>
          <w:szCs w:val="24"/>
        </w:rPr>
        <w:t>s</w:t>
      </w:r>
      <w:r w:rsidRPr="006640EC">
        <w:rPr>
          <w:rFonts w:ascii="Times New Roman" w:hAnsi="Times New Roman" w:cs="Times New Roman"/>
          <w:b/>
          <w:noProof/>
          <w:sz w:val="24"/>
          <w:szCs w:val="24"/>
        </w:rPr>
        <w:t xml:space="preserve"> procedures might limit a good EU-wide enforcement</w:t>
      </w:r>
      <w:r w:rsidRPr="006640EC">
        <w:rPr>
          <w:rFonts w:ascii="Times New Roman" w:hAnsi="Times New Roman" w:cs="Times New Roman"/>
          <w:noProof/>
          <w:sz w:val="24"/>
          <w:szCs w:val="24"/>
        </w:rPr>
        <w:t xml:space="preserve"> including border controls.</w:t>
      </w:r>
    </w:p>
    <w:p w14:paraId="60A1D194" w14:textId="77777777" w:rsidR="00A14107" w:rsidRPr="00A14107" w:rsidRDefault="00A14107" w:rsidP="00243A67">
      <w:pPr>
        <w:numPr>
          <w:ilvl w:val="0"/>
          <w:numId w:val="4"/>
        </w:numPr>
        <w:spacing w:after="0"/>
        <w:ind w:left="284" w:hanging="284"/>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The Regulation requires </w:t>
      </w:r>
      <w:r w:rsidRPr="00A14107">
        <w:rPr>
          <w:rFonts w:ascii="Times New Roman" w:hAnsi="Times New Roman" w:cs="Times New Roman"/>
          <w:noProof/>
          <w:sz w:val="24"/>
          <w:szCs w:val="24"/>
        </w:rPr>
        <w:t>a large number of affected (small) entities using very small amounts of ODS</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to keep their</w:t>
      </w:r>
      <w:r w:rsidRPr="00A14107">
        <w:rPr>
          <w:rFonts w:ascii="Times New Roman" w:hAnsi="Times New Roman" w:cs="Times New Roman"/>
          <w:b/>
          <w:noProof/>
          <w:sz w:val="24"/>
          <w:szCs w:val="24"/>
        </w:rPr>
        <w:t xml:space="preserve"> registration in the central database updated </w:t>
      </w:r>
      <w:r w:rsidRPr="00A14107">
        <w:rPr>
          <w:rFonts w:ascii="Times New Roman" w:hAnsi="Times New Roman" w:cs="Times New Roman"/>
          <w:noProof/>
          <w:sz w:val="24"/>
          <w:szCs w:val="24"/>
        </w:rPr>
        <w:t>for laboratory and analytical uses</w:t>
      </w:r>
      <w:r w:rsidRPr="00A14107">
        <w:rPr>
          <w:rFonts w:ascii="Times New Roman" w:hAnsi="Times New Roman" w:cs="Times New Roman"/>
          <w:b/>
          <w:noProof/>
          <w:sz w:val="24"/>
          <w:szCs w:val="24"/>
        </w:rPr>
        <w:t xml:space="preserve">. </w:t>
      </w:r>
    </w:p>
    <w:p w14:paraId="3AF20B29" w14:textId="77777777" w:rsidR="00A14107" w:rsidRPr="00A14107" w:rsidRDefault="00A14107" w:rsidP="00243A67">
      <w:pPr>
        <w:numPr>
          <w:ilvl w:val="0"/>
          <w:numId w:val="4"/>
        </w:numPr>
        <w:spacing w:after="0"/>
        <w:ind w:left="284" w:hanging="284"/>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The Regulation requires </w:t>
      </w:r>
      <w:r w:rsidRPr="00A14107">
        <w:rPr>
          <w:rFonts w:ascii="Times New Roman" w:hAnsi="Times New Roman" w:cs="Times New Roman"/>
          <w:noProof/>
          <w:sz w:val="24"/>
          <w:szCs w:val="24"/>
        </w:rPr>
        <w:t>the Commission to</w:t>
      </w:r>
      <w:r w:rsidRPr="00A14107">
        <w:rPr>
          <w:rFonts w:ascii="Times New Roman" w:hAnsi="Times New Roman" w:cs="Times New Roman"/>
          <w:b/>
          <w:noProof/>
          <w:sz w:val="24"/>
          <w:szCs w:val="24"/>
        </w:rPr>
        <w:t xml:space="preserve"> allocate quotas and </w:t>
      </w:r>
      <w:r w:rsidRPr="00A14107">
        <w:rPr>
          <w:rFonts w:ascii="Times New Roman" w:hAnsi="Times New Roman" w:cs="Times New Roman"/>
          <w:noProof/>
          <w:sz w:val="24"/>
          <w:szCs w:val="24"/>
        </w:rPr>
        <w:t>companies to</w:t>
      </w:r>
      <w:r w:rsidRPr="00A14107">
        <w:rPr>
          <w:rFonts w:ascii="Times New Roman" w:hAnsi="Times New Roman" w:cs="Times New Roman"/>
          <w:b/>
          <w:noProof/>
          <w:sz w:val="24"/>
          <w:szCs w:val="24"/>
        </w:rPr>
        <w:t xml:space="preserve"> hold quotas </w:t>
      </w:r>
      <w:r w:rsidRPr="00A14107">
        <w:rPr>
          <w:rFonts w:ascii="Times New Roman" w:hAnsi="Times New Roman" w:cs="Times New Roman"/>
          <w:noProof/>
          <w:sz w:val="24"/>
          <w:szCs w:val="24"/>
        </w:rPr>
        <w:t>for importing and producing ODS</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which result in costs for authorities and companies</w:t>
      </w:r>
      <w:r w:rsidRPr="00A14107">
        <w:rPr>
          <w:rFonts w:ascii="Times New Roman" w:hAnsi="Times New Roman" w:cs="Times New Roman"/>
          <w:b/>
          <w:noProof/>
          <w:sz w:val="24"/>
          <w:szCs w:val="24"/>
        </w:rPr>
        <w:t>.</w:t>
      </w:r>
      <w:r w:rsidRPr="00A14107">
        <w:rPr>
          <w:rFonts w:ascii="Times New Roman" w:hAnsi="Times New Roman" w:cs="Times New Roman"/>
          <w:noProof/>
          <w:sz w:val="24"/>
          <w:szCs w:val="24"/>
        </w:rPr>
        <w:t xml:space="preserve"> </w:t>
      </w:r>
    </w:p>
    <w:p w14:paraId="72A2E90D" w14:textId="77777777" w:rsidR="00A14107" w:rsidRPr="00A14107" w:rsidRDefault="00A14107" w:rsidP="00243A67">
      <w:pPr>
        <w:numPr>
          <w:ilvl w:val="0"/>
          <w:numId w:val="4"/>
        </w:numPr>
        <w:spacing w:after="120"/>
        <w:ind w:left="284" w:hanging="284"/>
        <w:jc w:val="both"/>
        <w:rPr>
          <w:rFonts w:ascii="Times New Roman" w:eastAsia="Times New Roman" w:hAnsi="Times New Roman" w:cs="Times New Roman"/>
          <w:noProof/>
          <w:sz w:val="24"/>
          <w:szCs w:val="24"/>
        </w:rPr>
      </w:pPr>
      <w:r w:rsidRPr="00A14107">
        <w:rPr>
          <w:rFonts w:ascii="Times New Roman" w:hAnsi="Times New Roman" w:cs="Times New Roman"/>
          <w:b/>
          <w:noProof/>
          <w:sz w:val="24"/>
          <w:szCs w:val="24"/>
        </w:rPr>
        <w:t>The Regulation requires</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 xml:space="preserve">that halons may not be used in the fire protection of normally unoccupied cargo compartments </w:t>
      </w:r>
      <w:r w:rsidRPr="00A14107">
        <w:rPr>
          <w:rFonts w:ascii="Times New Roman" w:hAnsi="Times New Roman" w:cs="Times New Roman"/>
          <w:noProof/>
          <w:sz w:val="24"/>
          <w:szCs w:val="24"/>
        </w:rPr>
        <w:t>in newly type certified airplanes</w:t>
      </w:r>
      <w:r w:rsidRPr="00A14107">
        <w:rPr>
          <w:rFonts w:ascii="Times New Roman" w:hAnsi="Times New Roman" w:cs="Times New Roman"/>
          <w:b/>
          <w:noProof/>
          <w:sz w:val="24"/>
          <w:szCs w:val="24"/>
        </w:rPr>
        <w:t>.</w:t>
      </w:r>
    </w:p>
    <w:p w14:paraId="6ED38AA9" w14:textId="77777777" w:rsidR="00A14107" w:rsidRPr="00A14107" w:rsidDel="00297158" w:rsidRDefault="00A14107" w:rsidP="00AD73CF">
      <w:pPr>
        <w:numPr>
          <w:ilvl w:val="5"/>
          <w:numId w:val="12"/>
        </w:numPr>
        <w:spacing w:after="120"/>
        <w:ind w:left="2154" w:hanging="357"/>
        <w:rPr>
          <w:rFonts w:ascii="Times New Roman" w:hAnsi="Times New Roman" w:cs="Times New Roman"/>
          <w:noProof/>
          <w:sz w:val="24"/>
          <w:szCs w:val="24"/>
        </w:rPr>
      </w:pPr>
      <w:r w:rsidRPr="00A14107">
        <w:rPr>
          <w:rFonts w:ascii="Times New Roman" w:hAnsi="Times New Roman" w:cs="Times New Roman"/>
          <w:noProof/>
          <w:sz w:val="24"/>
          <w:szCs w:val="24"/>
        </w:rPr>
        <w:t xml:space="preserve"> How the problem will evolve</w:t>
      </w:r>
    </w:p>
    <w:p w14:paraId="447B67CF" w14:textId="77777777" w:rsidR="00A14107" w:rsidRPr="00A14107" w:rsidRDefault="00A14107" w:rsidP="00AD73CF">
      <w:pPr>
        <w:numPr>
          <w:ilvl w:val="0"/>
          <w:numId w:val="19"/>
        </w:numPr>
        <w:ind w:left="284" w:hanging="284"/>
        <w:contextualSpacing/>
        <w:jc w:val="both"/>
        <w:rPr>
          <w:rFonts w:ascii="Times New Roman" w:hAnsi="Times New Roman" w:cs="Times New Roman"/>
          <w:b/>
          <w:noProof/>
          <w:sz w:val="24"/>
          <w:szCs w:val="24"/>
        </w:rPr>
      </w:pPr>
      <w:r w:rsidRPr="00A14107">
        <w:rPr>
          <w:rFonts w:ascii="Times New Roman" w:hAnsi="Times New Roman" w:cs="Times New Roman"/>
          <w:noProof/>
          <w:sz w:val="24"/>
          <w:szCs w:val="24"/>
        </w:rPr>
        <w:t>The costs savings potential by carrying out automatic shipment-level controls through CERTEX/Single Window will not be realised, as manual controls and pre-applications for licenses would have to continue</w:t>
      </w:r>
      <w:r w:rsidR="00DF6D1E">
        <w:rPr>
          <w:rFonts w:ascii="Times New Roman" w:hAnsi="Times New Roman" w:cs="Times New Roman"/>
          <w:noProof/>
          <w:sz w:val="24"/>
          <w:szCs w:val="24"/>
        </w:rPr>
        <w:t>, even though a better</w:t>
      </w:r>
      <w:r w:rsidR="00375710">
        <w:rPr>
          <w:rStyle w:val="FootnoteReference"/>
          <w:rFonts w:ascii="Times New Roman" w:hAnsi="Times New Roman" w:cs="Times New Roman"/>
          <w:noProof/>
          <w:sz w:val="24"/>
          <w:szCs w:val="24"/>
        </w:rPr>
        <w:footnoteReference w:id="35"/>
      </w:r>
      <w:r w:rsidR="00DF6D1E">
        <w:rPr>
          <w:rFonts w:ascii="Times New Roman" w:hAnsi="Times New Roman" w:cs="Times New Roman"/>
          <w:noProof/>
          <w:sz w:val="24"/>
          <w:szCs w:val="24"/>
        </w:rPr>
        <w:t xml:space="preserve"> control</w:t>
      </w:r>
      <w:r w:rsidR="00375710">
        <w:rPr>
          <w:rFonts w:ascii="Times New Roman" w:hAnsi="Times New Roman" w:cs="Times New Roman"/>
          <w:noProof/>
          <w:sz w:val="24"/>
          <w:szCs w:val="24"/>
        </w:rPr>
        <w:t xml:space="preserve"> </w:t>
      </w:r>
      <w:r w:rsidR="00DF6D1E">
        <w:rPr>
          <w:rFonts w:ascii="Times New Roman" w:hAnsi="Times New Roman" w:cs="Times New Roman"/>
          <w:noProof/>
          <w:sz w:val="24"/>
          <w:szCs w:val="24"/>
        </w:rPr>
        <w:t>is already achieved through the automatic checking</w:t>
      </w:r>
      <w:r w:rsidR="00931FC6">
        <w:rPr>
          <w:rFonts w:ascii="Times New Roman" w:hAnsi="Times New Roman" w:cs="Times New Roman"/>
          <w:noProof/>
          <w:sz w:val="24"/>
          <w:szCs w:val="24"/>
        </w:rPr>
        <w:t xml:space="preserve"> of all relevant import and expo</w:t>
      </w:r>
      <w:r w:rsidR="00DF6D1E">
        <w:rPr>
          <w:rFonts w:ascii="Times New Roman" w:hAnsi="Times New Roman" w:cs="Times New Roman"/>
          <w:noProof/>
          <w:sz w:val="24"/>
          <w:szCs w:val="24"/>
        </w:rPr>
        <w:t>r</w:t>
      </w:r>
      <w:r w:rsidR="00AB2448">
        <w:rPr>
          <w:rFonts w:ascii="Times New Roman" w:hAnsi="Times New Roman" w:cs="Times New Roman"/>
          <w:noProof/>
          <w:sz w:val="24"/>
          <w:szCs w:val="24"/>
        </w:rPr>
        <w:t xml:space="preserve">t shipment data with data </w:t>
      </w:r>
      <w:r w:rsidR="00DF6D1E">
        <w:rPr>
          <w:rFonts w:ascii="Times New Roman" w:hAnsi="Times New Roman" w:cs="Times New Roman"/>
          <w:noProof/>
          <w:sz w:val="24"/>
          <w:szCs w:val="24"/>
        </w:rPr>
        <w:t>contained in the central database</w:t>
      </w:r>
      <w:r w:rsidRPr="00A14107">
        <w:rPr>
          <w:rFonts w:ascii="Times New Roman" w:hAnsi="Times New Roman" w:cs="Times New Roman"/>
          <w:noProof/>
          <w:sz w:val="24"/>
          <w:szCs w:val="24"/>
        </w:rPr>
        <w:t xml:space="preserve">. </w:t>
      </w:r>
      <w:r w:rsidR="00D854A5">
        <w:rPr>
          <w:rFonts w:ascii="Times New Roman" w:hAnsi="Times New Roman" w:cs="Times New Roman"/>
          <w:noProof/>
          <w:sz w:val="24"/>
          <w:szCs w:val="24"/>
        </w:rPr>
        <w:t>Based on the findings of the evaluation, c</w:t>
      </w:r>
      <w:r w:rsidRPr="00A14107">
        <w:rPr>
          <w:rFonts w:ascii="Times New Roman" w:hAnsi="Times New Roman" w:cs="Times New Roman"/>
          <w:noProof/>
          <w:sz w:val="24"/>
          <w:szCs w:val="24"/>
        </w:rPr>
        <w:t>osts for businesses (total €114,000 p.a.) and the Commission (132 person days p.a. plus cross-cutting IT costs</w:t>
      </w:r>
      <w:r w:rsidRPr="00A14107">
        <w:rPr>
          <w:noProof/>
          <w:sz w:val="24"/>
          <w:szCs w:val="24"/>
          <w:vertAlign w:val="superscript"/>
        </w:rPr>
        <w:footnoteReference w:id="36"/>
      </w:r>
      <w:r w:rsidRPr="00A14107">
        <w:rPr>
          <w:rFonts w:ascii="Times New Roman" w:hAnsi="Times New Roman" w:cs="Times New Roman"/>
          <w:noProof/>
          <w:sz w:val="24"/>
          <w:szCs w:val="24"/>
        </w:rPr>
        <w:t>) will continue at today’s levels with only slight decreases until 2050. Illegal imports linked to special custom</w:t>
      </w:r>
      <w:r w:rsidR="00BA1EBD">
        <w:rPr>
          <w:rFonts w:ascii="Times New Roman" w:hAnsi="Times New Roman" w:cs="Times New Roman"/>
          <w:noProof/>
          <w:sz w:val="24"/>
          <w:szCs w:val="24"/>
        </w:rPr>
        <w:t>s</w:t>
      </w:r>
      <w:r w:rsidRPr="00A14107">
        <w:rPr>
          <w:rFonts w:ascii="Times New Roman" w:hAnsi="Times New Roman" w:cs="Times New Roman"/>
          <w:noProof/>
          <w:sz w:val="24"/>
          <w:szCs w:val="24"/>
        </w:rPr>
        <w:t xml:space="preserve"> procedures will be difficult to avoid and represent potential emissions. </w:t>
      </w:r>
    </w:p>
    <w:p w14:paraId="4D4A5820" w14:textId="77777777" w:rsidR="00A14107" w:rsidRPr="00A14107" w:rsidRDefault="00A14107" w:rsidP="00AD73CF">
      <w:pPr>
        <w:numPr>
          <w:ilvl w:val="0"/>
          <w:numId w:val="19"/>
        </w:numPr>
        <w:ind w:left="284" w:hanging="284"/>
        <w:contextualSpacing/>
        <w:jc w:val="both"/>
        <w:rPr>
          <w:rFonts w:ascii="Times New Roman" w:hAnsi="Times New Roman" w:cs="Times New Roman"/>
          <w:b/>
          <w:noProof/>
          <w:sz w:val="24"/>
          <w:szCs w:val="24"/>
        </w:rPr>
      </w:pPr>
      <w:r w:rsidRPr="00A14107">
        <w:rPr>
          <w:rFonts w:ascii="Times New Roman" w:hAnsi="Times New Roman" w:cs="Times New Roman"/>
          <w:noProof/>
          <w:sz w:val="24"/>
          <w:szCs w:val="24"/>
        </w:rPr>
        <w:t>Laboratories and other entities carrying out analysis will continue to bear costs (total €50,000 p.a.</w:t>
      </w:r>
      <w:r w:rsidR="00D854A5">
        <w:rPr>
          <w:rFonts w:ascii="Times New Roman" w:hAnsi="Times New Roman" w:cs="Times New Roman"/>
          <w:noProof/>
          <w:sz w:val="24"/>
          <w:szCs w:val="24"/>
        </w:rPr>
        <w:t xml:space="preserve"> based on </w:t>
      </w:r>
      <w:r w:rsidR="00931FC6">
        <w:rPr>
          <w:rFonts w:ascii="Times New Roman" w:hAnsi="Times New Roman" w:cs="Times New Roman"/>
          <w:noProof/>
          <w:sz w:val="24"/>
          <w:szCs w:val="24"/>
        </w:rPr>
        <w:t xml:space="preserve">the </w:t>
      </w:r>
      <w:r w:rsidR="00D854A5">
        <w:rPr>
          <w:rFonts w:ascii="Times New Roman" w:hAnsi="Times New Roman" w:cs="Times New Roman"/>
          <w:noProof/>
          <w:sz w:val="24"/>
          <w:szCs w:val="24"/>
        </w:rPr>
        <w:t>evaluation</w:t>
      </w:r>
      <w:r w:rsidRPr="00A14107">
        <w:rPr>
          <w:rFonts w:ascii="Times New Roman" w:hAnsi="Times New Roman" w:cs="Times New Roman"/>
          <w:noProof/>
          <w:sz w:val="24"/>
          <w:szCs w:val="24"/>
        </w:rPr>
        <w:t>) long-term for keeping their registrations updated, at little environmental benefit. The Commission will continue to have costs for using and maintaining the relevant IT system (99 person days p.a.,</w:t>
      </w:r>
      <w:r w:rsidR="00BA1EBD" w:rsidRPr="00BA1EBD">
        <w:rPr>
          <w:rFonts w:ascii="Times New Roman" w:hAnsi="Times New Roman" w:cs="Times New Roman"/>
          <w:noProof/>
          <w:sz w:val="24"/>
          <w:szCs w:val="24"/>
        </w:rPr>
        <w:t xml:space="preserve"> </w:t>
      </w:r>
      <w:r w:rsidR="00BA1EBD" w:rsidRPr="00A14107">
        <w:rPr>
          <w:rFonts w:ascii="Times New Roman" w:hAnsi="Times New Roman" w:cs="Times New Roman"/>
          <w:noProof/>
          <w:sz w:val="24"/>
          <w:szCs w:val="24"/>
        </w:rPr>
        <w:t>€</w:t>
      </w:r>
      <w:r w:rsidRPr="00A14107">
        <w:rPr>
          <w:rFonts w:ascii="Times New Roman" w:hAnsi="Times New Roman" w:cs="Times New Roman"/>
          <w:noProof/>
          <w:sz w:val="24"/>
          <w:szCs w:val="24"/>
        </w:rPr>
        <w:t>31,500 IT costs</w:t>
      </w:r>
      <w:r w:rsidR="00D854A5">
        <w:rPr>
          <w:rFonts w:ascii="Times New Roman" w:hAnsi="Times New Roman" w:cs="Times New Roman"/>
          <w:noProof/>
          <w:sz w:val="24"/>
          <w:szCs w:val="24"/>
        </w:rPr>
        <w:t>, based on the evaluation</w:t>
      </w:r>
      <w:r w:rsidRPr="00A14107">
        <w:rPr>
          <w:rFonts w:ascii="Times New Roman" w:hAnsi="Times New Roman" w:cs="Times New Roman"/>
          <w:noProof/>
          <w:sz w:val="24"/>
          <w:szCs w:val="24"/>
        </w:rPr>
        <w:t>).</w:t>
      </w:r>
    </w:p>
    <w:p w14:paraId="38239AFE" w14:textId="77777777" w:rsidR="00A14107" w:rsidRPr="00A14107" w:rsidRDefault="00A14107" w:rsidP="00AD73CF">
      <w:pPr>
        <w:numPr>
          <w:ilvl w:val="0"/>
          <w:numId w:val="19"/>
        </w:numPr>
        <w:ind w:left="284" w:hanging="284"/>
        <w:contextualSpacing/>
        <w:jc w:val="both"/>
        <w:rPr>
          <w:rFonts w:ascii="Times New Roman" w:hAnsi="Times New Roman" w:cs="Times New Roman"/>
          <w:b/>
          <w:noProof/>
          <w:sz w:val="24"/>
          <w:szCs w:val="24"/>
        </w:rPr>
      </w:pPr>
      <w:r w:rsidRPr="00A14107">
        <w:rPr>
          <w:rFonts w:ascii="Times New Roman" w:hAnsi="Times New Roman" w:cs="Times New Roman"/>
          <w:noProof/>
          <w:sz w:val="24"/>
          <w:szCs w:val="24"/>
        </w:rPr>
        <w:t>The quota systems will continue to create costs for companies (€11,000 p.a.</w:t>
      </w:r>
      <w:r w:rsidR="00D854A5">
        <w:rPr>
          <w:rFonts w:ascii="Times New Roman" w:hAnsi="Times New Roman" w:cs="Times New Roman"/>
          <w:noProof/>
          <w:sz w:val="24"/>
          <w:szCs w:val="24"/>
        </w:rPr>
        <w:t xml:space="preserve"> based on evaluation</w:t>
      </w:r>
      <w:r w:rsidRPr="00A14107">
        <w:rPr>
          <w:rFonts w:ascii="Times New Roman" w:hAnsi="Times New Roman" w:cs="Times New Roman"/>
          <w:noProof/>
          <w:sz w:val="24"/>
          <w:szCs w:val="24"/>
        </w:rPr>
        <w:t>) and authorities (60 person days p.a. for Commission, some costs also for Member States</w:t>
      </w:r>
      <w:r w:rsidR="00D854A5">
        <w:rPr>
          <w:rFonts w:ascii="Times New Roman" w:hAnsi="Times New Roman" w:cs="Times New Roman"/>
          <w:noProof/>
          <w:sz w:val="24"/>
          <w:szCs w:val="24"/>
        </w:rPr>
        <w:t xml:space="preserve">, based on </w:t>
      </w:r>
      <w:r w:rsidR="007D632D">
        <w:rPr>
          <w:rFonts w:ascii="Times New Roman" w:hAnsi="Times New Roman" w:cs="Times New Roman"/>
          <w:noProof/>
          <w:sz w:val="24"/>
          <w:szCs w:val="24"/>
        </w:rPr>
        <w:t xml:space="preserve">the </w:t>
      </w:r>
      <w:r w:rsidR="00D854A5">
        <w:rPr>
          <w:rFonts w:ascii="Times New Roman" w:hAnsi="Times New Roman" w:cs="Times New Roman"/>
          <w:noProof/>
          <w:sz w:val="24"/>
          <w:szCs w:val="24"/>
        </w:rPr>
        <w:t>evaluation</w:t>
      </w:r>
      <w:r w:rsidRPr="00A14107">
        <w:rPr>
          <w:rFonts w:ascii="Times New Roman" w:hAnsi="Times New Roman" w:cs="Times New Roman"/>
          <w:noProof/>
          <w:sz w:val="24"/>
          <w:szCs w:val="24"/>
        </w:rPr>
        <w:t>), decreasing only slightly in the long term.</w:t>
      </w:r>
    </w:p>
    <w:p w14:paraId="48FDD42B" w14:textId="77777777" w:rsidR="00A14107" w:rsidRPr="00A14107" w:rsidRDefault="00A14107" w:rsidP="00AD73CF">
      <w:pPr>
        <w:numPr>
          <w:ilvl w:val="0"/>
          <w:numId w:val="19"/>
        </w:numPr>
        <w:spacing w:after="120"/>
        <w:ind w:left="284" w:hanging="284"/>
        <w:jc w:val="both"/>
        <w:rPr>
          <w:rFonts w:ascii="Times New Roman" w:hAnsi="Times New Roman" w:cs="Times New Roman"/>
          <w:b/>
          <w:noProof/>
          <w:sz w:val="24"/>
          <w:szCs w:val="24"/>
        </w:rPr>
      </w:pPr>
      <w:r w:rsidRPr="00A14107">
        <w:rPr>
          <w:rFonts w:ascii="Times New Roman" w:hAnsi="Times New Roman" w:cs="Times New Roman"/>
          <w:noProof/>
          <w:sz w:val="24"/>
          <w:szCs w:val="24"/>
        </w:rPr>
        <w:t>The currently infeasible halon prohibition will</w:t>
      </w:r>
      <w:r w:rsidR="00D854A5">
        <w:rPr>
          <w:rFonts w:ascii="Times New Roman" w:hAnsi="Times New Roman" w:cs="Times New Roman"/>
          <w:noProof/>
          <w:sz w:val="24"/>
          <w:szCs w:val="24"/>
        </w:rPr>
        <w:t>, according to the evaluation,</w:t>
      </w:r>
      <w:r w:rsidRPr="00A14107">
        <w:rPr>
          <w:rFonts w:ascii="Times New Roman" w:hAnsi="Times New Roman" w:cs="Times New Roman"/>
          <w:noProof/>
          <w:sz w:val="24"/>
          <w:szCs w:val="24"/>
        </w:rPr>
        <w:t xml:space="preserve"> create costs for aviation companies (120 person days), Member States (120 person days) and the Commission (320 person days) until a viable alternative is found.  </w:t>
      </w:r>
    </w:p>
    <w:p w14:paraId="4CC163EA" w14:textId="7D53E297" w:rsidR="00A14107" w:rsidRPr="00EE3193" w:rsidRDefault="00896FDA" w:rsidP="00896FDA">
      <w:pPr>
        <w:pStyle w:val="Heading3"/>
        <w:rPr>
          <w:noProof/>
        </w:rPr>
      </w:pPr>
      <w:bookmarkStart w:id="47" w:name="_Toc71559394"/>
      <w:bookmarkStart w:id="48" w:name="_Toc71706999"/>
      <w:bookmarkStart w:id="49" w:name="_Toc71708209"/>
      <w:bookmarkStart w:id="50" w:name="_Toc71710941"/>
      <w:bookmarkStart w:id="51" w:name="_Toc72399343"/>
      <w:bookmarkStart w:id="52" w:name="_Toc93511455"/>
      <w:r w:rsidRPr="00896FDA">
        <w:t>2.1.3.</w:t>
      </w:r>
      <w:r w:rsidRPr="00896FDA">
        <w:tab/>
      </w:r>
      <w:r w:rsidR="00A14107" w:rsidRPr="00EE3193">
        <w:rPr>
          <w:noProof/>
        </w:rPr>
        <w:t>Incomplete monitoring and reporting</w:t>
      </w:r>
      <w:bookmarkEnd w:id="47"/>
      <w:bookmarkEnd w:id="48"/>
      <w:bookmarkEnd w:id="49"/>
      <w:bookmarkEnd w:id="50"/>
      <w:bookmarkEnd w:id="51"/>
      <w:bookmarkEnd w:id="52"/>
    </w:p>
    <w:p w14:paraId="3222F03C" w14:textId="77777777" w:rsidR="00A14107" w:rsidRPr="00A14107" w:rsidRDefault="00A14107" w:rsidP="00AD73CF">
      <w:pPr>
        <w:numPr>
          <w:ilvl w:val="5"/>
          <w:numId w:val="13"/>
        </w:numPr>
        <w:spacing w:after="120"/>
        <w:ind w:left="215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Status quo of the issue</w:t>
      </w:r>
    </w:p>
    <w:p w14:paraId="0166FAAD" w14:textId="77777777" w:rsidR="00A14107" w:rsidRPr="00A14107" w:rsidRDefault="00A14107" w:rsidP="002E001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While the evaluation found that the monitoring system in place is by and large adequate</w:t>
      </w:r>
      <w:r w:rsidR="00BA1EBD">
        <w:rPr>
          <w:rFonts w:ascii="Times New Roman" w:hAnsi="Times New Roman" w:cs="Times New Roman"/>
          <w:noProof/>
          <w:sz w:val="24"/>
          <w:szCs w:val="24"/>
        </w:rPr>
        <w:t>,</w:t>
      </w:r>
      <w:r w:rsidRPr="00A14107">
        <w:rPr>
          <w:rFonts w:ascii="Times New Roman" w:hAnsi="Times New Roman" w:cs="Times New Roman"/>
          <w:noProof/>
          <w:sz w:val="24"/>
          <w:szCs w:val="24"/>
        </w:rPr>
        <w:t xml:space="preserve"> except for the possibility of adding a few substances for monitoring, some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 authorities and representatives of civil society suggested additions to get an even better overview, especially in view of the current shift towards </w:t>
      </w:r>
      <w:r w:rsidR="00BA1EBD" w:rsidRPr="00A14107">
        <w:rPr>
          <w:rFonts w:ascii="Times New Roman" w:hAnsi="Times New Roman" w:cs="Times New Roman"/>
          <w:noProof/>
          <w:sz w:val="24"/>
          <w:szCs w:val="24"/>
        </w:rPr>
        <w:t xml:space="preserve">also </w:t>
      </w:r>
      <w:r w:rsidRPr="00A14107">
        <w:rPr>
          <w:rFonts w:ascii="Times New Roman" w:hAnsi="Times New Roman" w:cs="Times New Roman"/>
          <w:noProof/>
          <w:sz w:val="24"/>
          <w:szCs w:val="24"/>
        </w:rPr>
        <w:t>recognising the climate relevance of ODS. In particular, the system lacks mandatory reporting on:</w:t>
      </w:r>
    </w:p>
    <w:p w14:paraId="66AB8042" w14:textId="77777777" w:rsidR="00A14107" w:rsidRPr="00D854A5" w:rsidRDefault="00A14107" w:rsidP="00D854A5">
      <w:pPr>
        <w:numPr>
          <w:ilvl w:val="0"/>
          <w:numId w:val="7"/>
        </w:num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Feedstock use and destruction of new ODS (Ann</w:t>
      </w:r>
      <w:r w:rsidR="00D854A5">
        <w:rPr>
          <w:rFonts w:ascii="Times New Roman" w:hAnsi="Times New Roman" w:cs="Times New Roman"/>
          <w:noProof/>
          <w:sz w:val="24"/>
          <w:szCs w:val="24"/>
        </w:rPr>
        <w:t>ex II) despite high amounts (about half of A</w:t>
      </w:r>
      <w:r w:rsidR="00D854A5" w:rsidRPr="00D854A5">
        <w:rPr>
          <w:rFonts w:ascii="Times New Roman" w:hAnsi="Times New Roman" w:cs="Times New Roman"/>
          <w:noProof/>
          <w:sz w:val="24"/>
          <w:szCs w:val="24"/>
        </w:rPr>
        <w:t>nnex I substances in tODP)</w:t>
      </w:r>
      <w:r w:rsidRPr="00D854A5">
        <w:rPr>
          <w:rFonts w:ascii="Times New Roman" w:hAnsi="Times New Roman" w:cs="Times New Roman"/>
          <w:noProof/>
          <w:sz w:val="24"/>
          <w:szCs w:val="24"/>
        </w:rPr>
        <w:t xml:space="preserve">; </w:t>
      </w:r>
    </w:p>
    <w:p w14:paraId="5C6453C5" w14:textId="77777777" w:rsidR="00A14107" w:rsidRPr="00A14107" w:rsidRDefault="00A14107" w:rsidP="00243A67">
      <w:pPr>
        <w:numPr>
          <w:ilvl w:val="0"/>
          <w:numId w:val="7"/>
        </w:num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Emissions resulting from production and destruction by all emitters and at substance level. Some aggregate ODS emissions are monitored by the European Pollutant Release and Transfer Register (Regulation (EC) No 166/2006 requiring Member States to report emissions from industrial facilities), but some thresholds apply and not all ODS emitters are in scope. Furthermore, the aggregate parameter based on weight does not allow to determine the relevance for the ozone layer (tODP) and the climate (tCO</w:t>
      </w:r>
      <w:r w:rsidRPr="00A14107">
        <w:rPr>
          <w:rFonts w:ascii="Times New Roman" w:hAnsi="Times New Roman" w:cs="Times New Roman"/>
          <w:noProof/>
          <w:sz w:val="24"/>
          <w:szCs w:val="24"/>
          <w:vertAlign w:val="subscript"/>
        </w:rPr>
        <w:t>2</w:t>
      </w:r>
      <w:r w:rsidRPr="00A14107">
        <w:rPr>
          <w:rFonts w:ascii="Times New Roman" w:hAnsi="Times New Roman" w:cs="Times New Roman"/>
          <w:noProof/>
          <w:sz w:val="24"/>
          <w:szCs w:val="24"/>
        </w:rPr>
        <w:t>e)</w:t>
      </w:r>
      <w:r w:rsidRPr="00A14107">
        <w:rPr>
          <w:noProof/>
          <w:sz w:val="24"/>
          <w:szCs w:val="24"/>
          <w:vertAlign w:val="superscript"/>
        </w:rPr>
        <w:footnoteReference w:id="37"/>
      </w:r>
      <w:r w:rsidRPr="00A14107">
        <w:rPr>
          <w:rFonts w:ascii="Times New Roman" w:hAnsi="Times New Roman" w:cs="Times New Roman"/>
          <w:noProof/>
          <w:sz w:val="24"/>
          <w:szCs w:val="24"/>
        </w:rPr>
        <w:t xml:space="preserve">; </w:t>
      </w:r>
    </w:p>
    <w:p w14:paraId="0FEE922C" w14:textId="77777777" w:rsidR="00A14107" w:rsidRPr="00A14107" w:rsidRDefault="00A14107" w:rsidP="00243A67">
      <w:pPr>
        <w:numPr>
          <w:ilvl w:val="0"/>
          <w:numId w:val="7"/>
        </w:num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climate impact of ODS (Global Warming Potential (GWP)) is not conveyed. </w:t>
      </w:r>
    </w:p>
    <w:p w14:paraId="4E6A6126" w14:textId="77777777" w:rsidR="00A14107" w:rsidRPr="00A14107" w:rsidRDefault="00A14107" w:rsidP="00243A67">
      <w:pPr>
        <w:numPr>
          <w:ilvl w:val="0"/>
          <w:numId w:val="7"/>
        </w:num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Intra-EU trade in ODS by producers, destruction facilities and feedstock/process agent users;</w:t>
      </w:r>
    </w:p>
    <w:p w14:paraId="621DCD5D" w14:textId="77777777" w:rsidR="00A14107" w:rsidRPr="00A14107" w:rsidRDefault="00A14107" w:rsidP="00243A67">
      <w:pPr>
        <w:numPr>
          <w:ilvl w:val="0"/>
          <w:numId w:val="7"/>
        </w:numPr>
        <w:spacing w:after="120"/>
        <w:ind w:left="71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Despite being used in significant quantities</w:t>
      </w:r>
      <w:r w:rsidR="003D407F">
        <w:rPr>
          <w:rFonts w:ascii="Times New Roman" w:hAnsi="Times New Roman" w:cs="Times New Roman"/>
          <w:noProof/>
          <w:sz w:val="24"/>
          <w:szCs w:val="24"/>
        </w:rPr>
        <w:t xml:space="preserve"> (production volumes in metric tonnes exceed those of Annex I substances several times</w:t>
      </w:r>
      <w:r w:rsidR="003D407F">
        <w:rPr>
          <w:rStyle w:val="FootnoteReference"/>
          <w:rFonts w:ascii="Times New Roman" w:hAnsi="Times New Roman" w:cs="Times New Roman"/>
          <w:noProof/>
          <w:sz w:val="24"/>
          <w:szCs w:val="24"/>
        </w:rPr>
        <w:footnoteReference w:id="38"/>
      </w:r>
      <w:r w:rsidR="003D407F">
        <w:rPr>
          <w:rFonts w:ascii="Times New Roman" w:hAnsi="Times New Roman" w:cs="Times New Roman"/>
          <w:noProof/>
          <w:sz w:val="24"/>
          <w:szCs w:val="24"/>
        </w:rPr>
        <w:t>)</w:t>
      </w:r>
      <w:r w:rsidR="00BA1EBD">
        <w:rPr>
          <w:rFonts w:ascii="Times New Roman" w:hAnsi="Times New Roman" w:cs="Times New Roman"/>
          <w:noProof/>
          <w:sz w:val="24"/>
          <w:szCs w:val="24"/>
        </w:rPr>
        <w:t>,</w:t>
      </w:r>
      <w:r w:rsidRPr="00A14107">
        <w:rPr>
          <w:rFonts w:ascii="Times New Roman" w:hAnsi="Times New Roman" w:cs="Times New Roman"/>
          <w:noProof/>
          <w:sz w:val="24"/>
          <w:szCs w:val="24"/>
        </w:rPr>
        <w:t xml:space="preserve"> a number of substances with an ODP are currently not listed in the Regulation and therefore not monitored </w:t>
      </w:r>
      <w:r w:rsidR="00BA1EBD">
        <w:rPr>
          <w:rFonts w:ascii="Times New Roman" w:hAnsi="Times New Roman" w:cs="Times New Roman"/>
          <w:noProof/>
          <w:sz w:val="24"/>
          <w:szCs w:val="24"/>
        </w:rPr>
        <w:t xml:space="preserve">with </w:t>
      </w:r>
      <w:r w:rsidRPr="00A14107">
        <w:rPr>
          <w:rFonts w:ascii="Times New Roman" w:hAnsi="Times New Roman" w:cs="Times New Roman"/>
          <w:noProof/>
          <w:sz w:val="24"/>
          <w:szCs w:val="24"/>
        </w:rPr>
        <w:t>a view to identify</w:t>
      </w:r>
      <w:r w:rsidR="00BA1EBD">
        <w:rPr>
          <w:rFonts w:ascii="Times New Roman" w:hAnsi="Times New Roman" w:cs="Times New Roman"/>
          <w:noProof/>
          <w:sz w:val="24"/>
          <w:szCs w:val="24"/>
        </w:rPr>
        <w:t>ing</w:t>
      </w:r>
      <w:r w:rsidRPr="00A14107">
        <w:rPr>
          <w:rFonts w:ascii="Times New Roman" w:hAnsi="Times New Roman" w:cs="Times New Roman"/>
          <w:noProof/>
          <w:sz w:val="24"/>
          <w:szCs w:val="24"/>
        </w:rPr>
        <w:t xml:space="preserve"> future risks.</w:t>
      </w:r>
    </w:p>
    <w:p w14:paraId="2C5C4B78" w14:textId="77777777" w:rsidR="00A14107" w:rsidRPr="00A14107" w:rsidRDefault="00A14107" w:rsidP="00AD73CF">
      <w:pPr>
        <w:keepNext/>
        <w:numPr>
          <w:ilvl w:val="5"/>
          <w:numId w:val="13"/>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Drivers</w:t>
      </w:r>
    </w:p>
    <w:p w14:paraId="6BC7F689" w14:textId="77777777" w:rsidR="00EE3193" w:rsidRDefault="00A14107" w:rsidP="00EE3193">
      <w:pPr>
        <w:spacing w:after="120"/>
        <w:rPr>
          <w:rFonts w:ascii="Times New Roman" w:hAnsi="Times New Roman" w:cs="Times New Roman"/>
          <w:noProof/>
          <w:sz w:val="24"/>
          <w:szCs w:val="24"/>
        </w:rPr>
      </w:pPr>
      <w:r w:rsidRPr="00A14107">
        <w:rPr>
          <w:rFonts w:ascii="Times New Roman" w:hAnsi="Times New Roman" w:cs="Times New Roman"/>
          <w:b/>
          <w:noProof/>
          <w:sz w:val="24"/>
          <w:szCs w:val="24"/>
        </w:rPr>
        <w:t xml:space="preserve">There are no requirements in the Regulation mandating reporting </w:t>
      </w:r>
      <w:r w:rsidRPr="00A14107">
        <w:rPr>
          <w:rFonts w:ascii="Times New Roman" w:hAnsi="Times New Roman" w:cs="Times New Roman"/>
          <w:noProof/>
          <w:sz w:val="24"/>
          <w:szCs w:val="24"/>
        </w:rPr>
        <w:t xml:space="preserve">on the substances and parameters listed above. </w:t>
      </w:r>
    </w:p>
    <w:p w14:paraId="7149CB98" w14:textId="77777777" w:rsidR="00A14107" w:rsidRPr="00A14107" w:rsidRDefault="00243A67" w:rsidP="00AD73CF">
      <w:pPr>
        <w:numPr>
          <w:ilvl w:val="5"/>
          <w:numId w:val="13"/>
        </w:numPr>
        <w:spacing w:after="120"/>
        <w:ind w:left="2154" w:hanging="357"/>
        <w:rPr>
          <w:rFonts w:ascii="Times New Roman" w:hAnsi="Times New Roman" w:cs="Times New Roman"/>
          <w:noProof/>
          <w:sz w:val="24"/>
          <w:szCs w:val="24"/>
        </w:rPr>
      </w:pPr>
      <w:r>
        <w:rPr>
          <w:rFonts w:ascii="Times New Roman" w:hAnsi="Times New Roman" w:cs="Times New Roman"/>
          <w:noProof/>
          <w:sz w:val="24"/>
          <w:szCs w:val="24"/>
        </w:rPr>
        <w:t xml:space="preserve"> </w:t>
      </w:r>
      <w:r w:rsidR="00A14107" w:rsidRPr="00A14107">
        <w:rPr>
          <w:rFonts w:ascii="Times New Roman" w:hAnsi="Times New Roman" w:cs="Times New Roman"/>
          <w:noProof/>
          <w:sz w:val="24"/>
          <w:szCs w:val="24"/>
        </w:rPr>
        <w:t>How the problem will evolve</w:t>
      </w:r>
    </w:p>
    <w:p w14:paraId="371480BA" w14:textId="77777777" w:rsidR="00A14107" w:rsidRPr="00A14107" w:rsidRDefault="00A14107" w:rsidP="002E001A">
      <w:pPr>
        <w:contextualSpacing/>
        <w:jc w:val="both"/>
        <w:rPr>
          <w:rFonts w:ascii="Times New Roman" w:hAnsi="Times New Roman" w:cs="Times New Roman"/>
          <w:noProof/>
          <w:sz w:val="24"/>
          <w:szCs w:val="24"/>
        </w:rPr>
      </w:pPr>
      <w:r w:rsidRPr="00A14107">
        <w:rPr>
          <w:rFonts w:ascii="Times New Roman" w:hAnsi="Times New Roman" w:cs="Times New Roman"/>
          <w:noProof/>
          <w:sz w:val="24"/>
          <w:szCs w:val="24"/>
        </w:rPr>
        <w:t>Without addressing the monitoring gaps, the picture of ODS uses and emissions would remain incomplete. This would in particular affect the appreciation of climate-relevant emissions and emerging issues that would not be monitored in support of on-going research regarding their impacts. Some of the relevant trade flows would</w:t>
      </w:r>
      <w:r w:rsidR="002E001A">
        <w:rPr>
          <w:rFonts w:ascii="Times New Roman" w:hAnsi="Times New Roman" w:cs="Times New Roman"/>
          <w:noProof/>
          <w:sz w:val="24"/>
          <w:szCs w:val="24"/>
        </w:rPr>
        <w:t xml:space="preserve"> remain incompletely monitored</w:t>
      </w:r>
      <w:r w:rsidR="007D0481">
        <w:rPr>
          <w:rFonts w:ascii="Times New Roman" w:hAnsi="Times New Roman" w:cs="Times New Roman"/>
          <w:noProof/>
          <w:sz w:val="24"/>
          <w:szCs w:val="24"/>
        </w:rPr>
        <w:t xml:space="preserve"> and there would be less control on illegal trade within the Union</w:t>
      </w:r>
      <w:r w:rsidR="002E001A">
        <w:rPr>
          <w:rFonts w:ascii="Times New Roman" w:hAnsi="Times New Roman" w:cs="Times New Roman"/>
          <w:noProof/>
          <w:sz w:val="24"/>
          <w:szCs w:val="24"/>
        </w:rPr>
        <w:t>.</w:t>
      </w:r>
      <w:r w:rsidR="007D0481">
        <w:rPr>
          <w:rFonts w:ascii="Times New Roman" w:hAnsi="Times New Roman" w:cs="Times New Roman"/>
          <w:noProof/>
          <w:sz w:val="24"/>
          <w:szCs w:val="24"/>
        </w:rPr>
        <w:t xml:space="preserve"> The lack of intra-EU data also makes reporting on production to the Protocol more difficult, </w:t>
      </w:r>
      <w:r w:rsidR="00436E2D">
        <w:rPr>
          <w:rFonts w:ascii="Times New Roman" w:hAnsi="Times New Roman" w:cs="Times New Roman"/>
          <w:noProof/>
          <w:sz w:val="24"/>
          <w:szCs w:val="24"/>
        </w:rPr>
        <w:t>as this</w:t>
      </w:r>
      <w:r w:rsidR="007D0481">
        <w:rPr>
          <w:rFonts w:ascii="Times New Roman" w:hAnsi="Times New Roman" w:cs="Times New Roman"/>
          <w:noProof/>
          <w:sz w:val="24"/>
          <w:szCs w:val="24"/>
        </w:rPr>
        <w:t xml:space="preserve"> needs to be done at Member State level. This is e.g. an issue in case an ODS is produced </w:t>
      </w:r>
      <w:r w:rsidR="00436E2D">
        <w:rPr>
          <w:rFonts w:ascii="Times New Roman" w:hAnsi="Times New Roman" w:cs="Times New Roman"/>
          <w:noProof/>
          <w:sz w:val="24"/>
          <w:szCs w:val="24"/>
        </w:rPr>
        <w:t>in one Member State</w:t>
      </w:r>
      <w:r w:rsidR="007D0481">
        <w:rPr>
          <w:rFonts w:ascii="Times New Roman" w:hAnsi="Times New Roman" w:cs="Times New Roman"/>
          <w:noProof/>
          <w:sz w:val="24"/>
          <w:szCs w:val="24"/>
        </w:rPr>
        <w:t xml:space="preserve">, but </w:t>
      </w:r>
      <w:r w:rsidR="00436E2D">
        <w:rPr>
          <w:rFonts w:ascii="Times New Roman" w:hAnsi="Times New Roman" w:cs="Times New Roman"/>
          <w:noProof/>
          <w:sz w:val="24"/>
          <w:szCs w:val="24"/>
        </w:rPr>
        <w:t xml:space="preserve">used as feedstock or </w:t>
      </w:r>
      <w:r w:rsidR="007D0481">
        <w:rPr>
          <w:rFonts w:ascii="Times New Roman" w:hAnsi="Times New Roman" w:cs="Times New Roman"/>
          <w:noProof/>
          <w:sz w:val="24"/>
          <w:szCs w:val="24"/>
        </w:rPr>
        <w:t>destroyed in another</w:t>
      </w:r>
      <w:r w:rsidR="00436E2D">
        <w:rPr>
          <w:rFonts w:ascii="Times New Roman" w:hAnsi="Times New Roman" w:cs="Times New Roman"/>
          <w:noProof/>
          <w:sz w:val="24"/>
          <w:szCs w:val="24"/>
        </w:rPr>
        <w:t>.</w:t>
      </w:r>
    </w:p>
    <w:p w14:paraId="289B38D0" w14:textId="15B5DFB5" w:rsidR="00A14107" w:rsidRPr="00E66EFA" w:rsidRDefault="00896FDA" w:rsidP="00896FDA">
      <w:pPr>
        <w:pStyle w:val="Heading3"/>
        <w:rPr>
          <w:noProof/>
        </w:rPr>
      </w:pPr>
      <w:bookmarkStart w:id="53" w:name="_Toc71559395"/>
      <w:bookmarkStart w:id="54" w:name="_Toc71707000"/>
      <w:bookmarkStart w:id="55" w:name="_Toc71708210"/>
      <w:bookmarkStart w:id="56" w:name="_Toc71710942"/>
      <w:bookmarkStart w:id="57" w:name="_Toc72399344"/>
      <w:bookmarkStart w:id="58" w:name="_Toc93511456"/>
      <w:r w:rsidRPr="00896FDA">
        <w:t>2.1.4.</w:t>
      </w:r>
      <w:r w:rsidRPr="00896FDA">
        <w:tab/>
      </w:r>
      <w:r w:rsidR="00A14107" w:rsidRPr="00E66EFA">
        <w:rPr>
          <w:noProof/>
        </w:rPr>
        <w:t>Coherence and clarifications</w:t>
      </w:r>
      <w:bookmarkEnd w:id="53"/>
      <w:bookmarkEnd w:id="54"/>
      <w:bookmarkEnd w:id="55"/>
      <w:bookmarkEnd w:id="56"/>
      <w:bookmarkEnd w:id="57"/>
      <w:bookmarkEnd w:id="58"/>
    </w:p>
    <w:p w14:paraId="65DF43D9" w14:textId="77777777" w:rsidR="00A14107" w:rsidRPr="00A14107" w:rsidRDefault="00A14107" w:rsidP="00AD73CF">
      <w:pPr>
        <w:numPr>
          <w:ilvl w:val="5"/>
          <w:numId w:val="14"/>
        </w:numPr>
        <w:spacing w:after="120"/>
        <w:ind w:left="2154" w:hanging="357"/>
        <w:jc w:val="both"/>
        <w:rPr>
          <w:rFonts w:ascii="Times New Roman" w:hAnsi="Times New Roman" w:cs="Times New Roman"/>
          <w:noProof/>
          <w:sz w:val="24"/>
          <w:szCs w:val="24"/>
        </w:rPr>
      </w:pPr>
      <w:r w:rsidRPr="00A14107">
        <w:rPr>
          <w:rFonts w:ascii="Times New Roman" w:hAnsi="Times New Roman" w:cs="Times New Roman"/>
          <w:noProof/>
          <w:sz w:val="24"/>
          <w:szCs w:val="24"/>
        </w:rPr>
        <w:t>Status quo of the issue</w:t>
      </w:r>
    </w:p>
    <w:p w14:paraId="413AD631" w14:textId="77777777" w:rsidR="00AC520B" w:rsidRDefault="00A14107" w:rsidP="00AC520B">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long experience in the implementation and enforcement of ODS legislation has led to a good integration of the Regulation within the EU environmental legal framework. However, as pointed out by the evaluation, some further coherence and clarity should be achieved on the following issues: </w:t>
      </w:r>
    </w:p>
    <w:p w14:paraId="0937E108" w14:textId="77777777" w:rsidR="00A14107" w:rsidRPr="00A14107" w:rsidRDefault="00A14107" w:rsidP="00243A6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Lack of coherence with the </w:t>
      </w:r>
      <w:r w:rsidRPr="00A14107">
        <w:rPr>
          <w:rFonts w:ascii="Times New Roman" w:hAnsi="Times New Roman" w:cs="Times New Roman"/>
          <w:b/>
          <w:bCs/>
          <w:noProof/>
          <w:sz w:val="24"/>
          <w:szCs w:val="24"/>
        </w:rPr>
        <w:t>Montreal Protocol</w:t>
      </w:r>
      <w:r w:rsidRPr="00A14107">
        <w:rPr>
          <w:rFonts w:ascii="Times New Roman" w:hAnsi="Times New Roman" w:cs="Times New Roman"/>
          <w:noProof/>
          <w:sz w:val="24"/>
          <w:szCs w:val="24"/>
        </w:rPr>
        <w:t xml:space="preserve">: Technological progress has allowed </w:t>
      </w:r>
      <w:r w:rsidR="00BA1EBD">
        <w:rPr>
          <w:rFonts w:ascii="Times New Roman" w:hAnsi="Times New Roman" w:cs="Times New Roman"/>
          <w:noProof/>
          <w:sz w:val="24"/>
          <w:szCs w:val="24"/>
        </w:rPr>
        <w:t>the tightening of</w:t>
      </w:r>
      <w:r w:rsidRPr="00A14107">
        <w:rPr>
          <w:rFonts w:ascii="Times New Roman" w:hAnsi="Times New Roman" w:cs="Times New Roman"/>
          <w:noProof/>
          <w:sz w:val="24"/>
          <w:szCs w:val="24"/>
        </w:rPr>
        <w:t xml:space="preserve"> the international </w:t>
      </w:r>
      <w:r w:rsidRPr="00A14107">
        <w:rPr>
          <w:rFonts w:ascii="Times New Roman" w:hAnsi="Times New Roman" w:cs="Times New Roman"/>
          <w:b/>
          <w:noProof/>
          <w:sz w:val="24"/>
          <w:szCs w:val="24"/>
        </w:rPr>
        <w:t>rules under the Montreal Protocol on destruction technologies and proc</w:t>
      </w:r>
      <w:r w:rsidR="00413B8A">
        <w:rPr>
          <w:rFonts w:ascii="Times New Roman" w:hAnsi="Times New Roman" w:cs="Times New Roman"/>
          <w:b/>
          <w:noProof/>
          <w:sz w:val="24"/>
          <w:szCs w:val="24"/>
        </w:rPr>
        <w:t>ess agent uses and their limits.</w:t>
      </w:r>
      <w:r w:rsidRPr="00A14107">
        <w:rPr>
          <w:rFonts w:ascii="Times New Roman" w:hAnsi="Times New Roman" w:cs="Times New Roman"/>
          <w:b/>
          <w:noProof/>
          <w:sz w:val="24"/>
          <w:szCs w:val="24"/>
        </w:rPr>
        <w:t xml:space="preserve"> </w:t>
      </w:r>
    </w:p>
    <w:p w14:paraId="3FC0B178" w14:textId="77777777" w:rsidR="00A14107" w:rsidRPr="00413B8A" w:rsidRDefault="00A14107" w:rsidP="00413B8A">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Lack of legal coherence with the more recent </w:t>
      </w:r>
      <w:r w:rsidRPr="008B0197">
        <w:rPr>
          <w:rFonts w:ascii="Times New Roman" w:hAnsi="Times New Roman" w:cs="Times New Roman"/>
          <w:b/>
          <w:noProof/>
          <w:sz w:val="24"/>
          <w:szCs w:val="24"/>
        </w:rPr>
        <w:t>Regulation (EU) 182/2011</w:t>
      </w:r>
      <w:r w:rsidR="009922A0">
        <w:rPr>
          <w:rFonts w:ascii="Times New Roman" w:hAnsi="Times New Roman" w:cs="Times New Roman"/>
          <w:b/>
          <w:noProof/>
          <w:sz w:val="24"/>
          <w:szCs w:val="24"/>
        </w:rPr>
        <w:t xml:space="preserve">, </w:t>
      </w:r>
      <w:r w:rsidR="009922A0" w:rsidRPr="009922A0">
        <w:rPr>
          <w:rFonts w:ascii="Times New Roman" w:hAnsi="Times New Roman" w:cs="Times New Roman"/>
          <w:noProof/>
          <w:sz w:val="24"/>
          <w:szCs w:val="24"/>
        </w:rPr>
        <w:t>which lays down the rules for the control of the Co</w:t>
      </w:r>
      <w:r w:rsidR="009922A0">
        <w:rPr>
          <w:rFonts w:ascii="Times New Roman" w:hAnsi="Times New Roman" w:cs="Times New Roman"/>
          <w:noProof/>
          <w:sz w:val="24"/>
          <w:szCs w:val="24"/>
        </w:rPr>
        <w:t>m</w:t>
      </w:r>
      <w:r w:rsidR="009922A0" w:rsidRPr="009922A0">
        <w:rPr>
          <w:rFonts w:ascii="Times New Roman" w:hAnsi="Times New Roman" w:cs="Times New Roman"/>
          <w:noProof/>
          <w:sz w:val="24"/>
          <w:szCs w:val="24"/>
        </w:rPr>
        <w:t>mission</w:t>
      </w:r>
      <w:r w:rsidR="009922A0">
        <w:rPr>
          <w:rFonts w:ascii="Times New Roman" w:hAnsi="Times New Roman" w:cs="Times New Roman"/>
          <w:noProof/>
          <w:sz w:val="24"/>
          <w:szCs w:val="24"/>
        </w:rPr>
        <w:t>’s exercise of</w:t>
      </w:r>
      <w:r w:rsidR="00413B8A">
        <w:rPr>
          <w:rFonts w:ascii="Times New Roman" w:hAnsi="Times New Roman" w:cs="Times New Roman"/>
          <w:noProof/>
          <w:sz w:val="24"/>
          <w:szCs w:val="24"/>
        </w:rPr>
        <w:t xml:space="preserve"> its implementing powers: </w:t>
      </w:r>
      <w:r w:rsidRPr="00413B8A">
        <w:rPr>
          <w:rFonts w:ascii="Times New Roman" w:hAnsi="Times New Roman" w:cs="Times New Roman"/>
          <w:noProof/>
          <w:sz w:val="24"/>
          <w:szCs w:val="24"/>
        </w:rPr>
        <w:t xml:space="preserve">The Regulation </w:t>
      </w:r>
      <w:r w:rsidR="00F72FAE">
        <w:rPr>
          <w:rFonts w:ascii="Times New Roman" w:hAnsi="Times New Roman" w:cs="Times New Roman"/>
          <w:noProof/>
          <w:sz w:val="24"/>
          <w:szCs w:val="24"/>
        </w:rPr>
        <w:t>needs to be aligned with that Regulation (where it refers to Directive 1999/468/EC) and also needs to be aligned with the Treaty (where it refers to regulatory procedure with scrutiny)</w:t>
      </w:r>
      <w:r w:rsidRPr="00413B8A">
        <w:rPr>
          <w:rFonts w:ascii="Times New Roman" w:hAnsi="Times New Roman" w:cs="Times New Roman"/>
          <w:noProof/>
          <w:sz w:val="24"/>
          <w:szCs w:val="24"/>
        </w:rPr>
        <w:t xml:space="preserve"> </w:t>
      </w:r>
    </w:p>
    <w:p w14:paraId="5E651FF5" w14:textId="77777777" w:rsidR="00A14107" w:rsidRPr="00A14107" w:rsidRDefault="00A14107" w:rsidP="008B019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Lack of coherence with </w:t>
      </w:r>
      <w:r w:rsidRPr="00A14107">
        <w:rPr>
          <w:rFonts w:ascii="Times New Roman" w:hAnsi="Times New Roman" w:cs="Times New Roman"/>
          <w:b/>
          <w:bCs/>
          <w:noProof/>
          <w:sz w:val="24"/>
          <w:szCs w:val="24"/>
        </w:rPr>
        <w:t xml:space="preserve">customs legislation: </w:t>
      </w:r>
      <w:r w:rsidRPr="00A14107">
        <w:rPr>
          <w:rFonts w:ascii="Times New Roman" w:hAnsi="Times New Roman" w:cs="Times New Roman"/>
          <w:noProof/>
          <w:sz w:val="24"/>
          <w:szCs w:val="24"/>
        </w:rPr>
        <w:t xml:space="preserve">Better coherence with the customs rules is relevant for preventing illegal trade in a more effective way. </w:t>
      </w:r>
      <w:r w:rsidR="00DE40A2">
        <w:rPr>
          <w:rFonts w:ascii="Times New Roman" w:hAnsi="Times New Roman" w:cs="Times New Roman"/>
          <w:noProof/>
          <w:sz w:val="24"/>
          <w:szCs w:val="24"/>
        </w:rPr>
        <w:t>A 2020 operation by the World Custom Organisation called DEMETER VI, where a number of EU Member States participated, found illegal shipments involving 11 tonnes of ODS</w:t>
      </w:r>
      <w:r w:rsidR="00DE40A2">
        <w:rPr>
          <w:rStyle w:val="FootnoteReference"/>
          <w:rFonts w:ascii="Times New Roman" w:hAnsi="Times New Roman" w:cs="Times New Roman"/>
          <w:noProof/>
          <w:sz w:val="24"/>
          <w:szCs w:val="24"/>
        </w:rPr>
        <w:footnoteReference w:id="39"/>
      </w:r>
      <w:r w:rsidR="00DE40A2">
        <w:rPr>
          <w:rFonts w:ascii="Times New Roman" w:hAnsi="Times New Roman" w:cs="Times New Roman"/>
          <w:noProof/>
          <w:sz w:val="24"/>
          <w:szCs w:val="24"/>
        </w:rPr>
        <w:t>. While this is not at the alleged level of illegal trade for fluorinated gases</w:t>
      </w:r>
      <w:r w:rsidR="00E34DAA">
        <w:rPr>
          <w:rFonts w:ascii="Times New Roman" w:hAnsi="Times New Roman" w:cs="Times New Roman"/>
          <w:noProof/>
          <w:sz w:val="24"/>
          <w:szCs w:val="24"/>
        </w:rPr>
        <w:t>,</w:t>
      </w:r>
      <w:r w:rsidR="00A92C82">
        <w:rPr>
          <w:rFonts w:ascii="Times New Roman" w:hAnsi="Times New Roman" w:cs="Times New Roman"/>
          <w:noProof/>
          <w:sz w:val="24"/>
          <w:szCs w:val="24"/>
        </w:rPr>
        <w:t xml:space="preserve"> custom officials have made the point </w:t>
      </w:r>
      <w:r w:rsidR="00DE40A2">
        <w:rPr>
          <w:rFonts w:ascii="Times New Roman" w:hAnsi="Times New Roman" w:cs="Times New Roman"/>
          <w:noProof/>
          <w:sz w:val="24"/>
          <w:szCs w:val="24"/>
        </w:rPr>
        <w:t>that</w:t>
      </w:r>
      <w:r w:rsidRPr="00A14107">
        <w:rPr>
          <w:rFonts w:ascii="Times New Roman" w:hAnsi="Times New Roman" w:cs="Times New Roman"/>
          <w:noProof/>
          <w:sz w:val="24"/>
          <w:szCs w:val="24"/>
        </w:rPr>
        <w:t xml:space="preserve"> the </w:t>
      </w:r>
      <w:r w:rsidRPr="00A14107">
        <w:rPr>
          <w:rFonts w:ascii="Times New Roman" w:hAnsi="Times New Roman" w:cs="Times New Roman"/>
          <w:bCs/>
          <w:noProof/>
          <w:sz w:val="24"/>
          <w:szCs w:val="24"/>
        </w:rPr>
        <w:t>role of customs in controlling imports is not sufficiently clear</w:t>
      </w:r>
      <w:r w:rsidR="00DE40A2">
        <w:rPr>
          <w:rFonts w:ascii="Times New Roman" w:hAnsi="Times New Roman" w:cs="Times New Roman"/>
          <w:bCs/>
          <w:noProof/>
          <w:sz w:val="24"/>
          <w:szCs w:val="24"/>
        </w:rPr>
        <w:t xml:space="preserve"> in the Regulation which </w:t>
      </w:r>
      <w:r w:rsidRPr="00A14107">
        <w:rPr>
          <w:rFonts w:ascii="Times New Roman" w:hAnsi="Times New Roman" w:cs="Times New Roman"/>
          <w:noProof/>
          <w:sz w:val="24"/>
          <w:szCs w:val="24"/>
        </w:rPr>
        <w:t xml:space="preserve">complicates enforcement. </w:t>
      </w:r>
      <w:r w:rsidR="00A92C82">
        <w:rPr>
          <w:rFonts w:ascii="Times New Roman" w:hAnsi="Times New Roman" w:cs="Times New Roman"/>
          <w:noProof/>
          <w:sz w:val="24"/>
          <w:szCs w:val="24"/>
        </w:rPr>
        <w:t xml:space="preserve">Special temporary custom procedures, such as transit, have been pinpointed as areas where trade facilitation may be exploited for illegal activities. </w:t>
      </w:r>
      <w:r w:rsidR="006640EC">
        <w:rPr>
          <w:rFonts w:ascii="Times New Roman" w:hAnsi="Times New Roman" w:cs="Times New Roman"/>
          <w:noProof/>
          <w:sz w:val="24"/>
          <w:szCs w:val="24"/>
        </w:rPr>
        <w:t>Many s</w:t>
      </w:r>
      <w:r w:rsidRPr="00A14107">
        <w:rPr>
          <w:rFonts w:ascii="Times New Roman" w:hAnsi="Times New Roman" w:cs="Times New Roman"/>
          <w:noProof/>
          <w:sz w:val="24"/>
          <w:szCs w:val="24"/>
        </w:rPr>
        <w:t>takeholders have emphasised that</w:t>
      </w:r>
      <w:r w:rsidR="00413B8A">
        <w:rPr>
          <w:rFonts w:ascii="Times New Roman" w:hAnsi="Times New Roman" w:cs="Times New Roman"/>
          <w:noProof/>
          <w:sz w:val="24"/>
          <w:szCs w:val="24"/>
        </w:rPr>
        <w:t xml:space="preserve"> the</w:t>
      </w:r>
      <w:r w:rsidRPr="00A14107">
        <w:rPr>
          <w:rFonts w:ascii="Times New Roman" w:hAnsi="Times New Roman" w:cs="Times New Roman"/>
          <w:noProof/>
          <w:sz w:val="24"/>
          <w:szCs w:val="24"/>
        </w:rPr>
        <w:t xml:space="preserve"> ODS </w:t>
      </w:r>
      <w:r w:rsidR="00413B8A">
        <w:rPr>
          <w:rFonts w:ascii="Times New Roman" w:hAnsi="Times New Roman" w:cs="Times New Roman"/>
          <w:noProof/>
          <w:sz w:val="24"/>
          <w:szCs w:val="24"/>
        </w:rPr>
        <w:t xml:space="preserve">Regulation </w:t>
      </w:r>
      <w:r w:rsidRPr="00A14107">
        <w:rPr>
          <w:rFonts w:ascii="Times New Roman" w:hAnsi="Times New Roman" w:cs="Times New Roman"/>
          <w:noProof/>
          <w:sz w:val="24"/>
          <w:szCs w:val="24"/>
        </w:rPr>
        <w:t xml:space="preserve">and </w:t>
      </w:r>
      <w:r w:rsidR="00413B8A">
        <w:rPr>
          <w:rFonts w:ascii="Times New Roman" w:hAnsi="Times New Roman" w:cs="Times New Roman"/>
          <w:noProof/>
          <w:sz w:val="24"/>
          <w:szCs w:val="24"/>
        </w:rPr>
        <w:t xml:space="preserve">the </w:t>
      </w:r>
      <w:r w:rsidR="00413B8A" w:rsidRPr="00A14107">
        <w:rPr>
          <w:rFonts w:ascii="Times New Roman" w:hAnsi="Times New Roman" w:cs="Times New Roman"/>
          <w:noProof/>
          <w:sz w:val="24"/>
          <w:szCs w:val="24"/>
        </w:rPr>
        <w:t>Regulation (EU) No 517/2014 (</w:t>
      </w:r>
      <w:r w:rsidR="00413B8A" w:rsidRPr="00A14107">
        <w:rPr>
          <w:rFonts w:ascii="Times New Roman" w:hAnsi="Times New Roman" w:cs="Times New Roman"/>
          <w:b/>
          <w:bCs/>
          <w:noProof/>
          <w:sz w:val="24"/>
          <w:szCs w:val="24"/>
        </w:rPr>
        <w:t>F-gas</w:t>
      </w:r>
      <w:r w:rsidR="00413B8A" w:rsidRPr="00A14107">
        <w:rPr>
          <w:b/>
          <w:bCs/>
          <w:noProof/>
          <w:sz w:val="24"/>
          <w:szCs w:val="24"/>
          <w:vertAlign w:val="superscript"/>
        </w:rPr>
        <w:footnoteReference w:id="40"/>
      </w:r>
      <w:r w:rsidR="00413B8A" w:rsidRPr="00A14107">
        <w:rPr>
          <w:rFonts w:ascii="Times New Roman" w:hAnsi="Times New Roman" w:cs="Times New Roman"/>
          <w:b/>
          <w:bCs/>
          <w:noProof/>
          <w:sz w:val="24"/>
          <w:szCs w:val="24"/>
        </w:rPr>
        <w:t xml:space="preserve"> Regulation)</w:t>
      </w:r>
      <w:r w:rsidRPr="00A14107">
        <w:rPr>
          <w:rFonts w:ascii="Times New Roman" w:hAnsi="Times New Roman" w:cs="Times New Roman"/>
          <w:noProof/>
          <w:sz w:val="24"/>
          <w:szCs w:val="24"/>
        </w:rPr>
        <w:t xml:space="preserve"> should take similar approaches as they concern similar sectors and objectives (emission prevention). Currently the usefulness of the CERTE</w:t>
      </w:r>
      <w:r w:rsidR="00BA1EBD">
        <w:rPr>
          <w:rFonts w:ascii="Times New Roman" w:hAnsi="Times New Roman" w:cs="Times New Roman"/>
          <w:noProof/>
          <w:sz w:val="24"/>
          <w:szCs w:val="24"/>
        </w:rPr>
        <w:t>X</w:t>
      </w:r>
      <w:r w:rsidRPr="00A14107">
        <w:rPr>
          <w:rFonts w:ascii="Times New Roman" w:hAnsi="Times New Roman" w:cs="Times New Roman"/>
          <w:noProof/>
          <w:sz w:val="24"/>
          <w:szCs w:val="24"/>
        </w:rPr>
        <w:t xml:space="preserve">/Single Window system is limited as relevant input data such as net mass is not provided with the customs declaration. </w:t>
      </w:r>
    </w:p>
    <w:p w14:paraId="6887F243" w14:textId="77777777" w:rsidR="00E34DAA" w:rsidRDefault="00A14107" w:rsidP="008B019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Currently it is difficult to judge if </w:t>
      </w:r>
      <w:r w:rsidRPr="00A14107">
        <w:rPr>
          <w:rFonts w:ascii="Times New Roman" w:hAnsi="Times New Roman" w:cs="Times New Roman"/>
          <w:b/>
          <w:noProof/>
          <w:sz w:val="24"/>
          <w:szCs w:val="24"/>
        </w:rPr>
        <w:t>national penalties have a dissuasive effect</w:t>
      </w:r>
      <w:r w:rsidRPr="00A14107">
        <w:rPr>
          <w:rFonts w:ascii="Times New Roman" w:hAnsi="Times New Roman" w:cs="Times New Roman"/>
          <w:noProof/>
          <w:sz w:val="24"/>
          <w:szCs w:val="24"/>
        </w:rPr>
        <w:t xml:space="preserve"> and non-compliance with relevant measures may not be treated as a criminal offence. </w:t>
      </w:r>
      <w:r w:rsidR="00E34DAA">
        <w:rPr>
          <w:rFonts w:ascii="Times New Roman" w:hAnsi="Times New Roman" w:cs="Times New Roman"/>
          <w:noProof/>
          <w:sz w:val="24"/>
          <w:szCs w:val="24"/>
        </w:rPr>
        <w:t xml:space="preserve">Business stakeholders report large discrepancies between rules in different Member States, and </w:t>
      </w:r>
      <w:r w:rsidR="00E34DAA">
        <w:rPr>
          <w:rFonts w:ascii="Times New Roman" w:hAnsi="Times New Roman" w:cs="Times New Roman"/>
          <w:bCs/>
          <w:noProof/>
          <w:sz w:val="24"/>
          <w:szCs w:val="24"/>
        </w:rPr>
        <w:t>i</w:t>
      </w:r>
      <w:r w:rsidRPr="00A14107">
        <w:rPr>
          <w:rFonts w:ascii="Times New Roman" w:hAnsi="Times New Roman" w:cs="Times New Roman"/>
          <w:bCs/>
          <w:noProof/>
          <w:sz w:val="24"/>
          <w:szCs w:val="24"/>
        </w:rPr>
        <w:t>ndustry associations request more harmonised and dissuasive penalties to discourage illegal activities.</w:t>
      </w:r>
      <w:r w:rsidR="00A92C82">
        <w:rPr>
          <w:rStyle w:val="FootnoteReference"/>
          <w:rFonts w:ascii="Times New Roman" w:hAnsi="Times New Roman" w:cs="Times New Roman"/>
          <w:bCs/>
          <w:noProof/>
          <w:sz w:val="24"/>
          <w:szCs w:val="24"/>
        </w:rPr>
        <w:footnoteReference w:id="41"/>
      </w:r>
      <w:r w:rsidRPr="00A14107">
        <w:rPr>
          <w:rFonts w:ascii="Times New Roman" w:hAnsi="Times New Roman" w:cs="Times New Roman"/>
          <w:bCs/>
          <w:noProof/>
          <w:sz w:val="24"/>
          <w:szCs w:val="24"/>
        </w:rPr>
        <w:t xml:space="preserve"> Directive 2008/99/EC on the </w:t>
      </w:r>
      <w:r w:rsidRPr="00A14107">
        <w:rPr>
          <w:rFonts w:ascii="Times New Roman" w:hAnsi="Times New Roman" w:cs="Times New Roman"/>
          <w:b/>
          <w:noProof/>
          <w:sz w:val="24"/>
          <w:szCs w:val="24"/>
        </w:rPr>
        <w:t xml:space="preserve">protection of the environment through criminal law </w:t>
      </w:r>
      <w:r w:rsidRPr="00A14107">
        <w:rPr>
          <w:rFonts w:ascii="Times New Roman" w:hAnsi="Times New Roman" w:cs="Times New Roman"/>
          <w:bCs/>
          <w:noProof/>
          <w:sz w:val="24"/>
          <w:szCs w:val="24"/>
        </w:rPr>
        <w:t xml:space="preserve">establishes </w:t>
      </w:r>
      <w:r w:rsidRPr="00A14107">
        <w:rPr>
          <w:rFonts w:ascii="Times New Roman" w:hAnsi="Times New Roman" w:cs="Times New Roman"/>
          <w:noProof/>
          <w:sz w:val="24"/>
          <w:szCs w:val="24"/>
        </w:rPr>
        <w:t>that the illegal</w:t>
      </w:r>
      <w:r w:rsidRPr="00A14107">
        <w:rPr>
          <w:rFonts w:ascii="Times New Roman" w:hAnsi="Times New Roman" w:cs="Times New Roman"/>
          <w:bCs/>
          <w:noProof/>
          <w:sz w:val="24"/>
          <w:szCs w:val="24"/>
        </w:rPr>
        <w:t xml:space="preserve"> production, </w:t>
      </w:r>
      <w:r w:rsidRPr="00A14107">
        <w:rPr>
          <w:rFonts w:ascii="Times New Roman" w:hAnsi="Times New Roman" w:cs="Times New Roman"/>
          <w:noProof/>
          <w:sz w:val="24"/>
          <w:szCs w:val="24"/>
        </w:rPr>
        <w:t>trade</w:t>
      </w:r>
      <w:r w:rsidRPr="00A14107">
        <w:rPr>
          <w:rFonts w:ascii="Times New Roman" w:hAnsi="Times New Roman" w:cs="Times New Roman"/>
          <w:bCs/>
          <w:noProof/>
          <w:sz w:val="24"/>
          <w:szCs w:val="24"/>
        </w:rPr>
        <w:t>, placing on the market or use of ozone-depleting substances is</w:t>
      </w:r>
      <w:r w:rsidRPr="00A14107">
        <w:rPr>
          <w:rFonts w:ascii="Times New Roman" w:hAnsi="Times New Roman" w:cs="Times New Roman"/>
          <w:noProof/>
          <w:sz w:val="24"/>
          <w:szCs w:val="24"/>
        </w:rPr>
        <w:t xml:space="preserve"> a criminal </w:t>
      </w:r>
      <w:r w:rsidRPr="00A14107">
        <w:rPr>
          <w:rFonts w:ascii="Times New Roman" w:hAnsi="Times New Roman" w:cs="Times New Roman"/>
          <w:bCs/>
          <w:noProof/>
          <w:sz w:val="24"/>
          <w:szCs w:val="24"/>
        </w:rPr>
        <w:t>offence. As it will be substantially amended, coherence is currently not ensured.</w:t>
      </w:r>
      <w:r w:rsidR="00E34DAA" w:rsidRPr="00E34DAA">
        <w:rPr>
          <w:rFonts w:ascii="Times New Roman" w:hAnsi="Times New Roman" w:cs="Times New Roman"/>
          <w:noProof/>
          <w:sz w:val="24"/>
          <w:szCs w:val="24"/>
        </w:rPr>
        <w:t xml:space="preserve"> </w:t>
      </w:r>
    </w:p>
    <w:p w14:paraId="4265E2A2" w14:textId="77777777" w:rsidR="00A14107" w:rsidRPr="00A14107" w:rsidRDefault="00E34DAA" w:rsidP="00243A67">
      <w:pPr>
        <w:numPr>
          <w:ilvl w:val="0"/>
          <w:numId w:val="5"/>
        </w:numPr>
        <w:spacing w:after="12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Differences wi</w:t>
      </w:r>
      <w:r w:rsidR="00413B8A">
        <w:rPr>
          <w:rFonts w:ascii="Times New Roman" w:hAnsi="Times New Roman" w:cs="Times New Roman"/>
          <w:noProof/>
          <w:sz w:val="24"/>
          <w:szCs w:val="24"/>
        </w:rPr>
        <w:t xml:space="preserve">th the </w:t>
      </w:r>
      <w:r w:rsidRPr="00A14107">
        <w:rPr>
          <w:rFonts w:ascii="Times New Roman" w:hAnsi="Times New Roman" w:cs="Times New Roman"/>
          <w:b/>
          <w:bCs/>
          <w:noProof/>
          <w:sz w:val="24"/>
          <w:szCs w:val="24"/>
        </w:rPr>
        <w:t>F-gas</w:t>
      </w:r>
      <w:r w:rsidR="00413B8A">
        <w:rPr>
          <w:rFonts w:ascii="Times New Roman" w:hAnsi="Times New Roman" w:cs="Times New Roman"/>
          <w:b/>
          <w:bCs/>
          <w:noProof/>
          <w:sz w:val="24"/>
          <w:szCs w:val="24"/>
        </w:rPr>
        <w:t xml:space="preserve"> Regulation</w:t>
      </w:r>
      <w:r w:rsidRPr="00A14107">
        <w:rPr>
          <w:rFonts w:ascii="Times New Roman" w:hAnsi="Times New Roman" w:cs="Times New Roman"/>
          <w:b/>
          <w:bCs/>
          <w:noProof/>
          <w:sz w:val="24"/>
          <w:szCs w:val="24"/>
        </w:rPr>
        <w:t xml:space="preserve">: </w:t>
      </w:r>
      <w:r w:rsidRPr="00A14107">
        <w:rPr>
          <w:rFonts w:ascii="Times New Roman" w:hAnsi="Times New Roman" w:cs="Times New Roman"/>
          <w:bCs/>
          <w:noProof/>
          <w:sz w:val="24"/>
          <w:szCs w:val="24"/>
        </w:rPr>
        <w:t>(Exempted)</w:t>
      </w:r>
      <w:r w:rsidRPr="00A14107">
        <w:rPr>
          <w:rFonts w:ascii="Times New Roman" w:hAnsi="Times New Roman" w:cs="Times New Roman"/>
          <w:b/>
          <w:bCs/>
          <w:noProof/>
          <w:sz w:val="24"/>
          <w:szCs w:val="24"/>
        </w:rPr>
        <w:t xml:space="preserve"> </w:t>
      </w:r>
      <w:r w:rsidRPr="00A14107">
        <w:rPr>
          <w:rFonts w:ascii="Times New Roman" w:hAnsi="Times New Roman" w:cs="Times New Roman"/>
          <w:bCs/>
          <w:noProof/>
          <w:sz w:val="24"/>
          <w:szCs w:val="24"/>
        </w:rPr>
        <w:t xml:space="preserve">ODS, in contrast to F-gases, can be placed on the market without a requirement to destroy or capture </w:t>
      </w:r>
      <w:r w:rsidRPr="00A14107">
        <w:rPr>
          <w:rFonts w:ascii="Times New Roman" w:hAnsi="Times New Roman" w:cs="Times New Roman"/>
          <w:noProof/>
          <w:sz w:val="24"/>
          <w:szCs w:val="24"/>
        </w:rPr>
        <w:t>the strong greenhouse gas HFC-23, which is often a by-product during the manufacturing process.</w:t>
      </w:r>
    </w:p>
    <w:p w14:paraId="59B44913" w14:textId="77777777" w:rsidR="00A14107" w:rsidRPr="00A14107" w:rsidRDefault="00A14107" w:rsidP="00E66EFA">
      <w:pPr>
        <w:spacing w:after="120"/>
        <w:rPr>
          <w:rFonts w:ascii="Times New Roman" w:hAnsi="Times New Roman" w:cs="Times New Roman"/>
          <w:noProof/>
          <w:sz w:val="24"/>
          <w:szCs w:val="24"/>
        </w:rPr>
      </w:pPr>
      <w:r w:rsidRPr="00A14107">
        <w:rPr>
          <w:rFonts w:ascii="Times New Roman" w:hAnsi="Times New Roman" w:cs="Times New Roman"/>
          <w:noProof/>
          <w:sz w:val="24"/>
          <w:szCs w:val="24"/>
        </w:rPr>
        <w:t>Finally, as indicated by the evaluation, there is also some scope for simplification and clarifications of the text. As these are not believed to have measurable impacts, they form part of all policy options. They are listed in Annex 7.</w:t>
      </w:r>
    </w:p>
    <w:p w14:paraId="74645124" w14:textId="77777777" w:rsidR="00A14107" w:rsidRPr="00A14107" w:rsidRDefault="00A14107" w:rsidP="00AD73CF">
      <w:pPr>
        <w:keepNext/>
        <w:numPr>
          <w:ilvl w:val="5"/>
          <w:numId w:val="14"/>
        </w:numPr>
        <w:spacing w:after="120" w:line="240" w:lineRule="auto"/>
        <w:ind w:left="2154" w:hanging="357"/>
        <w:jc w:val="both"/>
        <w:outlineLvl w:val="3"/>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Drivers</w:t>
      </w:r>
    </w:p>
    <w:p w14:paraId="4789B9DB" w14:textId="77777777" w:rsidR="00A14107" w:rsidRPr="00A14107" w:rsidRDefault="00A14107" w:rsidP="00A14107">
      <w:pPr>
        <w:spacing w:after="120"/>
        <w:rPr>
          <w:rFonts w:ascii="Times New Roman" w:hAnsi="Times New Roman" w:cs="Times New Roman"/>
          <w:noProof/>
          <w:sz w:val="24"/>
          <w:szCs w:val="24"/>
        </w:rPr>
      </w:pPr>
      <w:r w:rsidRPr="00A14107">
        <w:rPr>
          <w:rFonts w:ascii="Times New Roman" w:hAnsi="Times New Roman" w:cs="Times New Roman"/>
          <w:noProof/>
          <w:sz w:val="24"/>
          <w:szCs w:val="24"/>
        </w:rPr>
        <w:t>The following drivers are relevant:</w:t>
      </w:r>
    </w:p>
    <w:p w14:paraId="09ABD011" w14:textId="77777777" w:rsidR="00A14107" w:rsidRPr="00A14107" w:rsidRDefault="00A14107" w:rsidP="00243A6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Regulation is not updated to binding international rules as regards allowed destruction technologies and process agent uses and their limits. </w:t>
      </w:r>
    </w:p>
    <w:p w14:paraId="1F59D6EC" w14:textId="77777777" w:rsidR="00A14107" w:rsidRPr="00A14107" w:rsidRDefault="00A14107" w:rsidP="00243A6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The Regulation includes several references to the old ‘regulatory procedure with scrutiny’ for which no automatic alignment is envisaged by law.</w:t>
      </w:r>
    </w:p>
    <w:p w14:paraId="5496DECB" w14:textId="77777777" w:rsidR="00A14107" w:rsidRPr="00A14107" w:rsidRDefault="00A14107" w:rsidP="00243A6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Some time limits relating to custom</w:t>
      </w:r>
      <w:r w:rsidR="00925D9E">
        <w:rPr>
          <w:rFonts w:ascii="Times New Roman" w:hAnsi="Times New Roman" w:cs="Times New Roman"/>
          <w:noProof/>
          <w:sz w:val="24"/>
          <w:szCs w:val="24"/>
        </w:rPr>
        <w:t>s</w:t>
      </w:r>
      <w:r w:rsidRPr="00A14107">
        <w:rPr>
          <w:rFonts w:ascii="Times New Roman" w:hAnsi="Times New Roman" w:cs="Times New Roman"/>
          <w:noProof/>
          <w:sz w:val="24"/>
          <w:szCs w:val="24"/>
        </w:rPr>
        <w:t xml:space="preserve"> procedures are not aligned and the obligations of custom authorities are not explicitly specified in the Regulation. A clear legal base for requiring the net mass to be specified in customs documents is lacking.</w:t>
      </w:r>
    </w:p>
    <w:p w14:paraId="3AEE0164" w14:textId="77777777" w:rsidR="008B0197" w:rsidRPr="008B0197" w:rsidRDefault="00A14107" w:rsidP="008B0197">
      <w:pPr>
        <w:numPr>
          <w:ilvl w:val="0"/>
          <w:numId w:val="5"/>
        </w:numPr>
        <w:spacing w:after="0"/>
        <w:ind w:left="284" w:hanging="284"/>
        <w:jc w:val="both"/>
        <w:rPr>
          <w:rFonts w:ascii="Times New Roman" w:hAnsi="Times New Roman" w:cs="Times New Roman"/>
          <w:noProof/>
          <w:sz w:val="24"/>
          <w:szCs w:val="24"/>
        </w:rPr>
      </w:pPr>
      <w:r w:rsidRPr="00A14107">
        <w:rPr>
          <w:rFonts w:ascii="Times New Roman" w:hAnsi="Times New Roman" w:cs="Times New Roman"/>
          <w:bCs/>
          <w:noProof/>
          <w:sz w:val="24"/>
          <w:szCs w:val="24"/>
        </w:rPr>
        <w:t xml:space="preserve">The Regulation specifies the need for proportionate and dissuasive penalties but does not mention criminal offence. </w:t>
      </w:r>
    </w:p>
    <w:p w14:paraId="57B82587" w14:textId="77777777" w:rsidR="00A14107" w:rsidRPr="008B0197" w:rsidRDefault="008B0197" w:rsidP="008B0197">
      <w:pPr>
        <w:numPr>
          <w:ilvl w:val="0"/>
          <w:numId w:val="5"/>
        </w:numPr>
        <w:spacing w:after="120"/>
        <w:ind w:left="284" w:hanging="284"/>
        <w:jc w:val="both"/>
        <w:rPr>
          <w:rFonts w:ascii="Times New Roman" w:hAnsi="Times New Roman" w:cs="Times New Roman"/>
          <w:noProof/>
          <w:sz w:val="24"/>
          <w:szCs w:val="24"/>
        </w:rPr>
      </w:pPr>
      <w:r w:rsidRPr="00A14107">
        <w:rPr>
          <w:rFonts w:ascii="Times New Roman" w:hAnsi="Times New Roman" w:cs="Times New Roman"/>
          <w:noProof/>
          <w:sz w:val="24"/>
          <w:szCs w:val="24"/>
        </w:rPr>
        <w:t>The Regulation does not mirror relevant obligations on producers in the F-gas Regulation as regards the destruction or capture of HFC-23 by-production.</w:t>
      </w:r>
    </w:p>
    <w:p w14:paraId="4E84A1D4" w14:textId="77777777" w:rsidR="00A14107" w:rsidRPr="00A14107" w:rsidDel="00297158" w:rsidRDefault="00A14107" w:rsidP="00AD73CF">
      <w:pPr>
        <w:numPr>
          <w:ilvl w:val="5"/>
          <w:numId w:val="14"/>
        </w:numPr>
        <w:spacing w:after="120"/>
        <w:ind w:left="2154" w:hanging="357"/>
        <w:rPr>
          <w:rFonts w:ascii="Times New Roman" w:hAnsi="Times New Roman" w:cs="Times New Roman"/>
          <w:noProof/>
          <w:sz w:val="24"/>
          <w:szCs w:val="24"/>
        </w:rPr>
      </w:pPr>
      <w:r w:rsidRPr="00A14107">
        <w:rPr>
          <w:rFonts w:ascii="Times New Roman" w:hAnsi="Times New Roman" w:cs="Times New Roman"/>
          <w:noProof/>
          <w:sz w:val="24"/>
          <w:szCs w:val="24"/>
        </w:rPr>
        <w:t xml:space="preserve"> How the problem will evolve</w:t>
      </w:r>
    </w:p>
    <w:p w14:paraId="51413089" w14:textId="77777777" w:rsidR="00A14107" w:rsidRPr="00A14107" w:rsidRDefault="00A14107" w:rsidP="00CA31B8">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rPr>
        <w:t>With the current legal framework, the EU would not be able to align fully with international rules and could even risk non-compliance. Non-alignment with custom rules will prevent more efficient controls going forward and likely result in additional emissions. Similarly, non-alignment with EU rules on environmental crimes, taking into account developments on the review of the Environmental Crimes Directive, and a lack of harmonisation of penalty rules would prevent coherent implementation across the Union.</w:t>
      </w:r>
      <w:r w:rsidR="008B0197" w:rsidRPr="008B0197">
        <w:rPr>
          <w:rFonts w:ascii="Times New Roman" w:hAnsi="Times New Roman" w:cs="Times New Roman"/>
          <w:noProof/>
          <w:sz w:val="24"/>
          <w:szCs w:val="24"/>
        </w:rPr>
        <w:t xml:space="preserve"> </w:t>
      </w:r>
      <w:r w:rsidR="008B0197" w:rsidRPr="00A14107">
        <w:rPr>
          <w:rFonts w:ascii="Times New Roman" w:hAnsi="Times New Roman" w:cs="Times New Roman"/>
          <w:noProof/>
          <w:sz w:val="24"/>
          <w:szCs w:val="24"/>
        </w:rPr>
        <w:t>Potential emissions may also arise from a non-alignment with the F-gas Regulation as it leaves some loopholes on producer obligations</w:t>
      </w:r>
      <w:r w:rsidR="008B0197" w:rsidRPr="00A14107">
        <w:rPr>
          <w:rFonts w:ascii="Times New Roman" w:hAnsi="Times New Roman" w:cs="Times New Roman"/>
          <w:noProof/>
        </w:rPr>
        <w:t>.</w:t>
      </w:r>
      <w:r w:rsidR="008B0197" w:rsidRPr="00A14107">
        <w:rPr>
          <w:noProof/>
          <w:vertAlign w:val="superscript"/>
        </w:rPr>
        <w:footnoteReference w:id="42"/>
      </w:r>
    </w:p>
    <w:p w14:paraId="4CEFCE89" w14:textId="3EF34549" w:rsidR="00A14107" w:rsidRDefault="00896FDA" w:rsidP="00896FDA">
      <w:pPr>
        <w:pStyle w:val="Heading1"/>
        <w:rPr>
          <w:noProof/>
        </w:rPr>
      </w:pPr>
      <w:bookmarkStart w:id="59" w:name="_Toc71559396"/>
      <w:bookmarkStart w:id="60" w:name="_Toc71707001"/>
      <w:bookmarkStart w:id="61" w:name="_Toc71708211"/>
      <w:bookmarkStart w:id="62" w:name="_Toc71710943"/>
      <w:bookmarkStart w:id="63" w:name="_Toc72399345"/>
      <w:bookmarkStart w:id="64" w:name="_Toc93511457"/>
      <w:r w:rsidRPr="00896FDA">
        <w:t>3.</w:t>
      </w:r>
      <w:r w:rsidRPr="00896FDA">
        <w:tab/>
      </w:r>
      <w:r w:rsidR="00A14107" w:rsidRPr="00A14107">
        <w:rPr>
          <w:noProof/>
        </w:rPr>
        <w:t>Why should the EU act?</w:t>
      </w:r>
      <w:bookmarkEnd w:id="59"/>
      <w:bookmarkEnd w:id="60"/>
      <w:bookmarkEnd w:id="61"/>
      <w:bookmarkEnd w:id="62"/>
      <w:bookmarkEnd w:id="63"/>
      <w:bookmarkEnd w:id="64"/>
    </w:p>
    <w:p w14:paraId="26D344A6" w14:textId="78AA7910" w:rsidR="002E001A" w:rsidRDefault="00896FDA" w:rsidP="00896FDA">
      <w:pPr>
        <w:pStyle w:val="Heading2"/>
        <w:rPr>
          <w:noProof/>
        </w:rPr>
      </w:pPr>
      <w:bookmarkStart w:id="65" w:name="_Toc71730863"/>
      <w:bookmarkStart w:id="66" w:name="_Toc93511458"/>
      <w:r w:rsidRPr="00896FDA">
        <w:t>3.1.</w:t>
      </w:r>
      <w:r w:rsidRPr="00896FDA">
        <w:tab/>
      </w:r>
      <w:r w:rsidR="002E001A">
        <w:rPr>
          <w:noProof/>
        </w:rPr>
        <w:t>Legal basis</w:t>
      </w:r>
      <w:bookmarkEnd w:id="65"/>
      <w:bookmarkEnd w:id="66"/>
    </w:p>
    <w:p w14:paraId="11FD56D8" w14:textId="77777777" w:rsidR="004B241B" w:rsidRDefault="004B241B" w:rsidP="004B241B">
      <w:pPr>
        <w:jc w:val="both"/>
        <w:rPr>
          <w:rFonts w:ascii="Times New Roman" w:hAnsi="Times New Roman" w:cs="Times New Roman"/>
          <w:noProof/>
          <w:sz w:val="24"/>
          <w:szCs w:val="24"/>
        </w:rPr>
      </w:pPr>
      <w:bookmarkStart w:id="67" w:name="_Toc71730864"/>
      <w:r w:rsidRPr="002E001A">
        <w:rPr>
          <w:rFonts w:ascii="Times New Roman" w:hAnsi="Times New Roman" w:cs="Times New Roman"/>
          <w:noProof/>
          <w:sz w:val="24"/>
          <w:szCs w:val="24"/>
        </w:rPr>
        <w:t>The legal basis for taking action is Article 191 of the Treaty on the Functioning of the European Union, in line with the objective to preserve, protect and improve the quality of the environment; protect human health; and to promote measures at international level to deal with climate change.</w:t>
      </w:r>
    </w:p>
    <w:p w14:paraId="3EF95B55" w14:textId="0DA11B8C" w:rsidR="004B241B" w:rsidRDefault="00896FDA" w:rsidP="00896FDA">
      <w:pPr>
        <w:pStyle w:val="Heading2"/>
        <w:rPr>
          <w:noProof/>
        </w:rPr>
      </w:pPr>
      <w:bookmarkStart w:id="68" w:name="_Toc93511459"/>
      <w:r w:rsidRPr="00896FDA">
        <w:t>3.2.</w:t>
      </w:r>
      <w:r w:rsidRPr="00896FDA">
        <w:tab/>
      </w:r>
      <w:r w:rsidR="004B241B">
        <w:rPr>
          <w:noProof/>
        </w:rPr>
        <w:t>Subsidiarity: Necessity of EU action</w:t>
      </w:r>
      <w:bookmarkEnd w:id="67"/>
      <w:bookmarkEnd w:id="68"/>
    </w:p>
    <w:p w14:paraId="7F31B4ED" w14:textId="77777777" w:rsidR="009138FE"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EU and the EU Member States, as parties to the Protocol, have a number of requirements to fulfil (see 1.2) at the international level. There are similar requirements in international trade agreements that the EU has concluded. The EU is considered a regional economic integration organisation (REIO) under the Protocol, and therefore complies with these requirements at Union level (e.g. reporting, licensing system, consumption phase-out), which requires relevant legislation at the same level. Only for the Protocol’s ODS production phase-out schedules is it the Member States</w:t>
      </w:r>
      <w:r w:rsidRPr="00A14107">
        <w:rPr>
          <w:noProof/>
          <w:sz w:val="24"/>
          <w:szCs w:val="24"/>
          <w:vertAlign w:val="superscript"/>
        </w:rPr>
        <w:footnoteReference w:id="43"/>
      </w:r>
      <w:r w:rsidRPr="00A14107">
        <w:rPr>
          <w:rFonts w:ascii="Times New Roman" w:hAnsi="Times New Roman" w:cs="Times New Roman"/>
          <w:noProof/>
          <w:sz w:val="24"/>
          <w:szCs w:val="24"/>
        </w:rPr>
        <w:t xml:space="preserve"> that need to comply with this provision individually.</w:t>
      </w:r>
      <w:r w:rsidR="009138FE" w:rsidRPr="009138FE">
        <w:rPr>
          <w:rFonts w:ascii="Times New Roman" w:hAnsi="Times New Roman" w:cs="Times New Roman"/>
          <w:noProof/>
          <w:sz w:val="24"/>
          <w:szCs w:val="24"/>
        </w:rPr>
        <w:t xml:space="preserve"> </w:t>
      </w:r>
    </w:p>
    <w:p w14:paraId="30F6DB44" w14:textId="77777777" w:rsidR="00A14107" w:rsidRPr="00A14107" w:rsidRDefault="009138FE" w:rsidP="009138FE">
      <w:pPr>
        <w:jc w:val="both"/>
        <w:rPr>
          <w:rFonts w:ascii="Times New Roman" w:hAnsi="Times New Roman" w:cs="Times New Roman"/>
          <w:noProof/>
          <w:sz w:val="24"/>
          <w:szCs w:val="24"/>
        </w:rPr>
      </w:pPr>
      <w:r w:rsidRPr="00E5468D">
        <w:rPr>
          <w:rFonts w:ascii="Times New Roman" w:hAnsi="Times New Roman" w:cs="Times New Roman"/>
          <w:noProof/>
          <w:sz w:val="24"/>
          <w:szCs w:val="24"/>
        </w:rPr>
        <w:t xml:space="preserve">A hypothetical implementation of these commitments under the Protocol at Member State level is </w:t>
      </w:r>
      <w:r w:rsidRPr="00854898">
        <w:rPr>
          <w:rFonts w:ascii="Times New Roman" w:hAnsi="Times New Roman" w:cs="Times New Roman"/>
          <w:noProof/>
          <w:sz w:val="24"/>
          <w:szCs w:val="24"/>
        </w:rPr>
        <w:t xml:space="preserve">very </w:t>
      </w:r>
      <w:r w:rsidRPr="00854898">
        <w:rPr>
          <w:rFonts w:ascii="Times New Roman" w:hAnsi="Times New Roman" w:cs="Times New Roman"/>
          <w:b/>
          <w:noProof/>
          <w:sz w:val="24"/>
          <w:szCs w:val="24"/>
        </w:rPr>
        <w:t>difficult to reconcile with the general principles of the EU internal market and the free movement of goods</w:t>
      </w:r>
      <w:r w:rsidRPr="00E5468D">
        <w:rPr>
          <w:rFonts w:ascii="Times New Roman" w:hAnsi="Times New Roman" w:cs="Times New Roman"/>
          <w:noProof/>
          <w:sz w:val="24"/>
          <w:szCs w:val="24"/>
        </w:rPr>
        <w:t xml:space="preserve">. The </w:t>
      </w:r>
      <w:r>
        <w:rPr>
          <w:rFonts w:ascii="Times New Roman" w:hAnsi="Times New Roman" w:cs="Times New Roman"/>
          <w:noProof/>
          <w:sz w:val="24"/>
          <w:szCs w:val="24"/>
        </w:rPr>
        <w:t>e</w:t>
      </w:r>
      <w:r w:rsidRPr="00E5468D">
        <w:rPr>
          <w:rFonts w:ascii="Times New Roman" w:hAnsi="Times New Roman" w:cs="Times New Roman"/>
          <w:noProof/>
          <w:sz w:val="24"/>
          <w:szCs w:val="24"/>
        </w:rPr>
        <w:t xml:space="preserve">valuation concluded that only a common and harmonised EU approach can effectively implement the Protocol’s obligations and respect internal market rules. </w:t>
      </w:r>
    </w:p>
    <w:p w14:paraId="09467A3A" w14:textId="645435CE" w:rsidR="00A14107" w:rsidRPr="00E66EFA" w:rsidRDefault="00896FDA" w:rsidP="00896FDA">
      <w:pPr>
        <w:pStyle w:val="Heading2"/>
        <w:rPr>
          <w:noProof/>
        </w:rPr>
      </w:pPr>
      <w:bookmarkStart w:id="69" w:name="_Toc71559399"/>
      <w:bookmarkStart w:id="70" w:name="_Toc71707004"/>
      <w:bookmarkStart w:id="71" w:name="_Toc71708214"/>
      <w:bookmarkStart w:id="72" w:name="_Toc71710946"/>
      <w:bookmarkStart w:id="73" w:name="_Toc72399348"/>
      <w:bookmarkStart w:id="74" w:name="_Toc93511460"/>
      <w:r w:rsidRPr="00896FDA">
        <w:t>3.3.</w:t>
      </w:r>
      <w:r w:rsidRPr="00896FDA">
        <w:tab/>
      </w:r>
      <w:r w:rsidR="00A14107" w:rsidRPr="00E66EFA">
        <w:rPr>
          <w:noProof/>
        </w:rPr>
        <w:t>Subsidiarity: Added value of EU action</w:t>
      </w:r>
      <w:bookmarkEnd w:id="69"/>
      <w:bookmarkEnd w:id="70"/>
      <w:bookmarkEnd w:id="71"/>
      <w:bookmarkEnd w:id="72"/>
      <w:bookmarkEnd w:id="73"/>
      <w:bookmarkEnd w:id="74"/>
    </w:p>
    <w:p w14:paraId="6FCBB139" w14:textId="77777777" w:rsidR="00A14107" w:rsidRPr="00A14107" w:rsidRDefault="00A14107" w:rsidP="00A14107">
      <w:pPr>
        <w:jc w:val="both"/>
        <w:rPr>
          <w:rFonts w:ascii="Times New Roman" w:hAnsi="Times New Roman" w:cs="Times New Roman"/>
          <w:noProof/>
          <w:sz w:val="24"/>
          <w:szCs w:val="24"/>
        </w:rPr>
      </w:pPr>
      <w:r w:rsidRPr="00A14107">
        <w:rPr>
          <w:rFonts w:ascii="Times New Roman" w:hAnsi="Times New Roman" w:cs="Times New Roman"/>
          <w:noProof/>
          <w:sz w:val="24"/>
          <w:szCs w:val="24"/>
        </w:rPr>
        <w:t>Compared to the counter-factual scenario where national systems for licensing import/exports, phase-outs, and reporting would need to be implemented, the EU level approach provides much higher efficiency for authorities and undertakings, in particular for companies operating in more than one EU Member State. By way of example, the trade and transfer of recovered, recycled and reclaimed ODS (Annex I)</w:t>
      </w:r>
      <w:r w:rsidRPr="00A14107">
        <w:rPr>
          <w:noProof/>
          <w:sz w:val="24"/>
          <w:szCs w:val="24"/>
          <w:vertAlign w:val="superscript"/>
        </w:rPr>
        <w:footnoteReference w:id="44"/>
      </w:r>
      <w:r w:rsidRPr="00A14107">
        <w:rPr>
          <w:rFonts w:ascii="Times New Roman" w:hAnsi="Times New Roman" w:cs="Times New Roman"/>
          <w:noProof/>
          <w:sz w:val="24"/>
          <w:szCs w:val="24"/>
        </w:rPr>
        <w:t xml:space="preserve"> strongly benefits from the interconnected EU market and harmonised rules for cross-border movement of goods. As estimated by the evaluation, the needed additional measures for national implementation of the Regulation compared to the current situation would increase the administrative effort by a factor larger than 18. Furthermore, Member States would likely implement different legislative approaches. Even though a few could choose to be more ambitious at the national level, the sum of national ODS legislation would likely be less ambitious </w:t>
      </w:r>
      <w:r w:rsidR="00925D9E">
        <w:rPr>
          <w:rFonts w:ascii="Times New Roman" w:hAnsi="Times New Roman" w:cs="Times New Roman"/>
          <w:noProof/>
          <w:sz w:val="24"/>
          <w:szCs w:val="24"/>
        </w:rPr>
        <w:t>than</w:t>
      </w:r>
      <w:r w:rsidRPr="00A14107">
        <w:rPr>
          <w:rFonts w:ascii="Times New Roman" w:hAnsi="Times New Roman" w:cs="Times New Roman"/>
          <w:noProof/>
          <w:sz w:val="24"/>
          <w:szCs w:val="24"/>
        </w:rPr>
        <w:t xml:space="preserve"> an overall EU-</w:t>
      </w:r>
      <w:r w:rsidR="00925D9E">
        <w:rPr>
          <w:rFonts w:ascii="Times New Roman" w:hAnsi="Times New Roman" w:cs="Times New Roman"/>
          <w:noProof/>
          <w:sz w:val="24"/>
          <w:szCs w:val="24"/>
        </w:rPr>
        <w:t xml:space="preserve">wide </w:t>
      </w:r>
      <w:r w:rsidRPr="00A14107">
        <w:rPr>
          <w:rFonts w:ascii="Times New Roman" w:hAnsi="Times New Roman" w:cs="Times New Roman"/>
          <w:noProof/>
          <w:sz w:val="24"/>
          <w:szCs w:val="24"/>
        </w:rPr>
        <w:t xml:space="preserve">approach, as confirmed by industry and authorities alike. Likewise, undertakings would need to ensure that they comply with different requirements set by the countries where they operate. The EU added value is fully confirmed by the favourable opinion among stakeholders towards regulating ODS at EU level. </w:t>
      </w:r>
    </w:p>
    <w:p w14:paraId="745AD3B6" w14:textId="6D5B5837" w:rsidR="00A14107" w:rsidRPr="00A14107" w:rsidRDefault="00896FDA" w:rsidP="00896FDA">
      <w:pPr>
        <w:pStyle w:val="Heading1"/>
        <w:rPr>
          <w:noProof/>
        </w:rPr>
      </w:pPr>
      <w:bookmarkStart w:id="75" w:name="_Toc71559400"/>
      <w:bookmarkStart w:id="76" w:name="_Toc71707005"/>
      <w:bookmarkStart w:id="77" w:name="_Toc71708215"/>
      <w:bookmarkStart w:id="78" w:name="_Toc71710947"/>
      <w:bookmarkStart w:id="79" w:name="_Toc72399349"/>
      <w:bookmarkStart w:id="80" w:name="_Toc93511461"/>
      <w:r w:rsidRPr="00896FDA">
        <w:t>4.</w:t>
      </w:r>
      <w:r w:rsidRPr="00896FDA">
        <w:tab/>
      </w:r>
      <w:r w:rsidR="00A14107" w:rsidRPr="00A14107">
        <w:rPr>
          <w:noProof/>
        </w:rPr>
        <w:t>Objectives: What is to be achieved?</w:t>
      </w:r>
      <w:bookmarkEnd w:id="75"/>
      <w:bookmarkEnd w:id="76"/>
      <w:bookmarkEnd w:id="77"/>
      <w:bookmarkEnd w:id="78"/>
      <w:bookmarkEnd w:id="79"/>
      <w:bookmarkEnd w:id="80"/>
    </w:p>
    <w:p w14:paraId="5B78DEA2" w14:textId="578390EA" w:rsidR="00A14107" w:rsidRPr="006578FA" w:rsidRDefault="00896FDA" w:rsidP="00896FDA">
      <w:pPr>
        <w:pStyle w:val="Heading2"/>
        <w:rPr>
          <w:noProof/>
        </w:rPr>
      </w:pPr>
      <w:bookmarkStart w:id="81" w:name="_Toc71559401"/>
      <w:bookmarkStart w:id="82" w:name="_Toc71707006"/>
      <w:bookmarkStart w:id="83" w:name="_Toc71708216"/>
      <w:bookmarkStart w:id="84" w:name="_Toc71710948"/>
      <w:bookmarkStart w:id="85" w:name="_Toc72399350"/>
      <w:bookmarkStart w:id="86" w:name="_Toc93511462"/>
      <w:r w:rsidRPr="00896FDA">
        <w:t>4.1.</w:t>
      </w:r>
      <w:r w:rsidRPr="00896FDA">
        <w:tab/>
      </w:r>
      <w:r w:rsidR="00A14107" w:rsidRPr="006578FA">
        <w:rPr>
          <w:noProof/>
        </w:rPr>
        <w:t>General (review) objectives</w:t>
      </w:r>
      <w:bookmarkEnd w:id="81"/>
      <w:bookmarkEnd w:id="82"/>
      <w:bookmarkEnd w:id="83"/>
      <w:bookmarkEnd w:id="84"/>
      <w:bookmarkEnd w:id="85"/>
      <w:bookmarkEnd w:id="86"/>
    </w:p>
    <w:p w14:paraId="4701CDE2" w14:textId="77777777" w:rsidR="00A14107" w:rsidRPr="00BB4760" w:rsidRDefault="00A14107" w:rsidP="00A14107">
      <w:pPr>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EU should take action and provide solutions in order to examine if more ambitious emission reductions in line with the Green Deal are possible. Furthermore, while it is paramount to have an ambitious EU policy in place to protect the ozone layer and contribute to fighting climate change as well as to ensure compliance rules under the Protocol (and bilateral trade agreements), this should be achieved </w:t>
      </w:r>
      <w:r w:rsidRPr="00A14107">
        <w:rPr>
          <w:rFonts w:ascii="Times New Roman" w:hAnsi="Times New Roman" w:cs="Times New Roman"/>
          <w:i/>
          <w:noProof/>
          <w:sz w:val="24"/>
          <w:szCs w:val="24"/>
        </w:rPr>
        <w:t xml:space="preserve">in a more efficient, </w:t>
      </w:r>
      <w:r w:rsidRPr="00BB4760">
        <w:rPr>
          <w:rFonts w:ascii="Times New Roman" w:hAnsi="Times New Roman" w:cs="Times New Roman"/>
          <w:i/>
          <w:noProof/>
          <w:sz w:val="24"/>
          <w:szCs w:val="24"/>
        </w:rPr>
        <w:t>coherent and clear manner</w:t>
      </w:r>
      <w:r w:rsidRPr="00BB4760">
        <w:rPr>
          <w:rFonts w:ascii="Times New Roman" w:hAnsi="Times New Roman" w:cs="Times New Roman"/>
          <w:noProof/>
          <w:sz w:val="24"/>
          <w:szCs w:val="24"/>
        </w:rPr>
        <w:t>, while maintaining and/or improving controls. .</w:t>
      </w:r>
    </w:p>
    <w:p w14:paraId="2B44398F" w14:textId="751C3E01" w:rsidR="00A14107" w:rsidRPr="006578FA" w:rsidRDefault="00896FDA" w:rsidP="00896FDA">
      <w:pPr>
        <w:pStyle w:val="Heading2"/>
        <w:rPr>
          <w:noProof/>
        </w:rPr>
      </w:pPr>
      <w:bookmarkStart w:id="87" w:name="_Toc71559402"/>
      <w:bookmarkStart w:id="88" w:name="_Toc71707007"/>
      <w:bookmarkStart w:id="89" w:name="_Toc71708217"/>
      <w:bookmarkStart w:id="90" w:name="_Toc71710949"/>
      <w:bookmarkStart w:id="91" w:name="_Toc72399351"/>
      <w:bookmarkStart w:id="92" w:name="_Toc93511463"/>
      <w:r w:rsidRPr="00896FDA">
        <w:t>4.2.</w:t>
      </w:r>
      <w:r w:rsidRPr="00896FDA">
        <w:tab/>
      </w:r>
      <w:r w:rsidR="00A14107" w:rsidRPr="006578FA">
        <w:rPr>
          <w:noProof/>
        </w:rPr>
        <w:t>Specific (review) objectives</w:t>
      </w:r>
      <w:bookmarkEnd w:id="87"/>
      <w:bookmarkEnd w:id="88"/>
      <w:bookmarkEnd w:id="89"/>
      <w:bookmarkEnd w:id="90"/>
      <w:bookmarkEnd w:id="91"/>
      <w:bookmarkEnd w:id="92"/>
    </w:p>
    <w:p w14:paraId="7360F059" w14:textId="77777777" w:rsidR="00A14107" w:rsidRPr="00D70A6E" w:rsidRDefault="00A14107" w:rsidP="00A14107">
      <w:pPr>
        <w:spacing w:after="0"/>
        <w:rPr>
          <w:rFonts w:ascii="Times New Roman" w:hAnsi="Times New Roman" w:cs="Times New Roman"/>
          <w:b/>
          <w:noProof/>
          <w:sz w:val="24"/>
          <w:szCs w:val="24"/>
        </w:rPr>
      </w:pPr>
      <w:r w:rsidRPr="00A14107">
        <w:rPr>
          <w:rFonts w:ascii="Times New Roman" w:hAnsi="Times New Roman" w:cs="Times New Roman"/>
          <w:b/>
          <w:noProof/>
          <w:sz w:val="24"/>
          <w:szCs w:val="24"/>
        </w:rPr>
        <w:t xml:space="preserve">Fit </w:t>
      </w:r>
      <w:r w:rsidRPr="00D70A6E">
        <w:rPr>
          <w:rFonts w:ascii="Times New Roman" w:hAnsi="Times New Roman" w:cs="Times New Roman"/>
          <w:b/>
          <w:noProof/>
          <w:sz w:val="24"/>
          <w:szCs w:val="24"/>
        </w:rPr>
        <w:t>for the European Green Deal</w:t>
      </w:r>
      <w:r w:rsidR="00F748F9" w:rsidRPr="00D70A6E">
        <w:rPr>
          <w:rFonts w:ascii="Times New Roman" w:hAnsi="Times New Roman" w:cs="Times New Roman"/>
          <w:b/>
          <w:noProof/>
          <w:sz w:val="24"/>
          <w:szCs w:val="24"/>
        </w:rPr>
        <w:t>:</w:t>
      </w:r>
    </w:p>
    <w:p w14:paraId="68F17885" w14:textId="77777777" w:rsidR="00A14107" w:rsidRPr="00D70A6E" w:rsidRDefault="00D70A6E" w:rsidP="00243A67">
      <w:pPr>
        <w:numPr>
          <w:ilvl w:val="0"/>
          <w:numId w:val="6"/>
        </w:numPr>
        <w:spacing w:after="0"/>
        <w:ind w:left="714" w:hanging="357"/>
        <w:contextualSpacing/>
        <w:rPr>
          <w:rFonts w:ascii="Times New Roman" w:hAnsi="Times New Roman" w:cs="Times New Roman"/>
          <w:noProof/>
          <w:sz w:val="24"/>
          <w:szCs w:val="24"/>
        </w:rPr>
      </w:pPr>
      <w:r w:rsidRPr="00D70A6E">
        <w:rPr>
          <w:rFonts w:ascii="Times New Roman" w:hAnsi="Times New Roman" w:cs="Times New Roman"/>
          <w:noProof/>
          <w:color w:val="000000" w:themeColor="text1"/>
          <w:sz w:val="24"/>
          <w:szCs w:val="24"/>
        </w:rPr>
        <w:t>Achieve a higher</w:t>
      </w:r>
      <w:r w:rsidR="00A14107" w:rsidRPr="00D70A6E">
        <w:rPr>
          <w:rFonts w:ascii="Times New Roman" w:hAnsi="Times New Roman" w:cs="Times New Roman"/>
          <w:noProof/>
          <w:color w:val="000000" w:themeColor="text1"/>
          <w:sz w:val="24"/>
          <w:szCs w:val="24"/>
        </w:rPr>
        <w:t xml:space="preserve"> level of additional emission redu</w:t>
      </w:r>
      <w:r w:rsidR="00A14107" w:rsidRPr="00D70A6E">
        <w:rPr>
          <w:rFonts w:ascii="Times New Roman" w:hAnsi="Times New Roman" w:cs="Times New Roman"/>
          <w:noProof/>
          <w:color w:val="000000" w:themeColor="text1"/>
          <w:sz w:val="24"/>
          <w:szCs w:val="24"/>
          <w:shd w:val="clear" w:color="auto" w:fill="F9F9F9"/>
        </w:rPr>
        <w:t>cti</w:t>
      </w:r>
      <w:r w:rsidR="00A14107" w:rsidRPr="00D70A6E">
        <w:rPr>
          <w:rFonts w:ascii="Times New Roman" w:hAnsi="Times New Roman" w:cs="Times New Roman"/>
          <w:noProof/>
          <w:color w:val="000000" w:themeColor="text1"/>
          <w:sz w:val="24"/>
          <w:szCs w:val="24"/>
        </w:rPr>
        <w:t xml:space="preserve">ons </w:t>
      </w:r>
    </w:p>
    <w:p w14:paraId="12A97FA1" w14:textId="77777777" w:rsidR="00A14107" w:rsidRPr="00D70A6E" w:rsidRDefault="00A14107" w:rsidP="00A14107">
      <w:pPr>
        <w:spacing w:after="0"/>
        <w:rPr>
          <w:rFonts w:ascii="Times New Roman" w:hAnsi="Times New Roman" w:cs="Times New Roman"/>
          <w:b/>
          <w:noProof/>
          <w:sz w:val="24"/>
          <w:szCs w:val="24"/>
        </w:rPr>
      </w:pPr>
      <w:r w:rsidRPr="00D70A6E">
        <w:rPr>
          <w:rFonts w:ascii="Times New Roman" w:hAnsi="Times New Roman" w:cs="Times New Roman"/>
          <w:b/>
          <w:noProof/>
          <w:sz w:val="24"/>
          <w:szCs w:val="24"/>
        </w:rPr>
        <w:t>Fine-tuning the design of the Regulation</w:t>
      </w:r>
      <w:r w:rsidR="00F748F9" w:rsidRPr="00D70A6E">
        <w:rPr>
          <w:rFonts w:ascii="Times New Roman" w:hAnsi="Times New Roman" w:cs="Times New Roman"/>
          <w:b/>
          <w:noProof/>
          <w:sz w:val="24"/>
          <w:szCs w:val="24"/>
        </w:rPr>
        <w:t>:</w:t>
      </w:r>
    </w:p>
    <w:p w14:paraId="0B91F9E4" w14:textId="77777777" w:rsidR="00A14107" w:rsidRPr="00A14107" w:rsidRDefault="00A14107" w:rsidP="00243A67">
      <w:pPr>
        <w:numPr>
          <w:ilvl w:val="0"/>
          <w:numId w:val="6"/>
        </w:numPr>
        <w:contextualSpacing/>
        <w:jc w:val="both"/>
        <w:rPr>
          <w:rFonts w:ascii="Times New Roman" w:hAnsi="Times New Roman" w:cs="Times New Roman"/>
          <w:noProof/>
          <w:sz w:val="24"/>
          <w:szCs w:val="24"/>
        </w:rPr>
      </w:pPr>
      <w:r w:rsidRPr="00D70A6E">
        <w:rPr>
          <w:rFonts w:ascii="Times New Roman" w:hAnsi="Times New Roman" w:cs="Times New Roman"/>
          <w:noProof/>
          <w:color w:val="000000" w:themeColor="text1"/>
          <w:sz w:val="24"/>
          <w:szCs w:val="24"/>
        </w:rPr>
        <w:t>Improve</w:t>
      </w:r>
      <w:r w:rsidRPr="00A14107">
        <w:rPr>
          <w:rFonts w:ascii="Times New Roman" w:hAnsi="Times New Roman" w:cs="Times New Roman"/>
          <w:noProof/>
          <w:color w:val="000000" w:themeColor="text1"/>
          <w:sz w:val="24"/>
          <w:szCs w:val="24"/>
        </w:rPr>
        <w:t xml:space="preserve"> the efficiency of the Regulation while preserving the significant emission reductions achieved so far </w:t>
      </w:r>
    </w:p>
    <w:p w14:paraId="7A2C4E5B" w14:textId="77777777" w:rsidR="00A14107" w:rsidRPr="00A14107" w:rsidRDefault="00A14107" w:rsidP="00243A67">
      <w:pPr>
        <w:numPr>
          <w:ilvl w:val="0"/>
          <w:numId w:val="6"/>
        </w:numPr>
        <w:contextualSpacing/>
        <w:rPr>
          <w:rFonts w:ascii="Times New Roman" w:hAnsi="Times New Roman" w:cs="Times New Roman"/>
          <w:noProof/>
          <w:sz w:val="24"/>
          <w:szCs w:val="24"/>
        </w:rPr>
      </w:pPr>
      <w:r w:rsidRPr="00A14107">
        <w:rPr>
          <w:rFonts w:ascii="Times New Roman" w:hAnsi="Times New Roman" w:cs="Times New Roman"/>
          <w:noProof/>
          <w:sz w:val="24"/>
          <w:szCs w:val="24"/>
        </w:rPr>
        <w:t>Ensure more comprehensive monitoring</w:t>
      </w:r>
    </w:p>
    <w:p w14:paraId="10C6F18C" w14:textId="77777777" w:rsidR="00A14107" w:rsidRDefault="00D70A6E" w:rsidP="00A00F5E">
      <w:pPr>
        <w:numPr>
          <w:ilvl w:val="0"/>
          <w:numId w:val="6"/>
        </w:numPr>
        <w:spacing w:after="120"/>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Improve </w:t>
      </w:r>
      <w:r w:rsidR="00A14107" w:rsidRPr="00A14107">
        <w:rPr>
          <w:rFonts w:ascii="Times New Roman" w:hAnsi="Times New Roman" w:cs="Times New Roman"/>
          <w:noProof/>
          <w:sz w:val="24"/>
          <w:szCs w:val="24"/>
        </w:rPr>
        <w:t>coherence and clarifications</w:t>
      </w:r>
    </w:p>
    <w:p w14:paraId="3B2D3E55" w14:textId="3E664971" w:rsidR="00A14107" w:rsidRPr="00A14107" w:rsidRDefault="00896FDA" w:rsidP="00896FDA">
      <w:pPr>
        <w:pStyle w:val="Heading1"/>
        <w:rPr>
          <w:noProof/>
        </w:rPr>
      </w:pPr>
      <w:bookmarkStart w:id="93" w:name="_Toc71559403"/>
      <w:bookmarkStart w:id="94" w:name="_Toc71707008"/>
      <w:bookmarkStart w:id="95" w:name="_Toc71708218"/>
      <w:bookmarkStart w:id="96" w:name="_Toc71710950"/>
      <w:bookmarkStart w:id="97" w:name="_Toc72399352"/>
      <w:bookmarkStart w:id="98" w:name="_Toc93511464"/>
      <w:r w:rsidRPr="00896FDA">
        <w:t>5.</w:t>
      </w:r>
      <w:r w:rsidRPr="00896FDA">
        <w:tab/>
      </w:r>
      <w:r w:rsidR="00A14107" w:rsidRPr="00A14107">
        <w:rPr>
          <w:noProof/>
        </w:rPr>
        <w:t>What are the available policy options?</w:t>
      </w:r>
      <w:bookmarkEnd w:id="93"/>
      <w:bookmarkEnd w:id="94"/>
      <w:bookmarkEnd w:id="95"/>
      <w:bookmarkEnd w:id="96"/>
      <w:bookmarkEnd w:id="97"/>
      <w:bookmarkEnd w:id="98"/>
    </w:p>
    <w:p w14:paraId="51BD1EBE" w14:textId="6869D03B" w:rsidR="00A14107" w:rsidRPr="00E66EFA" w:rsidRDefault="00896FDA" w:rsidP="00896FDA">
      <w:pPr>
        <w:pStyle w:val="Heading2"/>
        <w:rPr>
          <w:noProof/>
        </w:rPr>
      </w:pPr>
      <w:bookmarkStart w:id="99" w:name="_Toc71559404"/>
      <w:bookmarkStart w:id="100" w:name="_Toc71707009"/>
      <w:bookmarkStart w:id="101" w:name="_Toc71708219"/>
      <w:bookmarkStart w:id="102" w:name="_Toc71710951"/>
      <w:bookmarkStart w:id="103" w:name="_Toc72399353"/>
      <w:bookmarkStart w:id="104" w:name="_Toc93511465"/>
      <w:r w:rsidRPr="00896FDA">
        <w:t>5.1.</w:t>
      </w:r>
      <w:r w:rsidRPr="00896FDA">
        <w:tab/>
      </w:r>
      <w:r w:rsidR="00A14107" w:rsidRPr="00E66EFA">
        <w:rPr>
          <w:noProof/>
        </w:rPr>
        <w:t>What is the baseline from which options are assessed?</w:t>
      </w:r>
      <w:bookmarkEnd w:id="99"/>
      <w:bookmarkEnd w:id="100"/>
      <w:bookmarkEnd w:id="101"/>
      <w:bookmarkEnd w:id="102"/>
      <w:bookmarkEnd w:id="103"/>
      <w:bookmarkEnd w:id="104"/>
    </w:p>
    <w:p w14:paraId="5F512D06" w14:textId="77777777" w:rsidR="00A14107" w:rsidRPr="00A14107" w:rsidRDefault="00A14107" w:rsidP="00A14107">
      <w:pPr>
        <w:tabs>
          <w:tab w:val="left" w:pos="2302"/>
        </w:tabs>
        <w:spacing w:after="120"/>
        <w:jc w:val="both"/>
        <w:rPr>
          <w:rFonts w:ascii="Times New Roman" w:eastAsia="Times New Roman" w:hAnsi="Times New Roman" w:cs="Times New Roman"/>
          <w:noProof/>
          <w:sz w:val="24"/>
          <w:szCs w:val="24"/>
        </w:rPr>
      </w:pPr>
      <w:r w:rsidRPr="00A14107">
        <w:rPr>
          <w:rFonts w:ascii="Times New Roman" w:eastAsia="Times New Roman" w:hAnsi="Times New Roman" w:cs="Times New Roman"/>
          <w:noProof/>
          <w:sz w:val="24"/>
          <w:szCs w:val="20"/>
        </w:rPr>
        <w:t xml:space="preserve">The baseline, against which policy options are assessed, assumes that the current Regulation and implementing acts remain in place unchanged. </w:t>
      </w:r>
    </w:p>
    <w:p w14:paraId="48391C64" w14:textId="36474D36" w:rsidR="00A14107" w:rsidRPr="00E66EFA" w:rsidRDefault="00896FDA" w:rsidP="00896FDA">
      <w:pPr>
        <w:pStyle w:val="Heading3"/>
        <w:rPr>
          <w:noProof/>
        </w:rPr>
      </w:pPr>
      <w:bookmarkStart w:id="105" w:name="_Toc71559405"/>
      <w:bookmarkStart w:id="106" w:name="_Toc71707010"/>
      <w:bookmarkStart w:id="107" w:name="_Toc71708220"/>
      <w:bookmarkStart w:id="108" w:name="_Toc71710952"/>
      <w:bookmarkStart w:id="109" w:name="_Toc72399354"/>
      <w:bookmarkStart w:id="110" w:name="_Toc93511466"/>
      <w:r w:rsidRPr="00896FDA">
        <w:t>5.1.1.</w:t>
      </w:r>
      <w:r w:rsidRPr="00896FDA">
        <w:tab/>
      </w:r>
      <w:r w:rsidR="00A14107" w:rsidRPr="00E66EFA">
        <w:rPr>
          <w:noProof/>
        </w:rPr>
        <w:t>Baseline for environmental impacts</w:t>
      </w:r>
      <w:bookmarkEnd w:id="105"/>
      <w:bookmarkEnd w:id="106"/>
      <w:bookmarkEnd w:id="107"/>
      <w:bookmarkEnd w:id="108"/>
      <w:bookmarkEnd w:id="109"/>
      <w:bookmarkEnd w:id="110"/>
    </w:p>
    <w:p w14:paraId="520300AB" w14:textId="77777777" w:rsidR="00A14107" w:rsidRPr="00A14107" w:rsidRDefault="00A14107" w:rsidP="00A14107">
      <w:pPr>
        <w:tabs>
          <w:tab w:val="left" w:pos="2302"/>
        </w:tabs>
        <w:spacing w:after="12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The main relevant environmental impacts are linked to releases of ODS into the atmosphere, causing harmful damage to the ozone layer and the climate, due to their ODP and high GWP. The basis for estimating future emissions is the estimated developments of the parameters production, trade, use</w:t>
      </w:r>
      <w:r w:rsidRPr="00A14107">
        <w:rPr>
          <w:rFonts w:ascii="Times New Roman" w:eastAsia="Times New Roman" w:hAnsi="Times New Roman" w:cs="Times New Roman"/>
          <w:noProof/>
          <w:sz w:val="24"/>
          <w:szCs w:val="20"/>
          <w:vertAlign w:val="superscript"/>
        </w:rPr>
        <w:footnoteReference w:id="45"/>
      </w:r>
      <w:r w:rsidRPr="00A14107">
        <w:rPr>
          <w:rFonts w:ascii="Times New Roman" w:eastAsia="Times New Roman" w:hAnsi="Times New Roman" w:cs="Times New Roman"/>
          <w:noProof/>
          <w:sz w:val="24"/>
          <w:szCs w:val="20"/>
        </w:rPr>
        <w:t xml:space="preserve"> and stocks/banks, from which emissions can occur, in addition to the associated emission factors. An exhaustive discussion of methodology and assumptions made (e.g. Table A4.3) is given in Annex 4. Table A4.4 shows the modelled future development of the underlying parameters.</w:t>
      </w:r>
    </w:p>
    <w:p w14:paraId="583D7FE1" w14:textId="77777777" w:rsidR="00A14107" w:rsidRPr="00A14107" w:rsidRDefault="00A14107" w:rsidP="00A14107">
      <w:pPr>
        <w:tabs>
          <w:tab w:val="left" w:pos="2302"/>
        </w:tabs>
        <w:spacing w:after="12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 xml:space="preserve">Future overall ODS emissions are largely determined by the emissions from insulating foam banks (see Fig. 1), both in ozone (tODP) </w:t>
      </w:r>
      <w:r w:rsidR="009519EF">
        <w:rPr>
          <w:rFonts w:ascii="Times New Roman" w:eastAsia="Times New Roman" w:hAnsi="Times New Roman" w:cs="Times New Roman"/>
          <w:noProof/>
          <w:sz w:val="24"/>
          <w:szCs w:val="20"/>
        </w:rPr>
        <w:t>and</w:t>
      </w:r>
      <w:r w:rsidRPr="00A14107">
        <w:rPr>
          <w:rFonts w:ascii="Times New Roman" w:eastAsia="Times New Roman" w:hAnsi="Times New Roman" w:cs="Times New Roman"/>
          <w:noProof/>
          <w:sz w:val="24"/>
          <w:szCs w:val="20"/>
        </w:rPr>
        <w:t xml:space="preserve"> climate (tCO2e) terms. Emissions will rise from current levels o</w:t>
      </w:r>
      <w:r w:rsidRPr="00D95F69">
        <w:rPr>
          <w:rFonts w:ascii="Times New Roman" w:eastAsia="Times New Roman" w:hAnsi="Times New Roman" w:cs="Times New Roman"/>
          <w:noProof/>
          <w:sz w:val="24"/>
          <w:szCs w:val="20"/>
        </w:rPr>
        <w:t>f ca 6,</w:t>
      </w:r>
      <w:r w:rsidR="00D95F69" w:rsidRPr="006578FA">
        <w:rPr>
          <w:rFonts w:ascii="Times New Roman" w:eastAsia="Times New Roman" w:hAnsi="Times New Roman" w:cs="Times New Roman"/>
          <w:noProof/>
          <w:sz w:val="24"/>
          <w:szCs w:val="20"/>
        </w:rPr>
        <w:t>0</w:t>
      </w:r>
      <w:r w:rsidRPr="00D95F69">
        <w:rPr>
          <w:rFonts w:ascii="Times New Roman" w:eastAsia="Times New Roman" w:hAnsi="Times New Roman" w:cs="Times New Roman"/>
          <w:noProof/>
          <w:sz w:val="24"/>
          <w:szCs w:val="20"/>
        </w:rPr>
        <w:t>00 to</w:t>
      </w:r>
      <w:r w:rsidR="00D95F69" w:rsidRPr="00D95F69">
        <w:rPr>
          <w:rFonts w:ascii="Times New Roman" w:eastAsia="Times New Roman" w:hAnsi="Times New Roman" w:cs="Times New Roman"/>
          <w:noProof/>
          <w:sz w:val="24"/>
          <w:szCs w:val="20"/>
        </w:rPr>
        <w:t xml:space="preserve"> peak levels of</w:t>
      </w:r>
      <w:r w:rsidRPr="00D95F69">
        <w:rPr>
          <w:rFonts w:ascii="Times New Roman" w:eastAsia="Times New Roman" w:hAnsi="Times New Roman" w:cs="Times New Roman"/>
          <w:noProof/>
          <w:sz w:val="24"/>
          <w:szCs w:val="20"/>
        </w:rPr>
        <w:t xml:space="preserve"> </w:t>
      </w:r>
      <w:r w:rsidR="00D95F69" w:rsidRPr="006578FA">
        <w:rPr>
          <w:rFonts w:ascii="Times New Roman" w:eastAsia="Times New Roman" w:hAnsi="Times New Roman" w:cs="Times New Roman"/>
          <w:noProof/>
          <w:sz w:val="24"/>
          <w:szCs w:val="20"/>
        </w:rPr>
        <w:t>6</w:t>
      </w:r>
      <w:r w:rsidRPr="00D95F69">
        <w:rPr>
          <w:rFonts w:ascii="Times New Roman" w:eastAsia="Times New Roman" w:hAnsi="Times New Roman" w:cs="Times New Roman"/>
          <w:noProof/>
          <w:sz w:val="24"/>
          <w:szCs w:val="20"/>
        </w:rPr>
        <w:t>,</w:t>
      </w:r>
      <w:r w:rsidR="00D95F69" w:rsidRPr="006578FA">
        <w:rPr>
          <w:rFonts w:ascii="Times New Roman" w:eastAsia="Times New Roman" w:hAnsi="Times New Roman" w:cs="Times New Roman"/>
          <w:noProof/>
          <w:sz w:val="24"/>
          <w:szCs w:val="20"/>
        </w:rPr>
        <w:t>7</w:t>
      </w:r>
      <w:r w:rsidRPr="00D95F69">
        <w:rPr>
          <w:rFonts w:ascii="Times New Roman" w:eastAsia="Times New Roman" w:hAnsi="Times New Roman" w:cs="Times New Roman"/>
          <w:noProof/>
          <w:sz w:val="24"/>
          <w:szCs w:val="20"/>
        </w:rPr>
        <w:t xml:space="preserve">00 tODP </w:t>
      </w:r>
      <w:r w:rsidR="00D95F69" w:rsidRPr="006578FA">
        <w:rPr>
          <w:rFonts w:ascii="Times New Roman" w:eastAsia="Times New Roman" w:hAnsi="Times New Roman" w:cs="Times New Roman"/>
          <w:noProof/>
          <w:sz w:val="24"/>
          <w:szCs w:val="20"/>
        </w:rPr>
        <w:t xml:space="preserve">(i.e. </w:t>
      </w:r>
      <w:r w:rsidR="006578FA">
        <w:rPr>
          <w:rFonts w:ascii="Times New Roman" w:eastAsia="Times New Roman" w:hAnsi="Times New Roman" w:cs="Times New Roman"/>
          <w:noProof/>
          <w:sz w:val="24"/>
          <w:szCs w:val="20"/>
        </w:rPr>
        <w:t xml:space="preserve">from </w:t>
      </w:r>
      <w:r w:rsidR="00D95F69" w:rsidRPr="006578FA">
        <w:rPr>
          <w:rFonts w:ascii="Times New Roman" w:eastAsia="Times New Roman" w:hAnsi="Times New Roman" w:cs="Times New Roman"/>
          <w:noProof/>
          <w:sz w:val="24"/>
          <w:szCs w:val="20"/>
        </w:rPr>
        <w:t>37 to 4</w:t>
      </w:r>
      <w:r w:rsidR="00C82687">
        <w:rPr>
          <w:rFonts w:ascii="Times New Roman" w:eastAsia="Times New Roman" w:hAnsi="Times New Roman" w:cs="Times New Roman"/>
          <w:noProof/>
          <w:sz w:val="24"/>
          <w:szCs w:val="20"/>
        </w:rPr>
        <w:t>3</w:t>
      </w:r>
      <w:r w:rsidRPr="00D95F69">
        <w:rPr>
          <w:rFonts w:ascii="Times New Roman" w:eastAsia="Times New Roman" w:hAnsi="Times New Roman" w:cs="Times New Roman"/>
          <w:noProof/>
          <w:sz w:val="24"/>
          <w:szCs w:val="20"/>
        </w:rPr>
        <w:t xml:space="preserve"> MtCO2e</w:t>
      </w:r>
      <w:r w:rsidR="00D95F69">
        <w:rPr>
          <w:rFonts w:ascii="Times New Roman" w:eastAsia="Times New Roman" w:hAnsi="Times New Roman" w:cs="Times New Roman"/>
          <w:noProof/>
          <w:sz w:val="24"/>
          <w:szCs w:val="20"/>
        </w:rPr>
        <w:t>)</w:t>
      </w:r>
      <w:r w:rsidRPr="00A14107">
        <w:rPr>
          <w:rFonts w:ascii="Times New Roman" w:eastAsia="Times New Roman" w:hAnsi="Times New Roman" w:cs="Times New Roman"/>
          <w:noProof/>
          <w:sz w:val="24"/>
          <w:szCs w:val="20"/>
        </w:rPr>
        <w:t xml:space="preserve"> </w:t>
      </w:r>
      <w:r w:rsidR="00D95F69">
        <w:rPr>
          <w:rFonts w:ascii="Times New Roman" w:eastAsia="Times New Roman" w:hAnsi="Times New Roman" w:cs="Times New Roman"/>
          <w:noProof/>
          <w:sz w:val="24"/>
          <w:szCs w:val="20"/>
        </w:rPr>
        <w:t>around 2033</w:t>
      </w:r>
      <w:r w:rsidRPr="00A14107">
        <w:rPr>
          <w:rFonts w:ascii="Times New Roman" w:eastAsia="Times New Roman" w:hAnsi="Times New Roman" w:cs="Times New Roman"/>
          <w:noProof/>
          <w:sz w:val="24"/>
          <w:szCs w:val="20"/>
        </w:rPr>
        <w:t xml:space="preserve">, and will only start to decrease after that, as the amounts of legacy material (i.e. ODS foams in old buildings) entering the waste stream each year will start to fall only after 2030 (Fig. A6.1 in Annex 6). Still, emissions will </w:t>
      </w:r>
      <w:r w:rsidR="00D95F69">
        <w:rPr>
          <w:rFonts w:ascii="Times New Roman" w:eastAsia="Times New Roman" w:hAnsi="Times New Roman" w:cs="Times New Roman"/>
          <w:noProof/>
          <w:sz w:val="24"/>
          <w:szCs w:val="20"/>
        </w:rPr>
        <w:t>still be</w:t>
      </w:r>
      <w:r w:rsidRPr="00A14107">
        <w:rPr>
          <w:rFonts w:ascii="Times New Roman" w:eastAsia="Times New Roman" w:hAnsi="Times New Roman" w:cs="Times New Roman"/>
          <w:noProof/>
          <w:sz w:val="24"/>
          <w:szCs w:val="20"/>
        </w:rPr>
        <w:t xml:space="preserve"> 4,000 tODP (</w:t>
      </w:r>
      <w:r w:rsidR="00D95F69" w:rsidRPr="006578FA">
        <w:rPr>
          <w:rFonts w:ascii="Times New Roman" w:eastAsia="Times New Roman" w:hAnsi="Times New Roman" w:cs="Times New Roman"/>
          <w:noProof/>
          <w:sz w:val="24"/>
          <w:szCs w:val="20"/>
        </w:rPr>
        <w:t>2</w:t>
      </w:r>
      <w:r w:rsidR="00C82687" w:rsidRPr="006578FA">
        <w:rPr>
          <w:rFonts w:ascii="Times New Roman" w:eastAsia="Times New Roman" w:hAnsi="Times New Roman" w:cs="Times New Roman"/>
          <w:noProof/>
          <w:sz w:val="24"/>
          <w:szCs w:val="20"/>
        </w:rPr>
        <w:t>3</w:t>
      </w:r>
      <w:r w:rsidRPr="00A14107">
        <w:rPr>
          <w:rFonts w:ascii="Times New Roman" w:eastAsia="Times New Roman" w:hAnsi="Times New Roman" w:cs="Times New Roman"/>
          <w:noProof/>
          <w:sz w:val="24"/>
          <w:szCs w:val="20"/>
        </w:rPr>
        <w:t xml:space="preserve"> million tCO2e) in 2050. Emissions will continue for many years after, at slowly decreasing  levels, as the contribution of slow but sustained emissions from landfilled material, where the ODS was not destroyed, will become relatively more important. </w:t>
      </w:r>
    </w:p>
    <w:p w14:paraId="4A5FB9D2" w14:textId="77777777" w:rsidR="00A14107" w:rsidRPr="00A14107" w:rsidRDefault="00A14107" w:rsidP="00E66EFA">
      <w:pPr>
        <w:tabs>
          <w:tab w:val="left" w:pos="2302"/>
        </w:tabs>
        <w:spacing w:after="12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 xml:space="preserve">Emissions from all other sources are two to three magnitudes lower, so their contribution to the overall emissions is very low (Table A4.4 in Annex 4). In the baseline, emissions from production and feedstock uses are largely sustained, with moderate decreases expected for Annex I ODS only in the long run. Emissions from process agent uses will disappear in the long run as the remaining legacy plants using them will close (use by new installations is not permitted), and halon use </w:t>
      </w:r>
      <w:r w:rsidR="009519EF">
        <w:rPr>
          <w:rFonts w:ascii="Times New Roman" w:eastAsia="Times New Roman" w:hAnsi="Times New Roman" w:cs="Times New Roman"/>
          <w:noProof/>
          <w:sz w:val="24"/>
          <w:szCs w:val="20"/>
        </w:rPr>
        <w:t>will be</w:t>
      </w:r>
      <w:r w:rsidR="009519EF" w:rsidRPr="00A14107">
        <w:rPr>
          <w:rFonts w:ascii="Times New Roman" w:eastAsia="Times New Roman" w:hAnsi="Times New Roman" w:cs="Times New Roman"/>
          <w:noProof/>
          <w:sz w:val="24"/>
          <w:szCs w:val="20"/>
        </w:rPr>
        <w:t xml:space="preserve"> </w:t>
      </w:r>
      <w:r w:rsidRPr="00A14107">
        <w:rPr>
          <w:rFonts w:ascii="Times New Roman" w:eastAsia="Times New Roman" w:hAnsi="Times New Roman" w:cs="Times New Roman"/>
          <w:noProof/>
          <w:sz w:val="24"/>
          <w:szCs w:val="20"/>
        </w:rPr>
        <w:t>phased out by 2040</w:t>
      </w:r>
      <w:r w:rsidR="009519EF">
        <w:rPr>
          <w:rFonts w:ascii="Times New Roman" w:eastAsia="Times New Roman" w:hAnsi="Times New Roman" w:cs="Times New Roman"/>
          <w:noProof/>
          <w:sz w:val="24"/>
          <w:szCs w:val="20"/>
        </w:rPr>
        <w:t>. This</w:t>
      </w:r>
      <w:r w:rsidRPr="00A14107">
        <w:rPr>
          <w:rFonts w:ascii="Times New Roman" w:eastAsia="Times New Roman" w:hAnsi="Times New Roman" w:cs="Times New Roman"/>
          <w:noProof/>
          <w:sz w:val="24"/>
          <w:szCs w:val="20"/>
        </w:rPr>
        <w:t xml:space="preserve"> would </w:t>
      </w:r>
      <w:r w:rsidR="009519EF" w:rsidRPr="00A14107">
        <w:rPr>
          <w:rFonts w:ascii="Times New Roman" w:eastAsia="Times New Roman" w:hAnsi="Times New Roman" w:cs="Times New Roman"/>
          <w:noProof/>
          <w:sz w:val="24"/>
          <w:szCs w:val="20"/>
        </w:rPr>
        <w:t xml:space="preserve">also </w:t>
      </w:r>
      <w:r w:rsidRPr="00A14107">
        <w:rPr>
          <w:rFonts w:ascii="Times New Roman" w:eastAsia="Times New Roman" w:hAnsi="Times New Roman" w:cs="Times New Roman"/>
          <w:noProof/>
          <w:sz w:val="24"/>
          <w:szCs w:val="20"/>
        </w:rPr>
        <w:t>end related emissions as long as any remaining stocks are destroyed. Laboratory and analytical uses will continue unchanged, but emissions from these proc</w:t>
      </w:r>
      <w:r w:rsidR="00E66EFA">
        <w:rPr>
          <w:rFonts w:ascii="Times New Roman" w:eastAsia="Times New Roman" w:hAnsi="Times New Roman" w:cs="Times New Roman"/>
          <w:noProof/>
          <w:sz w:val="24"/>
          <w:szCs w:val="20"/>
        </w:rPr>
        <w:t>esses are minuscule (&lt; 1 tODP).</w:t>
      </w:r>
    </w:p>
    <w:p w14:paraId="55689A62" w14:textId="7A62AB01" w:rsidR="00A14107" w:rsidRPr="00E66EFA" w:rsidRDefault="00896FDA" w:rsidP="00896FDA">
      <w:pPr>
        <w:pStyle w:val="Heading3"/>
        <w:rPr>
          <w:noProof/>
        </w:rPr>
      </w:pPr>
      <w:bookmarkStart w:id="111" w:name="_Toc71559406"/>
      <w:bookmarkStart w:id="112" w:name="_Toc71707011"/>
      <w:bookmarkStart w:id="113" w:name="_Toc71708221"/>
      <w:bookmarkStart w:id="114" w:name="_Toc71710953"/>
      <w:bookmarkStart w:id="115" w:name="_Toc72399355"/>
      <w:bookmarkStart w:id="116" w:name="_Toc93511467"/>
      <w:r w:rsidRPr="00896FDA">
        <w:t>5.1.2.</w:t>
      </w:r>
      <w:r w:rsidRPr="00896FDA">
        <w:tab/>
      </w:r>
      <w:r w:rsidR="00A14107" w:rsidRPr="00E66EFA">
        <w:rPr>
          <w:noProof/>
        </w:rPr>
        <w:t>Baseline for economic impacts</w:t>
      </w:r>
      <w:bookmarkEnd w:id="111"/>
      <w:bookmarkEnd w:id="112"/>
      <w:bookmarkEnd w:id="113"/>
      <w:bookmarkEnd w:id="114"/>
      <w:bookmarkEnd w:id="115"/>
      <w:bookmarkEnd w:id="116"/>
    </w:p>
    <w:p w14:paraId="28F78D6D"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At this stage, the Regulation no longer requir</w:t>
      </w:r>
      <w:r w:rsidR="009519EF">
        <w:rPr>
          <w:rFonts w:ascii="Times New Roman" w:hAnsi="Times New Roman" w:cs="Times New Roman"/>
          <w:noProof/>
          <w:sz w:val="24"/>
          <w:szCs w:val="24"/>
        </w:rPr>
        <w:t>es</w:t>
      </w:r>
      <w:r w:rsidRPr="00A14107">
        <w:rPr>
          <w:rFonts w:ascii="Times New Roman" w:hAnsi="Times New Roman" w:cs="Times New Roman"/>
          <w:noProof/>
          <w:sz w:val="24"/>
          <w:szCs w:val="24"/>
        </w:rPr>
        <w:t xml:space="preserve"> any major shifts towards ODS alternatives (as this has been largely accomplished). Therefore the cost baseline for businesses, Member States and the Commission (plus EEA) are essentially limited to administrative costs. There may</w:t>
      </w:r>
      <w:r w:rsidR="009519EF">
        <w:rPr>
          <w:rFonts w:ascii="Times New Roman" w:hAnsi="Times New Roman" w:cs="Times New Roman"/>
          <w:noProof/>
          <w:sz w:val="24"/>
          <w:szCs w:val="24"/>
        </w:rPr>
        <w:t>,</w:t>
      </w:r>
      <w:r w:rsidRPr="00A14107">
        <w:rPr>
          <w:rFonts w:ascii="Times New Roman" w:hAnsi="Times New Roman" w:cs="Times New Roman"/>
          <w:noProof/>
          <w:sz w:val="24"/>
          <w:szCs w:val="24"/>
        </w:rPr>
        <w:t xml:space="preserve"> however</w:t>
      </w:r>
      <w:r w:rsidR="009519EF">
        <w:rPr>
          <w:rFonts w:ascii="Times New Roman" w:hAnsi="Times New Roman" w:cs="Times New Roman"/>
          <w:noProof/>
          <w:sz w:val="24"/>
          <w:szCs w:val="24"/>
        </w:rPr>
        <w:t>,</w:t>
      </w:r>
      <w:r w:rsidRPr="00A14107">
        <w:rPr>
          <w:rFonts w:ascii="Times New Roman" w:hAnsi="Times New Roman" w:cs="Times New Roman"/>
          <w:noProof/>
          <w:sz w:val="24"/>
          <w:szCs w:val="24"/>
        </w:rPr>
        <w:t xml:space="preserve"> be some compliance costs for halon users to meet the remaining prohibition dates and for emission prevention measures. The cost data are primarily taken from the evaluation and</w:t>
      </w:r>
      <w:r w:rsidRPr="00A14107" w:rsidDel="00AD4329">
        <w:rPr>
          <w:rFonts w:ascii="Times New Roman" w:hAnsi="Times New Roman" w:cs="Times New Roman"/>
          <w:noProof/>
          <w:sz w:val="24"/>
          <w:szCs w:val="24"/>
        </w:rPr>
        <w:t xml:space="preserve"> </w:t>
      </w:r>
      <w:r w:rsidRPr="00A14107">
        <w:rPr>
          <w:rFonts w:ascii="Times New Roman" w:hAnsi="Times New Roman" w:cs="Times New Roman"/>
          <w:noProof/>
          <w:sz w:val="24"/>
          <w:szCs w:val="24"/>
        </w:rPr>
        <w:t>projected until 2050, taking into account the expected changes to ODS market parameters (Table A4.4), where relevant, see tables A4.5 and A4.6 in Annex 4 for details on cost drivers.</w:t>
      </w:r>
      <w:r w:rsidRPr="00A14107">
        <w:rPr>
          <w:noProof/>
          <w:sz w:val="24"/>
          <w:szCs w:val="24"/>
          <w:vertAlign w:val="superscript"/>
        </w:rPr>
        <w:footnoteReference w:id="46"/>
      </w:r>
      <w:r w:rsidR="007E5BD2">
        <w:rPr>
          <w:rFonts w:ascii="Times New Roman" w:hAnsi="Times New Roman" w:cs="Times New Roman"/>
          <w:noProof/>
          <w:sz w:val="24"/>
          <w:szCs w:val="24"/>
        </w:rPr>
        <w:t xml:space="preserve"> </w:t>
      </w:r>
      <w:r w:rsidRPr="00A14107">
        <w:rPr>
          <w:rFonts w:ascii="Times New Roman" w:hAnsi="Times New Roman" w:cs="Times New Roman"/>
          <w:noProof/>
          <w:sz w:val="24"/>
          <w:szCs w:val="24"/>
        </w:rPr>
        <w:t>Furthermore, the cost trajectories between 2020 and 2050 are split by type of stakeholder and by the relevant measures resulting in these costs, such as licen</w:t>
      </w:r>
      <w:r w:rsidR="009519EF">
        <w:rPr>
          <w:rFonts w:ascii="Times New Roman" w:hAnsi="Times New Roman" w:cs="Times New Roman"/>
          <w:noProof/>
          <w:sz w:val="24"/>
          <w:szCs w:val="24"/>
        </w:rPr>
        <w:t>s</w:t>
      </w:r>
      <w:r w:rsidRPr="00A14107">
        <w:rPr>
          <w:rFonts w:ascii="Times New Roman" w:hAnsi="Times New Roman" w:cs="Times New Roman"/>
          <w:noProof/>
          <w:sz w:val="24"/>
          <w:szCs w:val="24"/>
        </w:rPr>
        <w:t>ing, quota allocations, monitoring, reporting, etc.</w:t>
      </w:r>
    </w:p>
    <w:p w14:paraId="3BF950AF" w14:textId="77777777" w:rsidR="00A14107" w:rsidRPr="00A14107" w:rsidRDefault="00A14107" w:rsidP="00A14107">
      <w:pPr>
        <w:spacing w:after="120"/>
        <w:jc w:val="both"/>
        <w:rPr>
          <w:rFonts w:ascii="Times New Roman" w:hAnsi="Times New Roman" w:cs="Times New Roman"/>
          <w:b/>
          <w:bCs/>
          <w:noProof/>
          <w:sz w:val="24"/>
          <w:szCs w:val="24"/>
        </w:rPr>
      </w:pPr>
      <w:r w:rsidRPr="00A14107">
        <w:rPr>
          <w:rFonts w:ascii="Times New Roman" w:hAnsi="Times New Roman" w:cs="Times New Roman"/>
          <w:b/>
          <w:bCs/>
          <w:noProof/>
          <w:sz w:val="24"/>
          <w:szCs w:val="24"/>
        </w:rPr>
        <w:t xml:space="preserve">For business, annual administrative costs of ca. €300.000 would decline only slightly until 2050 in the baseline scenario </w:t>
      </w:r>
      <w:r w:rsidRPr="00A14107">
        <w:rPr>
          <w:rFonts w:ascii="Times New Roman" w:hAnsi="Times New Roman" w:cs="Times New Roman"/>
          <w:noProof/>
          <w:sz w:val="24"/>
          <w:szCs w:val="24"/>
        </w:rPr>
        <w:t>(an overall decline of less than 10% is forecasted; see table A4.7 in Annex 4). The two most important cost categories are licen</w:t>
      </w:r>
      <w:r w:rsidR="009519EF">
        <w:rPr>
          <w:rFonts w:ascii="Times New Roman" w:hAnsi="Times New Roman" w:cs="Times New Roman"/>
          <w:noProof/>
          <w:sz w:val="24"/>
          <w:szCs w:val="24"/>
        </w:rPr>
        <w:t>s</w:t>
      </w:r>
      <w:r w:rsidRPr="00A14107">
        <w:rPr>
          <w:rFonts w:ascii="Times New Roman" w:hAnsi="Times New Roman" w:cs="Times New Roman"/>
          <w:noProof/>
          <w:sz w:val="24"/>
          <w:szCs w:val="24"/>
        </w:rPr>
        <w:t xml:space="preserve">ing and reporting requirements. The overall use of ODS, to which these obligations are linked, will decline very slowly over time. This means that </w:t>
      </w:r>
      <w:r w:rsidR="009519EF">
        <w:rPr>
          <w:rFonts w:ascii="Times New Roman" w:hAnsi="Times New Roman" w:cs="Times New Roman"/>
          <w:noProof/>
          <w:sz w:val="24"/>
          <w:szCs w:val="24"/>
        </w:rPr>
        <w:t>fewer</w:t>
      </w:r>
      <w:r w:rsidR="009519EF"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businesses will need to provide reporting and apply for licences. At the same time, those businesses that still do, will spend less time on these activities due to (slightly) lower ODS volumes (and a lower number of substances) to licen</w:t>
      </w:r>
      <w:r w:rsidR="009519EF">
        <w:rPr>
          <w:rFonts w:ascii="Times New Roman" w:hAnsi="Times New Roman" w:cs="Times New Roman"/>
          <w:noProof/>
          <w:sz w:val="24"/>
          <w:szCs w:val="24"/>
        </w:rPr>
        <w:t>s</w:t>
      </w:r>
      <w:r w:rsidRPr="00A14107">
        <w:rPr>
          <w:rFonts w:ascii="Times New Roman" w:hAnsi="Times New Roman" w:cs="Times New Roman"/>
          <w:noProof/>
          <w:sz w:val="24"/>
          <w:szCs w:val="24"/>
        </w:rPr>
        <w:t xml:space="preserve">e and report. On the other hand, registration costs for laboratories and compliance costs to business related to emission controls, following protocols on destruction and reclamation, as well as inspections are assumed to remain constant in the long run. </w:t>
      </w:r>
    </w:p>
    <w:p w14:paraId="66992B5B" w14:textId="77777777" w:rsidR="00A14107" w:rsidRPr="00A14107" w:rsidRDefault="00A14107" w:rsidP="00A14107">
      <w:pPr>
        <w:spacing w:after="120"/>
        <w:jc w:val="both"/>
        <w:rPr>
          <w:rFonts w:ascii="Times New Roman" w:hAnsi="Times New Roman" w:cs="Times New Roman"/>
          <w:b/>
          <w:noProof/>
          <w:sz w:val="24"/>
          <w:szCs w:val="24"/>
        </w:rPr>
      </w:pPr>
      <w:r w:rsidRPr="00A14107">
        <w:rPr>
          <w:rFonts w:ascii="Times New Roman" w:hAnsi="Times New Roman" w:cs="Times New Roman"/>
          <w:b/>
          <w:noProof/>
          <w:sz w:val="24"/>
          <w:szCs w:val="24"/>
        </w:rPr>
        <w:t xml:space="preserve">The administrative costs for Member States would remain the same, at very modest levels. </w:t>
      </w:r>
      <w:r w:rsidRPr="00A14107">
        <w:rPr>
          <w:rFonts w:ascii="Times New Roman" w:hAnsi="Times New Roman" w:cs="Times New Roman"/>
          <w:noProof/>
          <w:sz w:val="24"/>
          <w:szCs w:val="24"/>
        </w:rPr>
        <w:t>These costs (&lt;</w:t>
      </w:r>
      <w:r w:rsidR="009519EF" w:rsidRPr="00A14107">
        <w:rPr>
          <w:rFonts w:ascii="Times New Roman" w:hAnsi="Times New Roman" w:cs="Times New Roman"/>
          <w:noProof/>
          <w:sz w:val="24"/>
          <w:szCs w:val="24"/>
        </w:rPr>
        <w:t>€</w:t>
      </w:r>
      <w:r w:rsidRPr="00A14107">
        <w:rPr>
          <w:rFonts w:ascii="Times New Roman" w:hAnsi="Times New Roman" w:cs="Times New Roman"/>
          <w:noProof/>
          <w:sz w:val="24"/>
          <w:szCs w:val="24"/>
        </w:rPr>
        <w:t>40.000 p.a. see table A4.8 in Annex 4) are mainly linked to reporting. Member States also need to carry out inspections, custom controls and general enforcement matters (ca. 507 person days in total annually).</w:t>
      </w:r>
    </w:p>
    <w:p w14:paraId="1D211D79"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bCs/>
          <w:noProof/>
          <w:sz w:val="24"/>
          <w:szCs w:val="24"/>
        </w:rPr>
        <w:t>The annual administrative costs at European level (Commission and EEA) would increase further until 2025, and decrease slightly thereafter.</w:t>
      </w:r>
      <w:r w:rsidRPr="00A14107">
        <w:rPr>
          <w:rFonts w:ascii="Times New Roman" w:hAnsi="Times New Roman" w:cs="Times New Roman"/>
          <w:noProof/>
          <w:sz w:val="24"/>
          <w:szCs w:val="24"/>
        </w:rPr>
        <w:t xml:space="preserve"> </w:t>
      </w:r>
      <w:r w:rsidRPr="00A14107">
        <w:rPr>
          <w:rFonts w:ascii="Times New Roman" w:hAnsi="Times New Roman" w:cs="Times New Roman"/>
          <w:bCs/>
          <w:noProof/>
          <w:sz w:val="24"/>
          <w:szCs w:val="24"/>
        </w:rPr>
        <w:t xml:space="preserve">Annual </w:t>
      </w:r>
      <w:r w:rsidRPr="00A14107">
        <w:rPr>
          <w:rFonts w:ascii="Times New Roman" w:hAnsi="Times New Roman" w:cs="Times New Roman"/>
          <w:noProof/>
          <w:sz w:val="24"/>
          <w:szCs w:val="24"/>
        </w:rPr>
        <w:t xml:space="preserve">costs for the Commission would increase from ca. 788 person days to ca. 825 person days (see table A4.8 in Annex 4). The main reason for the initial increase </w:t>
      </w:r>
      <w:r w:rsidR="009519EF">
        <w:rPr>
          <w:rFonts w:ascii="Times New Roman" w:hAnsi="Times New Roman" w:cs="Times New Roman"/>
          <w:noProof/>
          <w:sz w:val="24"/>
          <w:szCs w:val="24"/>
        </w:rPr>
        <w:t>is</w:t>
      </w:r>
      <w:r w:rsidR="009519EF" w:rsidRPr="00A14107">
        <w:rPr>
          <w:rFonts w:ascii="Times New Roman" w:hAnsi="Times New Roman" w:cs="Times New Roman"/>
          <w:b/>
          <w:bCs/>
          <w:noProof/>
          <w:sz w:val="24"/>
          <w:szCs w:val="24"/>
        </w:rPr>
        <w:t xml:space="preserve"> </w:t>
      </w:r>
      <w:r w:rsidRPr="00A14107">
        <w:rPr>
          <w:rFonts w:ascii="Times New Roman" w:hAnsi="Times New Roman" w:cs="Times New Roman"/>
          <w:noProof/>
          <w:sz w:val="24"/>
          <w:szCs w:val="24"/>
        </w:rPr>
        <w:t xml:space="preserve">rising personnel costs </w:t>
      </w:r>
      <w:r w:rsidR="009519EF">
        <w:rPr>
          <w:rFonts w:ascii="Times New Roman" w:hAnsi="Times New Roman" w:cs="Times New Roman"/>
          <w:noProof/>
          <w:sz w:val="24"/>
          <w:szCs w:val="24"/>
        </w:rPr>
        <w:t>for</w:t>
      </w:r>
      <w:r w:rsidRPr="00A14107">
        <w:rPr>
          <w:rFonts w:ascii="Times New Roman" w:hAnsi="Times New Roman" w:cs="Times New Roman"/>
          <w:noProof/>
          <w:sz w:val="24"/>
          <w:szCs w:val="24"/>
        </w:rPr>
        <w:t xml:space="preserve"> the Commission related to the registration and licensing systems caused by more stringent requirements on data protection and security issues. Costs related to the day-to-day treatment of registration of laboratories would remain constant. Many other cost categories are expected to decline slightly over time, in line with the slowly declining use of ODS. Costs remain constant for general support topics such as ensuring compliance in MS, providing access to documents, outreach activities, advice to stakeholders etc. The costs to the EEA linked to the reporting systems are projected to continue but with an increase in IT project management costs as noted above for the Commission. </w:t>
      </w:r>
    </w:p>
    <w:p w14:paraId="1A747583"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Effects of COVID-19. </w:t>
      </w:r>
      <w:r w:rsidRPr="00A14107">
        <w:rPr>
          <w:rFonts w:ascii="Times New Roman" w:hAnsi="Times New Roman" w:cs="Times New Roman"/>
          <w:noProof/>
          <w:sz w:val="24"/>
          <w:szCs w:val="24"/>
        </w:rPr>
        <w:t>Targeted stakeholders representing the relevant types affected by the Regulation (see synopsis report, Annex 2) were routinely asked about the effects o</w:t>
      </w:r>
      <w:r w:rsidR="004C1D8C">
        <w:rPr>
          <w:rFonts w:ascii="Times New Roman" w:hAnsi="Times New Roman" w:cs="Times New Roman"/>
          <w:noProof/>
          <w:sz w:val="24"/>
          <w:szCs w:val="24"/>
        </w:rPr>
        <w:t>f</w:t>
      </w:r>
      <w:r w:rsidRPr="00A14107">
        <w:rPr>
          <w:rFonts w:ascii="Times New Roman" w:hAnsi="Times New Roman" w:cs="Times New Roman"/>
          <w:noProof/>
          <w:sz w:val="24"/>
          <w:szCs w:val="24"/>
        </w:rPr>
        <w:t xml:space="preserve"> the pandemic on their business. Most respondents were not able to indicate concrete impacts of the COVID-19 pandemic or to provide estimations on how the crisis would affect the expected impacts of the policy options. </w:t>
      </w:r>
      <w:r w:rsidR="003D651B">
        <w:rPr>
          <w:rFonts w:ascii="Times New Roman" w:hAnsi="Times New Roman" w:cs="Times New Roman"/>
          <w:noProof/>
          <w:sz w:val="24"/>
          <w:szCs w:val="24"/>
        </w:rPr>
        <w:t>This is confirmed by the most recent company reporting data for 2020 on production and trade which is within the expected range.</w:t>
      </w:r>
      <w:r w:rsidR="003D651B">
        <w:rPr>
          <w:rStyle w:val="FootnoteReference"/>
          <w:rFonts w:ascii="Times New Roman" w:hAnsi="Times New Roman" w:cs="Times New Roman"/>
          <w:noProof/>
          <w:sz w:val="24"/>
          <w:szCs w:val="24"/>
        </w:rPr>
        <w:footnoteReference w:id="47"/>
      </w:r>
      <w:r w:rsidR="003D651B">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However, one feedstock user expected that dichloromethane (DCM), which is used in the pharmaceutical sector, </w:t>
      </w:r>
      <w:r w:rsidR="004C1D8C">
        <w:rPr>
          <w:rFonts w:ascii="Times New Roman" w:hAnsi="Times New Roman" w:cs="Times New Roman"/>
          <w:noProof/>
          <w:sz w:val="24"/>
          <w:szCs w:val="24"/>
        </w:rPr>
        <w:t>would</w:t>
      </w:r>
      <w:r w:rsidR="004C1D8C"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be produced in increased amounts in the EU in the future, as the production of certain pharmaceuticals will be pulled from emerging markets back to Europe (relevant to option C5). One supplier of laboratories in the EU indicated that slightly fewer orders from customers </w:t>
      </w:r>
      <w:r w:rsidR="004C1D8C">
        <w:rPr>
          <w:rFonts w:ascii="Times New Roman" w:hAnsi="Times New Roman" w:cs="Times New Roman"/>
          <w:noProof/>
          <w:sz w:val="24"/>
          <w:szCs w:val="24"/>
        </w:rPr>
        <w:t>had been</w:t>
      </w:r>
      <w:r w:rsidR="004C1D8C"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observed recently, while another pointed out that the simplifications considered for the ODS licensing system (i.e. option B1) would </w:t>
      </w:r>
      <w:r w:rsidR="004C1D8C">
        <w:rPr>
          <w:rFonts w:ascii="Times New Roman" w:hAnsi="Times New Roman" w:cs="Times New Roman"/>
          <w:noProof/>
          <w:sz w:val="24"/>
          <w:szCs w:val="24"/>
        </w:rPr>
        <w:t>probably</w:t>
      </w:r>
      <w:r w:rsidR="004C1D8C"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increase the resilience of their business. An aircraft manufacturer stated that the aerospace sector has been significantly impacted and indicated that the research of halon alternatives has therefore been delayed by around twelve months, according to internal estimations. This delay in R&amp;D would in particular be relevant for finding alternatives to the protection of normally unoccupied cargo compartments (see option B6). Most of the effects appear to be rather short term, linked to the general economic situation. </w:t>
      </w:r>
    </w:p>
    <w:p w14:paraId="00CCF22B" w14:textId="160FE220" w:rsidR="00A14107" w:rsidRPr="00E66EFA" w:rsidRDefault="00896FDA" w:rsidP="00896FDA">
      <w:pPr>
        <w:pStyle w:val="Heading3"/>
        <w:rPr>
          <w:noProof/>
        </w:rPr>
      </w:pPr>
      <w:bookmarkStart w:id="117" w:name="_Toc71559407"/>
      <w:bookmarkStart w:id="118" w:name="_Toc71707012"/>
      <w:bookmarkStart w:id="119" w:name="_Toc71708222"/>
      <w:bookmarkStart w:id="120" w:name="_Toc71710954"/>
      <w:bookmarkStart w:id="121" w:name="_Toc72399356"/>
      <w:bookmarkStart w:id="122" w:name="_Toc93511468"/>
      <w:r w:rsidRPr="00896FDA">
        <w:t>5.1.3.</w:t>
      </w:r>
      <w:r w:rsidRPr="00896FDA">
        <w:tab/>
      </w:r>
      <w:r w:rsidR="00A14107" w:rsidRPr="00E66EFA">
        <w:rPr>
          <w:noProof/>
        </w:rPr>
        <w:t>Baseline for other impacts</w:t>
      </w:r>
      <w:bookmarkEnd w:id="117"/>
      <w:bookmarkEnd w:id="118"/>
      <w:bookmarkEnd w:id="119"/>
      <w:bookmarkEnd w:id="120"/>
      <w:bookmarkEnd w:id="121"/>
      <w:bookmarkEnd w:id="122"/>
    </w:p>
    <w:p w14:paraId="51730B5A" w14:textId="77777777" w:rsidR="00A14107" w:rsidRPr="00A14107" w:rsidRDefault="00A14107" w:rsidP="004B241B">
      <w:pPr>
        <w:tabs>
          <w:tab w:val="left" w:pos="2302"/>
        </w:tabs>
        <w:spacing w:after="12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 xml:space="preserve">The remaining impacts, which are grouped under social impacts, include impacts on employment, research &amp; development, and consumer prices. These impacts are not assessed quantitatively, due to the very small expected impact for the baseline scenario (e.g. see costs to business identified above) and often a lack of distinct quantitative data at these low levels. </w:t>
      </w:r>
      <w:r w:rsidR="00212FC0">
        <w:rPr>
          <w:rFonts w:ascii="Times New Roman" w:eastAsia="Times New Roman" w:hAnsi="Times New Roman" w:cs="Times New Roman"/>
          <w:noProof/>
          <w:sz w:val="24"/>
          <w:szCs w:val="20"/>
        </w:rPr>
        <w:t>Future e</w:t>
      </w:r>
      <w:r w:rsidR="002E14C3">
        <w:rPr>
          <w:rFonts w:ascii="Times New Roman" w:eastAsia="Times New Roman" w:hAnsi="Times New Roman" w:cs="Times New Roman"/>
          <w:noProof/>
          <w:sz w:val="24"/>
          <w:szCs w:val="20"/>
        </w:rPr>
        <w:t xml:space="preserve">mployment is mostly dependent on the production of ODS feedstocks, as these are by far the largest quantities still in use, and will depend upon general future trends in the </w:t>
      </w:r>
      <w:r w:rsidR="00184168">
        <w:rPr>
          <w:rFonts w:ascii="Times New Roman" w:eastAsia="Times New Roman" w:hAnsi="Times New Roman" w:cs="Times New Roman"/>
          <w:noProof/>
          <w:sz w:val="24"/>
          <w:szCs w:val="20"/>
        </w:rPr>
        <w:t>(European-</w:t>
      </w:r>
      <w:r w:rsidR="00212FC0">
        <w:rPr>
          <w:rFonts w:ascii="Times New Roman" w:eastAsia="Times New Roman" w:hAnsi="Times New Roman" w:cs="Times New Roman"/>
          <w:noProof/>
          <w:sz w:val="24"/>
          <w:szCs w:val="20"/>
        </w:rPr>
        <w:t xml:space="preserve">based) </w:t>
      </w:r>
      <w:r w:rsidR="002E14C3">
        <w:rPr>
          <w:rFonts w:ascii="Times New Roman" w:eastAsia="Times New Roman" w:hAnsi="Times New Roman" w:cs="Times New Roman"/>
          <w:noProof/>
          <w:sz w:val="24"/>
          <w:szCs w:val="20"/>
        </w:rPr>
        <w:t xml:space="preserve">manufacture of chemicals and </w:t>
      </w:r>
      <w:r w:rsidR="00212FC0">
        <w:rPr>
          <w:rFonts w:ascii="Times New Roman" w:eastAsia="Times New Roman" w:hAnsi="Times New Roman" w:cs="Times New Roman"/>
          <w:noProof/>
          <w:sz w:val="24"/>
          <w:szCs w:val="20"/>
        </w:rPr>
        <w:t>their added-value products</w:t>
      </w:r>
      <w:r w:rsidR="002E14C3">
        <w:rPr>
          <w:rFonts w:ascii="Times New Roman" w:eastAsia="Times New Roman" w:hAnsi="Times New Roman" w:cs="Times New Roman"/>
          <w:noProof/>
          <w:sz w:val="24"/>
          <w:szCs w:val="20"/>
        </w:rPr>
        <w:t xml:space="preserve">. </w:t>
      </w:r>
      <w:r w:rsidR="00212FC0">
        <w:rPr>
          <w:rFonts w:ascii="Times New Roman" w:eastAsia="Times New Roman" w:hAnsi="Times New Roman" w:cs="Times New Roman"/>
          <w:noProof/>
          <w:sz w:val="24"/>
          <w:szCs w:val="20"/>
        </w:rPr>
        <w:t xml:space="preserve">Employment in this sector will therefore also depend greatly </w:t>
      </w:r>
      <w:r w:rsidR="00464443">
        <w:rPr>
          <w:rFonts w:ascii="Times New Roman" w:eastAsia="Times New Roman" w:hAnsi="Times New Roman" w:cs="Times New Roman"/>
          <w:noProof/>
          <w:sz w:val="24"/>
          <w:szCs w:val="20"/>
        </w:rPr>
        <w:t>on general economic development.</w:t>
      </w:r>
      <w:r w:rsidR="00212FC0">
        <w:rPr>
          <w:rFonts w:ascii="Times New Roman" w:eastAsia="Times New Roman" w:hAnsi="Times New Roman" w:cs="Times New Roman"/>
          <w:noProof/>
          <w:sz w:val="24"/>
          <w:szCs w:val="20"/>
        </w:rPr>
        <w:t xml:space="preserve"> The steady progress on R&amp;D and finding new alternatives of the past (in particular halons, process agents; less so for feedstock uses)</w:t>
      </w:r>
      <w:r w:rsidR="00212FC0">
        <w:rPr>
          <w:rStyle w:val="FootnoteReference"/>
          <w:rFonts w:ascii="Times New Roman" w:eastAsia="Times New Roman" w:hAnsi="Times New Roman" w:cs="Times New Roman"/>
          <w:noProof/>
          <w:sz w:val="24"/>
          <w:szCs w:val="20"/>
        </w:rPr>
        <w:footnoteReference w:id="48"/>
      </w:r>
      <w:r w:rsidR="00212FC0">
        <w:rPr>
          <w:rFonts w:ascii="Times New Roman" w:eastAsia="Times New Roman" w:hAnsi="Times New Roman" w:cs="Times New Roman"/>
          <w:noProof/>
          <w:sz w:val="24"/>
          <w:szCs w:val="20"/>
        </w:rPr>
        <w:t xml:space="preserve"> is expected to continue but at a slower rate as the remaining </w:t>
      </w:r>
      <w:r w:rsidR="00184168">
        <w:rPr>
          <w:rFonts w:ascii="Times New Roman" w:eastAsia="Times New Roman" w:hAnsi="Times New Roman" w:cs="Times New Roman"/>
          <w:noProof/>
          <w:sz w:val="24"/>
          <w:szCs w:val="20"/>
        </w:rPr>
        <w:t>‘</w:t>
      </w:r>
      <w:r w:rsidR="00212FC0">
        <w:rPr>
          <w:rFonts w:ascii="Times New Roman" w:eastAsia="Times New Roman" w:hAnsi="Times New Roman" w:cs="Times New Roman"/>
          <w:noProof/>
          <w:sz w:val="24"/>
          <w:szCs w:val="20"/>
        </w:rPr>
        <w:t>leftover uses</w:t>
      </w:r>
      <w:r w:rsidR="00184168">
        <w:rPr>
          <w:rFonts w:ascii="Times New Roman" w:eastAsia="Times New Roman" w:hAnsi="Times New Roman" w:cs="Times New Roman"/>
          <w:noProof/>
          <w:sz w:val="24"/>
          <w:szCs w:val="20"/>
        </w:rPr>
        <w:t>’</w:t>
      </w:r>
      <w:r w:rsidR="00212FC0">
        <w:rPr>
          <w:rFonts w:ascii="Times New Roman" w:eastAsia="Times New Roman" w:hAnsi="Times New Roman" w:cs="Times New Roman"/>
          <w:noProof/>
          <w:sz w:val="24"/>
          <w:szCs w:val="20"/>
        </w:rPr>
        <w:t xml:space="preserve"> are the most difficult ones to replace.</w:t>
      </w:r>
      <w:r w:rsidR="009F216A">
        <w:rPr>
          <w:rFonts w:ascii="Times New Roman" w:eastAsia="Times New Roman" w:hAnsi="Times New Roman" w:cs="Times New Roman"/>
          <w:noProof/>
          <w:sz w:val="24"/>
          <w:szCs w:val="20"/>
        </w:rPr>
        <w:t xml:space="preserve"> The implementation of measure A.4 could potentially increase consumer prices for owners renovating or constructing a building. </w:t>
      </w:r>
      <w:r w:rsidR="00777784">
        <w:rPr>
          <w:rFonts w:ascii="Times New Roman" w:eastAsia="Times New Roman" w:hAnsi="Times New Roman" w:cs="Times New Roman"/>
          <w:noProof/>
          <w:sz w:val="24"/>
          <w:szCs w:val="20"/>
        </w:rPr>
        <w:t>These additional costs compared to the overall costs of constructing or refurbishing and retail prices for new property are generally very small. As the foam recovery activities would be linked only to major renovations or new construction, vulnerable consumers making smaller upkeep renovations would not be affected.</w:t>
      </w:r>
    </w:p>
    <w:p w14:paraId="45874A39" w14:textId="445899C5" w:rsidR="00A14107" w:rsidRPr="006578FA" w:rsidRDefault="00896FDA" w:rsidP="00896FDA">
      <w:pPr>
        <w:pStyle w:val="Heading2"/>
        <w:rPr>
          <w:noProof/>
        </w:rPr>
      </w:pPr>
      <w:bookmarkStart w:id="123" w:name="_Toc71559408"/>
      <w:bookmarkStart w:id="124" w:name="_Toc71707013"/>
      <w:bookmarkStart w:id="125" w:name="_Toc71708223"/>
      <w:bookmarkStart w:id="126" w:name="_Toc71710955"/>
      <w:bookmarkStart w:id="127" w:name="_Toc72399357"/>
      <w:bookmarkStart w:id="128" w:name="_Toc93511469"/>
      <w:r w:rsidRPr="00896FDA">
        <w:t>5.2.</w:t>
      </w:r>
      <w:r w:rsidRPr="00896FDA">
        <w:tab/>
      </w:r>
      <w:r w:rsidR="00A14107" w:rsidRPr="006578FA">
        <w:rPr>
          <w:noProof/>
        </w:rPr>
        <w:t>Description of the policy options</w:t>
      </w:r>
      <w:bookmarkEnd w:id="123"/>
      <w:bookmarkEnd w:id="124"/>
      <w:bookmarkEnd w:id="125"/>
      <w:bookmarkEnd w:id="126"/>
      <w:bookmarkEnd w:id="127"/>
      <w:bookmarkEnd w:id="128"/>
    </w:p>
    <w:p w14:paraId="7237396E" w14:textId="77777777" w:rsidR="00A94289" w:rsidRDefault="000F2EE6" w:rsidP="00A14107">
      <w:pPr>
        <w:spacing w:after="120"/>
        <w:jc w:val="both"/>
        <w:rPr>
          <w:rFonts w:ascii="Times New Roman" w:hAnsi="Times New Roman" w:cs="Times New Roman"/>
          <w:noProof/>
          <w:sz w:val="24"/>
          <w:szCs w:val="24"/>
        </w:rPr>
      </w:pPr>
      <w:r>
        <w:rPr>
          <w:rFonts w:ascii="Times New Roman" w:hAnsi="Times New Roman" w:cs="Times New Roman"/>
          <w:noProof/>
          <w:sz w:val="24"/>
          <w:szCs w:val="24"/>
        </w:rPr>
        <w:t>ODS is a long-standing policy area. On the basis of the evaluation</w:t>
      </w:r>
      <w:r w:rsidR="00D06257">
        <w:rPr>
          <w:rFonts w:ascii="Times New Roman" w:hAnsi="Times New Roman" w:cs="Times New Roman"/>
          <w:noProof/>
          <w:sz w:val="24"/>
          <w:szCs w:val="24"/>
        </w:rPr>
        <w:t xml:space="preserve"> findings</w:t>
      </w:r>
      <w:r>
        <w:rPr>
          <w:rFonts w:ascii="Times New Roman" w:hAnsi="Times New Roman" w:cs="Times New Roman"/>
          <w:noProof/>
          <w:sz w:val="24"/>
          <w:szCs w:val="24"/>
        </w:rPr>
        <w:t>, the overall approach and main measures of the R</w:t>
      </w:r>
      <w:r w:rsidR="00A94289">
        <w:rPr>
          <w:rFonts w:ascii="Times New Roman" w:hAnsi="Times New Roman" w:cs="Times New Roman"/>
          <w:noProof/>
          <w:sz w:val="24"/>
          <w:szCs w:val="24"/>
        </w:rPr>
        <w:t>egulation are not put in</w:t>
      </w:r>
      <w:r w:rsidR="00AB2448">
        <w:rPr>
          <w:rFonts w:ascii="Times New Roman" w:hAnsi="Times New Roman" w:cs="Times New Roman"/>
          <w:noProof/>
          <w:sz w:val="24"/>
          <w:szCs w:val="24"/>
        </w:rPr>
        <w:t>to question.</w:t>
      </w:r>
      <w:r>
        <w:rPr>
          <w:rFonts w:ascii="Times New Roman" w:hAnsi="Times New Roman" w:cs="Times New Roman"/>
          <w:noProof/>
          <w:sz w:val="24"/>
          <w:szCs w:val="24"/>
        </w:rPr>
        <w:t xml:space="preserve"> Given </w:t>
      </w:r>
      <w:r w:rsidR="00A94289">
        <w:rPr>
          <w:rFonts w:ascii="Times New Roman" w:hAnsi="Times New Roman" w:cs="Times New Roman"/>
          <w:noProof/>
          <w:sz w:val="24"/>
          <w:szCs w:val="24"/>
        </w:rPr>
        <w:t xml:space="preserve">the EU`s </w:t>
      </w:r>
      <w:r>
        <w:rPr>
          <w:rFonts w:ascii="Times New Roman" w:hAnsi="Times New Roman" w:cs="Times New Roman"/>
          <w:noProof/>
          <w:sz w:val="24"/>
          <w:szCs w:val="24"/>
        </w:rPr>
        <w:t>international obligations and the need to avoid backsliding, the main rules, shown to be effective overall, must remain in place. They cannot be replaced by e.g. voluntary approaches</w:t>
      </w:r>
      <w:r w:rsidR="00A94289">
        <w:rPr>
          <w:rFonts w:ascii="Times New Roman" w:hAnsi="Times New Roman" w:cs="Times New Roman"/>
          <w:noProof/>
          <w:sz w:val="24"/>
          <w:szCs w:val="24"/>
        </w:rPr>
        <w:t xml:space="preserve"> or economic incentives</w:t>
      </w:r>
      <w:r>
        <w:rPr>
          <w:rFonts w:ascii="Times New Roman" w:hAnsi="Times New Roman" w:cs="Times New Roman"/>
          <w:noProof/>
          <w:sz w:val="24"/>
          <w:szCs w:val="24"/>
        </w:rPr>
        <w:t xml:space="preserve">. </w:t>
      </w:r>
      <w:r w:rsidR="00D06257">
        <w:rPr>
          <w:rFonts w:ascii="Times New Roman" w:hAnsi="Times New Roman" w:cs="Times New Roman"/>
          <w:noProof/>
          <w:sz w:val="24"/>
          <w:szCs w:val="24"/>
        </w:rPr>
        <w:t>Compared to the past, i</w:t>
      </w:r>
      <w:r w:rsidR="00D06257" w:rsidRPr="00D06257">
        <w:rPr>
          <w:rFonts w:ascii="Times New Roman" w:hAnsi="Times New Roman" w:cs="Times New Roman"/>
          <w:noProof/>
          <w:sz w:val="24"/>
          <w:szCs w:val="24"/>
        </w:rPr>
        <w:t xml:space="preserve">n EU ODS policy today there is a shift </w:t>
      </w:r>
      <w:r w:rsidR="00AB2448">
        <w:rPr>
          <w:rFonts w:ascii="Times New Roman" w:hAnsi="Times New Roman" w:cs="Times New Roman"/>
          <w:noProof/>
          <w:sz w:val="24"/>
          <w:szCs w:val="24"/>
        </w:rPr>
        <w:t>in the focus</w:t>
      </w:r>
      <w:r w:rsidR="00D06257" w:rsidRPr="00D06257">
        <w:rPr>
          <w:rFonts w:ascii="Times New Roman" w:hAnsi="Times New Roman" w:cs="Times New Roman"/>
          <w:noProof/>
          <w:sz w:val="24"/>
          <w:szCs w:val="24"/>
        </w:rPr>
        <w:t xml:space="preserve">: Rather than phasing out entire chemical groups of substances </w:t>
      </w:r>
      <w:r w:rsidR="00AB2448">
        <w:rPr>
          <w:rFonts w:ascii="Times New Roman" w:hAnsi="Times New Roman" w:cs="Times New Roman"/>
          <w:noProof/>
          <w:sz w:val="24"/>
          <w:szCs w:val="24"/>
        </w:rPr>
        <w:t xml:space="preserve">that was needed </w:t>
      </w:r>
      <w:r w:rsidR="00D06257" w:rsidRPr="00D06257">
        <w:rPr>
          <w:rFonts w:ascii="Times New Roman" w:hAnsi="Times New Roman" w:cs="Times New Roman"/>
          <w:noProof/>
          <w:sz w:val="24"/>
          <w:szCs w:val="24"/>
        </w:rPr>
        <w:t>in the past (e.g</w:t>
      </w:r>
      <w:r w:rsidR="00184168">
        <w:rPr>
          <w:rFonts w:ascii="Times New Roman" w:hAnsi="Times New Roman" w:cs="Times New Roman"/>
          <w:noProof/>
          <w:sz w:val="24"/>
          <w:szCs w:val="24"/>
        </w:rPr>
        <w:t>.</w:t>
      </w:r>
      <w:r w:rsidR="00D06257" w:rsidRPr="00D06257">
        <w:rPr>
          <w:rFonts w:ascii="Times New Roman" w:hAnsi="Times New Roman" w:cs="Times New Roman"/>
          <w:noProof/>
          <w:sz w:val="24"/>
          <w:szCs w:val="24"/>
        </w:rPr>
        <w:t xml:space="preserve"> CFCs, HCFCs), it is more about </w:t>
      </w:r>
      <w:r w:rsidR="00D06257" w:rsidRPr="00D06257">
        <w:rPr>
          <w:rFonts w:ascii="Times New Roman" w:hAnsi="Times New Roman" w:cs="Times New Roman"/>
          <w:b/>
          <w:noProof/>
          <w:sz w:val="24"/>
          <w:szCs w:val="24"/>
        </w:rPr>
        <w:t>preserving the huge ozone- and climate-relevant emission savings that have been achieved in the past</w:t>
      </w:r>
      <w:r w:rsidR="00D06257" w:rsidRPr="00D06257">
        <w:rPr>
          <w:rFonts w:ascii="Times New Roman" w:hAnsi="Times New Roman" w:cs="Times New Roman"/>
          <w:noProof/>
          <w:sz w:val="24"/>
          <w:szCs w:val="24"/>
        </w:rPr>
        <w:t xml:space="preserve">, and </w:t>
      </w:r>
      <w:r w:rsidR="00D06257" w:rsidRPr="00AB2448">
        <w:rPr>
          <w:rFonts w:ascii="Times New Roman" w:hAnsi="Times New Roman" w:cs="Times New Roman"/>
          <w:b/>
          <w:noProof/>
          <w:sz w:val="24"/>
          <w:szCs w:val="24"/>
        </w:rPr>
        <w:t>controlling the remaining uses in specialised areas</w:t>
      </w:r>
      <w:r w:rsidR="00D06257" w:rsidRPr="00D06257">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Therefore, the </w:t>
      </w:r>
      <w:r w:rsidR="00A94289">
        <w:rPr>
          <w:rFonts w:ascii="Times New Roman" w:hAnsi="Times New Roman" w:cs="Times New Roman"/>
          <w:noProof/>
          <w:sz w:val="24"/>
          <w:szCs w:val="24"/>
        </w:rPr>
        <w:t>review will seek</w:t>
      </w:r>
      <w:r>
        <w:rPr>
          <w:rFonts w:ascii="Times New Roman" w:hAnsi="Times New Roman" w:cs="Times New Roman"/>
          <w:noProof/>
          <w:sz w:val="24"/>
          <w:szCs w:val="24"/>
        </w:rPr>
        <w:t xml:space="preserve"> to </w:t>
      </w:r>
      <w:r w:rsidR="00A94289">
        <w:rPr>
          <w:rFonts w:ascii="Times New Roman" w:hAnsi="Times New Roman" w:cs="Times New Roman"/>
          <w:noProof/>
          <w:sz w:val="24"/>
          <w:szCs w:val="24"/>
        </w:rPr>
        <w:t>fine tune</w:t>
      </w:r>
      <w:r>
        <w:rPr>
          <w:rFonts w:ascii="Times New Roman" w:hAnsi="Times New Roman" w:cs="Times New Roman"/>
          <w:noProof/>
          <w:sz w:val="24"/>
          <w:szCs w:val="24"/>
        </w:rPr>
        <w:t xml:space="preserve"> the Regulation to today’s rema</w:t>
      </w:r>
      <w:r w:rsidR="00A94289">
        <w:rPr>
          <w:rFonts w:ascii="Times New Roman" w:hAnsi="Times New Roman" w:cs="Times New Roman"/>
          <w:noProof/>
          <w:sz w:val="24"/>
          <w:szCs w:val="24"/>
        </w:rPr>
        <w:t xml:space="preserve">ining challenges, to maintain good </w:t>
      </w:r>
      <w:r>
        <w:rPr>
          <w:rFonts w:ascii="Times New Roman" w:hAnsi="Times New Roman" w:cs="Times New Roman"/>
          <w:noProof/>
          <w:sz w:val="24"/>
          <w:szCs w:val="24"/>
        </w:rPr>
        <w:t>con</w:t>
      </w:r>
      <w:r w:rsidR="00A94289">
        <w:rPr>
          <w:rFonts w:ascii="Times New Roman" w:hAnsi="Times New Roman" w:cs="Times New Roman"/>
          <w:noProof/>
          <w:sz w:val="24"/>
          <w:szCs w:val="24"/>
        </w:rPr>
        <w:t xml:space="preserve">trol </w:t>
      </w:r>
      <w:r w:rsidR="00D06257">
        <w:rPr>
          <w:rFonts w:ascii="Times New Roman" w:hAnsi="Times New Roman" w:cs="Times New Roman"/>
          <w:noProof/>
          <w:sz w:val="24"/>
          <w:szCs w:val="24"/>
        </w:rPr>
        <w:t xml:space="preserve">while </w:t>
      </w:r>
      <w:r w:rsidR="00A94289">
        <w:rPr>
          <w:rFonts w:ascii="Times New Roman" w:hAnsi="Times New Roman" w:cs="Times New Roman"/>
          <w:noProof/>
          <w:sz w:val="24"/>
          <w:szCs w:val="24"/>
        </w:rPr>
        <w:t>using efficient measures</w:t>
      </w:r>
      <w:r>
        <w:rPr>
          <w:rFonts w:ascii="Times New Roman" w:hAnsi="Times New Roman" w:cs="Times New Roman"/>
          <w:noProof/>
          <w:sz w:val="24"/>
          <w:szCs w:val="24"/>
        </w:rPr>
        <w:t>.</w:t>
      </w:r>
      <w:r w:rsidR="00A94289">
        <w:rPr>
          <w:rFonts w:ascii="Times New Roman" w:hAnsi="Times New Roman" w:cs="Times New Roman"/>
          <w:noProof/>
          <w:sz w:val="24"/>
          <w:szCs w:val="24"/>
        </w:rPr>
        <w:t xml:space="preserve"> </w:t>
      </w:r>
    </w:p>
    <w:p w14:paraId="4BA3312A" w14:textId="77777777" w:rsidR="00D06257" w:rsidRDefault="00A94289" w:rsidP="00A14107">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To achieve this, </w:t>
      </w:r>
      <w:r w:rsidR="00A14107" w:rsidRPr="00A14107">
        <w:rPr>
          <w:rFonts w:ascii="Times New Roman" w:hAnsi="Times New Roman" w:cs="Times New Roman"/>
          <w:noProof/>
          <w:sz w:val="24"/>
          <w:szCs w:val="24"/>
        </w:rPr>
        <w:t xml:space="preserve">a series of </w:t>
      </w:r>
      <w:r>
        <w:rPr>
          <w:rFonts w:ascii="Times New Roman" w:hAnsi="Times New Roman" w:cs="Times New Roman"/>
          <w:noProof/>
          <w:sz w:val="24"/>
          <w:szCs w:val="24"/>
        </w:rPr>
        <w:t xml:space="preserve">feasible </w:t>
      </w:r>
      <w:r w:rsidR="00A14107" w:rsidRPr="00A14107">
        <w:rPr>
          <w:rFonts w:ascii="Times New Roman" w:hAnsi="Times New Roman" w:cs="Times New Roman"/>
          <w:noProof/>
          <w:sz w:val="24"/>
          <w:szCs w:val="24"/>
        </w:rPr>
        <w:t>measures were identified</w:t>
      </w:r>
      <w:r w:rsidRPr="00A94289">
        <w:rPr>
          <w:rFonts w:ascii="Times New Roman" w:hAnsi="Times New Roman" w:cs="Times New Roman"/>
          <w:noProof/>
          <w:sz w:val="24"/>
          <w:szCs w:val="24"/>
        </w:rPr>
        <w:t xml:space="preserve"> </w:t>
      </w:r>
      <w:r>
        <w:rPr>
          <w:rFonts w:ascii="Times New Roman" w:hAnsi="Times New Roman" w:cs="Times New Roman"/>
          <w:noProof/>
          <w:sz w:val="24"/>
          <w:szCs w:val="24"/>
        </w:rPr>
        <w:t>f</w:t>
      </w:r>
      <w:r w:rsidRPr="00A14107">
        <w:rPr>
          <w:rFonts w:ascii="Times New Roman" w:hAnsi="Times New Roman" w:cs="Times New Roman"/>
          <w:noProof/>
          <w:sz w:val="24"/>
          <w:szCs w:val="24"/>
        </w:rPr>
        <w:t xml:space="preserve">or each review objective and issue </w:t>
      </w:r>
      <w:r>
        <w:rPr>
          <w:rFonts w:ascii="Times New Roman" w:hAnsi="Times New Roman" w:cs="Times New Roman"/>
          <w:noProof/>
          <w:sz w:val="24"/>
          <w:szCs w:val="24"/>
        </w:rPr>
        <w:t>listed</w:t>
      </w:r>
      <w:r w:rsidRPr="00A14107">
        <w:rPr>
          <w:rFonts w:ascii="Times New Roman" w:hAnsi="Times New Roman" w:cs="Times New Roman"/>
          <w:noProof/>
          <w:sz w:val="24"/>
          <w:szCs w:val="24"/>
        </w:rPr>
        <w:t xml:space="preserve"> </w:t>
      </w:r>
      <w:r>
        <w:rPr>
          <w:rFonts w:ascii="Times New Roman" w:hAnsi="Times New Roman" w:cs="Times New Roman"/>
          <w:noProof/>
          <w:sz w:val="24"/>
          <w:szCs w:val="24"/>
        </w:rPr>
        <w:t>in section 2</w:t>
      </w:r>
      <w:r w:rsidR="00A14107" w:rsidRPr="00A14107">
        <w:rPr>
          <w:rFonts w:ascii="Times New Roman" w:hAnsi="Times New Roman" w:cs="Times New Roman"/>
          <w:noProof/>
          <w:sz w:val="24"/>
          <w:szCs w:val="24"/>
        </w:rPr>
        <w:t xml:space="preserve">. </w:t>
      </w:r>
      <w:r w:rsidR="00D06257">
        <w:rPr>
          <w:rFonts w:ascii="Times New Roman" w:hAnsi="Times New Roman" w:cs="Times New Roman"/>
          <w:noProof/>
          <w:sz w:val="24"/>
          <w:szCs w:val="24"/>
        </w:rPr>
        <w:t xml:space="preserve">The collected measures were </w:t>
      </w:r>
      <w:r w:rsidR="00D06257" w:rsidRPr="00D06257">
        <w:rPr>
          <w:rFonts w:ascii="Times New Roman" w:hAnsi="Times New Roman" w:cs="Times New Roman"/>
          <w:noProof/>
          <w:sz w:val="24"/>
          <w:szCs w:val="24"/>
        </w:rPr>
        <w:t>to a large degree proposed by stakeholders</w:t>
      </w:r>
      <w:r w:rsidR="00D06257">
        <w:rPr>
          <w:rFonts w:ascii="Times New Roman" w:hAnsi="Times New Roman" w:cs="Times New Roman"/>
          <w:noProof/>
          <w:sz w:val="24"/>
          <w:szCs w:val="24"/>
        </w:rPr>
        <w:t>, in particular the Member State authorities,</w:t>
      </w:r>
      <w:r w:rsidR="00D06257" w:rsidRPr="00D06257">
        <w:rPr>
          <w:rFonts w:ascii="Times New Roman" w:hAnsi="Times New Roman" w:cs="Times New Roman"/>
          <w:noProof/>
          <w:sz w:val="24"/>
          <w:szCs w:val="24"/>
        </w:rPr>
        <w:t xml:space="preserve"> during the consulta</w:t>
      </w:r>
      <w:r w:rsidR="00AB2448">
        <w:rPr>
          <w:rFonts w:ascii="Times New Roman" w:hAnsi="Times New Roman" w:cs="Times New Roman"/>
          <w:noProof/>
          <w:sz w:val="24"/>
          <w:szCs w:val="24"/>
        </w:rPr>
        <w:t xml:space="preserve">tions on the evaluation and </w:t>
      </w:r>
      <w:r w:rsidR="00D06257" w:rsidRPr="00D06257">
        <w:rPr>
          <w:rFonts w:ascii="Times New Roman" w:hAnsi="Times New Roman" w:cs="Times New Roman"/>
          <w:noProof/>
          <w:sz w:val="24"/>
          <w:szCs w:val="24"/>
        </w:rPr>
        <w:t xml:space="preserve">the impact assessment. A number of measures were based on internal </w:t>
      </w:r>
      <w:r w:rsidR="00D06257">
        <w:rPr>
          <w:rFonts w:ascii="Times New Roman" w:hAnsi="Times New Roman" w:cs="Times New Roman"/>
          <w:noProof/>
          <w:sz w:val="24"/>
          <w:szCs w:val="24"/>
        </w:rPr>
        <w:t>Commission experience of implementing this policy</w:t>
      </w:r>
      <w:r w:rsidR="00D06257" w:rsidRPr="00D06257">
        <w:rPr>
          <w:rFonts w:ascii="Times New Roman" w:hAnsi="Times New Roman" w:cs="Times New Roman"/>
          <w:noProof/>
          <w:sz w:val="24"/>
          <w:szCs w:val="24"/>
        </w:rPr>
        <w:t xml:space="preserve"> as well as </w:t>
      </w:r>
      <w:r w:rsidR="00D06257">
        <w:rPr>
          <w:rFonts w:ascii="Times New Roman" w:hAnsi="Times New Roman" w:cs="Times New Roman"/>
          <w:noProof/>
          <w:sz w:val="24"/>
          <w:szCs w:val="24"/>
        </w:rPr>
        <w:t xml:space="preserve">suggestions by </w:t>
      </w:r>
      <w:r w:rsidR="00D06257" w:rsidRPr="00D06257">
        <w:rPr>
          <w:rFonts w:ascii="Times New Roman" w:hAnsi="Times New Roman" w:cs="Times New Roman"/>
          <w:noProof/>
          <w:sz w:val="24"/>
          <w:szCs w:val="24"/>
        </w:rPr>
        <w:t>outside experts.</w:t>
      </w:r>
      <w:r w:rsidR="00D06257">
        <w:rPr>
          <w:rFonts w:ascii="Times New Roman" w:hAnsi="Times New Roman" w:cs="Times New Roman"/>
          <w:noProof/>
          <w:sz w:val="24"/>
          <w:szCs w:val="24"/>
        </w:rPr>
        <w:t xml:space="preserve"> </w:t>
      </w:r>
      <w:r w:rsidR="00A14107" w:rsidRPr="00A14107">
        <w:rPr>
          <w:rFonts w:ascii="Times New Roman" w:hAnsi="Times New Roman" w:cs="Times New Roman"/>
          <w:noProof/>
          <w:sz w:val="24"/>
          <w:szCs w:val="24"/>
        </w:rPr>
        <w:t>An overview of the link between the issues and the measures chosen is provide in Annex 10.</w:t>
      </w:r>
      <w:r w:rsidR="00D06257">
        <w:rPr>
          <w:rFonts w:ascii="Times New Roman" w:hAnsi="Times New Roman" w:cs="Times New Roman"/>
          <w:noProof/>
          <w:sz w:val="24"/>
          <w:szCs w:val="24"/>
        </w:rPr>
        <w:t xml:space="preserve"> </w:t>
      </w:r>
    </w:p>
    <w:p w14:paraId="4EA1EA01"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As the Regulation is generally fit for purpose, many measures relating to the design of the Regulation are targeting rather small issues and the impacts or cost savings related to solving these issues are equally small. Nevertheless</w:t>
      </w:r>
      <w:r w:rsidR="004C1D8C">
        <w:rPr>
          <w:rFonts w:ascii="Times New Roman" w:hAnsi="Times New Roman" w:cs="Times New Roman"/>
          <w:noProof/>
          <w:sz w:val="24"/>
          <w:szCs w:val="24"/>
        </w:rPr>
        <w:t>,</w:t>
      </w:r>
      <w:r w:rsidRPr="00A14107">
        <w:rPr>
          <w:rFonts w:ascii="Times New Roman" w:hAnsi="Times New Roman" w:cs="Times New Roman"/>
          <w:noProof/>
          <w:sz w:val="24"/>
          <w:szCs w:val="24"/>
        </w:rPr>
        <w:t xml:space="preserve"> it would be a missed opportunity to forgo a possible improvement. Furthermore, for some of the issues</w:t>
      </w:r>
      <w:r w:rsidR="004C1D8C">
        <w:rPr>
          <w:rFonts w:ascii="Times New Roman" w:hAnsi="Times New Roman" w:cs="Times New Roman"/>
          <w:noProof/>
          <w:sz w:val="24"/>
          <w:szCs w:val="24"/>
        </w:rPr>
        <w:t>,</w:t>
      </w:r>
      <w:r w:rsidRPr="00A14107">
        <w:rPr>
          <w:rFonts w:ascii="Times New Roman" w:hAnsi="Times New Roman" w:cs="Times New Roman"/>
          <w:noProof/>
          <w:sz w:val="24"/>
          <w:szCs w:val="24"/>
        </w:rPr>
        <w:t xml:space="preserve"> the choice of measure to remedy the issue was self-evident. For others, several measures were considered and those that appeared infeasible </w:t>
      </w:r>
      <w:r w:rsidR="00086935">
        <w:rPr>
          <w:rFonts w:ascii="Times New Roman" w:hAnsi="Times New Roman" w:cs="Times New Roman"/>
          <w:noProof/>
          <w:sz w:val="24"/>
          <w:szCs w:val="24"/>
        </w:rPr>
        <w:t>or i</w:t>
      </w:r>
      <w:r w:rsidR="00A94289">
        <w:rPr>
          <w:rFonts w:ascii="Times New Roman" w:hAnsi="Times New Roman" w:cs="Times New Roman"/>
          <w:noProof/>
          <w:sz w:val="24"/>
          <w:szCs w:val="24"/>
        </w:rPr>
        <w:t xml:space="preserve">neffective </w:t>
      </w:r>
      <w:r w:rsidRPr="00A14107">
        <w:rPr>
          <w:rFonts w:ascii="Times New Roman" w:hAnsi="Times New Roman" w:cs="Times New Roman"/>
          <w:noProof/>
          <w:sz w:val="24"/>
          <w:szCs w:val="24"/>
        </w:rPr>
        <w:t xml:space="preserve">were discarded, see </w:t>
      </w:r>
      <w:r w:rsidR="00086935">
        <w:rPr>
          <w:rFonts w:ascii="Times New Roman" w:hAnsi="Times New Roman" w:cs="Times New Roman"/>
          <w:noProof/>
          <w:sz w:val="24"/>
          <w:szCs w:val="24"/>
        </w:rPr>
        <w:t xml:space="preserve">section 5.3 and </w:t>
      </w:r>
      <w:r w:rsidRPr="00A14107">
        <w:rPr>
          <w:rFonts w:ascii="Times New Roman" w:hAnsi="Times New Roman" w:cs="Times New Roman"/>
          <w:noProof/>
          <w:sz w:val="24"/>
          <w:szCs w:val="24"/>
        </w:rPr>
        <w:t>Annex 9.</w:t>
      </w:r>
      <w:r w:rsidRPr="00A14107">
        <w:rPr>
          <w:noProof/>
        </w:rPr>
        <w:t xml:space="preserve"> </w:t>
      </w:r>
      <w:r w:rsidRPr="00A14107">
        <w:rPr>
          <w:rFonts w:ascii="Times New Roman" w:hAnsi="Times New Roman" w:cs="Times New Roman"/>
          <w:noProof/>
          <w:sz w:val="24"/>
          <w:szCs w:val="24"/>
        </w:rPr>
        <w:t xml:space="preserve">The </w:t>
      </w:r>
      <w:r w:rsidR="00086935">
        <w:rPr>
          <w:rFonts w:ascii="Times New Roman" w:hAnsi="Times New Roman" w:cs="Times New Roman"/>
          <w:noProof/>
          <w:sz w:val="24"/>
          <w:szCs w:val="24"/>
        </w:rPr>
        <w:t xml:space="preserve">selected </w:t>
      </w:r>
      <w:r w:rsidRPr="00A14107">
        <w:rPr>
          <w:rFonts w:ascii="Times New Roman" w:hAnsi="Times New Roman" w:cs="Times New Roman"/>
          <w:noProof/>
          <w:sz w:val="24"/>
          <w:szCs w:val="24"/>
        </w:rPr>
        <w:t xml:space="preserve">measures are generally compatible with one another and not mutually exclusive. </w:t>
      </w:r>
      <w:r w:rsidR="00086935">
        <w:rPr>
          <w:rFonts w:ascii="Times New Roman" w:hAnsi="Times New Roman" w:cs="Times New Roman"/>
          <w:noProof/>
          <w:sz w:val="24"/>
          <w:szCs w:val="24"/>
        </w:rPr>
        <w:t>They a</w:t>
      </w:r>
      <w:r w:rsidRPr="00A14107">
        <w:rPr>
          <w:rFonts w:ascii="Times New Roman" w:hAnsi="Times New Roman" w:cs="Times New Roman"/>
          <w:noProof/>
          <w:sz w:val="24"/>
          <w:szCs w:val="24"/>
        </w:rPr>
        <w:t>re grouped into three packages on the basis of their expected (abatement) costs (see Table 2):</w:t>
      </w:r>
    </w:p>
    <w:p w14:paraId="349B08B9" w14:textId="77777777" w:rsidR="00A14107" w:rsidRPr="00A14107" w:rsidRDefault="00A14107" w:rsidP="00AD73CF">
      <w:pPr>
        <w:numPr>
          <w:ilvl w:val="0"/>
          <w:numId w:val="20"/>
        </w:numPr>
        <w:spacing w:after="120"/>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Option 1</w:t>
      </w:r>
      <w:r w:rsidRPr="00A14107">
        <w:rPr>
          <w:rFonts w:ascii="Times New Roman" w:hAnsi="Times New Roman" w:cs="Times New Roman"/>
          <w:noProof/>
          <w:sz w:val="24"/>
          <w:szCs w:val="24"/>
        </w:rPr>
        <w:t xml:space="preserve"> includes measures resulting in </w:t>
      </w:r>
      <w:r w:rsidRPr="00AB2448">
        <w:rPr>
          <w:rFonts w:ascii="Times New Roman" w:hAnsi="Times New Roman" w:cs="Times New Roman"/>
          <w:noProof/>
          <w:sz w:val="24"/>
          <w:szCs w:val="24"/>
          <w:shd w:val="clear" w:color="auto" w:fill="F2DBDB" w:themeFill="accent2" w:themeFillTint="33"/>
        </w:rPr>
        <w:t>savings or very low costs only</w:t>
      </w:r>
      <w:r w:rsidRPr="00A14107">
        <w:rPr>
          <w:rFonts w:ascii="Times New Roman" w:hAnsi="Times New Roman" w:cs="Times New Roman"/>
          <w:noProof/>
          <w:sz w:val="24"/>
          <w:szCs w:val="24"/>
        </w:rPr>
        <w:t>. It focuses mainly on simplifications and better coherence and clarifications</w:t>
      </w:r>
      <w:r w:rsidR="00A00F5E">
        <w:rPr>
          <w:rFonts w:ascii="Times New Roman" w:hAnsi="Times New Roman" w:cs="Times New Roman"/>
          <w:noProof/>
          <w:sz w:val="24"/>
          <w:szCs w:val="24"/>
        </w:rPr>
        <w:t xml:space="preserve"> where these do not result in relevant costs, and</w:t>
      </w:r>
      <w:r w:rsidRPr="00A14107">
        <w:rPr>
          <w:rFonts w:ascii="Times New Roman" w:hAnsi="Times New Roman" w:cs="Times New Roman"/>
          <w:noProof/>
          <w:sz w:val="24"/>
          <w:szCs w:val="24"/>
        </w:rPr>
        <w:t xml:space="preserve"> includes also one very cost-efficient measure to reduce emissions (foams recovery limited to the sandwich panel foams).</w:t>
      </w:r>
    </w:p>
    <w:p w14:paraId="3AAA6B50" w14:textId="77777777" w:rsidR="00A14107" w:rsidRPr="00A14107" w:rsidRDefault="00A14107" w:rsidP="00AD73CF">
      <w:pPr>
        <w:numPr>
          <w:ilvl w:val="0"/>
          <w:numId w:val="20"/>
        </w:numPr>
        <w:spacing w:after="120"/>
        <w:contextualSpacing/>
        <w:jc w:val="both"/>
        <w:rPr>
          <w:rFonts w:ascii="Times New Roman" w:hAnsi="Times New Roman" w:cs="Times New Roman"/>
          <w:noProof/>
          <w:sz w:val="24"/>
          <w:szCs w:val="24"/>
        </w:rPr>
      </w:pPr>
      <w:r w:rsidRPr="00A14107">
        <w:rPr>
          <w:rFonts w:ascii="Times New Roman" w:hAnsi="Times New Roman" w:cs="Times New Roman"/>
          <w:b/>
          <w:noProof/>
          <w:sz w:val="24"/>
          <w:szCs w:val="24"/>
        </w:rPr>
        <w:t>Option 2</w:t>
      </w:r>
      <w:r w:rsidRPr="00A14107">
        <w:rPr>
          <w:rFonts w:ascii="Times New Roman" w:hAnsi="Times New Roman" w:cs="Times New Roman"/>
          <w:noProof/>
          <w:sz w:val="24"/>
          <w:szCs w:val="24"/>
        </w:rPr>
        <w:t xml:space="preserve"> includes all measures in Option 1 plus additional measures that are expected to generate </w:t>
      </w:r>
      <w:r w:rsidRPr="00A14107">
        <w:rPr>
          <w:rFonts w:ascii="Times New Roman" w:hAnsi="Times New Roman" w:cs="Times New Roman"/>
          <w:noProof/>
          <w:sz w:val="24"/>
          <w:szCs w:val="24"/>
          <w:shd w:val="clear" w:color="auto" w:fill="D99594" w:themeFill="accent2" w:themeFillTint="99"/>
        </w:rPr>
        <w:t>some costs</w:t>
      </w:r>
      <w:r w:rsidRPr="00A14107">
        <w:rPr>
          <w:rFonts w:ascii="Times New Roman" w:hAnsi="Times New Roman" w:cs="Times New Roman"/>
          <w:noProof/>
          <w:sz w:val="24"/>
          <w:szCs w:val="24"/>
        </w:rPr>
        <w:t>, notably measures targeting emission reductions (e.g. foams recovery also from certain laminated panel</w:t>
      </w:r>
      <w:r w:rsidR="004C1D8C">
        <w:rPr>
          <w:rFonts w:ascii="Times New Roman" w:hAnsi="Times New Roman" w:cs="Times New Roman"/>
          <w:noProof/>
          <w:sz w:val="24"/>
          <w:szCs w:val="24"/>
        </w:rPr>
        <w:t>ling</w:t>
      </w:r>
      <w:r w:rsidRPr="00A14107">
        <w:rPr>
          <w:rFonts w:ascii="Times New Roman" w:hAnsi="Times New Roman" w:cs="Times New Roman"/>
          <w:noProof/>
          <w:sz w:val="24"/>
          <w:szCs w:val="24"/>
        </w:rPr>
        <w:t>) as well as more comprehensive monitoring and control.</w:t>
      </w:r>
    </w:p>
    <w:p w14:paraId="36E3A831" w14:textId="77777777" w:rsidR="00A14107" w:rsidRPr="00A14107" w:rsidRDefault="00A14107" w:rsidP="00AD73CF">
      <w:pPr>
        <w:numPr>
          <w:ilvl w:val="0"/>
          <w:numId w:val="20"/>
        </w:numPr>
        <w:spacing w:after="120"/>
        <w:ind w:left="714" w:hanging="357"/>
        <w:jc w:val="both"/>
        <w:rPr>
          <w:rFonts w:ascii="Times New Roman" w:hAnsi="Times New Roman" w:cs="Times New Roman"/>
          <w:noProof/>
          <w:sz w:val="24"/>
          <w:szCs w:val="24"/>
        </w:rPr>
      </w:pPr>
      <w:r w:rsidRPr="00A14107">
        <w:rPr>
          <w:rFonts w:ascii="Times New Roman" w:hAnsi="Times New Roman" w:cs="Times New Roman"/>
          <w:b/>
          <w:noProof/>
          <w:sz w:val="24"/>
          <w:szCs w:val="24"/>
        </w:rPr>
        <w:t>Option 3</w:t>
      </w:r>
      <w:r w:rsidRPr="00A14107">
        <w:rPr>
          <w:rFonts w:ascii="Times New Roman" w:hAnsi="Times New Roman" w:cs="Times New Roman"/>
          <w:noProof/>
          <w:sz w:val="24"/>
          <w:szCs w:val="24"/>
        </w:rPr>
        <w:t xml:space="preserve"> includes all measures including those with </w:t>
      </w:r>
      <w:r w:rsidRPr="00A14107">
        <w:rPr>
          <w:rFonts w:ascii="Times New Roman" w:hAnsi="Times New Roman" w:cs="Times New Roman"/>
          <w:noProof/>
          <w:sz w:val="24"/>
          <w:szCs w:val="24"/>
          <w:shd w:val="clear" w:color="auto" w:fill="FF0000"/>
        </w:rPr>
        <w:t>high (abatement) costs</w:t>
      </w:r>
      <w:r w:rsidRPr="00A14107">
        <w:rPr>
          <w:rFonts w:ascii="Times New Roman" w:hAnsi="Times New Roman" w:cs="Times New Roman"/>
          <w:noProof/>
          <w:sz w:val="24"/>
          <w:szCs w:val="24"/>
        </w:rPr>
        <w:t>.</w:t>
      </w:r>
    </w:p>
    <w:p w14:paraId="56B82841"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In the following sections all the retained individual measures are described in detail and the impacts of each measure is analysed, taking into account the feedback provided by stakeholders as regards the expected impacts of each measure. Subsequently</w:t>
      </w:r>
      <w:r w:rsidR="004C1D8C">
        <w:rPr>
          <w:rFonts w:ascii="Times New Roman" w:hAnsi="Times New Roman" w:cs="Times New Roman"/>
          <w:noProof/>
          <w:sz w:val="24"/>
          <w:szCs w:val="24"/>
        </w:rPr>
        <w:t>,</w:t>
      </w:r>
      <w:r w:rsidRPr="00A14107">
        <w:rPr>
          <w:rFonts w:ascii="Times New Roman" w:hAnsi="Times New Roman" w:cs="Times New Roman"/>
          <w:noProof/>
          <w:sz w:val="24"/>
          <w:szCs w:val="24"/>
        </w:rPr>
        <w:t xml:space="preserve"> an overview of the impacts of all measures is provide in Table 3.</w:t>
      </w:r>
    </w:p>
    <w:p w14:paraId="71ED3840" w14:textId="77777777" w:rsidR="00A14107" w:rsidRPr="00A14107" w:rsidRDefault="00A14107" w:rsidP="00A14107">
      <w:pPr>
        <w:jc w:val="both"/>
        <w:rPr>
          <w:noProof/>
          <w:color w:val="0070C0"/>
          <w:sz w:val="20"/>
        </w:rPr>
      </w:pPr>
      <w:r w:rsidRPr="00A14107">
        <w:rPr>
          <w:noProof/>
          <w:color w:val="0070C0"/>
          <w:sz w:val="20"/>
          <w:szCs w:val="20"/>
        </w:rPr>
        <w:t xml:space="preserve"> Table 2. The three policy options and the respective policy measures included </w:t>
      </w:r>
    </w:p>
    <w:tbl>
      <w:tblPr>
        <w:tblStyle w:val="TableGrid1212"/>
        <w:tblW w:w="4875" w:type="pct"/>
        <w:tblLayout w:type="fixed"/>
        <w:tblLook w:val="04A0" w:firstRow="1" w:lastRow="0" w:firstColumn="1" w:lastColumn="0" w:noHBand="0" w:noVBand="1"/>
      </w:tblPr>
      <w:tblGrid>
        <w:gridCol w:w="4936"/>
        <w:gridCol w:w="1406"/>
        <w:gridCol w:w="1335"/>
        <w:gridCol w:w="1334"/>
      </w:tblGrid>
      <w:tr w:rsidR="00A14107" w:rsidRPr="00A14107" w14:paraId="674584F0" w14:textId="77777777" w:rsidTr="00A14107">
        <w:trPr>
          <w:cnfStyle w:val="100000000000" w:firstRow="1" w:lastRow="0" w:firstColumn="0" w:lastColumn="0" w:oddVBand="0" w:evenVBand="0" w:oddHBand="0" w:evenHBand="0" w:firstRowFirstColumn="0" w:firstRowLastColumn="0" w:lastRowFirstColumn="0" w:lastRowLastColumn="0"/>
          <w:trHeight w:val="340"/>
        </w:trPr>
        <w:tc>
          <w:tcPr>
            <w:tcW w:w="2739" w:type="pct"/>
            <w:noWrap/>
            <w:hideMark/>
          </w:tcPr>
          <w:p w14:paraId="3493EC02" w14:textId="77777777" w:rsidR="00A14107" w:rsidRPr="00A14107" w:rsidRDefault="00A14107" w:rsidP="00A14107">
            <w:pPr>
              <w:rPr>
                <w:rFonts w:asciiTheme="minorHAnsi" w:hAnsiTheme="minorHAnsi" w:cstheme="minorHAnsi"/>
                <w:b/>
                <w:noProof/>
              </w:rPr>
            </w:pPr>
            <w:r w:rsidRPr="00A14107">
              <w:rPr>
                <w:rFonts w:asciiTheme="minorHAnsi" w:hAnsiTheme="minorHAnsi" w:cstheme="minorHAnsi"/>
                <w:b/>
                <w:bCs/>
                <w:noProof/>
              </w:rPr>
              <w:t>Policy options</w:t>
            </w:r>
          </w:p>
          <w:p w14:paraId="29D1CCD7" w14:textId="77777777" w:rsidR="00A14107" w:rsidRPr="00A14107" w:rsidRDefault="00A14107" w:rsidP="00A14107">
            <w:pPr>
              <w:rPr>
                <w:rFonts w:asciiTheme="minorHAnsi" w:hAnsiTheme="minorHAnsi" w:cstheme="minorHAnsi"/>
                <w:b/>
                <w:bCs/>
                <w:noProof/>
              </w:rPr>
            </w:pPr>
            <w:r w:rsidRPr="00A14107">
              <w:rPr>
                <w:rFonts w:asciiTheme="minorHAnsi" w:hAnsiTheme="minorHAnsi" w:cstheme="minorHAnsi"/>
                <w:b/>
                <w:bCs/>
                <w:noProof/>
              </w:rPr>
              <w:t>Measures</w:t>
            </w:r>
          </w:p>
        </w:tc>
        <w:tc>
          <w:tcPr>
            <w:tcW w:w="780" w:type="pct"/>
          </w:tcPr>
          <w:p w14:paraId="70AC0BD9" w14:textId="77777777" w:rsidR="00A14107" w:rsidRPr="00A14107" w:rsidRDefault="00A14107" w:rsidP="00A14107">
            <w:pPr>
              <w:rPr>
                <w:rFonts w:asciiTheme="minorHAnsi" w:hAnsiTheme="minorHAnsi" w:cstheme="minorHAnsi"/>
                <w:b/>
                <w:noProof/>
                <w:color w:val="FFFFFF" w:themeColor="background1"/>
              </w:rPr>
            </w:pPr>
            <w:r w:rsidRPr="00A14107">
              <w:rPr>
                <w:rFonts w:asciiTheme="minorHAnsi" w:hAnsiTheme="minorHAnsi" w:cstheme="minorHAnsi"/>
                <w:b/>
                <w:bCs/>
                <w:noProof/>
                <w:color w:val="FFFFFF" w:themeColor="background1"/>
              </w:rPr>
              <w:t>Option 1</w:t>
            </w:r>
          </w:p>
        </w:tc>
        <w:tc>
          <w:tcPr>
            <w:tcW w:w="741" w:type="pct"/>
          </w:tcPr>
          <w:p w14:paraId="134F896F" w14:textId="77777777" w:rsidR="00A14107" w:rsidRPr="00A14107" w:rsidRDefault="00A14107" w:rsidP="00A14107">
            <w:pPr>
              <w:rPr>
                <w:rFonts w:asciiTheme="minorHAnsi" w:hAnsiTheme="minorHAnsi" w:cstheme="minorHAnsi"/>
                <w:b/>
                <w:noProof/>
                <w:color w:val="FFFFFF" w:themeColor="background1"/>
              </w:rPr>
            </w:pPr>
            <w:r w:rsidRPr="00A14107">
              <w:rPr>
                <w:rFonts w:asciiTheme="minorHAnsi" w:hAnsiTheme="minorHAnsi" w:cstheme="minorHAnsi"/>
                <w:b/>
                <w:bCs/>
                <w:noProof/>
                <w:color w:val="FFFFFF" w:themeColor="background1"/>
              </w:rPr>
              <w:t>Option 2</w:t>
            </w:r>
          </w:p>
        </w:tc>
        <w:tc>
          <w:tcPr>
            <w:tcW w:w="740" w:type="pct"/>
          </w:tcPr>
          <w:p w14:paraId="6D5815B4" w14:textId="77777777" w:rsidR="00A14107" w:rsidRPr="00A14107" w:rsidRDefault="00A14107" w:rsidP="00A14107">
            <w:pPr>
              <w:rPr>
                <w:rFonts w:asciiTheme="minorHAnsi" w:hAnsiTheme="minorHAnsi" w:cstheme="minorHAnsi"/>
                <w:b/>
                <w:bCs/>
                <w:noProof/>
              </w:rPr>
            </w:pPr>
            <w:r w:rsidRPr="00A14107">
              <w:rPr>
                <w:rFonts w:asciiTheme="minorHAnsi" w:hAnsiTheme="minorHAnsi" w:cstheme="minorHAnsi"/>
                <w:b/>
                <w:bCs/>
                <w:noProof/>
              </w:rPr>
              <w:t>Option 3</w:t>
            </w:r>
          </w:p>
        </w:tc>
      </w:tr>
      <w:tr w:rsidR="00A14107" w:rsidRPr="00A14107" w14:paraId="652ADAAB"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bottom w:val="single" w:sz="4" w:space="0" w:color="auto"/>
            </w:tcBorders>
            <w:hideMark/>
          </w:tcPr>
          <w:p w14:paraId="7109D06A"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A1 Make destruction mandatory for some types of foam banks</w:t>
            </w:r>
          </w:p>
          <w:p w14:paraId="208D5B8F"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((sandwich) panels and (laminated) boards, unless infeasible)</w:t>
            </w:r>
          </w:p>
        </w:tc>
        <w:tc>
          <w:tcPr>
            <w:tcW w:w="780" w:type="pct"/>
            <w:tcBorders>
              <w:bottom w:val="single" w:sz="4" w:space="0" w:color="auto"/>
            </w:tcBorders>
            <w:shd w:val="clear" w:color="auto" w:fill="F2DBDB" w:themeFill="accent2" w:themeFillTint="33"/>
          </w:tcPr>
          <w:p w14:paraId="69FE49E6"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Panels only</w:t>
            </w:r>
          </w:p>
        </w:tc>
        <w:tc>
          <w:tcPr>
            <w:tcW w:w="741" w:type="pct"/>
            <w:tcBorders>
              <w:bottom w:val="single" w:sz="4" w:space="0" w:color="auto"/>
            </w:tcBorders>
            <w:shd w:val="clear" w:color="auto" w:fill="D99594" w:themeFill="accent2" w:themeFillTint="99"/>
          </w:tcPr>
          <w:p w14:paraId="5B65EB4C" w14:textId="77777777" w:rsidR="00A14107" w:rsidRPr="00A14107" w:rsidDel="00561C77" w:rsidRDefault="00A14107" w:rsidP="00A14107">
            <w:pPr>
              <w:rPr>
                <w:rFonts w:asciiTheme="minorHAnsi" w:hAnsiTheme="minorHAnsi" w:cstheme="minorHAnsi"/>
                <w:noProof/>
                <w:sz w:val="16"/>
                <w:szCs w:val="16"/>
              </w:rPr>
            </w:pPr>
            <w:r w:rsidRPr="00A14107">
              <w:rPr>
                <w:rFonts w:cstheme="minorHAnsi"/>
                <w:noProof/>
                <w:sz w:val="16"/>
                <w:szCs w:val="16"/>
              </w:rPr>
              <w:t>Panels &amp;  boards</w:t>
            </w:r>
          </w:p>
        </w:tc>
        <w:tc>
          <w:tcPr>
            <w:tcW w:w="740" w:type="pct"/>
            <w:tcBorders>
              <w:bottom w:val="single" w:sz="4" w:space="0" w:color="auto"/>
            </w:tcBorders>
            <w:shd w:val="clear" w:color="auto" w:fill="D99594" w:themeFill="accent2" w:themeFillTint="99"/>
          </w:tcPr>
          <w:p w14:paraId="7000AE47" w14:textId="77777777" w:rsidR="00A14107" w:rsidRPr="00A14107" w:rsidRDefault="00A14107" w:rsidP="00A14107">
            <w:pPr>
              <w:rPr>
                <w:rFonts w:asciiTheme="minorHAnsi" w:hAnsiTheme="minorHAnsi" w:cstheme="minorHAnsi"/>
                <w:noProof/>
                <w:sz w:val="16"/>
                <w:szCs w:val="16"/>
              </w:rPr>
            </w:pPr>
            <w:r w:rsidRPr="00A14107">
              <w:rPr>
                <w:rFonts w:cstheme="minorHAnsi"/>
                <w:noProof/>
                <w:sz w:val="16"/>
                <w:szCs w:val="16"/>
              </w:rPr>
              <w:t>Panels &amp;  boards</w:t>
            </w:r>
          </w:p>
        </w:tc>
      </w:tr>
      <w:tr w:rsidR="00A14107" w:rsidRPr="00A14107" w14:paraId="7409643C"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shd w:val="clear" w:color="auto" w:fill="DEEAF6"/>
            <w:hideMark/>
          </w:tcPr>
          <w:p w14:paraId="3813BC25"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 xml:space="preserve">A2 Introduce a negative list for chemical production processes </w:t>
            </w:r>
          </w:p>
        </w:tc>
        <w:tc>
          <w:tcPr>
            <w:tcW w:w="780" w:type="pct"/>
            <w:tcBorders>
              <w:top w:val="single" w:sz="4" w:space="0" w:color="auto"/>
              <w:bottom w:val="single" w:sz="4" w:space="0" w:color="auto"/>
            </w:tcBorders>
            <w:shd w:val="clear" w:color="auto" w:fill="FFFFFF" w:themeFill="background1"/>
          </w:tcPr>
          <w:p w14:paraId="6825B21A" w14:textId="77777777" w:rsidR="00A14107" w:rsidRPr="00A14107" w:rsidRDefault="00A14107" w:rsidP="00A14107">
            <w:pPr>
              <w:jc w:val="both"/>
              <w:rPr>
                <w:rFonts w:cstheme="minorHAnsi"/>
                <w:noProof/>
                <w:sz w:val="16"/>
                <w:szCs w:val="16"/>
              </w:rPr>
            </w:pPr>
          </w:p>
        </w:tc>
        <w:tc>
          <w:tcPr>
            <w:tcW w:w="741" w:type="pct"/>
            <w:tcBorders>
              <w:top w:val="single" w:sz="4" w:space="0" w:color="auto"/>
              <w:bottom w:val="single" w:sz="4" w:space="0" w:color="auto"/>
            </w:tcBorders>
            <w:shd w:val="clear" w:color="auto" w:fill="FFFFFF" w:themeFill="background1"/>
          </w:tcPr>
          <w:p w14:paraId="092E8769" w14:textId="77777777" w:rsidR="00A14107" w:rsidRPr="00A14107" w:rsidRDefault="00A14107" w:rsidP="00A14107">
            <w:pPr>
              <w:jc w:val="both"/>
              <w:rPr>
                <w:rFonts w:cstheme="minorHAnsi"/>
                <w:noProof/>
                <w:sz w:val="16"/>
                <w:szCs w:val="16"/>
              </w:rPr>
            </w:pPr>
          </w:p>
        </w:tc>
        <w:tc>
          <w:tcPr>
            <w:tcW w:w="740" w:type="pct"/>
            <w:tcBorders>
              <w:top w:val="single" w:sz="4" w:space="0" w:color="auto"/>
              <w:bottom w:val="single" w:sz="4" w:space="0" w:color="auto"/>
            </w:tcBorders>
            <w:shd w:val="clear" w:color="auto" w:fill="FF0000"/>
          </w:tcPr>
          <w:p w14:paraId="590D7333" w14:textId="77777777" w:rsidR="00A14107" w:rsidRPr="00A14107" w:rsidRDefault="00A14107" w:rsidP="00A14107">
            <w:pPr>
              <w:jc w:val="both"/>
              <w:rPr>
                <w:rFonts w:asciiTheme="minorHAnsi" w:hAnsiTheme="minorHAnsi" w:cstheme="minorHAnsi"/>
                <w:noProof/>
                <w:sz w:val="16"/>
                <w:szCs w:val="16"/>
              </w:rPr>
            </w:pPr>
          </w:p>
        </w:tc>
      </w:tr>
      <w:tr w:rsidR="00A14107" w:rsidRPr="00A14107" w14:paraId="27F282E4"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hideMark/>
          </w:tcPr>
          <w:p w14:paraId="2757438A"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A3 Review prohibition dates for equipment containing or relying on halons</w:t>
            </w:r>
          </w:p>
        </w:tc>
        <w:tc>
          <w:tcPr>
            <w:tcW w:w="780" w:type="pct"/>
            <w:tcBorders>
              <w:top w:val="single" w:sz="4" w:space="0" w:color="auto"/>
              <w:bottom w:val="single" w:sz="4" w:space="0" w:color="auto"/>
            </w:tcBorders>
            <w:shd w:val="clear" w:color="auto" w:fill="FFFFFF" w:themeFill="background1"/>
          </w:tcPr>
          <w:p w14:paraId="59C6D4C8" w14:textId="77777777" w:rsidR="00A14107" w:rsidRPr="00A14107" w:rsidRDefault="00A14107" w:rsidP="00A14107">
            <w:pPr>
              <w:jc w:val="both"/>
              <w:rPr>
                <w:rFonts w:cstheme="minorHAnsi"/>
                <w:noProof/>
                <w:sz w:val="16"/>
                <w:szCs w:val="16"/>
              </w:rPr>
            </w:pPr>
          </w:p>
        </w:tc>
        <w:tc>
          <w:tcPr>
            <w:tcW w:w="741" w:type="pct"/>
            <w:tcBorders>
              <w:top w:val="single" w:sz="4" w:space="0" w:color="auto"/>
              <w:bottom w:val="single" w:sz="4" w:space="0" w:color="auto"/>
            </w:tcBorders>
            <w:shd w:val="clear" w:color="auto" w:fill="FFFFFF" w:themeFill="background1"/>
          </w:tcPr>
          <w:p w14:paraId="3BDDD9B8" w14:textId="77777777" w:rsidR="00A14107" w:rsidRPr="00A14107" w:rsidRDefault="00A14107" w:rsidP="00A14107">
            <w:pPr>
              <w:jc w:val="both"/>
              <w:rPr>
                <w:rFonts w:cstheme="minorHAnsi"/>
                <w:noProof/>
                <w:sz w:val="16"/>
                <w:szCs w:val="16"/>
              </w:rPr>
            </w:pPr>
          </w:p>
        </w:tc>
        <w:tc>
          <w:tcPr>
            <w:tcW w:w="740" w:type="pct"/>
            <w:tcBorders>
              <w:top w:val="single" w:sz="4" w:space="0" w:color="auto"/>
              <w:bottom w:val="single" w:sz="4" w:space="0" w:color="auto"/>
            </w:tcBorders>
            <w:shd w:val="clear" w:color="auto" w:fill="FF0000"/>
          </w:tcPr>
          <w:p w14:paraId="48F6323F" w14:textId="77777777" w:rsidR="00A14107" w:rsidRPr="00A14107" w:rsidRDefault="00A14107" w:rsidP="00A14107">
            <w:pPr>
              <w:jc w:val="both"/>
              <w:rPr>
                <w:rFonts w:asciiTheme="minorHAnsi" w:hAnsiTheme="minorHAnsi" w:cstheme="minorHAnsi"/>
                <w:noProof/>
                <w:sz w:val="16"/>
                <w:szCs w:val="16"/>
              </w:rPr>
            </w:pPr>
          </w:p>
        </w:tc>
      </w:tr>
      <w:tr w:rsidR="00A14107" w:rsidRPr="00A14107" w14:paraId="6A760284"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1D941CCD"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 xml:space="preserve">A4 Prohibit the destruction of halons </w:t>
            </w:r>
          </w:p>
        </w:tc>
        <w:tc>
          <w:tcPr>
            <w:tcW w:w="780" w:type="pct"/>
            <w:tcBorders>
              <w:top w:val="single" w:sz="4" w:space="0" w:color="auto"/>
              <w:bottom w:val="single" w:sz="4" w:space="0" w:color="auto"/>
            </w:tcBorders>
            <w:shd w:val="clear" w:color="auto" w:fill="FFFFFF" w:themeFill="background1"/>
          </w:tcPr>
          <w:p w14:paraId="5621B23F" w14:textId="77777777" w:rsidR="00A14107" w:rsidRPr="00A14107" w:rsidRDefault="00A14107" w:rsidP="00A14107">
            <w:pPr>
              <w:jc w:val="both"/>
              <w:rPr>
                <w:rFonts w:cstheme="minorHAnsi"/>
                <w:noProof/>
                <w:sz w:val="16"/>
                <w:szCs w:val="16"/>
              </w:rPr>
            </w:pPr>
          </w:p>
        </w:tc>
        <w:tc>
          <w:tcPr>
            <w:tcW w:w="741" w:type="pct"/>
            <w:tcBorders>
              <w:top w:val="single" w:sz="4" w:space="0" w:color="auto"/>
              <w:bottom w:val="single" w:sz="4" w:space="0" w:color="auto"/>
            </w:tcBorders>
            <w:shd w:val="clear" w:color="auto" w:fill="D99594" w:themeFill="accent2" w:themeFillTint="99"/>
          </w:tcPr>
          <w:p w14:paraId="65C0098E" w14:textId="77777777" w:rsidR="00A14107" w:rsidRPr="00A14107" w:rsidRDefault="00A14107" w:rsidP="00A14107">
            <w:pPr>
              <w:jc w:val="both"/>
              <w:rPr>
                <w:rFonts w:cstheme="minorHAnsi"/>
                <w:noProof/>
                <w:sz w:val="16"/>
                <w:szCs w:val="16"/>
              </w:rPr>
            </w:pPr>
          </w:p>
        </w:tc>
        <w:tc>
          <w:tcPr>
            <w:tcW w:w="740" w:type="pct"/>
            <w:tcBorders>
              <w:top w:val="single" w:sz="4" w:space="0" w:color="auto"/>
              <w:bottom w:val="single" w:sz="4" w:space="0" w:color="auto"/>
            </w:tcBorders>
            <w:shd w:val="clear" w:color="auto" w:fill="D99594" w:themeFill="accent2" w:themeFillTint="99"/>
          </w:tcPr>
          <w:p w14:paraId="133B714B" w14:textId="77777777" w:rsidR="00A14107" w:rsidRPr="00A14107" w:rsidRDefault="00A14107" w:rsidP="00A14107">
            <w:pPr>
              <w:jc w:val="both"/>
              <w:rPr>
                <w:rFonts w:asciiTheme="minorHAnsi" w:hAnsiTheme="minorHAnsi" w:cstheme="minorHAnsi"/>
                <w:noProof/>
                <w:sz w:val="16"/>
                <w:szCs w:val="16"/>
              </w:rPr>
            </w:pPr>
          </w:p>
        </w:tc>
      </w:tr>
      <w:tr w:rsidR="00A14107" w:rsidRPr="00A14107" w14:paraId="193A6F4A"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4C4B6B9A" w14:textId="77777777" w:rsidR="00A14107" w:rsidRPr="00A14107" w:rsidRDefault="00A14107" w:rsidP="00A14107">
            <w:pPr>
              <w:jc w:val="both"/>
              <w:rPr>
                <w:rFonts w:asciiTheme="minorHAnsi" w:hAnsiTheme="minorHAnsi" w:cstheme="minorHAnsi"/>
                <w:noProof/>
                <w:sz w:val="16"/>
                <w:szCs w:val="16"/>
              </w:rPr>
            </w:pPr>
            <w:r w:rsidRPr="00A14107">
              <w:rPr>
                <w:rFonts w:asciiTheme="minorHAnsi" w:hAnsiTheme="minorHAnsi" w:cstheme="minorHAnsi"/>
                <w:noProof/>
                <w:sz w:val="16"/>
                <w:szCs w:val="16"/>
              </w:rPr>
              <w:t>A5 Prohibit use of Annex II substances in cooling equipment</w:t>
            </w:r>
          </w:p>
        </w:tc>
        <w:tc>
          <w:tcPr>
            <w:tcW w:w="780" w:type="pct"/>
            <w:tcBorders>
              <w:top w:val="single" w:sz="4" w:space="0" w:color="auto"/>
              <w:bottom w:val="single" w:sz="4" w:space="0" w:color="auto"/>
            </w:tcBorders>
            <w:shd w:val="clear" w:color="auto" w:fill="FFFFFF" w:themeFill="background1"/>
          </w:tcPr>
          <w:p w14:paraId="046BD122" w14:textId="77777777" w:rsidR="00A14107" w:rsidRPr="00A14107" w:rsidRDefault="00A14107" w:rsidP="00A14107">
            <w:pPr>
              <w:jc w:val="both"/>
              <w:rPr>
                <w:rFonts w:cstheme="minorHAnsi"/>
                <w:noProof/>
                <w:sz w:val="16"/>
                <w:szCs w:val="16"/>
              </w:rPr>
            </w:pPr>
          </w:p>
        </w:tc>
        <w:tc>
          <w:tcPr>
            <w:tcW w:w="741" w:type="pct"/>
            <w:tcBorders>
              <w:top w:val="single" w:sz="4" w:space="0" w:color="auto"/>
              <w:bottom w:val="single" w:sz="4" w:space="0" w:color="auto"/>
            </w:tcBorders>
            <w:shd w:val="clear" w:color="auto" w:fill="FFFFFF" w:themeFill="background1"/>
          </w:tcPr>
          <w:p w14:paraId="3742C531" w14:textId="77777777" w:rsidR="00A14107" w:rsidRPr="00A14107" w:rsidRDefault="00A14107" w:rsidP="00A14107">
            <w:pPr>
              <w:jc w:val="both"/>
              <w:rPr>
                <w:rFonts w:cstheme="minorHAnsi"/>
                <w:noProof/>
                <w:sz w:val="16"/>
                <w:szCs w:val="16"/>
              </w:rPr>
            </w:pPr>
          </w:p>
        </w:tc>
        <w:tc>
          <w:tcPr>
            <w:tcW w:w="740" w:type="pct"/>
            <w:tcBorders>
              <w:top w:val="single" w:sz="4" w:space="0" w:color="auto"/>
              <w:bottom w:val="single" w:sz="4" w:space="0" w:color="auto"/>
            </w:tcBorders>
            <w:shd w:val="clear" w:color="auto" w:fill="FF0000"/>
          </w:tcPr>
          <w:p w14:paraId="1793B95A" w14:textId="77777777" w:rsidR="00A14107" w:rsidRPr="00A14107" w:rsidRDefault="00A14107" w:rsidP="00A14107">
            <w:pPr>
              <w:jc w:val="both"/>
              <w:rPr>
                <w:rFonts w:asciiTheme="minorHAnsi" w:hAnsiTheme="minorHAnsi" w:cstheme="minorHAnsi"/>
                <w:noProof/>
                <w:sz w:val="16"/>
                <w:szCs w:val="16"/>
              </w:rPr>
            </w:pPr>
          </w:p>
        </w:tc>
      </w:tr>
      <w:tr w:rsidR="00A14107" w:rsidRPr="00A14107" w14:paraId="388D371C"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71CC2932"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B1 Require trader licenses</w:t>
            </w:r>
          </w:p>
        </w:tc>
        <w:tc>
          <w:tcPr>
            <w:tcW w:w="780" w:type="pct"/>
            <w:tcBorders>
              <w:top w:val="single" w:sz="4" w:space="0" w:color="auto"/>
              <w:bottom w:val="single" w:sz="4" w:space="0" w:color="auto"/>
            </w:tcBorders>
            <w:shd w:val="clear" w:color="auto" w:fill="F2DBDB" w:themeFill="accent2" w:themeFillTint="33"/>
          </w:tcPr>
          <w:p w14:paraId="40554FA9"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F2DBDB" w:themeFill="accent2" w:themeFillTint="33"/>
          </w:tcPr>
          <w:p w14:paraId="23DDE0D6"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F2DBDB" w:themeFill="accent2" w:themeFillTint="33"/>
          </w:tcPr>
          <w:p w14:paraId="12072E70" w14:textId="77777777" w:rsidR="00A14107" w:rsidRPr="00A14107" w:rsidRDefault="00A14107" w:rsidP="00A14107">
            <w:pPr>
              <w:rPr>
                <w:rFonts w:asciiTheme="minorHAnsi" w:hAnsiTheme="minorHAnsi" w:cstheme="minorHAnsi"/>
                <w:noProof/>
                <w:sz w:val="16"/>
                <w:szCs w:val="16"/>
              </w:rPr>
            </w:pPr>
          </w:p>
        </w:tc>
      </w:tr>
      <w:tr w:rsidR="00A14107" w:rsidRPr="00A14107" w14:paraId="55D37DB6"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hideMark/>
          </w:tcPr>
          <w:p w14:paraId="1C87FE66"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B2 Monitoring of illegal goods</w:t>
            </w:r>
          </w:p>
        </w:tc>
        <w:tc>
          <w:tcPr>
            <w:tcW w:w="780" w:type="pct"/>
            <w:tcBorders>
              <w:top w:val="single" w:sz="4" w:space="0" w:color="auto"/>
              <w:bottom w:val="single" w:sz="4" w:space="0" w:color="auto"/>
            </w:tcBorders>
            <w:shd w:val="clear" w:color="auto" w:fill="FFFFFF" w:themeFill="background1"/>
          </w:tcPr>
          <w:p w14:paraId="28373EA3"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D99594" w:themeFill="accent2" w:themeFillTint="99"/>
          </w:tcPr>
          <w:p w14:paraId="6A6AB3CD"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D99594" w:themeFill="accent2" w:themeFillTint="99"/>
          </w:tcPr>
          <w:p w14:paraId="1A80AF58" w14:textId="77777777" w:rsidR="00A14107" w:rsidRPr="00A14107" w:rsidRDefault="00A14107" w:rsidP="00A14107">
            <w:pPr>
              <w:rPr>
                <w:rFonts w:asciiTheme="minorHAnsi" w:hAnsiTheme="minorHAnsi" w:cstheme="minorHAnsi"/>
                <w:noProof/>
                <w:sz w:val="16"/>
                <w:szCs w:val="16"/>
              </w:rPr>
            </w:pPr>
          </w:p>
        </w:tc>
      </w:tr>
      <w:tr w:rsidR="00A14107" w:rsidRPr="00A14107" w14:paraId="7F57AE77"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2D8A988B"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B3 Special custom rules for ODS</w:t>
            </w:r>
          </w:p>
        </w:tc>
        <w:tc>
          <w:tcPr>
            <w:tcW w:w="780" w:type="pct"/>
            <w:tcBorders>
              <w:top w:val="single" w:sz="4" w:space="0" w:color="auto"/>
              <w:bottom w:val="single" w:sz="4" w:space="0" w:color="auto"/>
            </w:tcBorders>
            <w:shd w:val="clear" w:color="auto" w:fill="FFFFFF" w:themeFill="background1"/>
          </w:tcPr>
          <w:p w14:paraId="390AD5C7"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D99594" w:themeFill="accent2" w:themeFillTint="99"/>
          </w:tcPr>
          <w:p w14:paraId="6FB7FF7E"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D99594" w:themeFill="accent2" w:themeFillTint="99"/>
          </w:tcPr>
          <w:p w14:paraId="00D17A91" w14:textId="77777777" w:rsidR="00A14107" w:rsidRPr="00A14107" w:rsidRDefault="00A14107" w:rsidP="00A14107">
            <w:pPr>
              <w:rPr>
                <w:rFonts w:asciiTheme="minorHAnsi" w:hAnsiTheme="minorHAnsi" w:cstheme="minorHAnsi"/>
                <w:noProof/>
                <w:sz w:val="16"/>
                <w:szCs w:val="16"/>
              </w:rPr>
            </w:pPr>
          </w:p>
        </w:tc>
      </w:tr>
      <w:tr w:rsidR="00A14107" w:rsidRPr="00A14107" w14:paraId="71DA0E6A"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hideMark/>
          </w:tcPr>
          <w:p w14:paraId="61CD085C"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B4 Abolish registration for laboratories</w:t>
            </w:r>
          </w:p>
        </w:tc>
        <w:tc>
          <w:tcPr>
            <w:tcW w:w="780" w:type="pct"/>
            <w:tcBorders>
              <w:top w:val="single" w:sz="4" w:space="0" w:color="auto"/>
              <w:bottom w:val="single" w:sz="4" w:space="0" w:color="auto"/>
            </w:tcBorders>
            <w:shd w:val="clear" w:color="auto" w:fill="F2DBDB" w:themeFill="accent2" w:themeFillTint="33"/>
          </w:tcPr>
          <w:p w14:paraId="11C6A3D7"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F2DBDB" w:themeFill="accent2" w:themeFillTint="33"/>
          </w:tcPr>
          <w:p w14:paraId="0C883099"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F2DBDB" w:themeFill="accent2" w:themeFillTint="33"/>
          </w:tcPr>
          <w:p w14:paraId="5FBD079D" w14:textId="77777777" w:rsidR="00A14107" w:rsidRPr="00A14107" w:rsidRDefault="00A14107" w:rsidP="00A14107">
            <w:pPr>
              <w:rPr>
                <w:rFonts w:asciiTheme="minorHAnsi" w:hAnsiTheme="minorHAnsi" w:cstheme="minorHAnsi"/>
                <w:noProof/>
                <w:sz w:val="16"/>
                <w:szCs w:val="16"/>
              </w:rPr>
            </w:pPr>
          </w:p>
        </w:tc>
      </w:tr>
      <w:tr w:rsidR="00A14107" w:rsidRPr="00A14107" w14:paraId="63069F73"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5567E66D"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B5 Abolish annual quota allocation</w:t>
            </w:r>
          </w:p>
        </w:tc>
        <w:tc>
          <w:tcPr>
            <w:tcW w:w="780" w:type="pct"/>
            <w:tcBorders>
              <w:top w:val="single" w:sz="4" w:space="0" w:color="auto"/>
              <w:bottom w:val="single" w:sz="4" w:space="0" w:color="auto"/>
            </w:tcBorders>
            <w:shd w:val="clear" w:color="auto" w:fill="F2DBDB" w:themeFill="accent2" w:themeFillTint="33"/>
          </w:tcPr>
          <w:p w14:paraId="0DFFCF6C"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F2DBDB" w:themeFill="accent2" w:themeFillTint="33"/>
          </w:tcPr>
          <w:p w14:paraId="29C52453"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F2DBDB" w:themeFill="accent2" w:themeFillTint="33"/>
          </w:tcPr>
          <w:p w14:paraId="0B0F3F93" w14:textId="77777777" w:rsidR="00A14107" w:rsidRPr="00A14107" w:rsidRDefault="00A14107" w:rsidP="00A14107">
            <w:pPr>
              <w:rPr>
                <w:rFonts w:asciiTheme="minorHAnsi" w:hAnsiTheme="minorHAnsi" w:cstheme="minorHAnsi"/>
                <w:noProof/>
                <w:sz w:val="16"/>
                <w:szCs w:val="16"/>
              </w:rPr>
            </w:pPr>
          </w:p>
        </w:tc>
      </w:tr>
      <w:tr w:rsidR="00A14107" w:rsidRPr="00A14107" w14:paraId="46BED757"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hideMark/>
          </w:tcPr>
          <w:p w14:paraId="101FEFB3" w14:textId="77777777" w:rsidR="00A14107" w:rsidRPr="00A14107" w:rsidRDefault="00A14107" w:rsidP="00A14107">
            <w:pPr>
              <w:rPr>
                <w:rFonts w:asciiTheme="minorHAnsi" w:hAnsiTheme="minorHAnsi" w:cstheme="minorHAnsi"/>
                <w:noProof/>
                <w:sz w:val="16"/>
                <w:szCs w:val="16"/>
              </w:rPr>
            </w:pPr>
            <w:r w:rsidRPr="00A14107">
              <w:rPr>
                <w:rFonts w:asciiTheme="minorHAnsi" w:hAnsiTheme="minorHAnsi" w:cstheme="minorHAnsi"/>
                <w:noProof/>
                <w:sz w:val="16"/>
                <w:szCs w:val="16"/>
              </w:rPr>
              <w:t>B6 Delay requirement for replacing halons in aircraft cargo compartments</w:t>
            </w:r>
          </w:p>
        </w:tc>
        <w:tc>
          <w:tcPr>
            <w:tcW w:w="780" w:type="pct"/>
            <w:tcBorders>
              <w:top w:val="single" w:sz="4" w:space="0" w:color="auto"/>
              <w:bottom w:val="single" w:sz="4" w:space="0" w:color="auto"/>
            </w:tcBorders>
            <w:shd w:val="clear" w:color="auto" w:fill="F2DBDB" w:themeFill="accent2" w:themeFillTint="33"/>
          </w:tcPr>
          <w:p w14:paraId="343B4F3D" w14:textId="77777777" w:rsidR="00A14107" w:rsidRPr="00A14107" w:rsidRDefault="00A14107" w:rsidP="00A14107">
            <w:pPr>
              <w:rPr>
                <w:rFonts w:cstheme="minorHAnsi"/>
                <w:noProof/>
                <w:sz w:val="16"/>
                <w:szCs w:val="16"/>
              </w:rPr>
            </w:pPr>
          </w:p>
        </w:tc>
        <w:tc>
          <w:tcPr>
            <w:tcW w:w="741" w:type="pct"/>
            <w:tcBorders>
              <w:top w:val="single" w:sz="4" w:space="0" w:color="auto"/>
              <w:bottom w:val="single" w:sz="4" w:space="0" w:color="auto"/>
            </w:tcBorders>
            <w:shd w:val="clear" w:color="auto" w:fill="F2DBDB" w:themeFill="accent2" w:themeFillTint="33"/>
          </w:tcPr>
          <w:p w14:paraId="625BAD40" w14:textId="77777777" w:rsidR="00A14107" w:rsidRPr="00A14107" w:rsidRDefault="00A14107" w:rsidP="00A14107">
            <w:pPr>
              <w:rPr>
                <w:rFonts w:cstheme="minorHAnsi"/>
                <w:noProof/>
                <w:sz w:val="16"/>
                <w:szCs w:val="16"/>
              </w:rPr>
            </w:pPr>
          </w:p>
        </w:tc>
        <w:tc>
          <w:tcPr>
            <w:tcW w:w="740" w:type="pct"/>
            <w:tcBorders>
              <w:top w:val="single" w:sz="4" w:space="0" w:color="auto"/>
              <w:bottom w:val="single" w:sz="4" w:space="0" w:color="auto"/>
            </w:tcBorders>
            <w:shd w:val="clear" w:color="auto" w:fill="F2DBDB" w:themeFill="accent2" w:themeFillTint="33"/>
          </w:tcPr>
          <w:p w14:paraId="72126523" w14:textId="77777777" w:rsidR="00A14107" w:rsidRPr="00A14107" w:rsidRDefault="00A14107" w:rsidP="00A14107">
            <w:pPr>
              <w:rPr>
                <w:rFonts w:asciiTheme="minorHAnsi" w:hAnsiTheme="minorHAnsi" w:cstheme="minorHAnsi"/>
                <w:noProof/>
                <w:sz w:val="16"/>
                <w:szCs w:val="16"/>
              </w:rPr>
            </w:pPr>
          </w:p>
        </w:tc>
      </w:tr>
      <w:tr w:rsidR="00A14107" w:rsidRPr="00A14107" w14:paraId="14A5C39F"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2258068A" w14:textId="77777777" w:rsidR="00A14107" w:rsidRPr="00A14107" w:rsidRDefault="00A14107" w:rsidP="00A14107">
            <w:pP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C1 Align reporting obligations for substances in Annex II to Annex I</w:t>
            </w:r>
          </w:p>
        </w:tc>
        <w:tc>
          <w:tcPr>
            <w:tcW w:w="780" w:type="pct"/>
            <w:tcBorders>
              <w:top w:val="single" w:sz="4" w:space="0" w:color="auto"/>
              <w:bottom w:val="single" w:sz="4" w:space="0" w:color="auto"/>
            </w:tcBorders>
            <w:shd w:val="clear" w:color="auto" w:fill="F2DBDB" w:themeFill="accent2" w:themeFillTint="33"/>
          </w:tcPr>
          <w:p w14:paraId="25FF9F1F" w14:textId="77777777" w:rsidR="00A14107" w:rsidRPr="00A14107" w:rsidRDefault="00A14107" w:rsidP="00A14107">
            <w:pPr>
              <w:rPr>
                <w:rFonts w:cstheme="minorHAnsi"/>
                <w:noProof/>
                <w:color w:val="000000" w:themeColor="text1"/>
                <w:sz w:val="16"/>
                <w:szCs w:val="16"/>
              </w:rPr>
            </w:pPr>
          </w:p>
        </w:tc>
        <w:tc>
          <w:tcPr>
            <w:tcW w:w="741" w:type="pct"/>
            <w:tcBorders>
              <w:top w:val="single" w:sz="4" w:space="0" w:color="auto"/>
              <w:bottom w:val="single" w:sz="4" w:space="0" w:color="auto"/>
            </w:tcBorders>
            <w:shd w:val="clear" w:color="auto" w:fill="F2DBDB" w:themeFill="accent2" w:themeFillTint="33"/>
          </w:tcPr>
          <w:p w14:paraId="5A882A92" w14:textId="77777777" w:rsidR="00A14107" w:rsidRPr="00A14107" w:rsidRDefault="00A14107" w:rsidP="00A14107">
            <w:pPr>
              <w:rPr>
                <w:rFonts w:cstheme="minorHAnsi"/>
                <w:noProof/>
                <w:color w:val="000000" w:themeColor="text1"/>
                <w:sz w:val="16"/>
                <w:szCs w:val="16"/>
              </w:rPr>
            </w:pPr>
          </w:p>
        </w:tc>
        <w:tc>
          <w:tcPr>
            <w:tcW w:w="740" w:type="pct"/>
            <w:tcBorders>
              <w:top w:val="single" w:sz="4" w:space="0" w:color="auto"/>
              <w:bottom w:val="single" w:sz="4" w:space="0" w:color="auto"/>
            </w:tcBorders>
            <w:shd w:val="clear" w:color="auto" w:fill="F2DBDB" w:themeFill="accent2" w:themeFillTint="33"/>
          </w:tcPr>
          <w:p w14:paraId="34D619BA" w14:textId="77777777" w:rsidR="00A14107" w:rsidRPr="00A14107" w:rsidRDefault="00A14107" w:rsidP="00A14107">
            <w:pPr>
              <w:rPr>
                <w:rFonts w:asciiTheme="minorHAnsi" w:hAnsiTheme="minorHAnsi" w:cstheme="minorHAnsi"/>
                <w:noProof/>
                <w:color w:val="000000" w:themeColor="text1"/>
                <w:sz w:val="16"/>
                <w:szCs w:val="16"/>
              </w:rPr>
            </w:pPr>
          </w:p>
        </w:tc>
      </w:tr>
      <w:tr w:rsidR="00A14107" w:rsidRPr="00A14107" w14:paraId="794985C2"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364E7671" w14:textId="77777777" w:rsidR="00A14107" w:rsidRPr="00A14107" w:rsidRDefault="00A14107" w:rsidP="00A14107">
            <w:pP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C2 Require reporting on emissions for ODS production and destruction of ODS</w:t>
            </w:r>
          </w:p>
        </w:tc>
        <w:tc>
          <w:tcPr>
            <w:tcW w:w="780" w:type="pct"/>
            <w:tcBorders>
              <w:top w:val="single" w:sz="4" w:space="0" w:color="auto"/>
              <w:bottom w:val="single" w:sz="4" w:space="0" w:color="auto"/>
            </w:tcBorders>
            <w:shd w:val="clear" w:color="auto" w:fill="FFFFFF" w:themeFill="background1"/>
          </w:tcPr>
          <w:p w14:paraId="7B22920E" w14:textId="77777777" w:rsidR="00A14107" w:rsidRPr="00A14107" w:rsidRDefault="00A14107" w:rsidP="00A14107">
            <w:pPr>
              <w:rPr>
                <w:rFonts w:cstheme="minorHAnsi"/>
                <w:noProof/>
                <w:color w:val="000000"/>
                <w:sz w:val="16"/>
                <w:szCs w:val="16"/>
              </w:rPr>
            </w:pPr>
          </w:p>
        </w:tc>
        <w:tc>
          <w:tcPr>
            <w:tcW w:w="741" w:type="pct"/>
            <w:tcBorders>
              <w:top w:val="single" w:sz="4" w:space="0" w:color="auto"/>
              <w:bottom w:val="single" w:sz="4" w:space="0" w:color="auto"/>
            </w:tcBorders>
            <w:shd w:val="clear" w:color="auto" w:fill="D99594" w:themeFill="accent2" w:themeFillTint="99"/>
          </w:tcPr>
          <w:p w14:paraId="784A2E73" w14:textId="77777777" w:rsidR="00A14107" w:rsidRPr="00A14107" w:rsidRDefault="00A14107" w:rsidP="00A14107">
            <w:pPr>
              <w:rPr>
                <w:rFonts w:cstheme="minorHAnsi"/>
                <w:noProof/>
                <w:color w:val="000000"/>
                <w:sz w:val="16"/>
                <w:szCs w:val="16"/>
              </w:rPr>
            </w:pPr>
          </w:p>
        </w:tc>
        <w:tc>
          <w:tcPr>
            <w:tcW w:w="740" w:type="pct"/>
            <w:tcBorders>
              <w:top w:val="single" w:sz="4" w:space="0" w:color="auto"/>
              <w:bottom w:val="single" w:sz="4" w:space="0" w:color="auto"/>
            </w:tcBorders>
            <w:shd w:val="clear" w:color="auto" w:fill="D99594" w:themeFill="accent2" w:themeFillTint="99"/>
          </w:tcPr>
          <w:p w14:paraId="50E4EC49" w14:textId="77777777" w:rsidR="00A14107" w:rsidRPr="00A14107" w:rsidRDefault="00A14107" w:rsidP="00A14107">
            <w:pPr>
              <w:rPr>
                <w:rFonts w:asciiTheme="minorHAnsi" w:hAnsiTheme="minorHAnsi" w:cstheme="minorHAnsi"/>
                <w:noProof/>
                <w:color w:val="000000"/>
                <w:sz w:val="16"/>
                <w:szCs w:val="16"/>
              </w:rPr>
            </w:pPr>
          </w:p>
        </w:tc>
      </w:tr>
      <w:tr w:rsidR="00A14107" w:rsidRPr="00A14107" w14:paraId="170D3113"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tcPr>
          <w:p w14:paraId="149D4A22" w14:textId="77777777" w:rsidR="00A14107" w:rsidRPr="00A14107" w:rsidRDefault="00A14107" w:rsidP="00A14107">
            <w:pP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C3 Add global warming potential (GWP) values to Annex I and II </w:t>
            </w:r>
          </w:p>
        </w:tc>
        <w:tc>
          <w:tcPr>
            <w:tcW w:w="780" w:type="pct"/>
            <w:tcBorders>
              <w:top w:val="single" w:sz="4" w:space="0" w:color="auto"/>
              <w:bottom w:val="single" w:sz="4" w:space="0" w:color="auto"/>
            </w:tcBorders>
            <w:shd w:val="clear" w:color="auto" w:fill="F2DBDB" w:themeFill="accent2" w:themeFillTint="33"/>
          </w:tcPr>
          <w:p w14:paraId="7131A821" w14:textId="77777777" w:rsidR="00A14107" w:rsidRPr="00A14107" w:rsidRDefault="00A14107" w:rsidP="00A14107">
            <w:pPr>
              <w:rPr>
                <w:rFonts w:cstheme="minorHAnsi"/>
                <w:noProof/>
                <w:color w:val="000000"/>
                <w:sz w:val="16"/>
                <w:szCs w:val="16"/>
              </w:rPr>
            </w:pPr>
          </w:p>
        </w:tc>
        <w:tc>
          <w:tcPr>
            <w:tcW w:w="741" w:type="pct"/>
            <w:tcBorders>
              <w:top w:val="single" w:sz="4" w:space="0" w:color="auto"/>
              <w:bottom w:val="single" w:sz="4" w:space="0" w:color="auto"/>
            </w:tcBorders>
            <w:shd w:val="clear" w:color="auto" w:fill="F2DBDB" w:themeFill="accent2" w:themeFillTint="33"/>
          </w:tcPr>
          <w:p w14:paraId="190BF985" w14:textId="77777777" w:rsidR="00A14107" w:rsidRPr="00A14107" w:rsidRDefault="00A14107" w:rsidP="00A14107">
            <w:pPr>
              <w:rPr>
                <w:rFonts w:cstheme="minorHAnsi"/>
                <w:noProof/>
                <w:color w:val="000000"/>
                <w:sz w:val="16"/>
                <w:szCs w:val="16"/>
              </w:rPr>
            </w:pPr>
          </w:p>
        </w:tc>
        <w:tc>
          <w:tcPr>
            <w:tcW w:w="740" w:type="pct"/>
            <w:tcBorders>
              <w:top w:val="single" w:sz="4" w:space="0" w:color="auto"/>
              <w:bottom w:val="single" w:sz="4" w:space="0" w:color="auto"/>
            </w:tcBorders>
            <w:shd w:val="clear" w:color="auto" w:fill="F2DBDB" w:themeFill="accent2" w:themeFillTint="33"/>
          </w:tcPr>
          <w:p w14:paraId="7B701CC8" w14:textId="77777777" w:rsidR="00A14107" w:rsidRPr="00A14107" w:rsidRDefault="00A14107" w:rsidP="00A14107">
            <w:pPr>
              <w:rPr>
                <w:rFonts w:cstheme="minorHAnsi"/>
                <w:noProof/>
                <w:color w:val="000000"/>
                <w:sz w:val="16"/>
                <w:szCs w:val="16"/>
              </w:rPr>
            </w:pPr>
          </w:p>
        </w:tc>
      </w:tr>
      <w:tr w:rsidR="00A14107" w:rsidRPr="00A14107" w14:paraId="480BC0F2"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702068A9" w14:textId="77777777" w:rsidR="00A14107" w:rsidRPr="00A14107" w:rsidRDefault="00A14107" w:rsidP="00A14107">
            <w:pP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C4 Require reporting on sales and purchases of ODS within the EU for producers, destruction facilities and users.</w:t>
            </w:r>
          </w:p>
        </w:tc>
        <w:tc>
          <w:tcPr>
            <w:tcW w:w="780" w:type="pct"/>
            <w:tcBorders>
              <w:top w:val="single" w:sz="4" w:space="0" w:color="auto"/>
              <w:bottom w:val="single" w:sz="4" w:space="0" w:color="auto"/>
            </w:tcBorders>
            <w:shd w:val="clear" w:color="auto" w:fill="FFFFFF" w:themeFill="background1"/>
          </w:tcPr>
          <w:p w14:paraId="265C1588" w14:textId="77777777" w:rsidR="00A14107" w:rsidRPr="00A14107" w:rsidRDefault="00A14107" w:rsidP="00A14107">
            <w:pPr>
              <w:rPr>
                <w:rFonts w:cstheme="minorHAnsi"/>
                <w:noProof/>
                <w:color w:val="000000"/>
                <w:sz w:val="16"/>
                <w:szCs w:val="16"/>
              </w:rPr>
            </w:pPr>
          </w:p>
        </w:tc>
        <w:tc>
          <w:tcPr>
            <w:tcW w:w="741" w:type="pct"/>
            <w:tcBorders>
              <w:top w:val="single" w:sz="4" w:space="0" w:color="auto"/>
              <w:bottom w:val="single" w:sz="4" w:space="0" w:color="auto"/>
            </w:tcBorders>
            <w:shd w:val="clear" w:color="auto" w:fill="D99594" w:themeFill="accent2" w:themeFillTint="99"/>
          </w:tcPr>
          <w:p w14:paraId="35B2B8E1" w14:textId="77777777" w:rsidR="00A14107" w:rsidRPr="00A14107" w:rsidRDefault="00A14107" w:rsidP="00A14107">
            <w:pPr>
              <w:rPr>
                <w:rFonts w:cstheme="minorHAnsi"/>
                <w:noProof/>
                <w:color w:val="000000"/>
                <w:sz w:val="16"/>
                <w:szCs w:val="16"/>
              </w:rPr>
            </w:pPr>
          </w:p>
        </w:tc>
        <w:tc>
          <w:tcPr>
            <w:tcW w:w="740" w:type="pct"/>
            <w:tcBorders>
              <w:top w:val="single" w:sz="4" w:space="0" w:color="auto"/>
              <w:bottom w:val="single" w:sz="4" w:space="0" w:color="auto"/>
            </w:tcBorders>
            <w:shd w:val="clear" w:color="auto" w:fill="D99594" w:themeFill="accent2" w:themeFillTint="99"/>
          </w:tcPr>
          <w:p w14:paraId="246B6B9A" w14:textId="77777777" w:rsidR="00A14107" w:rsidRPr="00A14107" w:rsidRDefault="00A14107" w:rsidP="00A14107">
            <w:pPr>
              <w:rPr>
                <w:rFonts w:cstheme="minorHAnsi"/>
                <w:noProof/>
                <w:color w:val="000000"/>
                <w:sz w:val="16"/>
                <w:szCs w:val="16"/>
              </w:rPr>
            </w:pPr>
          </w:p>
        </w:tc>
      </w:tr>
      <w:tr w:rsidR="00A14107" w:rsidRPr="00A14107" w14:paraId="452CDBDE"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tcPr>
          <w:p w14:paraId="05F5E121" w14:textId="77777777" w:rsidR="00A14107" w:rsidRPr="00A14107" w:rsidRDefault="00A14107" w:rsidP="00A14107">
            <w:pP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C5. Add DCM, PCE and BTP as substances to be reported  </w:t>
            </w:r>
          </w:p>
        </w:tc>
        <w:tc>
          <w:tcPr>
            <w:tcW w:w="780" w:type="pct"/>
            <w:tcBorders>
              <w:top w:val="single" w:sz="4" w:space="0" w:color="auto"/>
              <w:bottom w:val="single" w:sz="4" w:space="0" w:color="auto"/>
            </w:tcBorders>
            <w:shd w:val="clear" w:color="auto" w:fill="FFFFFF" w:themeFill="background1"/>
          </w:tcPr>
          <w:p w14:paraId="44CA60F7" w14:textId="77777777" w:rsidR="00A14107" w:rsidRPr="00A14107" w:rsidRDefault="00A14107" w:rsidP="00A14107">
            <w:pPr>
              <w:rPr>
                <w:rFonts w:cstheme="minorHAnsi"/>
                <w:noProof/>
                <w:color w:val="000000"/>
                <w:sz w:val="16"/>
                <w:szCs w:val="16"/>
              </w:rPr>
            </w:pPr>
          </w:p>
        </w:tc>
        <w:tc>
          <w:tcPr>
            <w:tcW w:w="741" w:type="pct"/>
            <w:tcBorders>
              <w:top w:val="single" w:sz="4" w:space="0" w:color="auto"/>
              <w:bottom w:val="single" w:sz="4" w:space="0" w:color="auto"/>
            </w:tcBorders>
            <w:shd w:val="clear" w:color="auto" w:fill="D99594" w:themeFill="accent2" w:themeFillTint="99"/>
          </w:tcPr>
          <w:p w14:paraId="22F6C37E" w14:textId="77777777" w:rsidR="00A14107" w:rsidRPr="00A14107" w:rsidRDefault="00A14107" w:rsidP="00A14107">
            <w:pPr>
              <w:rPr>
                <w:rFonts w:cstheme="minorHAnsi"/>
                <w:noProof/>
                <w:color w:val="000000"/>
                <w:sz w:val="16"/>
                <w:szCs w:val="16"/>
              </w:rPr>
            </w:pPr>
          </w:p>
        </w:tc>
        <w:tc>
          <w:tcPr>
            <w:tcW w:w="740" w:type="pct"/>
            <w:tcBorders>
              <w:top w:val="single" w:sz="4" w:space="0" w:color="auto"/>
              <w:bottom w:val="single" w:sz="4" w:space="0" w:color="auto"/>
            </w:tcBorders>
            <w:shd w:val="clear" w:color="auto" w:fill="D99594" w:themeFill="accent2" w:themeFillTint="99"/>
          </w:tcPr>
          <w:p w14:paraId="6FB6717E" w14:textId="77777777" w:rsidR="00A14107" w:rsidRPr="00A14107" w:rsidRDefault="00A14107" w:rsidP="00A14107">
            <w:pPr>
              <w:rPr>
                <w:rFonts w:cstheme="minorHAnsi"/>
                <w:noProof/>
                <w:color w:val="000000"/>
                <w:sz w:val="16"/>
                <w:szCs w:val="16"/>
              </w:rPr>
            </w:pPr>
          </w:p>
        </w:tc>
      </w:tr>
      <w:tr w:rsidR="00A14107" w:rsidRPr="00A14107" w14:paraId="3184254F"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tcBorders>
          </w:tcPr>
          <w:p w14:paraId="64FBBF78" w14:textId="77777777" w:rsidR="00A14107" w:rsidRPr="00A14107" w:rsidRDefault="00A14107" w:rsidP="00A14107">
            <w:pPr>
              <w:rPr>
                <w:rFonts w:asciiTheme="minorHAnsi" w:hAnsiTheme="minorHAnsi" w:cstheme="minorHAnsi"/>
                <w:noProof/>
                <w:color w:val="000000" w:themeColor="text1"/>
                <w:sz w:val="16"/>
                <w:szCs w:val="16"/>
              </w:rPr>
            </w:pPr>
            <w:r w:rsidRPr="00A14107">
              <w:rPr>
                <w:rFonts w:cstheme="minorHAnsi"/>
                <w:noProof/>
                <w:color w:val="000000" w:themeColor="text1"/>
                <w:sz w:val="16"/>
                <w:szCs w:val="16"/>
              </w:rPr>
              <w:t>D: All measures improving  coherence and clarity</w:t>
            </w:r>
          </w:p>
        </w:tc>
        <w:tc>
          <w:tcPr>
            <w:tcW w:w="780" w:type="pct"/>
            <w:tcBorders>
              <w:top w:val="single" w:sz="4" w:space="0" w:color="auto"/>
            </w:tcBorders>
            <w:shd w:val="clear" w:color="auto" w:fill="F2DBDB" w:themeFill="accent2" w:themeFillTint="33"/>
          </w:tcPr>
          <w:p w14:paraId="28ED470C" w14:textId="77777777" w:rsidR="00A14107" w:rsidRPr="00A14107" w:rsidRDefault="00A14107" w:rsidP="00A14107">
            <w:pPr>
              <w:rPr>
                <w:rFonts w:cstheme="minorHAnsi"/>
                <w:noProof/>
                <w:color w:val="000000"/>
                <w:sz w:val="16"/>
                <w:szCs w:val="16"/>
              </w:rPr>
            </w:pPr>
          </w:p>
        </w:tc>
        <w:tc>
          <w:tcPr>
            <w:tcW w:w="741" w:type="pct"/>
            <w:tcBorders>
              <w:top w:val="single" w:sz="4" w:space="0" w:color="auto"/>
            </w:tcBorders>
            <w:shd w:val="clear" w:color="auto" w:fill="F2DBDB" w:themeFill="accent2" w:themeFillTint="33"/>
          </w:tcPr>
          <w:p w14:paraId="31CB52C7" w14:textId="77777777" w:rsidR="00A14107" w:rsidRPr="00A14107" w:rsidRDefault="00A14107" w:rsidP="00A14107">
            <w:pPr>
              <w:rPr>
                <w:rFonts w:cstheme="minorHAnsi"/>
                <w:noProof/>
                <w:color w:val="000000"/>
                <w:sz w:val="16"/>
                <w:szCs w:val="16"/>
              </w:rPr>
            </w:pPr>
          </w:p>
        </w:tc>
        <w:tc>
          <w:tcPr>
            <w:tcW w:w="740" w:type="pct"/>
            <w:tcBorders>
              <w:top w:val="single" w:sz="4" w:space="0" w:color="auto"/>
            </w:tcBorders>
            <w:shd w:val="clear" w:color="auto" w:fill="F2DBDB" w:themeFill="accent2" w:themeFillTint="33"/>
          </w:tcPr>
          <w:p w14:paraId="603377B4" w14:textId="77777777" w:rsidR="00A14107" w:rsidRPr="00A14107" w:rsidRDefault="00A14107" w:rsidP="00A14107">
            <w:pPr>
              <w:rPr>
                <w:rFonts w:cstheme="minorHAnsi"/>
                <w:noProof/>
                <w:color w:val="000000"/>
                <w:sz w:val="16"/>
                <w:szCs w:val="16"/>
              </w:rPr>
            </w:pPr>
          </w:p>
        </w:tc>
      </w:tr>
    </w:tbl>
    <w:p w14:paraId="35981746" w14:textId="77777777" w:rsidR="00A14107" w:rsidRPr="00A14107" w:rsidRDefault="00A14107" w:rsidP="00A14107">
      <w:pPr>
        <w:spacing w:after="120"/>
        <w:jc w:val="both"/>
        <w:rPr>
          <w:noProof/>
        </w:rPr>
      </w:pPr>
    </w:p>
    <w:p w14:paraId="26C1AE86" w14:textId="72EB34E1" w:rsidR="00A14107" w:rsidRPr="00E66EFA" w:rsidRDefault="00896FDA" w:rsidP="00896FDA">
      <w:pPr>
        <w:pStyle w:val="Heading3"/>
        <w:rPr>
          <w:noProof/>
        </w:rPr>
      </w:pPr>
      <w:bookmarkStart w:id="129" w:name="_Toc93511470"/>
      <w:r w:rsidRPr="00896FDA">
        <w:t>5.2.1.</w:t>
      </w:r>
      <w:r w:rsidRPr="00896FDA">
        <w:tab/>
      </w:r>
      <w:r w:rsidR="00A14107" w:rsidRPr="00E66EFA">
        <w:rPr>
          <w:noProof/>
        </w:rPr>
        <w:t xml:space="preserve">Review objective A: Achieve a higher level of </w:t>
      </w:r>
      <w:r w:rsidR="00D70A6E">
        <w:rPr>
          <w:noProof/>
        </w:rPr>
        <w:t xml:space="preserve">additional </w:t>
      </w:r>
      <w:r w:rsidR="00A14107" w:rsidRPr="00E66EFA">
        <w:rPr>
          <w:noProof/>
        </w:rPr>
        <w:t>emission reductions</w:t>
      </w:r>
      <w:bookmarkEnd w:id="129"/>
    </w:p>
    <w:p w14:paraId="6F511934"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Almost all respondents in the open public consultation agree that there is a need for further reducing emissions from foams at their end of life. Conversely, for feedstock use processes where alternatives do not exist, almost all businesses (14 out of 15) are opposed to limiting these uses, whereas other stakeholder groups were more open to consider this.</w:t>
      </w:r>
    </w:p>
    <w:p w14:paraId="1540C785" w14:textId="77777777" w:rsidR="00A14107" w:rsidRPr="00A14107" w:rsidRDefault="00A14107" w:rsidP="00BB4760">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A1. Require mandatory recovery and destruction of ODS from specific foam banks</w:t>
      </w:r>
    </w:p>
    <w:p w14:paraId="7132F4E2" w14:textId="77777777" w:rsidR="008021D4"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It </w:t>
      </w:r>
      <w:r w:rsidR="003A2BFA">
        <w:rPr>
          <w:rFonts w:ascii="Times New Roman" w:hAnsi="Times New Roman" w:cs="Times New Roman"/>
          <w:noProof/>
          <w:sz w:val="24"/>
          <w:szCs w:val="24"/>
        </w:rPr>
        <w:t>w</w:t>
      </w:r>
      <w:r w:rsidR="00393552">
        <w:rPr>
          <w:rFonts w:ascii="Times New Roman" w:hAnsi="Times New Roman" w:cs="Times New Roman"/>
          <w:noProof/>
          <w:sz w:val="24"/>
          <w:szCs w:val="24"/>
        </w:rPr>
        <w:t>ill</w:t>
      </w:r>
      <w:r w:rsidR="003A2BFA">
        <w:rPr>
          <w:rFonts w:ascii="Times New Roman" w:hAnsi="Times New Roman" w:cs="Times New Roman"/>
          <w:noProof/>
          <w:sz w:val="24"/>
          <w:szCs w:val="24"/>
        </w:rPr>
        <w:t xml:space="preserve"> </w:t>
      </w:r>
      <w:r w:rsidRPr="00A14107">
        <w:rPr>
          <w:rFonts w:ascii="Times New Roman" w:hAnsi="Times New Roman" w:cs="Times New Roman"/>
          <w:noProof/>
          <w:sz w:val="24"/>
          <w:szCs w:val="24"/>
        </w:rPr>
        <w:t>become</w:t>
      </w:r>
      <w:r w:rsidR="00102137">
        <w:rPr>
          <w:rFonts w:ascii="Times New Roman" w:hAnsi="Times New Roman" w:cs="Times New Roman"/>
          <w:noProof/>
          <w:sz w:val="24"/>
          <w:szCs w:val="24"/>
        </w:rPr>
        <w:t xml:space="preserve"> </w:t>
      </w:r>
      <w:r w:rsidRPr="00A14107">
        <w:rPr>
          <w:rFonts w:ascii="Times New Roman" w:hAnsi="Times New Roman" w:cs="Times New Roman"/>
          <w:noProof/>
          <w:sz w:val="24"/>
          <w:szCs w:val="24"/>
        </w:rPr>
        <w:t>mandatory to recover</w:t>
      </w:r>
      <w:r w:rsidR="00BB4760">
        <w:rPr>
          <w:rFonts w:ascii="Times New Roman" w:hAnsi="Times New Roman" w:cs="Times New Roman"/>
          <w:noProof/>
          <w:sz w:val="24"/>
          <w:szCs w:val="24"/>
        </w:rPr>
        <w:t>/capture</w:t>
      </w:r>
      <w:r w:rsidRPr="00A14107">
        <w:rPr>
          <w:rFonts w:ascii="Times New Roman" w:hAnsi="Times New Roman" w:cs="Times New Roman"/>
          <w:noProof/>
          <w:sz w:val="24"/>
          <w:szCs w:val="24"/>
        </w:rPr>
        <w:t xml:space="preserve"> and destroy ODS by incineration for certain types of foams found in</w:t>
      </w:r>
      <w:r w:rsidR="00B07A60">
        <w:rPr>
          <w:rFonts w:ascii="Times New Roman" w:hAnsi="Times New Roman" w:cs="Times New Roman"/>
          <w:noProof/>
          <w:sz w:val="24"/>
          <w:szCs w:val="24"/>
        </w:rPr>
        <w:t xml:space="preserve"> co</w:t>
      </w:r>
      <w:r w:rsidR="00AB2448">
        <w:rPr>
          <w:rFonts w:ascii="Times New Roman" w:hAnsi="Times New Roman" w:cs="Times New Roman"/>
          <w:noProof/>
          <w:sz w:val="24"/>
          <w:szCs w:val="24"/>
        </w:rPr>
        <w:t>nstruction and demolition waste</w:t>
      </w:r>
      <w:r w:rsidRPr="00A14107">
        <w:rPr>
          <w:rFonts w:ascii="Times New Roman" w:hAnsi="Times New Roman" w:cs="Times New Roman"/>
          <w:noProof/>
          <w:sz w:val="24"/>
          <w:szCs w:val="24"/>
        </w:rPr>
        <w:t xml:space="preserve">. </w:t>
      </w:r>
      <w:r w:rsidR="008021D4">
        <w:rPr>
          <w:rFonts w:ascii="Times New Roman" w:hAnsi="Times New Roman" w:cs="Times New Roman"/>
          <w:noProof/>
          <w:sz w:val="24"/>
          <w:szCs w:val="24"/>
        </w:rPr>
        <w:t>An approach based on economic incentives was not considered useful as this would likely exacerbate the current situation (see section 2.1.1.1) where separate collection of foams would only be undertaken in a few pro-active Member States</w:t>
      </w:r>
      <w:r w:rsidR="00D41D7E">
        <w:rPr>
          <w:rFonts w:ascii="Times New Roman" w:hAnsi="Times New Roman" w:cs="Times New Roman"/>
          <w:noProof/>
          <w:sz w:val="24"/>
          <w:szCs w:val="24"/>
        </w:rPr>
        <w:t xml:space="preserve">, as financial incentives </w:t>
      </w:r>
      <w:r w:rsidR="009C3DE1">
        <w:rPr>
          <w:rFonts w:ascii="Times New Roman" w:hAnsi="Times New Roman" w:cs="Times New Roman"/>
          <w:noProof/>
          <w:sz w:val="24"/>
          <w:szCs w:val="24"/>
        </w:rPr>
        <w:t xml:space="preserve">in the waste sector </w:t>
      </w:r>
      <w:r w:rsidR="00D41D7E">
        <w:rPr>
          <w:rFonts w:ascii="Times New Roman" w:hAnsi="Times New Roman" w:cs="Times New Roman"/>
          <w:noProof/>
          <w:sz w:val="24"/>
          <w:szCs w:val="24"/>
        </w:rPr>
        <w:t xml:space="preserve">and producer responsibility schemes are </w:t>
      </w:r>
      <w:r w:rsidR="009C3DE1">
        <w:rPr>
          <w:rFonts w:ascii="Times New Roman" w:hAnsi="Times New Roman" w:cs="Times New Roman"/>
          <w:noProof/>
          <w:sz w:val="24"/>
          <w:szCs w:val="24"/>
        </w:rPr>
        <w:t>prerogatives</w:t>
      </w:r>
      <w:r w:rsidR="00D41D7E">
        <w:rPr>
          <w:rFonts w:ascii="Times New Roman" w:hAnsi="Times New Roman" w:cs="Times New Roman"/>
          <w:noProof/>
          <w:sz w:val="24"/>
          <w:szCs w:val="24"/>
        </w:rPr>
        <w:t xml:space="preserve"> at national level</w:t>
      </w:r>
      <w:r w:rsidR="008021D4">
        <w:rPr>
          <w:rFonts w:ascii="Times New Roman" w:hAnsi="Times New Roman" w:cs="Times New Roman"/>
          <w:noProof/>
          <w:sz w:val="24"/>
          <w:szCs w:val="24"/>
        </w:rPr>
        <w:t>. T</w:t>
      </w:r>
      <w:r w:rsidRPr="00A14107">
        <w:rPr>
          <w:rFonts w:ascii="Times New Roman" w:hAnsi="Times New Roman" w:cs="Times New Roman"/>
          <w:noProof/>
          <w:sz w:val="24"/>
          <w:szCs w:val="24"/>
        </w:rPr>
        <w:t xml:space="preserve">he Regulation should list the types of foam for which this is considered feasible at reasonable costs at the time of building renovation or demolition. </w:t>
      </w:r>
      <w:r w:rsidR="008021D4">
        <w:rPr>
          <w:rFonts w:ascii="Times New Roman" w:hAnsi="Times New Roman" w:cs="Times New Roman"/>
          <w:noProof/>
          <w:sz w:val="24"/>
          <w:szCs w:val="24"/>
        </w:rPr>
        <w:t>The policy option are considering two ambition l</w:t>
      </w:r>
      <w:r w:rsidR="0021084A">
        <w:rPr>
          <w:rFonts w:ascii="Times New Roman" w:hAnsi="Times New Roman" w:cs="Times New Roman"/>
          <w:noProof/>
          <w:sz w:val="24"/>
          <w:szCs w:val="24"/>
        </w:rPr>
        <w:t xml:space="preserve">evels: While Option 1 </w:t>
      </w:r>
      <w:r w:rsidR="008021D4">
        <w:rPr>
          <w:rFonts w:ascii="Times New Roman" w:hAnsi="Times New Roman" w:cs="Times New Roman"/>
          <w:noProof/>
          <w:sz w:val="24"/>
          <w:szCs w:val="24"/>
        </w:rPr>
        <w:t>include</w:t>
      </w:r>
      <w:r w:rsidR="0021084A">
        <w:rPr>
          <w:rFonts w:ascii="Times New Roman" w:hAnsi="Times New Roman" w:cs="Times New Roman"/>
          <w:noProof/>
          <w:sz w:val="24"/>
          <w:szCs w:val="24"/>
        </w:rPr>
        <w:t>s only</w:t>
      </w:r>
      <w:r w:rsidR="008021D4">
        <w:rPr>
          <w:rFonts w:ascii="Times New Roman" w:hAnsi="Times New Roman" w:cs="Times New Roman"/>
          <w:noProof/>
          <w:sz w:val="24"/>
          <w:szCs w:val="24"/>
        </w:rPr>
        <w:t xml:space="preserve"> metal-faced panels</w:t>
      </w:r>
      <w:r w:rsidR="008B2070">
        <w:rPr>
          <w:rFonts w:ascii="Times New Roman" w:hAnsi="Times New Roman" w:cs="Times New Roman"/>
          <w:noProof/>
          <w:sz w:val="24"/>
          <w:szCs w:val="24"/>
        </w:rPr>
        <w:t xml:space="preserve"> (measure A1(a))</w:t>
      </w:r>
      <w:r w:rsidR="008021D4">
        <w:rPr>
          <w:rFonts w:ascii="Times New Roman" w:hAnsi="Times New Roman" w:cs="Times New Roman"/>
          <w:noProof/>
          <w:sz w:val="24"/>
          <w:szCs w:val="24"/>
        </w:rPr>
        <w:t xml:space="preserve">, whose separate collection is rather straightforward and where </w:t>
      </w:r>
      <w:r w:rsidR="0021084A">
        <w:rPr>
          <w:rFonts w:ascii="Times New Roman" w:hAnsi="Times New Roman" w:cs="Times New Roman"/>
          <w:noProof/>
          <w:sz w:val="24"/>
          <w:szCs w:val="24"/>
        </w:rPr>
        <w:t xml:space="preserve">the </w:t>
      </w:r>
      <w:r w:rsidR="008021D4">
        <w:rPr>
          <w:rFonts w:ascii="Times New Roman" w:hAnsi="Times New Roman" w:cs="Times New Roman"/>
          <w:noProof/>
          <w:sz w:val="24"/>
          <w:szCs w:val="24"/>
        </w:rPr>
        <w:t xml:space="preserve">economic business case </w:t>
      </w:r>
      <w:r w:rsidR="0021084A">
        <w:rPr>
          <w:rFonts w:ascii="Times New Roman" w:hAnsi="Times New Roman" w:cs="Times New Roman"/>
          <w:noProof/>
          <w:sz w:val="24"/>
          <w:szCs w:val="24"/>
        </w:rPr>
        <w:t xml:space="preserve">is best </w:t>
      </w:r>
      <w:r w:rsidR="008021D4">
        <w:rPr>
          <w:rFonts w:ascii="Times New Roman" w:hAnsi="Times New Roman" w:cs="Times New Roman"/>
          <w:noProof/>
          <w:sz w:val="24"/>
          <w:szCs w:val="24"/>
        </w:rPr>
        <w:t>due to the recovery of the metal part</w:t>
      </w:r>
      <w:r w:rsidR="0021084A">
        <w:rPr>
          <w:rFonts w:ascii="Times New Roman" w:hAnsi="Times New Roman" w:cs="Times New Roman"/>
          <w:noProof/>
          <w:sz w:val="24"/>
          <w:szCs w:val="24"/>
        </w:rPr>
        <w:t xml:space="preserve">, Option 2 and 3 </w:t>
      </w:r>
      <w:r w:rsidR="008021D4">
        <w:rPr>
          <w:rFonts w:ascii="Times New Roman" w:hAnsi="Times New Roman" w:cs="Times New Roman"/>
          <w:noProof/>
          <w:sz w:val="24"/>
          <w:szCs w:val="24"/>
        </w:rPr>
        <w:t>include laminated boards</w:t>
      </w:r>
      <w:r w:rsidR="008B2070">
        <w:rPr>
          <w:rFonts w:ascii="Times New Roman" w:hAnsi="Times New Roman" w:cs="Times New Roman"/>
          <w:noProof/>
          <w:sz w:val="24"/>
          <w:szCs w:val="24"/>
        </w:rPr>
        <w:t xml:space="preserve"> (measure A1(b))</w:t>
      </w:r>
      <w:r w:rsidR="008021D4">
        <w:rPr>
          <w:rFonts w:ascii="Times New Roman" w:hAnsi="Times New Roman" w:cs="Times New Roman"/>
          <w:noProof/>
          <w:sz w:val="24"/>
          <w:szCs w:val="24"/>
        </w:rPr>
        <w:t xml:space="preserve">, where feasibility of recovery depends on the place of installation (see Annex 6). </w:t>
      </w:r>
      <w:r w:rsidR="00102137">
        <w:rPr>
          <w:rFonts w:ascii="Times New Roman" w:hAnsi="Times New Roman" w:cs="Times New Roman"/>
          <w:noProof/>
          <w:sz w:val="24"/>
          <w:szCs w:val="24"/>
        </w:rPr>
        <w:t xml:space="preserve">In cases where the installation (in floors, attached to concrete etc.) makes foam separation difficult, </w:t>
      </w:r>
      <w:r w:rsidRPr="00A14107">
        <w:rPr>
          <w:rFonts w:ascii="Times New Roman" w:hAnsi="Times New Roman" w:cs="Times New Roman"/>
          <w:noProof/>
          <w:sz w:val="24"/>
          <w:szCs w:val="24"/>
        </w:rPr>
        <w:t xml:space="preserve">the </w:t>
      </w:r>
      <w:r w:rsidR="00102137">
        <w:rPr>
          <w:rFonts w:ascii="Times New Roman" w:hAnsi="Times New Roman" w:cs="Times New Roman"/>
          <w:noProof/>
          <w:sz w:val="24"/>
          <w:szCs w:val="24"/>
        </w:rPr>
        <w:t xml:space="preserve">burden of proving infeasibility would lie with the </w:t>
      </w:r>
      <w:r w:rsidRPr="00A14107">
        <w:rPr>
          <w:rFonts w:ascii="Times New Roman" w:hAnsi="Times New Roman" w:cs="Times New Roman"/>
          <w:noProof/>
          <w:sz w:val="24"/>
          <w:szCs w:val="24"/>
        </w:rPr>
        <w:t>building owner and the contractor performing the works</w:t>
      </w:r>
      <w:r w:rsidR="00102137">
        <w:rPr>
          <w:rFonts w:ascii="Times New Roman" w:hAnsi="Times New Roman" w:cs="Times New Roman"/>
          <w:noProof/>
          <w:sz w:val="24"/>
          <w:szCs w:val="24"/>
        </w:rPr>
        <w:t xml:space="preserve">. </w:t>
      </w:r>
      <w:r w:rsidR="0021084A">
        <w:rPr>
          <w:rFonts w:ascii="Times New Roman" w:hAnsi="Times New Roman" w:cs="Times New Roman"/>
          <w:noProof/>
          <w:sz w:val="24"/>
          <w:szCs w:val="24"/>
        </w:rPr>
        <w:t xml:space="preserve">If recovery is not done, they would need to keep </w:t>
      </w:r>
      <w:r w:rsidR="00102137">
        <w:rPr>
          <w:rFonts w:ascii="Times New Roman" w:hAnsi="Times New Roman" w:cs="Times New Roman"/>
          <w:noProof/>
          <w:sz w:val="24"/>
          <w:szCs w:val="24"/>
        </w:rPr>
        <w:t xml:space="preserve">evidence for up to 5 years why foam separation from other building materials </w:t>
      </w:r>
      <w:r w:rsidR="0021084A">
        <w:rPr>
          <w:rFonts w:ascii="Times New Roman" w:hAnsi="Times New Roman" w:cs="Times New Roman"/>
          <w:noProof/>
          <w:sz w:val="24"/>
          <w:szCs w:val="24"/>
        </w:rPr>
        <w:t>was considered infeasible</w:t>
      </w:r>
      <w:r w:rsidR="00102137">
        <w:rPr>
          <w:rFonts w:ascii="Times New Roman" w:hAnsi="Times New Roman" w:cs="Times New Roman"/>
          <w:noProof/>
          <w:sz w:val="24"/>
          <w:szCs w:val="24"/>
        </w:rPr>
        <w:t xml:space="preserve">. </w:t>
      </w:r>
      <w:r w:rsidR="00BF4DBE">
        <w:rPr>
          <w:rFonts w:ascii="Times New Roman" w:hAnsi="Times New Roman" w:cs="Times New Roman"/>
          <w:noProof/>
          <w:sz w:val="24"/>
          <w:szCs w:val="24"/>
        </w:rPr>
        <w:t xml:space="preserve">Such evidence could be e.g. building audit documentation carried out before demolition. </w:t>
      </w:r>
    </w:p>
    <w:p w14:paraId="4AE96B73" w14:textId="77777777" w:rsidR="008021D4"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Member States would need to enforce this obligation. This effort may often be linked to other requirements in existing national legislation on renovation/demolition works, waste policy and the need for separation of materials, in particular in light of objectives for a circular economy. </w:t>
      </w:r>
    </w:p>
    <w:p w14:paraId="77CC0399" w14:textId="77777777" w:rsidR="00A14107" w:rsidRPr="00A14107" w:rsidRDefault="00A14107" w:rsidP="00BB4760">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A2. Introduce a negative list for chemical production processes where alternatives exist</w:t>
      </w:r>
    </w:p>
    <w:p w14:paraId="68B30934"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use of ODS as feedstock </w:t>
      </w:r>
      <w:r w:rsidR="00A90F45">
        <w:rPr>
          <w:rFonts w:ascii="Times New Roman" w:hAnsi="Times New Roman" w:cs="Times New Roman"/>
          <w:noProof/>
          <w:sz w:val="24"/>
          <w:szCs w:val="24"/>
        </w:rPr>
        <w:t xml:space="preserve">will become </w:t>
      </w:r>
      <w:r w:rsidRPr="00A14107">
        <w:rPr>
          <w:rFonts w:ascii="Times New Roman" w:hAnsi="Times New Roman" w:cs="Times New Roman"/>
          <w:noProof/>
          <w:sz w:val="24"/>
          <w:szCs w:val="24"/>
        </w:rPr>
        <w:t>prohibited in two types of processes: (i) the use of CTC to produce PCE, and (ii) the use of HCFC-22 to produce TFE. In both cases alternatives appear to be commercially available</w:t>
      </w:r>
      <w:bookmarkStart w:id="130" w:name="_Ref67304068"/>
      <w:r w:rsidRPr="00A14107">
        <w:rPr>
          <w:rFonts w:ascii="Times New Roman" w:hAnsi="Times New Roman" w:cs="Times New Roman"/>
          <w:noProof/>
          <w:sz w:val="24"/>
          <w:szCs w:val="24"/>
        </w:rPr>
        <w:t>.</w:t>
      </w:r>
      <w:r w:rsidRPr="00A14107">
        <w:rPr>
          <w:noProof/>
          <w:sz w:val="24"/>
          <w:szCs w:val="24"/>
          <w:vertAlign w:val="superscript"/>
        </w:rPr>
        <w:footnoteReference w:id="49"/>
      </w:r>
      <w:bookmarkEnd w:id="130"/>
      <w:r w:rsidRPr="00A14107">
        <w:rPr>
          <w:rFonts w:ascii="Times New Roman" w:hAnsi="Times New Roman" w:cs="Times New Roman"/>
          <w:noProof/>
          <w:sz w:val="24"/>
          <w:szCs w:val="24"/>
        </w:rPr>
        <w:t xml:space="preserve"> </w:t>
      </w:r>
      <w:r w:rsidR="007A1A5A">
        <w:rPr>
          <w:rFonts w:ascii="Times New Roman" w:hAnsi="Times New Roman" w:cs="Times New Roman"/>
          <w:noProof/>
          <w:sz w:val="24"/>
          <w:szCs w:val="24"/>
        </w:rPr>
        <w:t>This option could include that further processes would be added in the future via comitology procedure.</w:t>
      </w:r>
      <w:r w:rsidR="00D81E9C">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Chemical producers using these synthesis pathways would need to modify their production processes </w:t>
      </w:r>
      <w:r w:rsidR="003A2BFA">
        <w:rPr>
          <w:rFonts w:ascii="Times New Roman" w:hAnsi="Times New Roman" w:cs="Times New Roman"/>
          <w:noProof/>
          <w:sz w:val="24"/>
          <w:szCs w:val="24"/>
        </w:rPr>
        <w:t xml:space="preserve">in order </w:t>
      </w:r>
      <w:r w:rsidRPr="00A14107">
        <w:rPr>
          <w:rFonts w:ascii="Times New Roman" w:hAnsi="Times New Roman" w:cs="Times New Roman"/>
          <w:noProof/>
          <w:sz w:val="24"/>
          <w:szCs w:val="24"/>
        </w:rPr>
        <w:t>to use alternative processes without ODS. Member States would need to ensure compliance</w:t>
      </w:r>
      <w:r w:rsidR="00BB4760">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p>
    <w:p w14:paraId="3774FD36" w14:textId="77777777" w:rsidR="00A14107" w:rsidRPr="00A14107" w:rsidRDefault="00A14107" w:rsidP="00BB4760">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A3. Move forward prohibition dates for equipment using halons</w:t>
      </w:r>
    </w:p>
    <w:p w14:paraId="1E22DAFC"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Prohibitions for using halons will be moved forward from 2035 to 2030 for fire protection of (i) engine compartments on military ground vehicles and (ii) normally unoccupied engine spaces on military surface ships. The evaluation and stakeholder input indicate that retrofitting with ODS alternatives appears to be already feasible in these cases. This would place an obligation on the military to either replace or retrofit such halon equipment more quickly, which could result in significant, unforeseen costs. Member States would need to ensure compliance.</w:t>
      </w:r>
    </w:p>
    <w:p w14:paraId="3A37AB45" w14:textId="77777777" w:rsidR="00A14107" w:rsidRPr="00A14107" w:rsidRDefault="00A14107" w:rsidP="007E5BD2">
      <w:pPr>
        <w:keepNext/>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A4. Prohibit the destruction of halons</w:t>
      </w:r>
    </w:p>
    <w:p w14:paraId="04B258FA"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Destruction of halons w</w:t>
      </w:r>
      <w:r w:rsidR="00393552">
        <w:rPr>
          <w:rFonts w:ascii="Times New Roman" w:hAnsi="Times New Roman" w:cs="Times New Roman"/>
          <w:noProof/>
          <w:sz w:val="24"/>
          <w:szCs w:val="24"/>
        </w:rPr>
        <w:t>ill</w:t>
      </w:r>
      <w:r w:rsidRPr="00A14107">
        <w:rPr>
          <w:rFonts w:ascii="Times New Roman" w:hAnsi="Times New Roman" w:cs="Times New Roman"/>
          <w:noProof/>
          <w:sz w:val="24"/>
          <w:szCs w:val="24"/>
        </w:rPr>
        <w:t xml:space="preserve"> be prohibited, with certain exemptions e.g</w:t>
      </w:r>
      <w:r w:rsidR="003A2BFA">
        <w:rPr>
          <w:rFonts w:ascii="Times New Roman" w:hAnsi="Times New Roman" w:cs="Times New Roman"/>
          <w:noProof/>
          <w:sz w:val="24"/>
          <w:szCs w:val="24"/>
        </w:rPr>
        <w:t>.</w:t>
      </w:r>
      <w:r w:rsidRPr="00A14107">
        <w:rPr>
          <w:rFonts w:ascii="Times New Roman" w:hAnsi="Times New Roman" w:cs="Times New Roman"/>
          <w:noProof/>
          <w:sz w:val="24"/>
          <w:szCs w:val="24"/>
        </w:rPr>
        <w:t xml:space="preserve"> in case the quality of the recovered halon is not sufficient to allow any reclamation and reuse. This would place obligations on operators using halon-equipment to ensure proper recovery and reuse. Undertakings may be required to keep records for five years for any halons that are destroyed</w:t>
      </w:r>
      <w:r w:rsidR="00684441">
        <w:rPr>
          <w:rFonts w:ascii="Times New Roman" w:hAnsi="Times New Roman" w:cs="Times New Roman"/>
          <w:noProof/>
          <w:sz w:val="24"/>
          <w:szCs w:val="24"/>
        </w:rPr>
        <w:t xml:space="preserve"> anyway</w:t>
      </w:r>
      <w:r w:rsidRPr="00A14107">
        <w:rPr>
          <w:rFonts w:ascii="Times New Roman" w:hAnsi="Times New Roman" w:cs="Times New Roman"/>
          <w:noProof/>
          <w:sz w:val="24"/>
          <w:szCs w:val="24"/>
        </w:rPr>
        <w:t>, detailing the technical reasons for the destruction.</w:t>
      </w:r>
      <w:r w:rsidR="00AE25D0">
        <w:rPr>
          <w:rFonts w:ascii="Times New Roman" w:hAnsi="Times New Roman" w:cs="Times New Roman"/>
          <w:noProof/>
          <w:sz w:val="24"/>
          <w:szCs w:val="24"/>
        </w:rPr>
        <w:t xml:space="preserve"> </w:t>
      </w:r>
      <w:r w:rsidRPr="00A14107">
        <w:rPr>
          <w:rFonts w:ascii="Times New Roman" w:hAnsi="Times New Roman" w:cs="Times New Roman"/>
          <w:noProof/>
          <w:sz w:val="24"/>
          <w:szCs w:val="24"/>
        </w:rPr>
        <w:t>Member States would need to enforce this obligation, in particular to avoid venting by operators.</w:t>
      </w:r>
    </w:p>
    <w:p w14:paraId="490C194E" w14:textId="77777777" w:rsidR="00A14107" w:rsidRPr="00A14107" w:rsidRDefault="00A14107" w:rsidP="00BB4760">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A5. Prohibit the use of Annex II substances in new refrigeration and air conditioning equipment</w:t>
      </w:r>
    </w:p>
    <w:p w14:paraId="70339ECC"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It will be prohibited to place on the market Annex II ODS in cooling equipment. This would notably prevent the further use of trifluoroiodomethane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 xml:space="preserve">I) as </w:t>
      </w:r>
      <w:r w:rsidR="003A2BFA">
        <w:rPr>
          <w:rFonts w:ascii="Times New Roman" w:hAnsi="Times New Roman" w:cs="Times New Roman"/>
          <w:noProof/>
          <w:sz w:val="24"/>
          <w:szCs w:val="24"/>
        </w:rPr>
        <w:t>a</w:t>
      </w:r>
      <w:r w:rsidRPr="00A14107">
        <w:rPr>
          <w:rFonts w:ascii="Times New Roman" w:hAnsi="Times New Roman" w:cs="Times New Roman"/>
          <w:noProof/>
          <w:sz w:val="24"/>
          <w:szCs w:val="24"/>
        </w:rPr>
        <w:t xml:space="preserve"> refrigerant (blend). Equipment manufacturers would need to stop using this substance as a part of refrigerant blends in their appliances. Member States would need to ensure compliance.</w:t>
      </w:r>
    </w:p>
    <w:p w14:paraId="075FF3AB" w14:textId="1F2BEB36" w:rsidR="00A14107" w:rsidRPr="001D68A6" w:rsidRDefault="00896FDA" w:rsidP="00896FDA">
      <w:pPr>
        <w:pStyle w:val="Heading3"/>
        <w:rPr>
          <w:noProof/>
        </w:rPr>
      </w:pPr>
      <w:bookmarkStart w:id="131" w:name="_Toc71559410"/>
      <w:bookmarkStart w:id="132" w:name="_Toc71707015"/>
      <w:bookmarkStart w:id="133" w:name="_Toc71708225"/>
      <w:bookmarkStart w:id="134" w:name="_Toc71710957"/>
      <w:bookmarkStart w:id="135" w:name="_Toc72399359"/>
      <w:bookmarkStart w:id="136" w:name="_Toc93511471"/>
      <w:r w:rsidRPr="00896FDA">
        <w:t>5.2.2.</w:t>
      </w:r>
      <w:r w:rsidRPr="00896FDA">
        <w:tab/>
      </w:r>
      <w:r w:rsidR="00A14107" w:rsidRPr="001D68A6">
        <w:rPr>
          <w:noProof/>
        </w:rPr>
        <w:t>Review objective B: Impr</w:t>
      </w:r>
      <w:r w:rsidR="002D0C7F">
        <w:rPr>
          <w:noProof/>
        </w:rPr>
        <w:t xml:space="preserve">ove the efficiency of the </w:t>
      </w:r>
      <w:r w:rsidR="00A14107" w:rsidRPr="001D68A6">
        <w:rPr>
          <w:noProof/>
        </w:rPr>
        <w:t>Regulation while preserving the significant emission reductions achieved so far</w:t>
      </w:r>
      <w:bookmarkEnd w:id="131"/>
      <w:bookmarkEnd w:id="132"/>
      <w:bookmarkEnd w:id="133"/>
      <w:bookmarkEnd w:id="134"/>
      <w:bookmarkEnd w:id="135"/>
      <w:bookmarkEnd w:id="136"/>
      <w:r w:rsidR="00A14107" w:rsidRPr="001D68A6">
        <w:rPr>
          <w:noProof/>
        </w:rPr>
        <w:t xml:space="preserve"> </w:t>
      </w:r>
    </w:p>
    <w:p w14:paraId="0713AED5" w14:textId="77777777" w:rsidR="00F748F9" w:rsidRDefault="00684441" w:rsidP="00F748F9">
      <w:pPr>
        <w:spacing w:after="120"/>
        <w:jc w:val="both"/>
        <w:rPr>
          <w:rFonts w:ascii="Times New Roman" w:hAnsi="Times New Roman" w:cs="Times New Roman"/>
          <w:b/>
          <w:noProof/>
          <w:sz w:val="24"/>
          <w:szCs w:val="24"/>
        </w:rPr>
      </w:pPr>
      <w:r>
        <w:rPr>
          <w:rFonts w:ascii="Times New Roman" w:hAnsi="Times New Roman" w:cs="Times New Roman"/>
          <w:noProof/>
          <w:sz w:val="24"/>
          <w:szCs w:val="24"/>
        </w:rPr>
        <w:t>Most</w:t>
      </w:r>
      <w:r w:rsidR="00A14107" w:rsidRPr="00A14107">
        <w:rPr>
          <w:rFonts w:ascii="Times New Roman" w:hAnsi="Times New Roman" w:cs="Times New Roman"/>
          <w:noProof/>
          <w:sz w:val="24"/>
          <w:szCs w:val="24"/>
        </w:rPr>
        <w:t xml:space="preserve"> respondents in the open public consultation consider the simplification of the licen</w:t>
      </w:r>
      <w:r w:rsidR="003A2BFA">
        <w:rPr>
          <w:rFonts w:ascii="Times New Roman" w:hAnsi="Times New Roman" w:cs="Times New Roman"/>
          <w:noProof/>
          <w:sz w:val="24"/>
          <w:szCs w:val="24"/>
        </w:rPr>
        <w:t>s</w:t>
      </w:r>
      <w:r w:rsidR="00A14107" w:rsidRPr="00A14107">
        <w:rPr>
          <w:rFonts w:ascii="Times New Roman" w:hAnsi="Times New Roman" w:cs="Times New Roman"/>
          <w:noProof/>
          <w:sz w:val="24"/>
          <w:szCs w:val="24"/>
        </w:rPr>
        <w:t xml:space="preserve">ing system in light of the Single Window as well as prevention of illegal activities to be (very) important. As regards the importance of simplifying registration for laboratory uses, all businesses (including two laboratory users) and </w:t>
      </w:r>
      <w:r w:rsidR="00DE631E">
        <w:rPr>
          <w:rFonts w:ascii="Times New Roman" w:hAnsi="Times New Roman" w:cs="Times New Roman"/>
          <w:noProof/>
          <w:sz w:val="24"/>
          <w:szCs w:val="24"/>
        </w:rPr>
        <w:t xml:space="preserve">most </w:t>
      </w:r>
      <w:r w:rsidR="00A14107" w:rsidRPr="00A14107">
        <w:rPr>
          <w:rFonts w:ascii="Times New Roman" w:hAnsi="Times New Roman" w:cs="Times New Roman"/>
          <w:noProof/>
          <w:sz w:val="24"/>
          <w:szCs w:val="24"/>
        </w:rPr>
        <w:t xml:space="preserve">public authorities agree this is (very) important. Furthermore, all industry respondents and most public authorities find if (very) important to abolish the quota system. Aviation industry has highlighted the infeasibility of one halon prohibition which was confirmed by authorities.  </w:t>
      </w:r>
    </w:p>
    <w:p w14:paraId="1926CE57" w14:textId="77777777" w:rsidR="00A14107" w:rsidRPr="00A14107" w:rsidRDefault="00A14107" w:rsidP="00F748F9">
      <w:pPr>
        <w:spacing w:after="120"/>
        <w:jc w:val="both"/>
        <w:rPr>
          <w:rFonts w:ascii="Times New Roman" w:hAnsi="Times New Roman" w:cs="Times New Roman"/>
          <w:b/>
          <w:noProof/>
          <w:sz w:val="24"/>
          <w:szCs w:val="24"/>
        </w:rPr>
      </w:pPr>
      <w:r w:rsidRPr="00A14107">
        <w:rPr>
          <w:rFonts w:ascii="Times New Roman" w:hAnsi="Times New Roman" w:cs="Times New Roman"/>
          <w:b/>
          <w:noProof/>
          <w:sz w:val="24"/>
          <w:szCs w:val="24"/>
        </w:rPr>
        <w:t>B1. Modernise the licensing system in view of the EU Single Window Environment for Customs (“Single Window”): Introduce trader licen</w:t>
      </w:r>
      <w:r w:rsidR="003A2BFA">
        <w:rPr>
          <w:rFonts w:ascii="Times New Roman" w:hAnsi="Times New Roman" w:cs="Times New Roman"/>
          <w:b/>
          <w:noProof/>
          <w:sz w:val="24"/>
          <w:szCs w:val="24"/>
        </w:rPr>
        <w:t>c</w:t>
      </w:r>
      <w:r w:rsidRPr="00A14107">
        <w:rPr>
          <w:rFonts w:ascii="Times New Roman" w:hAnsi="Times New Roman" w:cs="Times New Roman"/>
          <w:b/>
          <w:noProof/>
          <w:sz w:val="24"/>
          <w:szCs w:val="24"/>
        </w:rPr>
        <w:t>es for ODS bulk and equipment</w:t>
      </w:r>
    </w:p>
    <w:p w14:paraId="00C6927C"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requirement to have an ODS import and export licence per shipment will be replaced by a requirement to have a periodic ODS licence for each trader stating the conditions under which the trader may import or export (trader licence). The Single Window </w:t>
      </w:r>
      <w:r w:rsidR="003A2BFA">
        <w:rPr>
          <w:rFonts w:ascii="Times New Roman" w:hAnsi="Times New Roman" w:cs="Times New Roman"/>
          <w:noProof/>
          <w:sz w:val="24"/>
          <w:szCs w:val="24"/>
        </w:rPr>
        <w:t xml:space="preserve">will </w:t>
      </w:r>
      <w:r w:rsidRPr="00A14107">
        <w:rPr>
          <w:rFonts w:ascii="Times New Roman" w:hAnsi="Times New Roman" w:cs="Times New Roman"/>
          <w:noProof/>
          <w:sz w:val="24"/>
          <w:szCs w:val="24"/>
        </w:rPr>
        <w:t xml:space="preserve">allow per shipment controls of imports and exports on the basis of data in the customs documents and an automatic cross-check with the Commission’s ODS licensing system. </w:t>
      </w:r>
      <w:r w:rsidR="00CD5A30" w:rsidRPr="00CD5A30">
        <w:rPr>
          <w:rFonts w:ascii="Times New Roman" w:hAnsi="Times New Roman" w:cs="Times New Roman"/>
          <w:noProof/>
          <w:sz w:val="24"/>
          <w:szCs w:val="24"/>
        </w:rPr>
        <w:t xml:space="preserve">To complete the overview, and given the lower administrative burden of the automatic system, the substance listed in Annex IIA will be included in Annex I, with the only additional change being that licensing will also be required for this substance. </w:t>
      </w:r>
      <w:r w:rsidRPr="00A14107">
        <w:rPr>
          <w:rFonts w:ascii="Times New Roman" w:hAnsi="Times New Roman" w:cs="Times New Roman"/>
          <w:noProof/>
          <w:sz w:val="24"/>
          <w:szCs w:val="24"/>
        </w:rPr>
        <w:t>This makes an application for ODS licen</w:t>
      </w:r>
      <w:r w:rsidR="003A2BFA">
        <w:rPr>
          <w:rFonts w:ascii="Times New Roman" w:hAnsi="Times New Roman" w:cs="Times New Roman"/>
          <w:noProof/>
          <w:sz w:val="24"/>
          <w:szCs w:val="24"/>
        </w:rPr>
        <w:t>c</w:t>
      </w:r>
      <w:r w:rsidRPr="00A14107">
        <w:rPr>
          <w:rFonts w:ascii="Times New Roman" w:hAnsi="Times New Roman" w:cs="Times New Roman"/>
          <w:noProof/>
          <w:sz w:val="24"/>
          <w:szCs w:val="24"/>
        </w:rPr>
        <w:t xml:space="preserve">es prior to the import/export and the (partly) manual approval of licences by the Commission prior to custom clearance obsolete. This measure should only enter into force when </w:t>
      </w:r>
      <w:r w:rsidR="003A2BFA">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Single Window is in place in all Member States. The EC would need to adjust its database to allow for trader licen</w:t>
      </w:r>
      <w:r w:rsidR="003A2BFA">
        <w:rPr>
          <w:rFonts w:ascii="Times New Roman" w:hAnsi="Times New Roman" w:cs="Times New Roman"/>
          <w:noProof/>
          <w:sz w:val="24"/>
          <w:szCs w:val="24"/>
        </w:rPr>
        <w:t>c</w:t>
      </w:r>
      <w:r w:rsidRPr="00A14107">
        <w:rPr>
          <w:rFonts w:ascii="Times New Roman" w:hAnsi="Times New Roman" w:cs="Times New Roman"/>
          <w:noProof/>
          <w:sz w:val="24"/>
          <w:szCs w:val="24"/>
        </w:rPr>
        <w:t>es. Economic operators would need to only apply for relevant trader licen</w:t>
      </w:r>
      <w:r w:rsidR="003A2BFA">
        <w:rPr>
          <w:rFonts w:ascii="Times New Roman" w:hAnsi="Times New Roman" w:cs="Times New Roman"/>
          <w:noProof/>
          <w:sz w:val="24"/>
          <w:szCs w:val="24"/>
        </w:rPr>
        <w:t>c</w:t>
      </w:r>
      <w:r w:rsidRPr="00A14107">
        <w:rPr>
          <w:rFonts w:ascii="Times New Roman" w:hAnsi="Times New Roman" w:cs="Times New Roman"/>
          <w:noProof/>
          <w:sz w:val="24"/>
          <w:szCs w:val="24"/>
        </w:rPr>
        <w:t xml:space="preserve">es (once a year or even less frequently). </w:t>
      </w:r>
    </w:p>
    <w:p w14:paraId="5CEE5F55" w14:textId="77777777" w:rsidR="00A14107" w:rsidRPr="00A14107" w:rsidRDefault="00A14107" w:rsidP="007E5BD2">
      <w:pPr>
        <w:keepNext/>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B2. Better monitoring of illegal goods</w:t>
      </w:r>
    </w:p>
    <w:p w14:paraId="3FCC3A3D" w14:textId="77777777" w:rsidR="00A14107" w:rsidRPr="00A14107" w:rsidRDefault="007A1A5A" w:rsidP="006578FA">
      <w:pPr>
        <w:spacing w:after="120"/>
        <w:jc w:val="both"/>
        <w:rPr>
          <w:noProof/>
          <w:sz w:val="24"/>
          <w:szCs w:val="24"/>
        </w:rPr>
      </w:pPr>
      <w:r>
        <w:rPr>
          <w:rFonts w:ascii="Times New Roman" w:hAnsi="Times New Roman" w:cs="Times New Roman"/>
          <w:noProof/>
          <w:sz w:val="24"/>
          <w:szCs w:val="24"/>
        </w:rPr>
        <w:t>To ensure better control at less resources, custom controls should increasingly rely on automatic controls (see B1 above). To enable these controls f</w:t>
      </w:r>
      <w:r w:rsidR="00A14107" w:rsidRPr="00A14107">
        <w:rPr>
          <w:rFonts w:ascii="Times New Roman" w:hAnsi="Times New Roman" w:cs="Times New Roman"/>
          <w:noProof/>
          <w:sz w:val="24"/>
          <w:szCs w:val="24"/>
        </w:rPr>
        <w:t>or relevant customs procedures</w:t>
      </w:r>
      <w:r>
        <w:rPr>
          <w:rFonts w:ascii="Times New Roman" w:hAnsi="Times New Roman" w:cs="Times New Roman"/>
          <w:noProof/>
          <w:sz w:val="24"/>
          <w:szCs w:val="24"/>
        </w:rPr>
        <w:t>,</w:t>
      </w:r>
      <w:r w:rsidR="00A14107" w:rsidRPr="00A14107">
        <w:rPr>
          <w:rFonts w:ascii="Times New Roman" w:hAnsi="Times New Roman" w:cs="Times New Roman"/>
          <w:noProof/>
          <w:sz w:val="24"/>
          <w:szCs w:val="24"/>
        </w:rPr>
        <w:t xml:space="preserve"> the trader will be required to specify the 8 or 10-digit TARIC</w:t>
      </w:r>
      <w:r w:rsidR="00A14107" w:rsidRPr="00A14107">
        <w:rPr>
          <w:noProof/>
          <w:sz w:val="24"/>
          <w:szCs w:val="24"/>
          <w:vertAlign w:val="superscript"/>
        </w:rPr>
        <w:footnoteReference w:id="50"/>
      </w:r>
      <w:r w:rsidR="00A14107" w:rsidRPr="00A14107">
        <w:rPr>
          <w:rFonts w:ascii="Times New Roman" w:hAnsi="Times New Roman" w:cs="Times New Roman"/>
          <w:noProof/>
          <w:sz w:val="24"/>
          <w:szCs w:val="24"/>
        </w:rPr>
        <w:t xml:space="preserve"> code. This will allow an identification of the ODS (group) and thus enable better controls of ODS submitted to these procedures. The requirements for custom documents would need to be changed. The economic operators would need to provide the code any time such a procedure is launched. </w:t>
      </w:r>
      <w:r w:rsidR="00CD5A30" w:rsidRPr="00CD5A30">
        <w:rPr>
          <w:rFonts w:ascii="Times New Roman" w:hAnsi="Times New Roman" w:cs="Times New Roman"/>
          <w:noProof/>
          <w:sz w:val="24"/>
          <w:szCs w:val="24"/>
        </w:rPr>
        <w:t xml:space="preserve">The existing requirement to present a declaration of critical use for reclaimed halons for obtaining a license for import will instead be required as a certificate at the moment of import. Furthermore, it should be clarified that goods (including non-refillable cylinders) </w:t>
      </w:r>
      <w:r w:rsidR="00A14107" w:rsidRPr="00A14107">
        <w:rPr>
          <w:rFonts w:ascii="Times New Roman" w:hAnsi="Times New Roman" w:cs="Times New Roman"/>
          <w:noProof/>
          <w:sz w:val="24"/>
          <w:szCs w:val="24"/>
        </w:rPr>
        <w:t>that may not be placed on the market in the EU should also be prohibited from physical entry into the customs territory of the Un</w:t>
      </w:r>
      <w:r w:rsidR="00CD5A30">
        <w:rPr>
          <w:rFonts w:ascii="Times New Roman" w:hAnsi="Times New Roman" w:cs="Times New Roman"/>
          <w:noProof/>
          <w:sz w:val="24"/>
          <w:szCs w:val="24"/>
        </w:rPr>
        <w:t>ion</w:t>
      </w:r>
      <w:r w:rsidR="00A14107" w:rsidRPr="00A14107">
        <w:rPr>
          <w:rFonts w:ascii="Times New Roman" w:hAnsi="Times New Roman" w:cs="Times New Roman"/>
          <w:noProof/>
          <w:sz w:val="24"/>
          <w:szCs w:val="24"/>
        </w:rPr>
        <w:t xml:space="preserve">. This measure includes prohibiting the placing on the market of ODS (bulk and in </w:t>
      </w:r>
      <w:r w:rsidR="00CD5A30">
        <w:rPr>
          <w:rFonts w:ascii="Times New Roman" w:hAnsi="Times New Roman" w:cs="Times New Roman"/>
          <w:noProof/>
          <w:sz w:val="24"/>
          <w:szCs w:val="24"/>
        </w:rPr>
        <w:t>products and equipment) online</w:t>
      </w:r>
      <w:r w:rsidR="00A14107" w:rsidRPr="00A14107">
        <w:rPr>
          <w:rFonts w:ascii="Times New Roman" w:hAnsi="Times New Roman" w:cs="Times New Roman"/>
          <w:noProof/>
          <w:sz w:val="24"/>
          <w:szCs w:val="24"/>
        </w:rPr>
        <w:t xml:space="preserve">. Customs would identify such shipments as ODS-policy relevant and carry out risk-based controls to ensure the Regulation is enforced. Surveillance authorities should monitor goods offered online. </w:t>
      </w:r>
    </w:p>
    <w:p w14:paraId="18E30CDB" w14:textId="77777777" w:rsidR="00A14107" w:rsidRPr="00A14107"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B3. Special custom rules for ODS</w:t>
      </w:r>
    </w:p>
    <w:p w14:paraId="5970E71A" w14:textId="77777777" w:rsidR="00A14107" w:rsidRPr="00A14107" w:rsidRDefault="007A1A5A" w:rsidP="006578FA">
      <w:pPr>
        <w:spacing w:after="120"/>
        <w:jc w:val="both"/>
        <w:rPr>
          <w:rFonts w:ascii="Times New Roman" w:hAnsi="Times New Roman" w:cs="Times New Roman"/>
          <w:noProof/>
          <w:sz w:val="24"/>
          <w:szCs w:val="24"/>
        </w:rPr>
      </w:pPr>
      <w:r>
        <w:rPr>
          <w:rFonts w:ascii="Times New Roman" w:hAnsi="Times New Roman" w:cs="Times New Roman"/>
          <w:noProof/>
          <w:sz w:val="24"/>
          <w:szCs w:val="24"/>
        </w:rPr>
        <w:t>To be able to better identify illegal activities at lower administrative effort, r</w:t>
      </w:r>
      <w:r w:rsidR="00A14107" w:rsidRPr="00A14107">
        <w:rPr>
          <w:rFonts w:ascii="Times New Roman" w:hAnsi="Times New Roman" w:cs="Times New Roman"/>
          <w:noProof/>
          <w:sz w:val="24"/>
          <w:szCs w:val="24"/>
        </w:rPr>
        <w:t>elevant custom</w:t>
      </w:r>
      <w:r w:rsidR="00736DCF">
        <w:rPr>
          <w:rFonts w:ascii="Times New Roman" w:hAnsi="Times New Roman" w:cs="Times New Roman"/>
          <w:noProof/>
          <w:sz w:val="24"/>
          <w:szCs w:val="24"/>
        </w:rPr>
        <w:t>s</w:t>
      </w:r>
      <w:r w:rsidR="00A14107" w:rsidRPr="00A14107">
        <w:rPr>
          <w:rFonts w:ascii="Times New Roman" w:hAnsi="Times New Roman" w:cs="Times New Roman"/>
          <w:noProof/>
          <w:sz w:val="24"/>
          <w:szCs w:val="24"/>
        </w:rPr>
        <w:t xml:space="preserve"> procedures will only be permitted for goods sent to particular destination custom offices.</w:t>
      </w:r>
      <w:r w:rsidR="00A14107" w:rsidRPr="00A14107" w:rsidDel="00CF18EB">
        <w:rPr>
          <w:rFonts w:ascii="Times New Roman" w:hAnsi="Times New Roman" w:cs="Times New Roman"/>
          <w:noProof/>
          <w:sz w:val="24"/>
          <w:szCs w:val="24"/>
        </w:rPr>
        <w:t xml:space="preserve"> </w:t>
      </w:r>
      <w:r w:rsidR="00A14107" w:rsidRPr="00A14107">
        <w:rPr>
          <w:rFonts w:ascii="Times New Roman" w:hAnsi="Times New Roman" w:cs="Times New Roman"/>
          <w:noProof/>
          <w:sz w:val="24"/>
          <w:szCs w:val="24"/>
        </w:rPr>
        <w:t>This</w:t>
      </w:r>
      <w:r w:rsidR="00A14107" w:rsidRPr="00A14107" w:rsidDel="00CF18EB">
        <w:rPr>
          <w:rFonts w:ascii="Times New Roman" w:hAnsi="Times New Roman" w:cs="Times New Roman"/>
          <w:noProof/>
          <w:sz w:val="24"/>
          <w:szCs w:val="24"/>
        </w:rPr>
        <w:t xml:space="preserve"> </w:t>
      </w:r>
      <w:r w:rsidR="00A14107" w:rsidRPr="00A14107">
        <w:rPr>
          <w:rFonts w:ascii="Times New Roman" w:hAnsi="Times New Roman" w:cs="Times New Roman"/>
          <w:noProof/>
          <w:sz w:val="24"/>
          <w:szCs w:val="24"/>
        </w:rPr>
        <w:t>may affect the logistics of legitimate traders</w:t>
      </w:r>
      <w:r>
        <w:rPr>
          <w:rFonts w:ascii="Times New Roman" w:hAnsi="Times New Roman" w:cs="Times New Roman"/>
          <w:noProof/>
          <w:sz w:val="24"/>
          <w:szCs w:val="24"/>
        </w:rPr>
        <w:t>,</w:t>
      </w:r>
      <w:r w:rsidR="009138FE">
        <w:rPr>
          <w:rFonts w:ascii="Times New Roman" w:hAnsi="Times New Roman" w:cs="Times New Roman"/>
          <w:noProof/>
          <w:sz w:val="24"/>
          <w:szCs w:val="24"/>
        </w:rPr>
        <w:t xml:space="preserve"> but should not affect the volumes of trade</w:t>
      </w:r>
      <w:r w:rsidR="00A14107" w:rsidRPr="00A14107">
        <w:rPr>
          <w:rFonts w:ascii="Times New Roman" w:hAnsi="Times New Roman" w:cs="Times New Roman"/>
          <w:noProof/>
          <w:sz w:val="24"/>
          <w:szCs w:val="24"/>
        </w:rPr>
        <w:t>. Member States would need to identify the customs offices that are equipped to handle ODS trade to ensure good control. Customs should control, using risk-based approaches, if the conditions are provided for such shipments.</w:t>
      </w:r>
    </w:p>
    <w:p w14:paraId="5B5EBD77" w14:textId="77777777" w:rsidR="00A14107" w:rsidRPr="00A14107" w:rsidRDefault="00A14107" w:rsidP="00F748F9">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B4. Abolish the registration system for laboratories</w:t>
      </w:r>
    </w:p>
    <w:p w14:paraId="5C976315"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requirement for laboratories to register will be abolished. Instead, suppliers and purchasers should keep records with specific information on the quantities and specific uses for five years. This requirement </w:t>
      </w:r>
      <w:r w:rsidR="00393552">
        <w:rPr>
          <w:rFonts w:ascii="Times New Roman" w:hAnsi="Times New Roman" w:cs="Times New Roman"/>
          <w:noProof/>
          <w:sz w:val="24"/>
          <w:szCs w:val="24"/>
        </w:rPr>
        <w:t xml:space="preserve">will </w:t>
      </w:r>
      <w:r w:rsidR="00D45433">
        <w:rPr>
          <w:rFonts w:ascii="Times New Roman" w:hAnsi="Times New Roman" w:cs="Times New Roman"/>
          <w:noProof/>
          <w:sz w:val="24"/>
          <w:szCs w:val="24"/>
        </w:rPr>
        <w:t xml:space="preserve">facilitate </w:t>
      </w:r>
      <w:r w:rsidRPr="00A14107">
        <w:rPr>
          <w:rFonts w:ascii="Times New Roman" w:hAnsi="Times New Roman" w:cs="Times New Roman"/>
          <w:noProof/>
          <w:sz w:val="24"/>
          <w:szCs w:val="24"/>
        </w:rPr>
        <w:t xml:space="preserve"> </w:t>
      </w:r>
      <w:r w:rsidR="00393552">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control</w:t>
      </w:r>
      <w:r w:rsidR="00393552">
        <w:rPr>
          <w:rFonts w:ascii="Times New Roman" w:hAnsi="Times New Roman" w:cs="Times New Roman"/>
          <w:noProof/>
          <w:sz w:val="24"/>
          <w:szCs w:val="24"/>
        </w:rPr>
        <w:t xml:space="preserve"> of</w:t>
      </w:r>
      <w:r w:rsidRPr="00A14107">
        <w:rPr>
          <w:rFonts w:ascii="Times New Roman" w:hAnsi="Times New Roman" w:cs="Times New Roman"/>
          <w:noProof/>
          <w:sz w:val="24"/>
          <w:szCs w:val="24"/>
        </w:rPr>
        <w:t xml:space="preserve"> improper use and  collect</w:t>
      </w:r>
      <w:r w:rsidR="00393552">
        <w:rPr>
          <w:rFonts w:ascii="Times New Roman" w:hAnsi="Times New Roman" w:cs="Times New Roman"/>
          <w:noProof/>
          <w:sz w:val="24"/>
          <w:szCs w:val="24"/>
        </w:rPr>
        <w:t>ion</w:t>
      </w:r>
      <w:r w:rsidRPr="00A14107">
        <w:rPr>
          <w:rFonts w:ascii="Times New Roman" w:hAnsi="Times New Roman" w:cs="Times New Roman"/>
          <w:noProof/>
          <w:sz w:val="24"/>
          <w:szCs w:val="24"/>
        </w:rPr>
        <w:t xml:space="preserve"> </w:t>
      </w:r>
      <w:r w:rsidR="00393552">
        <w:rPr>
          <w:rFonts w:ascii="Times New Roman" w:hAnsi="Times New Roman" w:cs="Times New Roman"/>
          <w:noProof/>
          <w:sz w:val="24"/>
          <w:szCs w:val="24"/>
        </w:rPr>
        <w:t xml:space="preserve">of </w:t>
      </w:r>
      <w:r w:rsidRPr="00A14107">
        <w:rPr>
          <w:rFonts w:ascii="Times New Roman" w:hAnsi="Times New Roman" w:cs="Times New Roman"/>
          <w:noProof/>
          <w:sz w:val="24"/>
          <w:szCs w:val="24"/>
        </w:rPr>
        <w:t>information for identif</w:t>
      </w:r>
      <w:r w:rsidR="00393552">
        <w:rPr>
          <w:rFonts w:ascii="Times New Roman" w:hAnsi="Times New Roman" w:cs="Times New Roman"/>
          <w:noProof/>
          <w:sz w:val="24"/>
          <w:szCs w:val="24"/>
        </w:rPr>
        <w:t>ication of</w:t>
      </w:r>
      <w:r w:rsidRPr="00A14107">
        <w:rPr>
          <w:rFonts w:ascii="Times New Roman" w:hAnsi="Times New Roman" w:cs="Times New Roman"/>
          <w:noProof/>
          <w:sz w:val="24"/>
          <w:szCs w:val="24"/>
        </w:rPr>
        <w:t xml:space="preserve"> e.g. progress on alternatives. Member States </w:t>
      </w:r>
      <w:r w:rsidR="00736DCF">
        <w:rPr>
          <w:rFonts w:ascii="Times New Roman" w:hAnsi="Times New Roman" w:cs="Times New Roman"/>
          <w:noProof/>
          <w:sz w:val="24"/>
          <w:szCs w:val="24"/>
        </w:rPr>
        <w:t xml:space="preserve">would have </w:t>
      </w:r>
      <w:r w:rsidRPr="00A14107">
        <w:rPr>
          <w:rFonts w:ascii="Times New Roman" w:hAnsi="Times New Roman" w:cs="Times New Roman"/>
          <w:noProof/>
          <w:sz w:val="24"/>
          <w:szCs w:val="24"/>
        </w:rPr>
        <w:t xml:space="preserve">to ensure compliance of the requirements of permitted and prohibited uses (Commission Regulation 291/2011). Shipment data collected via the Single Window </w:t>
      </w:r>
      <w:r w:rsidR="00736DCF" w:rsidRPr="00A14107">
        <w:rPr>
          <w:rFonts w:ascii="Times New Roman" w:hAnsi="Times New Roman" w:cs="Times New Roman"/>
          <w:noProof/>
          <w:sz w:val="24"/>
          <w:szCs w:val="24"/>
        </w:rPr>
        <w:t>c</w:t>
      </w:r>
      <w:r w:rsidR="00736DCF">
        <w:rPr>
          <w:rFonts w:ascii="Times New Roman" w:hAnsi="Times New Roman" w:cs="Times New Roman"/>
          <w:noProof/>
          <w:sz w:val="24"/>
          <w:szCs w:val="24"/>
        </w:rPr>
        <w:t>ould</w:t>
      </w:r>
      <w:r w:rsidR="00736DCF"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be checked automatically for any unusual amounts or import activities related to such intended uses Reporting </w:t>
      </w:r>
      <w:r w:rsidR="00736DCF">
        <w:rPr>
          <w:rFonts w:ascii="Times New Roman" w:hAnsi="Times New Roman" w:cs="Times New Roman"/>
          <w:noProof/>
          <w:sz w:val="24"/>
          <w:szCs w:val="24"/>
        </w:rPr>
        <w:t xml:space="preserve">would </w:t>
      </w:r>
      <w:r w:rsidRPr="00A14107">
        <w:rPr>
          <w:rFonts w:ascii="Times New Roman" w:hAnsi="Times New Roman" w:cs="Times New Roman"/>
          <w:noProof/>
          <w:sz w:val="24"/>
          <w:szCs w:val="24"/>
        </w:rPr>
        <w:t>ensure further overview of production and use.</w:t>
      </w:r>
    </w:p>
    <w:p w14:paraId="36C10933" w14:textId="77777777" w:rsidR="00A14107" w:rsidRPr="00A14107"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B5. Abolish the annual quota allocation process</w:t>
      </w:r>
    </w:p>
    <w:p w14:paraId="268ACAF0"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annual quota requirements for feedstock, process agents, halons for critical uses and laboratory and/or analytical uses will be abolished. Shipment data collected via the CERTEX/Single Window can be checked automatically for any unusual amounts or import activities related to such intended uses. Reporting </w:t>
      </w:r>
      <w:r w:rsidR="00393552">
        <w:rPr>
          <w:rFonts w:ascii="Times New Roman" w:hAnsi="Times New Roman" w:cs="Times New Roman"/>
          <w:noProof/>
          <w:sz w:val="24"/>
          <w:szCs w:val="24"/>
        </w:rPr>
        <w:t xml:space="preserve">will </w:t>
      </w:r>
      <w:r w:rsidR="00393552" w:rsidRPr="00A14107">
        <w:rPr>
          <w:rFonts w:ascii="Times New Roman" w:hAnsi="Times New Roman" w:cs="Times New Roman"/>
          <w:noProof/>
          <w:sz w:val="24"/>
          <w:szCs w:val="24"/>
        </w:rPr>
        <w:t>ensure</w:t>
      </w:r>
      <w:r w:rsidRPr="00A14107">
        <w:rPr>
          <w:rFonts w:ascii="Times New Roman" w:hAnsi="Times New Roman" w:cs="Times New Roman"/>
          <w:noProof/>
          <w:sz w:val="24"/>
          <w:szCs w:val="24"/>
        </w:rPr>
        <w:t xml:space="preserve"> further overview of production and use. </w:t>
      </w:r>
    </w:p>
    <w:p w14:paraId="359811C2" w14:textId="77777777" w:rsidR="00A14107" w:rsidRPr="00A14107"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B6. Delay the requirement of using non-halon fire protection for normally unoccupied cargo compartments in newly type certified aircraft</w:t>
      </w:r>
    </w:p>
    <w:p w14:paraId="25EE1EA3"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cut-off date from which it is no longer allowed to submit an application for type certification for an aircraft that uses halons in </w:t>
      </w:r>
      <w:r w:rsidRPr="006578FA">
        <w:rPr>
          <w:rFonts w:ascii="Times New Roman" w:hAnsi="Times New Roman" w:cs="Times New Roman"/>
          <w:noProof/>
          <w:sz w:val="24"/>
          <w:szCs w:val="24"/>
        </w:rPr>
        <w:t>fire protection of unoccupied cargo compartments</w:t>
      </w:r>
      <w:r w:rsidRPr="00A14107">
        <w:rPr>
          <w:rFonts w:ascii="Times New Roman" w:hAnsi="Times New Roman" w:cs="Times New Roman"/>
          <w:noProof/>
          <w:sz w:val="24"/>
          <w:szCs w:val="24"/>
        </w:rPr>
        <w:t xml:space="preserve"> will be moved from 2018 to 2024 to take into account that alternative solutions have not yet been successfully qualified and certified. Aircraft producers that submit an application for type certification will no longer have to provide the relevant technical data to their Member State to justify requesting a Commission Decision allowing a derogation from the cut-off date. This timeline would align with rules in place by</w:t>
      </w:r>
      <w:r w:rsidR="00156A5F">
        <w:rPr>
          <w:rFonts w:ascii="Times New Roman" w:hAnsi="Times New Roman" w:cs="Times New Roman"/>
          <w:noProof/>
          <w:sz w:val="24"/>
          <w:szCs w:val="24"/>
        </w:rPr>
        <w:t xml:space="preserve"> the</w:t>
      </w:r>
      <w:r w:rsidRPr="00A14107">
        <w:rPr>
          <w:rFonts w:ascii="Times New Roman" w:hAnsi="Times New Roman" w:cs="Times New Roman"/>
          <w:noProof/>
          <w:sz w:val="24"/>
          <w:szCs w:val="24"/>
        </w:rPr>
        <w:t xml:space="preserve"> ICAO (International Civil Aviation Organization).</w:t>
      </w:r>
    </w:p>
    <w:p w14:paraId="3B1A20EB" w14:textId="41CAE124" w:rsidR="00A14107" w:rsidRPr="001D68A6" w:rsidRDefault="00896FDA" w:rsidP="00896FDA">
      <w:pPr>
        <w:pStyle w:val="Heading3"/>
        <w:rPr>
          <w:noProof/>
        </w:rPr>
      </w:pPr>
      <w:bookmarkStart w:id="137" w:name="_Toc71559411"/>
      <w:bookmarkStart w:id="138" w:name="_Toc71707016"/>
      <w:bookmarkStart w:id="139" w:name="_Toc71708226"/>
      <w:bookmarkStart w:id="140" w:name="_Toc71710958"/>
      <w:bookmarkStart w:id="141" w:name="_Toc72399360"/>
      <w:bookmarkStart w:id="142" w:name="_Toc93511472"/>
      <w:r w:rsidRPr="00896FDA">
        <w:t>5.2.3.</w:t>
      </w:r>
      <w:r w:rsidRPr="00896FDA">
        <w:tab/>
      </w:r>
      <w:r w:rsidR="00A14107" w:rsidRPr="001D68A6">
        <w:rPr>
          <w:noProof/>
        </w:rPr>
        <w:t>Review objective C: Ensure more comprehensive monitoring</w:t>
      </w:r>
      <w:bookmarkEnd w:id="137"/>
      <w:bookmarkEnd w:id="138"/>
      <w:bookmarkEnd w:id="139"/>
      <w:bookmarkEnd w:id="140"/>
      <w:bookmarkEnd w:id="141"/>
      <w:bookmarkEnd w:id="142"/>
    </w:p>
    <w:p w14:paraId="746D98B5"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All non-business stakeholder groups in the open public consultation place</w:t>
      </w:r>
      <w:r w:rsidR="00156A5F">
        <w:rPr>
          <w:rFonts w:ascii="Times New Roman" w:hAnsi="Times New Roman" w:cs="Times New Roman"/>
          <w:noProof/>
          <w:sz w:val="24"/>
          <w:szCs w:val="24"/>
        </w:rPr>
        <w:t>d</w:t>
      </w:r>
      <w:r w:rsidRPr="00A14107">
        <w:rPr>
          <w:rFonts w:ascii="Times New Roman" w:hAnsi="Times New Roman" w:cs="Times New Roman"/>
          <w:noProof/>
          <w:sz w:val="24"/>
          <w:szCs w:val="24"/>
        </w:rPr>
        <w:t xml:space="preserve"> high importance on additional reporting measures, whereas businesses </w:t>
      </w:r>
      <w:r w:rsidR="00156A5F">
        <w:rPr>
          <w:rFonts w:ascii="Times New Roman" w:hAnsi="Times New Roman" w:cs="Times New Roman"/>
          <w:noProof/>
          <w:sz w:val="24"/>
          <w:szCs w:val="24"/>
        </w:rPr>
        <w:t>we</w:t>
      </w:r>
      <w:r w:rsidRPr="00A14107">
        <w:rPr>
          <w:rFonts w:ascii="Times New Roman" w:hAnsi="Times New Roman" w:cs="Times New Roman"/>
          <w:noProof/>
          <w:sz w:val="24"/>
          <w:szCs w:val="24"/>
        </w:rPr>
        <w:t>re divided on this issue.</w:t>
      </w:r>
    </w:p>
    <w:p w14:paraId="2B884095" w14:textId="77777777" w:rsidR="00A14107" w:rsidRPr="00A14107"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C1. Require reporting on use as feedstock, process agents and destruction also for new ODS (Annex II)</w:t>
      </w:r>
    </w:p>
    <w:p w14:paraId="25224C1A"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reporting requirements for new ODS will be aligned with those of ODS (Annex I) to give a better overview of the uses of the former. This will </w:t>
      </w:r>
      <w:r w:rsidR="00156A5F" w:rsidRPr="00A14107">
        <w:rPr>
          <w:rFonts w:ascii="Times New Roman" w:hAnsi="Times New Roman" w:cs="Times New Roman"/>
          <w:noProof/>
          <w:sz w:val="24"/>
          <w:szCs w:val="24"/>
        </w:rPr>
        <w:t xml:space="preserve">slightly </w:t>
      </w:r>
      <w:r w:rsidRPr="00A14107">
        <w:rPr>
          <w:rFonts w:ascii="Times New Roman" w:hAnsi="Times New Roman" w:cs="Times New Roman"/>
          <w:noProof/>
          <w:sz w:val="24"/>
          <w:szCs w:val="24"/>
        </w:rPr>
        <w:t>extend the reporting scope for those companies that have not already been reporting such data voluntarily. The possibility is already enabled in the reporting system run be the EEA.</w:t>
      </w:r>
    </w:p>
    <w:p w14:paraId="2FCE4F39" w14:textId="77777777" w:rsidR="00A14107" w:rsidRPr="00F748F9"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 xml:space="preserve">C2. </w:t>
      </w:r>
      <w:r w:rsidRPr="00A14107">
        <w:rPr>
          <w:rFonts w:ascii="Times New Roman" w:hAnsi="Times New Roman" w:cs="Times New Roman"/>
          <w:b/>
          <w:bCs/>
          <w:noProof/>
          <w:sz w:val="24"/>
          <w:szCs w:val="24"/>
        </w:rPr>
        <w:t>Require reporting on emissions at substance level for the production and destruction of ODS</w:t>
      </w:r>
    </w:p>
    <w:p w14:paraId="18C20604"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Producers and destruction facilities will be obliged to report their ODS emissions</w:t>
      </w:r>
      <w:r w:rsidRPr="00A14107">
        <w:rPr>
          <w:noProof/>
          <w:sz w:val="24"/>
          <w:szCs w:val="24"/>
          <w:vertAlign w:val="superscript"/>
        </w:rPr>
        <w:footnoteReference w:id="51"/>
      </w:r>
      <w:r w:rsidR="0013653E">
        <w:rPr>
          <w:rFonts w:ascii="Times New Roman" w:hAnsi="Times New Roman" w:cs="Times New Roman"/>
          <w:noProof/>
          <w:sz w:val="24"/>
          <w:szCs w:val="24"/>
        </w:rPr>
        <w:t>,</w:t>
      </w:r>
      <w:r w:rsidRPr="00A14107">
        <w:rPr>
          <w:rFonts w:ascii="Times New Roman" w:hAnsi="Times New Roman" w:cs="Times New Roman"/>
          <w:noProof/>
          <w:sz w:val="24"/>
          <w:szCs w:val="24"/>
        </w:rPr>
        <w:t xml:space="preserve"> by substance. No changes to the reporting system run by the EEA will be needed. </w:t>
      </w:r>
    </w:p>
    <w:p w14:paraId="666D85CB" w14:textId="77777777" w:rsidR="00A14107" w:rsidRPr="00A14107" w:rsidRDefault="00A14107" w:rsidP="0013653E">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C3. Add global warming potential (GWP) values to increase awareness of the climate impacts of ODS</w:t>
      </w:r>
    </w:p>
    <w:p w14:paraId="12B29B62"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relevant GWP value for each ODS (Annex I and II) will be added. No additional requirement</w:t>
      </w:r>
      <w:r w:rsidR="00156A5F">
        <w:rPr>
          <w:rFonts w:ascii="Times New Roman" w:hAnsi="Times New Roman" w:cs="Times New Roman"/>
          <w:noProof/>
          <w:sz w:val="24"/>
          <w:szCs w:val="24"/>
        </w:rPr>
        <w:t>s</w:t>
      </w:r>
      <w:r w:rsidRPr="00A14107">
        <w:rPr>
          <w:rFonts w:ascii="Times New Roman" w:hAnsi="Times New Roman" w:cs="Times New Roman"/>
          <w:noProof/>
          <w:sz w:val="24"/>
          <w:szCs w:val="24"/>
        </w:rPr>
        <w:t xml:space="preserve"> for authorities or economic operators </w:t>
      </w:r>
      <w:r w:rsidR="00156A5F">
        <w:rPr>
          <w:rFonts w:ascii="Times New Roman" w:hAnsi="Times New Roman" w:cs="Times New Roman"/>
          <w:noProof/>
          <w:sz w:val="24"/>
          <w:szCs w:val="24"/>
        </w:rPr>
        <w:t xml:space="preserve">would </w:t>
      </w:r>
      <w:r w:rsidRPr="00A14107">
        <w:rPr>
          <w:rFonts w:ascii="Times New Roman" w:hAnsi="Times New Roman" w:cs="Times New Roman"/>
          <w:noProof/>
          <w:sz w:val="24"/>
          <w:szCs w:val="24"/>
        </w:rPr>
        <w:t>arise from this change.</w:t>
      </w:r>
    </w:p>
    <w:p w14:paraId="68FFC1E3" w14:textId="77777777" w:rsidR="00A14107" w:rsidRPr="00A14107" w:rsidRDefault="00A14107" w:rsidP="0013653E">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 xml:space="preserve">C4. Require </w:t>
      </w:r>
      <w:r w:rsidR="00713E6A">
        <w:rPr>
          <w:rFonts w:ascii="Times New Roman" w:hAnsi="Times New Roman" w:cs="Times New Roman"/>
          <w:b/>
          <w:bCs/>
          <w:noProof/>
          <w:sz w:val="24"/>
          <w:szCs w:val="24"/>
        </w:rPr>
        <w:t>reporting on sales and purchase</w:t>
      </w:r>
      <w:r w:rsidRPr="00A14107">
        <w:rPr>
          <w:rFonts w:ascii="Times New Roman" w:hAnsi="Times New Roman" w:cs="Times New Roman"/>
          <w:b/>
          <w:bCs/>
          <w:noProof/>
          <w:sz w:val="24"/>
          <w:szCs w:val="24"/>
        </w:rPr>
        <w:t xml:space="preserve"> of ODS (Annex I) also for producers, destruction facilities and feedstock and process agent users</w:t>
      </w:r>
    </w:p>
    <w:p w14:paraId="36BDFFA7"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Reporting will be required on intra-EU trade to better monitor the supply chain of ODS</w:t>
      </w:r>
      <w:r w:rsidR="00713E6A">
        <w:rPr>
          <w:rFonts w:ascii="Times New Roman" w:hAnsi="Times New Roman" w:cs="Times New Roman"/>
          <w:noProof/>
          <w:sz w:val="24"/>
          <w:szCs w:val="24"/>
        </w:rPr>
        <w:t xml:space="preserve"> and facilitate compliance with </w:t>
      </w:r>
      <w:r w:rsidR="007A1A5A">
        <w:rPr>
          <w:rFonts w:ascii="Times New Roman" w:hAnsi="Times New Roman" w:cs="Times New Roman"/>
          <w:noProof/>
          <w:sz w:val="24"/>
          <w:szCs w:val="24"/>
        </w:rPr>
        <w:t xml:space="preserve">reporting obligations under </w:t>
      </w:r>
      <w:r w:rsidR="00713E6A">
        <w:rPr>
          <w:rFonts w:ascii="Times New Roman" w:hAnsi="Times New Roman" w:cs="Times New Roman"/>
          <w:noProof/>
          <w:sz w:val="24"/>
          <w:szCs w:val="24"/>
        </w:rPr>
        <w:t>the Protocol</w:t>
      </w:r>
      <w:r w:rsidRPr="00A14107">
        <w:rPr>
          <w:rFonts w:ascii="Times New Roman" w:hAnsi="Times New Roman" w:cs="Times New Roman"/>
          <w:noProof/>
          <w:sz w:val="24"/>
          <w:szCs w:val="24"/>
        </w:rPr>
        <w:t>.</w:t>
      </w:r>
      <w:r w:rsidRPr="00A14107">
        <w:rPr>
          <w:noProof/>
          <w:sz w:val="24"/>
          <w:szCs w:val="24"/>
          <w:vertAlign w:val="superscript"/>
        </w:rPr>
        <w:footnoteReference w:id="52"/>
      </w:r>
      <w:r w:rsidR="00713E6A" w:rsidRPr="007A1A5A">
        <w:rPr>
          <w:rFonts w:ascii="Calibri" w:hAnsi="Calibri" w:cs="Calibri"/>
          <w:noProof/>
          <w:sz w:val="20"/>
          <w:szCs w:val="20"/>
          <w:vertAlign w:val="superscript"/>
        </w:rPr>
        <w:t>,</w:t>
      </w:r>
      <w:r w:rsidR="00713E6A" w:rsidRPr="007A1A5A">
        <w:rPr>
          <w:rStyle w:val="FootnoteReference"/>
          <w:rFonts w:cstheme="minorHAnsi"/>
          <w:noProof/>
          <w:sz w:val="24"/>
          <w:szCs w:val="24"/>
        </w:rPr>
        <w:footnoteReference w:id="53"/>
      </w:r>
      <w:r w:rsidRPr="00A14107">
        <w:rPr>
          <w:rFonts w:ascii="Times New Roman" w:hAnsi="Times New Roman" w:cs="Times New Roman"/>
          <w:noProof/>
          <w:sz w:val="24"/>
          <w:szCs w:val="24"/>
        </w:rPr>
        <w:t xml:space="preserve"> This will extend the reporting scope for those companies. The possibility is already enabled in the reporting system run b</w:t>
      </w:r>
      <w:r w:rsidR="0013653E">
        <w:rPr>
          <w:rFonts w:ascii="Times New Roman" w:hAnsi="Times New Roman" w:cs="Times New Roman"/>
          <w:noProof/>
          <w:sz w:val="24"/>
          <w:szCs w:val="24"/>
        </w:rPr>
        <w:t>y</w:t>
      </w:r>
      <w:r w:rsidRPr="00A14107">
        <w:rPr>
          <w:rFonts w:ascii="Times New Roman" w:hAnsi="Times New Roman" w:cs="Times New Roman"/>
          <w:noProof/>
          <w:sz w:val="24"/>
          <w:szCs w:val="24"/>
        </w:rPr>
        <w:t xml:space="preserve"> the EEA.</w:t>
      </w:r>
    </w:p>
    <w:p w14:paraId="32056982" w14:textId="77777777" w:rsidR="00A14107" w:rsidRPr="00A14107" w:rsidRDefault="00A14107" w:rsidP="0013653E">
      <w:pPr>
        <w:spacing w:after="120"/>
        <w:rPr>
          <w:rFonts w:ascii="Times New Roman" w:hAnsi="Times New Roman" w:cs="Times New Roman"/>
          <w:b/>
          <w:bCs/>
          <w:noProof/>
          <w:sz w:val="24"/>
          <w:szCs w:val="24"/>
        </w:rPr>
      </w:pPr>
      <w:r w:rsidRPr="00A14107">
        <w:rPr>
          <w:rFonts w:ascii="Times New Roman" w:hAnsi="Times New Roman" w:cs="Times New Roman"/>
          <w:b/>
          <w:bCs/>
          <w:noProof/>
          <w:sz w:val="24"/>
          <w:szCs w:val="24"/>
        </w:rPr>
        <w:t xml:space="preserve">C5. Add new substances to Annex II B </w:t>
      </w:r>
    </w:p>
    <w:p w14:paraId="14AD70C7"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Three substances with an ODP, which could become relevant</w:t>
      </w:r>
      <w:r w:rsidRPr="00A14107">
        <w:rPr>
          <w:noProof/>
          <w:sz w:val="24"/>
          <w:szCs w:val="24"/>
          <w:vertAlign w:val="superscript"/>
        </w:rPr>
        <w:footnoteReference w:id="54"/>
      </w:r>
      <w:r w:rsidRPr="00A14107">
        <w:rPr>
          <w:rFonts w:ascii="Times New Roman" w:hAnsi="Times New Roman" w:cs="Times New Roman"/>
          <w:noProof/>
          <w:sz w:val="24"/>
          <w:szCs w:val="24"/>
        </w:rPr>
        <w:t>, will be added to Annex II B (monitoring), namely 2-BTP</w:t>
      </w:r>
      <w:r w:rsidRPr="00A14107">
        <w:rPr>
          <w:noProof/>
          <w:sz w:val="24"/>
          <w:szCs w:val="24"/>
          <w:vertAlign w:val="superscript"/>
        </w:rPr>
        <w:footnoteReference w:id="55"/>
      </w:r>
      <w:r w:rsidRPr="00A14107">
        <w:rPr>
          <w:rFonts w:ascii="Times New Roman" w:hAnsi="Times New Roman" w:cs="Times New Roman"/>
          <w:noProof/>
          <w:sz w:val="24"/>
          <w:szCs w:val="24"/>
        </w:rPr>
        <w:t xml:space="preserve">, dichloromethane (DCM), and perchloroethylene (PCE), so that their trade and use </w:t>
      </w:r>
      <w:r w:rsidR="00393552">
        <w:rPr>
          <w:rFonts w:ascii="Times New Roman" w:hAnsi="Times New Roman" w:cs="Times New Roman"/>
          <w:noProof/>
          <w:sz w:val="24"/>
          <w:szCs w:val="24"/>
        </w:rPr>
        <w:t xml:space="preserve">can be </w:t>
      </w:r>
      <w:r w:rsidRPr="00A14107">
        <w:rPr>
          <w:rFonts w:ascii="Times New Roman" w:hAnsi="Times New Roman" w:cs="Times New Roman"/>
          <w:noProof/>
          <w:sz w:val="24"/>
          <w:szCs w:val="24"/>
        </w:rPr>
        <w:t>monitored. 2-BTP is likely to be produced in larger quantities in the future as an alternative to halons. PCE is used in high volumes in the EU (between 100.000 – 1.000.000 metric tonnes according to REACH registration). DCM is of concern as it accounts for the majority of the rise in total chlorine in the atmosphere from very-short lived substances (VSLS).</w:t>
      </w:r>
      <w:r w:rsidRPr="00A14107">
        <w:rPr>
          <w:noProof/>
          <w:sz w:val="24"/>
          <w:szCs w:val="24"/>
          <w:vertAlign w:val="superscript"/>
        </w:rPr>
        <w:footnoteReference w:id="56"/>
      </w:r>
      <w:r w:rsidRPr="00A14107">
        <w:rPr>
          <w:rFonts w:ascii="Times New Roman" w:hAnsi="Times New Roman" w:cs="Times New Roman"/>
          <w:b/>
          <w:noProof/>
        </w:rPr>
        <w:t xml:space="preserve"> </w:t>
      </w:r>
      <w:r w:rsidRPr="00A14107">
        <w:rPr>
          <w:rFonts w:ascii="Times New Roman" w:hAnsi="Times New Roman" w:cs="Times New Roman"/>
          <w:noProof/>
          <w:sz w:val="24"/>
          <w:szCs w:val="24"/>
        </w:rPr>
        <w:t xml:space="preserve">From </w:t>
      </w:r>
      <w:r w:rsidR="009C3DE1">
        <w:rPr>
          <w:rFonts w:ascii="Times New Roman" w:hAnsi="Times New Roman" w:cs="Times New Roman"/>
          <w:noProof/>
          <w:sz w:val="24"/>
          <w:szCs w:val="24"/>
        </w:rPr>
        <w:t xml:space="preserve">the </w:t>
      </w:r>
      <w:r w:rsidR="00D92630" w:rsidRPr="009C3DE1">
        <w:rPr>
          <w:rFonts w:ascii="Times New Roman" w:hAnsi="Times New Roman" w:cs="Times New Roman"/>
          <w:noProof/>
          <w:sz w:val="24"/>
          <w:szCs w:val="24"/>
        </w:rPr>
        <w:t>European Pollutant Release and Transfer Register</w:t>
      </w:r>
      <w:r w:rsidR="00D92630" w:rsidRPr="00A14107">
        <w:rPr>
          <w:rFonts w:ascii="Times New Roman" w:hAnsi="Times New Roman" w:cs="Times New Roman"/>
          <w:noProof/>
          <w:sz w:val="24"/>
          <w:szCs w:val="24"/>
        </w:rPr>
        <w:t xml:space="preserve"> </w:t>
      </w:r>
      <w:r w:rsidR="00D92630">
        <w:rPr>
          <w:rFonts w:ascii="Times New Roman" w:hAnsi="Times New Roman" w:cs="Times New Roman"/>
          <w:noProof/>
          <w:sz w:val="24"/>
          <w:szCs w:val="24"/>
        </w:rPr>
        <w:t>(</w:t>
      </w:r>
      <w:r w:rsidRPr="00A14107">
        <w:rPr>
          <w:rFonts w:ascii="Times New Roman" w:hAnsi="Times New Roman" w:cs="Times New Roman"/>
          <w:noProof/>
          <w:sz w:val="24"/>
          <w:szCs w:val="24"/>
        </w:rPr>
        <w:t>E-PRTR</w:t>
      </w:r>
      <w:r w:rsidR="00D92630">
        <w:rPr>
          <w:rFonts w:ascii="Times New Roman" w:hAnsi="Times New Roman" w:cs="Times New Roman"/>
          <w:noProof/>
          <w:sz w:val="24"/>
          <w:szCs w:val="24"/>
        </w:rPr>
        <w:t>)</w:t>
      </w:r>
      <w:r w:rsidRPr="00A14107">
        <w:rPr>
          <w:noProof/>
          <w:sz w:val="24"/>
          <w:szCs w:val="24"/>
          <w:vertAlign w:val="superscript"/>
        </w:rPr>
        <w:footnoteReference w:id="57"/>
      </w:r>
      <w:r w:rsidRPr="00A14107">
        <w:rPr>
          <w:rFonts w:ascii="Times New Roman" w:hAnsi="Times New Roman" w:cs="Times New Roman"/>
          <w:noProof/>
          <w:sz w:val="24"/>
          <w:szCs w:val="24"/>
        </w:rPr>
        <w:t xml:space="preserve"> data it appears that emissions of DCM may be 31 tODP per year.</w:t>
      </w:r>
      <w:r w:rsidRPr="00A14107">
        <w:rPr>
          <w:rFonts w:ascii="Times New Roman" w:hAnsi="Times New Roman" w:cs="Times New Roman"/>
          <w:noProof/>
          <w:sz w:val="24"/>
          <w:szCs w:val="24"/>
          <w:vertAlign w:val="superscript"/>
        </w:rPr>
        <w:footnoteReference w:id="58"/>
      </w:r>
      <w:r w:rsidRPr="00A14107">
        <w:rPr>
          <w:rFonts w:ascii="Times New Roman" w:hAnsi="Times New Roman" w:cs="Times New Roman"/>
          <w:noProof/>
          <w:sz w:val="24"/>
          <w:szCs w:val="24"/>
        </w:rPr>
        <w:t xml:space="preserve"> This will extend the reporting scope for affected companies. Adding the three substances requires only minor changes to the EEA’s reporting system.</w:t>
      </w:r>
    </w:p>
    <w:p w14:paraId="5CCC3FE2" w14:textId="592A2B45" w:rsidR="00A14107" w:rsidRPr="001D68A6" w:rsidRDefault="00896FDA" w:rsidP="00896FDA">
      <w:pPr>
        <w:pStyle w:val="Heading3"/>
        <w:rPr>
          <w:noProof/>
        </w:rPr>
      </w:pPr>
      <w:bookmarkStart w:id="143" w:name="_Toc71559412"/>
      <w:bookmarkStart w:id="144" w:name="_Toc71707017"/>
      <w:bookmarkStart w:id="145" w:name="_Toc71708227"/>
      <w:bookmarkStart w:id="146" w:name="_Toc71710959"/>
      <w:bookmarkStart w:id="147" w:name="_Toc72399361"/>
      <w:bookmarkStart w:id="148" w:name="_Toc93511473"/>
      <w:r w:rsidRPr="00896FDA">
        <w:t>5.2.4.</w:t>
      </w:r>
      <w:r w:rsidRPr="00896FDA">
        <w:tab/>
      </w:r>
      <w:r w:rsidR="00E670D0">
        <w:rPr>
          <w:noProof/>
        </w:rPr>
        <w:t>Review objective D</w:t>
      </w:r>
      <w:r w:rsidR="002D0C7F">
        <w:rPr>
          <w:noProof/>
        </w:rPr>
        <w:t>: Improve</w:t>
      </w:r>
      <w:r w:rsidR="00A14107" w:rsidRPr="001D68A6">
        <w:rPr>
          <w:noProof/>
        </w:rPr>
        <w:t xml:space="preserve"> coherence</w:t>
      </w:r>
      <w:bookmarkEnd w:id="143"/>
      <w:bookmarkEnd w:id="144"/>
      <w:bookmarkEnd w:id="145"/>
      <w:bookmarkEnd w:id="146"/>
      <w:bookmarkEnd w:id="147"/>
      <w:bookmarkEnd w:id="148"/>
    </w:p>
    <w:p w14:paraId="22BBA6C8" w14:textId="77777777" w:rsidR="00A14107" w:rsidRPr="00A14107" w:rsidRDefault="00A14107" w:rsidP="0013653E">
      <w:pPr>
        <w:spacing w:after="120"/>
        <w:jc w:val="both"/>
        <w:rPr>
          <w:rFonts w:ascii="Times New Roman" w:hAnsi="Times New Roman" w:cs="Times New Roman"/>
          <w:i/>
          <w:noProof/>
          <w:sz w:val="24"/>
          <w:szCs w:val="24"/>
        </w:rPr>
      </w:pPr>
      <w:r w:rsidRPr="00A14107">
        <w:rPr>
          <w:rFonts w:ascii="Times New Roman" w:hAnsi="Times New Roman" w:cs="Times New Roman"/>
          <w:noProof/>
          <w:sz w:val="24"/>
          <w:szCs w:val="24"/>
        </w:rPr>
        <w:t>Many of the suggestions to ensure better coherence and clarification have been provided by stakeholders in the context of the evaluation and in the context of the consultation activities for this review. Two thirds of the respondents to the open public consultation f</w:t>
      </w:r>
      <w:r w:rsidR="00A90F45">
        <w:rPr>
          <w:rFonts w:ascii="Times New Roman" w:hAnsi="Times New Roman" w:cs="Times New Roman"/>
          <w:noProof/>
          <w:sz w:val="24"/>
          <w:szCs w:val="24"/>
        </w:rPr>
        <w:t>ound</w:t>
      </w:r>
      <w:r w:rsidRPr="00A14107">
        <w:rPr>
          <w:rFonts w:ascii="Times New Roman" w:hAnsi="Times New Roman" w:cs="Times New Roman"/>
          <w:noProof/>
          <w:sz w:val="24"/>
          <w:szCs w:val="24"/>
        </w:rPr>
        <w:t xml:space="preserve"> it (very) important to ensure a clearer and more accessible legal text of the Regulation.</w:t>
      </w:r>
    </w:p>
    <w:p w14:paraId="13FA0CCB" w14:textId="77777777" w:rsidR="00A14107" w:rsidRPr="00A14107" w:rsidRDefault="00A14107" w:rsidP="00B0633B">
      <w:pPr>
        <w:spacing w:after="120"/>
        <w:rPr>
          <w:rFonts w:ascii="Times New Roman" w:hAnsi="Times New Roman" w:cs="Times New Roman"/>
          <w:i/>
          <w:noProof/>
          <w:sz w:val="24"/>
          <w:szCs w:val="24"/>
        </w:rPr>
      </w:pPr>
      <w:r w:rsidRPr="00A14107">
        <w:rPr>
          <w:rFonts w:ascii="Times New Roman" w:hAnsi="Times New Roman" w:cs="Times New Roman"/>
          <w:i/>
          <w:noProof/>
          <w:sz w:val="24"/>
          <w:szCs w:val="24"/>
        </w:rPr>
        <w:t>Alignment with the Montreal Protocol</w:t>
      </w:r>
    </w:p>
    <w:p w14:paraId="7AC97BD1" w14:textId="77777777" w:rsidR="00A14107" w:rsidRPr="00A14107" w:rsidRDefault="00A14107" w:rsidP="001D5A0B">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D1. Update Annex VII on destruction technologies on the basis of Decision XXX/6 of the Protocol.</w:t>
      </w:r>
    </w:p>
    <w:p w14:paraId="1EA00A59" w14:textId="77777777" w:rsidR="00A14107" w:rsidRPr="00A14107" w:rsidRDefault="00A14107" w:rsidP="00CD5A30">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Regulation needs to be updated in line with international requirements</w:t>
      </w:r>
      <w:r w:rsidR="00B0633B">
        <w:rPr>
          <w:rFonts w:ascii="Times New Roman" w:hAnsi="Times New Roman" w:cs="Times New Roman"/>
          <w:noProof/>
          <w:sz w:val="24"/>
          <w:szCs w:val="24"/>
        </w:rPr>
        <w:t>, updating</w:t>
      </w:r>
      <w:r w:rsidRPr="00A14107">
        <w:rPr>
          <w:rFonts w:ascii="Times New Roman" w:hAnsi="Times New Roman" w:cs="Times New Roman"/>
          <w:noProof/>
          <w:sz w:val="24"/>
          <w:szCs w:val="24"/>
        </w:rPr>
        <w:t xml:space="preserve"> </w:t>
      </w:r>
      <w:r w:rsidR="00B0633B">
        <w:rPr>
          <w:rFonts w:ascii="Times New Roman" w:hAnsi="Times New Roman" w:cs="Times New Roman"/>
          <w:noProof/>
          <w:sz w:val="24"/>
          <w:szCs w:val="24"/>
        </w:rPr>
        <w:t>t</w:t>
      </w:r>
      <w:r w:rsidRPr="00A14107">
        <w:rPr>
          <w:rFonts w:ascii="Times New Roman" w:hAnsi="Times New Roman" w:cs="Times New Roman"/>
          <w:noProof/>
          <w:sz w:val="24"/>
          <w:szCs w:val="24"/>
        </w:rPr>
        <w:t>he list of acceptable destruction technologies for different ODS groups. This affects destruction companies and requires oversight by authorities.</w:t>
      </w:r>
      <w:r w:rsidR="00CD5A30" w:rsidRPr="00CD5A30">
        <w:rPr>
          <w:rFonts w:ascii="Times New Roman" w:hAnsi="Times New Roman" w:cs="Times New Roman"/>
          <w:noProof/>
          <w:sz w:val="24"/>
          <w:szCs w:val="24"/>
        </w:rPr>
        <w:t xml:space="preserve"> All approved technologies by Protocol parties will be allowed, while the Commission retains an empowerment to regulate otherwise.</w:t>
      </w:r>
    </w:p>
    <w:p w14:paraId="7CB9B0E6" w14:textId="77777777" w:rsidR="00A14107" w:rsidRPr="00A14107" w:rsidRDefault="00A14107" w:rsidP="007E5BD2">
      <w:pPr>
        <w:keepNext/>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D2. Adjust process agent use and emission limits on basis of the Decision XXXI/6 of the Protocol.</w:t>
      </w:r>
    </w:p>
    <w:p w14:paraId="7AC46D13" w14:textId="77777777" w:rsid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Regulation needs to be updated in line with international requirements</w:t>
      </w:r>
      <w:r w:rsidR="00B0633B">
        <w:rPr>
          <w:rFonts w:ascii="Times New Roman" w:hAnsi="Times New Roman" w:cs="Times New Roman"/>
          <w:noProof/>
          <w:sz w:val="24"/>
          <w:szCs w:val="24"/>
        </w:rPr>
        <w:t xml:space="preserve">, </w:t>
      </w:r>
      <w:r w:rsidR="00A90F45">
        <w:rPr>
          <w:rFonts w:ascii="Times New Roman" w:hAnsi="Times New Roman" w:cs="Times New Roman"/>
          <w:noProof/>
          <w:sz w:val="24"/>
          <w:szCs w:val="24"/>
        </w:rPr>
        <w:t xml:space="preserve">further </w:t>
      </w:r>
      <w:r w:rsidR="00B0633B">
        <w:rPr>
          <w:rFonts w:ascii="Times New Roman" w:hAnsi="Times New Roman" w:cs="Times New Roman"/>
          <w:noProof/>
          <w:sz w:val="24"/>
          <w:szCs w:val="24"/>
        </w:rPr>
        <w:t>restricting t</w:t>
      </w:r>
      <w:r w:rsidRPr="00A14107">
        <w:rPr>
          <w:rFonts w:ascii="Times New Roman" w:hAnsi="Times New Roman" w:cs="Times New Roman"/>
          <w:noProof/>
          <w:sz w:val="24"/>
          <w:szCs w:val="24"/>
        </w:rPr>
        <w:t>he list of uses where ODS can be employed as process agents and related maximum limits</w:t>
      </w:r>
      <w:r w:rsidR="00A90F45">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Actual use and emissions </w:t>
      </w:r>
      <w:r w:rsidR="00B0633B">
        <w:rPr>
          <w:rFonts w:ascii="Times New Roman" w:hAnsi="Times New Roman" w:cs="Times New Roman"/>
          <w:noProof/>
          <w:sz w:val="24"/>
          <w:szCs w:val="24"/>
        </w:rPr>
        <w:t xml:space="preserve">process agent uses </w:t>
      </w:r>
      <w:r w:rsidRPr="00A14107">
        <w:rPr>
          <w:rFonts w:ascii="Times New Roman" w:hAnsi="Times New Roman" w:cs="Times New Roman"/>
          <w:noProof/>
          <w:sz w:val="24"/>
          <w:szCs w:val="24"/>
        </w:rPr>
        <w:t>are already in line with these new limits.</w:t>
      </w:r>
    </w:p>
    <w:p w14:paraId="5C99661D" w14:textId="77777777" w:rsidR="0042256F" w:rsidRPr="0042256F" w:rsidRDefault="0042256F" w:rsidP="006578FA">
      <w:pPr>
        <w:spacing w:after="120"/>
        <w:jc w:val="both"/>
        <w:rPr>
          <w:rFonts w:ascii="Times New Roman" w:hAnsi="Times New Roman" w:cs="Times New Roman"/>
          <w:i/>
          <w:noProof/>
          <w:sz w:val="24"/>
          <w:szCs w:val="24"/>
        </w:rPr>
      </w:pPr>
      <w:r w:rsidRPr="0042256F">
        <w:rPr>
          <w:rFonts w:ascii="Times New Roman" w:hAnsi="Times New Roman" w:cs="Times New Roman"/>
          <w:i/>
          <w:noProof/>
          <w:sz w:val="24"/>
          <w:szCs w:val="24"/>
        </w:rPr>
        <w:t>Alignment with comitology rules</w:t>
      </w:r>
    </w:p>
    <w:p w14:paraId="03EF5C40" w14:textId="77777777" w:rsidR="00A14107" w:rsidRPr="00A14107"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D3. Adjust the Regulation to new rules on comitology and delegated acts</w:t>
      </w:r>
    </w:p>
    <w:p w14:paraId="10B2C471"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Regulation should be aligned with the new comitology rules envisaged under Regulation (EU) 182/2011. The Regulation still includes references to the possibility to update and adopt changes to the Regulation by using the outdated ‘regulatory procedure with scrutiny’. It remains important that the Regulation empowers the Commission, where appropriate under Article 290 of </w:t>
      </w:r>
      <w:r w:rsidR="00A90F45">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 xml:space="preserve">TFEU to adjust or complement the rules of the Regulation quickly, taking into account international developments and/or to account for (lack of) progress on alternatives. </w:t>
      </w:r>
    </w:p>
    <w:p w14:paraId="3526D794" w14:textId="77777777" w:rsidR="00A14107" w:rsidRPr="00A14107" w:rsidRDefault="00A14107" w:rsidP="0013653E">
      <w:pPr>
        <w:keepNext/>
        <w:spacing w:after="120"/>
        <w:rPr>
          <w:rFonts w:ascii="Times New Roman" w:hAnsi="Times New Roman" w:cs="Times New Roman"/>
          <w:i/>
          <w:noProof/>
          <w:sz w:val="24"/>
          <w:szCs w:val="24"/>
        </w:rPr>
      </w:pPr>
      <w:r w:rsidRPr="00A14107">
        <w:rPr>
          <w:rFonts w:ascii="Times New Roman" w:hAnsi="Times New Roman" w:cs="Times New Roman"/>
          <w:i/>
          <w:noProof/>
          <w:sz w:val="24"/>
          <w:szCs w:val="24"/>
        </w:rPr>
        <w:t>Alignment with customs law terminology and procedures</w:t>
      </w:r>
    </w:p>
    <w:p w14:paraId="2E2908E8" w14:textId="77777777" w:rsidR="00A14107" w:rsidRPr="00A14107" w:rsidRDefault="00A14107" w:rsidP="00B0633B">
      <w:pPr>
        <w:keepNext/>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 xml:space="preserve">D4.  Require </w:t>
      </w:r>
      <w:r w:rsidR="00A90F45">
        <w:rPr>
          <w:rFonts w:ascii="Times New Roman" w:hAnsi="Times New Roman" w:cs="Times New Roman"/>
          <w:b/>
          <w:noProof/>
          <w:sz w:val="24"/>
          <w:szCs w:val="24"/>
        </w:rPr>
        <w:t>the addition of</w:t>
      </w:r>
      <w:r w:rsidR="00A90F45" w:rsidRPr="00A14107">
        <w:rPr>
          <w:rFonts w:ascii="Times New Roman" w:hAnsi="Times New Roman" w:cs="Times New Roman"/>
          <w:b/>
          <w:noProof/>
          <w:sz w:val="24"/>
          <w:szCs w:val="24"/>
        </w:rPr>
        <w:t xml:space="preserve"> </w:t>
      </w:r>
      <w:r w:rsidRPr="00A14107">
        <w:rPr>
          <w:rFonts w:ascii="Times New Roman" w:hAnsi="Times New Roman" w:cs="Times New Roman"/>
          <w:b/>
          <w:noProof/>
          <w:sz w:val="24"/>
          <w:szCs w:val="24"/>
        </w:rPr>
        <w:t xml:space="preserve">net mass (and operator’s ID) to customs declaration (in view of </w:t>
      </w:r>
      <w:r w:rsidR="00A90F45">
        <w:rPr>
          <w:rFonts w:ascii="Times New Roman" w:hAnsi="Times New Roman" w:cs="Times New Roman"/>
          <w:b/>
          <w:noProof/>
          <w:sz w:val="24"/>
          <w:szCs w:val="24"/>
        </w:rPr>
        <w:t xml:space="preserve">the </w:t>
      </w:r>
      <w:r w:rsidRPr="00A14107">
        <w:rPr>
          <w:rFonts w:ascii="Times New Roman" w:hAnsi="Times New Roman" w:cs="Times New Roman"/>
          <w:b/>
          <w:noProof/>
          <w:sz w:val="24"/>
          <w:szCs w:val="24"/>
        </w:rPr>
        <w:t>EU Single Window Environment for Customs)</w:t>
      </w:r>
    </w:p>
    <w:p w14:paraId="77477256"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This </w:t>
      </w:r>
      <w:r w:rsidR="00A90F45">
        <w:rPr>
          <w:rFonts w:ascii="Times New Roman" w:hAnsi="Times New Roman" w:cs="Times New Roman"/>
          <w:noProof/>
          <w:sz w:val="24"/>
          <w:szCs w:val="24"/>
        </w:rPr>
        <w:t xml:space="preserve">would </w:t>
      </w:r>
      <w:r w:rsidRPr="00A14107">
        <w:rPr>
          <w:rFonts w:ascii="Times New Roman" w:hAnsi="Times New Roman" w:cs="Times New Roman"/>
          <w:noProof/>
          <w:sz w:val="24"/>
          <w:szCs w:val="24"/>
        </w:rPr>
        <w:t xml:space="preserve">allow full functionality of the Single Window by allowing for </w:t>
      </w:r>
      <w:r w:rsidR="00B50432">
        <w:rPr>
          <w:rFonts w:ascii="Times New Roman" w:hAnsi="Times New Roman" w:cs="Times New Roman"/>
          <w:noProof/>
          <w:sz w:val="24"/>
          <w:szCs w:val="24"/>
        </w:rPr>
        <w:t xml:space="preserve">automatic </w:t>
      </w:r>
      <w:r w:rsidRPr="00A14107">
        <w:rPr>
          <w:rFonts w:ascii="Times New Roman" w:hAnsi="Times New Roman" w:cs="Times New Roman"/>
          <w:noProof/>
          <w:sz w:val="24"/>
          <w:szCs w:val="24"/>
        </w:rPr>
        <w:t xml:space="preserve">quantity management </w:t>
      </w:r>
      <w:r w:rsidR="00B50432">
        <w:rPr>
          <w:rFonts w:ascii="Times New Roman" w:hAnsi="Times New Roman" w:cs="Times New Roman"/>
          <w:noProof/>
          <w:sz w:val="24"/>
          <w:szCs w:val="24"/>
        </w:rPr>
        <w:t xml:space="preserve">of imported ODS </w:t>
      </w:r>
      <w:r w:rsidRPr="00A14107">
        <w:rPr>
          <w:rFonts w:ascii="Times New Roman" w:hAnsi="Times New Roman" w:cs="Times New Roman"/>
          <w:noProof/>
          <w:sz w:val="24"/>
          <w:szCs w:val="24"/>
        </w:rPr>
        <w:t xml:space="preserve">and </w:t>
      </w:r>
      <w:r w:rsidR="00B50432">
        <w:rPr>
          <w:rFonts w:ascii="Times New Roman" w:hAnsi="Times New Roman" w:cs="Times New Roman"/>
          <w:noProof/>
          <w:sz w:val="24"/>
          <w:szCs w:val="24"/>
        </w:rPr>
        <w:t>two</w:t>
      </w:r>
      <w:r w:rsidRPr="00A14107">
        <w:rPr>
          <w:rFonts w:ascii="Times New Roman" w:hAnsi="Times New Roman" w:cs="Times New Roman"/>
          <w:noProof/>
          <w:sz w:val="24"/>
          <w:szCs w:val="24"/>
        </w:rPr>
        <w:t xml:space="preserve">-way identification of </w:t>
      </w:r>
      <w:r w:rsidR="00B50432">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 xml:space="preserve">economic operator. It requires the importer to provide this information in the customs documents. </w:t>
      </w:r>
    </w:p>
    <w:p w14:paraId="0AFA4714" w14:textId="77777777" w:rsidR="00A14107" w:rsidRPr="006640EC" w:rsidRDefault="00A14107" w:rsidP="0013653E">
      <w:pPr>
        <w:spacing w:after="120"/>
        <w:rPr>
          <w:rFonts w:ascii="Times New Roman" w:hAnsi="Times New Roman" w:cs="Times New Roman"/>
          <w:b/>
          <w:noProof/>
          <w:sz w:val="24"/>
          <w:szCs w:val="24"/>
        </w:rPr>
      </w:pPr>
      <w:r w:rsidRPr="00A14107">
        <w:rPr>
          <w:rFonts w:ascii="Times New Roman" w:hAnsi="Times New Roman" w:cs="Times New Roman"/>
          <w:b/>
          <w:noProof/>
          <w:sz w:val="24"/>
          <w:szCs w:val="24"/>
        </w:rPr>
        <w:t xml:space="preserve">D5.  </w:t>
      </w:r>
      <w:r w:rsidRPr="006640EC">
        <w:rPr>
          <w:rFonts w:ascii="Times New Roman" w:hAnsi="Times New Roman" w:cs="Times New Roman"/>
          <w:b/>
          <w:noProof/>
          <w:sz w:val="24"/>
          <w:szCs w:val="24"/>
        </w:rPr>
        <w:t>Remove Annex IV (CN codes)</w:t>
      </w:r>
    </w:p>
    <w:p w14:paraId="3E858B3B"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As CN codes are adjustable in the TARIC code, this annex needs to be updated frequently to avoid being outdated. Thus removing the Annex </w:t>
      </w:r>
      <w:r w:rsidR="00393552">
        <w:rPr>
          <w:rFonts w:ascii="Times New Roman" w:hAnsi="Times New Roman" w:cs="Times New Roman"/>
          <w:noProof/>
          <w:sz w:val="24"/>
          <w:szCs w:val="24"/>
        </w:rPr>
        <w:t xml:space="preserve">will </w:t>
      </w:r>
      <w:r w:rsidRPr="00A14107">
        <w:rPr>
          <w:rFonts w:ascii="Times New Roman" w:hAnsi="Times New Roman" w:cs="Times New Roman"/>
          <w:noProof/>
          <w:sz w:val="24"/>
          <w:szCs w:val="24"/>
        </w:rPr>
        <w:t>prevent inconsistencies and unnecessary procedures to change the Regulation.</w:t>
      </w:r>
    </w:p>
    <w:p w14:paraId="243B1C6B" w14:textId="77777777" w:rsidR="00A14107" w:rsidRPr="00A14107" w:rsidRDefault="00CD5A30" w:rsidP="0013653E">
      <w:pPr>
        <w:spacing w:after="120"/>
        <w:rPr>
          <w:rFonts w:ascii="Times New Roman" w:hAnsi="Times New Roman" w:cs="Times New Roman"/>
          <w:b/>
          <w:bCs/>
          <w:noProof/>
          <w:sz w:val="24"/>
          <w:szCs w:val="24"/>
        </w:rPr>
      </w:pPr>
      <w:r>
        <w:rPr>
          <w:rFonts w:ascii="Times New Roman" w:hAnsi="Times New Roman" w:cs="Times New Roman"/>
          <w:b/>
          <w:bCs/>
          <w:noProof/>
          <w:sz w:val="24"/>
          <w:szCs w:val="24"/>
        </w:rPr>
        <w:t>D6</w:t>
      </w:r>
      <w:r w:rsidR="00A14107" w:rsidRPr="00A14107">
        <w:rPr>
          <w:rFonts w:ascii="Times New Roman" w:hAnsi="Times New Roman" w:cs="Times New Roman"/>
          <w:b/>
          <w:bCs/>
          <w:noProof/>
          <w:sz w:val="24"/>
          <w:szCs w:val="24"/>
        </w:rPr>
        <w:t xml:space="preserve">.  </w:t>
      </w:r>
      <w:r w:rsidR="00393552">
        <w:rPr>
          <w:rFonts w:ascii="Times New Roman" w:hAnsi="Times New Roman" w:cs="Times New Roman"/>
          <w:b/>
          <w:bCs/>
          <w:noProof/>
          <w:sz w:val="24"/>
          <w:szCs w:val="24"/>
        </w:rPr>
        <w:t>C</w:t>
      </w:r>
      <w:r w:rsidR="00393552" w:rsidRPr="00A14107">
        <w:rPr>
          <w:rFonts w:ascii="Times New Roman" w:hAnsi="Times New Roman" w:cs="Times New Roman"/>
          <w:b/>
          <w:bCs/>
          <w:noProof/>
          <w:sz w:val="24"/>
          <w:szCs w:val="24"/>
        </w:rPr>
        <w:t xml:space="preserve">learly </w:t>
      </w:r>
      <w:r w:rsidR="00393552">
        <w:rPr>
          <w:rFonts w:ascii="Times New Roman" w:hAnsi="Times New Roman" w:cs="Times New Roman"/>
          <w:b/>
          <w:bCs/>
          <w:noProof/>
          <w:sz w:val="24"/>
          <w:szCs w:val="24"/>
        </w:rPr>
        <w:t>s</w:t>
      </w:r>
      <w:r w:rsidR="00A14107" w:rsidRPr="00A14107">
        <w:rPr>
          <w:rFonts w:ascii="Times New Roman" w:hAnsi="Times New Roman" w:cs="Times New Roman"/>
          <w:b/>
          <w:bCs/>
          <w:noProof/>
          <w:sz w:val="24"/>
          <w:szCs w:val="24"/>
        </w:rPr>
        <w:t>pell out obligations of customs and economic operators</w:t>
      </w:r>
    </w:p>
    <w:p w14:paraId="0ABE0160" w14:textId="77777777" w:rsidR="00A14107" w:rsidRPr="00A14107" w:rsidRDefault="006640EC" w:rsidP="006578FA">
      <w:pPr>
        <w:spacing w:after="120"/>
        <w:jc w:val="both"/>
        <w:rPr>
          <w:rFonts w:ascii="Times New Roman" w:hAnsi="Times New Roman" w:cs="Times New Roman"/>
          <w:noProof/>
          <w:sz w:val="24"/>
          <w:szCs w:val="24"/>
        </w:rPr>
      </w:pPr>
      <w:r>
        <w:rPr>
          <w:rFonts w:ascii="Times New Roman" w:hAnsi="Times New Roman" w:cs="Times New Roman"/>
          <w:noProof/>
          <w:sz w:val="24"/>
          <w:szCs w:val="24"/>
        </w:rPr>
        <w:t>The</w:t>
      </w:r>
      <w:r w:rsidR="00A14107" w:rsidRPr="00A14107">
        <w:rPr>
          <w:rFonts w:ascii="Times New Roman" w:hAnsi="Times New Roman" w:cs="Times New Roman"/>
          <w:noProof/>
          <w:sz w:val="24"/>
          <w:szCs w:val="24"/>
          <w:lang w:val="en-US"/>
        </w:rPr>
        <w:t xml:space="preserve"> role of customs </w:t>
      </w:r>
      <w:r>
        <w:rPr>
          <w:rFonts w:ascii="Times New Roman" w:hAnsi="Times New Roman" w:cs="Times New Roman"/>
          <w:noProof/>
          <w:sz w:val="24"/>
          <w:szCs w:val="24"/>
          <w:lang w:val="en-US"/>
        </w:rPr>
        <w:t xml:space="preserve">is clarified </w:t>
      </w:r>
      <w:r w:rsidR="00A14107" w:rsidRPr="00A14107">
        <w:rPr>
          <w:rFonts w:ascii="Times New Roman" w:hAnsi="Times New Roman" w:cs="Times New Roman"/>
          <w:noProof/>
          <w:sz w:val="24"/>
          <w:szCs w:val="24"/>
          <w:lang w:val="en-US"/>
        </w:rPr>
        <w:t xml:space="preserve">by naming the customs procedures </w:t>
      </w:r>
      <w:r>
        <w:rPr>
          <w:rFonts w:ascii="Times New Roman" w:hAnsi="Times New Roman" w:cs="Times New Roman"/>
          <w:noProof/>
          <w:sz w:val="24"/>
          <w:szCs w:val="24"/>
          <w:lang w:val="en-US"/>
        </w:rPr>
        <w:t>subjected to envisaged measures,</w:t>
      </w:r>
      <w:r w:rsidR="00A14107" w:rsidRPr="00A14107">
        <w:rPr>
          <w:rFonts w:ascii="Times New Roman" w:hAnsi="Times New Roman" w:cs="Times New Roman"/>
          <w:noProof/>
          <w:sz w:val="24"/>
          <w:szCs w:val="24"/>
          <w:lang w:val="en-US"/>
        </w:rPr>
        <w:t xml:space="preserve"> the existence of certificates to be checked, as well as their content on a risk basis. Customs </w:t>
      </w:r>
      <w:r>
        <w:rPr>
          <w:rFonts w:ascii="Times New Roman" w:hAnsi="Times New Roman" w:cs="Times New Roman"/>
          <w:noProof/>
          <w:sz w:val="24"/>
          <w:szCs w:val="24"/>
          <w:lang w:val="en-US"/>
        </w:rPr>
        <w:t>should</w:t>
      </w:r>
      <w:r w:rsidR="00A90F45" w:rsidRPr="00A14107">
        <w:rPr>
          <w:rFonts w:ascii="Times New Roman" w:hAnsi="Times New Roman" w:cs="Times New Roman"/>
          <w:noProof/>
          <w:sz w:val="24"/>
          <w:szCs w:val="24"/>
          <w:lang w:val="en-US"/>
        </w:rPr>
        <w:t xml:space="preserve"> </w:t>
      </w:r>
      <w:r w:rsidR="00A14107" w:rsidRPr="00A14107">
        <w:rPr>
          <w:rFonts w:ascii="Times New Roman" w:hAnsi="Times New Roman" w:cs="Times New Roman"/>
          <w:noProof/>
          <w:sz w:val="24"/>
          <w:szCs w:val="24"/>
          <w:lang w:val="en-US"/>
        </w:rPr>
        <w:t>confiscate the illegal goods and dispose of them as appropriate</w:t>
      </w:r>
      <w:r w:rsidR="00CD5A30" w:rsidRPr="00CD5A30">
        <w:rPr>
          <w:rFonts w:ascii="Times New Roman" w:hAnsi="Times New Roman" w:cs="Times New Roman"/>
          <w:noProof/>
          <w:sz w:val="24"/>
          <w:szCs w:val="24"/>
          <w:lang w:val="en-US"/>
        </w:rPr>
        <w:t xml:space="preserve"> </w:t>
      </w:r>
      <w:r w:rsidR="00CD5A30">
        <w:rPr>
          <w:rFonts w:ascii="Times New Roman" w:hAnsi="Times New Roman" w:cs="Times New Roman"/>
          <w:noProof/>
          <w:sz w:val="24"/>
          <w:szCs w:val="24"/>
          <w:lang w:val="en-US"/>
        </w:rPr>
        <w:t>and re-export should not be allowed</w:t>
      </w:r>
      <w:r w:rsidR="00CD5A30" w:rsidRPr="00A14107">
        <w:rPr>
          <w:rFonts w:ascii="Times New Roman" w:hAnsi="Times New Roman" w:cs="Times New Roman"/>
          <w:noProof/>
          <w:sz w:val="24"/>
          <w:szCs w:val="24"/>
          <w:lang w:val="en-US"/>
        </w:rPr>
        <w:t>.</w:t>
      </w:r>
      <w:r w:rsidR="00A14107" w:rsidRPr="00A14107">
        <w:rPr>
          <w:rFonts w:ascii="Times New Roman" w:hAnsi="Times New Roman" w:cs="Times New Roman"/>
          <w:noProof/>
          <w:sz w:val="24"/>
          <w:szCs w:val="24"/>
          <w:lang w:val="en-US"/>
        </w:rPr>
        <w:t xml:space="preserve"> These measures will </w:t>
      </w:r>
      <w:r w:rsidR="00A14107" w:rsidRPr="00A14107">
        <w:rPr>
          <w:rFonts w:ascii="Times New Roman" w:hAnsi="Times New Roman" w:cs="Times New Roman"/>
          <w:noProof/>
          <w:sz w:val="24"/>
          <w:szCs w:val="24"/>
        </w:rPr>
        <w:t>facilitate a more uniform enforcement by customs and competent authorities.</w:t>
      </w:r>
    </w:p>
    <w:p w14:paraId="364784CF" w14:textId="77777777" w:rsidR="00E34DAA" w:rsidRPr="00A14107" w:rsidRDefault="00E34DAA" w:rsidP="00E34DAA">
      <w:pPr>
        <w:spacing w:after="120"/>
        <w:jc w:val="both"/>
        <w:rPr>
          <w:rFonts w:ascii="Times New Roman" w:hAnsi="Times New Roman" w:cs="Times New Roman"/>
          <w:i/>
          <w:noProof/>
          <w:sz w:val="24"/>
          <w:szCs w:val="24"/>
        </w:rPr>
      </w:pPr>
      <w:r w:rsidRPr="00A14107">
        <w:rPr>
          <w:rFonts w:ascii="Times New Roman" w:hAnsi="Times New Roman" w:cs="Times New Roman"/>
          <w:i/>
          <w:noProof/>
          <w:sz w:val="24"/>
          <w:szCs w:val="24"/>
        </w:rPr>
        <w:t xml:space="preserve">Alignment with </w:t>
      </w:r>
      <w:r w:rsidRPr="00A14107">
        <w:rPr>
          <w:rFonts w:ascii="Times New Roman" w:hAnsi="Times New Roman" w:cs="Times New Roman"/>
          <w:bCs/>
          <w:i/>
          <w:noProof/>
          <w:sz w:val="24"/>
          <w:szCs w:val="24"/>
        </w:rPr>
        <w:t>Directive 2008/99/EC (Environmental crimes directive)</w:t>
      </w:r>
    </w:p>
    <w:p w14:paraId="70BED73B" w14:textId="77777777" w:rsidR="00E34DAA" w:rsidRPr="00A14107" w:rsidRDefault="00CD5A30" w:rsidP="007E5BD2">
      <w:pPr>
        <w:keepNext/>
        <w:spacing w:after="120"/>
        <w:jc w:val="both"/>
        <w:rPr>
          <w:rFonts w:ascii="Times New Roman" w:hAnsi="Times New Roman" w:cs="Times New Roman"/>
          <w:b/>
          <w:noProof/>
          <w:sz w:val="24"/>
          <w:szCs w:val="24"/>
        </w:rPr>
      </w:pPr>
      <w:r>
        <w:rPr>
          <w:rFonts w:ascii="Times New Roman" w:hAnsi="Times New Roman" w:cs="Times New Roman"/>
          <w:b/>
          <w:noProof/>
          <w:sz w:val="24"/>
          <w:szCs w:val="24"/>
        </w:rPr>
        <w:t>D7</w:t>
      </w:r>
      <w:r w:rsidR="00E34DAA" w:rsidRPr="00A14107">
        <w:rPr>
          <w:rFonts w:ascii="Times New Roman" w:hAnsi="Times New Roman" w:cs="Times New Roman"/>
          <w:b/>
          <w:noProof/>
          <w:sz w:val="24"/>
          <w:szCs w:val="24"/>
        </w:rPr>
        <w:t xml:space="preserve">. Penalties related to the protection of the environment </w:t>
      </w:r>
    </w:p>
    <w:p w14:paraId="6453F10F" w14:textId="77777777" w:rsidR="00E34DAA" w:rsidRPr="00A14107" w:rsidRDefault="00E34DAA" w:rsidP="00E34DAA">
      <w:pPr>
        <w:spacing w:after="120"/>
        <w:jc w:val="both"/>
        <w:rPr>
          <w:rFonts w:ascii="Times New Roman" w:hAnsi="Times New Roman" w:cs="Times New Roman"/>
          <w:b/>
          <w:noProof/>
          <w:sz w:val="24"/>
          <w:szCs w:val="24"/>
        </w:rPr>
      </w:pPr>
      <w:r w:rsidRPr="00A14107">
        <w:rPr>
          <w:rFonts w:ascii="Times New Roman" w:hAnsi="Times New Roman" w:cs="Times New Roman"/>
          <w:noProof/>
          <w:sz w:val="24"/>
          <w:szCs w:val="24"/>
        </w:rPr>
        <w:t>This measure is making adjustments on the current Article 29 (penalties) taking into account that</w:t>
      </w:r>
      <w:r w:rsidRPr="00A14107">
        <w:rPr>
          <w:rFonts w:ascii="Times New Roman" w:hAnsi="Times New Roman" w:cs="Times New Roman"/>
          <w:b/>
          <w:noProof/>
          <w:sz w:val="24"/>
          <w:szCs w:val="24"/>
        </w:rPr>
        <w:t xml:space="preserve"> </w:t>
      </w:r>
      <w:r w:rsidRPr="00A14107">
        <w:rPr>
          <w:rFonts w:ascii="Times New Roman" w:hAnsi="Times New Roman" w:cs="Times New Roman"/>
          <w:bCs/>
          <w:noProof/>
          <w:sz w:val="24"/>
          <w:szCs w:val="24"/>
        </w:rPr>
        <w:t xml:space="preserve">Directive 2008/99/EC on the protection of the </w:t>
      </w:r>
      <w:r w:rsidRPr="00A14107">
        <w:rPr>
          <w:rFonts w:ascii="Times New Roman" w:hAnsi="Times New Roman" w:cs="Times New Roman"/>
          <w:noProof/>
          <w:sz w:val="24"/>
          <w:szCs w:val="24"/>
        </w:rPr>
        <w:t>environment</w:t>
      </w:r>
      <w:r w:rsidRPr="00A14107">
        <w:rPr>
          <w:rFonts w:ascii="Times New Roman" w:hAnsi="Times New Roman" w:cs="Times New Roman"/>
          <w:bCs/>
          <w:noProof/>
          <w:sz w:val="24"/>
          <w:szCs w:val="24"/>
        </w:rPr>
        <w:t xml:space="preserve"> through criminal law is being </w:t>
      </w:r>
      <w:r w:rsidRPr="00A14107">
        <w:rPr>
          <w:rFonts w:ascii="Times New Roman" w:hAnsi="Times New Roman" w:cs="Times New Roman"/>
          <w:noProof/>
          <w:sz w:val="24"/>
          <w:szCs w:val="24"/>
        </w:rPr>
        <w:t>reviewed at the same time as the Regulation.</w:t>
      </w:r>
      <w:r w:rsidRPr="00A14107">
        <w:rPr>
          <w:rFonts w:ascii="Times New Roman" w:hAnsi="Times New Roman" w:cs="Times New Roman"/>
          <w:bCs/>
          <w:noProof/>
          <w:sz w:val="24"/>
          <w:szCs w:val="24"/>
        </w:rPr>
        <w:t xml:space="preserve"> </w:t>
      </w:r>
      <w:r w:rsidR="00CD5A30">
        <w:rPr>
          <w:rFonts w:ascii="Times New Roman" w:hAnsi="Times New Roman" w:cs="Times New Roman"/>
          <w:bCs/>
          <w:noProof/>
          <w:sz w:val="24"/>
          <w:szCs w:val="24"/>
        </w:rPr>
        <w:t>The Commission’s proposal was adopted recently.</w:t>
      </w:r>
      <w:r w:rsidR="00CD5A30">
        <w:rPr>
          <w:rStyle w:val="FootnoteReference"/>
          <w:rFonts w:ascii="Times New Roman" w:hAnsi="Times New Roman" w:cs="Times New Roman"/>
          <w:bCs/>
          <w:noProof/>
          <w:sz w:val="24"/>
          <w:szCs w:val="24"/>
        </w:rPr>
        <w:footnoteReference w:id="59"/>
      </w:r>
    </w:p>
    <w:p w14:paraId="0353CBC2" w14:textId="77777777" w:rsidR="00A14107" w:rsidRPr="00A14107" w:rsidRDefault="00A14107" w:rsidP="0013653E">
      <w:pPr>
        <w:keepNext/>
        <w:spacing w:after="120"/>
        <w:rPr>
          <w:rFonts w:ascii="Times New Roman" w:hAnsi="Times New Roman" w:cs="Times New Roman"/>
          <w:i/>
          <w:noProof/>
          <w:sz w:val="24"/>
          <w:szCs w:val="24"/>
        </w:rPr>
      </w:pPr>
      <w:r w:rsidRPr="00A14107">
        <w:rPr>
          <w:rFonts w:ascii="Times New Roman" w:hAnsi="Times New Roman" w:cs="Times New Roman"/>
          <w:i/>
          <w:noProof/>
          <w:sz w:val="24"/>
          <w:szCs w:val="24"/>
        </w:rPr>
        <w:t>Alignment with Regulation (EU) No 517/2014 (F-gas Regulation)</w:t>
      </w:r>
    </w:p>
    <w:p w14:paraId="40BC75E4" w14:textId="77777777" w:rsidR="00A14107" w:rsidRPr="00A14107" w:rsidRDefault="00A14107" w:rsidP="006578FA">
      <w:pPr>
        <w:spacing w:after="120"/>
        <w:jc w:val="both"/>
        <w:rPr>
          <w:rFonts w:ascii="Times New Roman" w:hAnsi="Times New Roman" w:cs="Times New Roman"/>
          <w:b/>
          <w:bCs/>
          <w:noProof/>
          <w:sz w:val="24"/>
          <w:szCs w:val="24"/>
        </w:rPr>
      </w:pPr>
      <w:r w:rsidRPr="00A14107">
        <w:rPr>
          <w:rFonts w:ascii="Times New Roman" w:hAnsi="Times New Roman" w:cs="Times New Roman"/>
          <w:b/>
          <w:bCs/>
          <w:noProof/>
          <w:sz w:val="24"/>
          <w:szCs w:val="24"/>
        </w:rPr>
        <w:t>D8. Prohibit the placing on the market of ODS (Annex I &amp; II) unless producers or importers provide evidence that trifluoromethane (HFC-23) produced as a by-product during the manufacturing process is in line with best available techniques</w:t>
      </w:r>
    </w:p>
    <w:p w14:paraId="19039050"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F-gas Regulation requires that highly climate warming HFC-23 emissions must be prevented </w:t>
      </w:r>
      <w:r w:rsidR="00B50432">
        <w:rPr>
          <w:rFonts w:ascii="Times New Roman" w:hAnsi="Times New Roman" w:cs="Times New Roman"/>
          <w:noProof/>
          <w:sz w:val="24"/>
          <w:szCs w:val="24"/>
        </w:rPr>
        <w:t>during</w:t>
      </w:r>
      <w:r w:rsidRPr="00A14107">
        <w:rPr>
          <w:rFonts w:ascii="Times New Roman" w:hAnsi="Times New Roman" w:cs="Times New Roman"/>
          <w:noProof/>
          <w:sz w:val="24"/>
          <w:szCs w:val="24"/>
        </w:rPr>
        <w:t xml:space="preserve"> the production of F-gases that are being placed on the market. For consistency</w:t>
      </w:r>
      <w:r w:rsidR="00B50432">
        <w:rPr>
          <w:rFonts w:ascii="Times New Roman" w:hAnsi="Times New Roman" w:cs="Times New Roman"/>
          <w:noProof/>
          <w:sz w:val="24"/>
          <w:szCs w:val="24"/>
        </w:rPr>
        <w:t>,</w:t>
      </w:r>
      <w:r w:rsidRPr="00A14107">
        <w:rPr>
          <w:rFonts w:ascii="Times New Roman" w:hAnsi="Times New Roman" w:cs="Times New Roman"/>
          <w:noProof/>
          <w:sz w:val="24"/>
          <w:szCs w:val="24"/>
        </w:rPr>
        <w:t xml:space="preserve"> a similar requirement should apply to ODS imported or produced in the EU. This obligation is in all likelihood already complied with by all EU producers and would mainly </w:t>
      </w:r>
      <w:r w:rsidR="00B50432">
        <w:rPr>
          <w:rFonts w:ascii="Times New Roman" w:hAnsi="Times New Roman" w:cs="Times New Roman"/>
          <w:noProof/>
          <w:sz w:val="24"/>
          <w:szCs w:val="24"/>
        </w:rPr>
        <w:t>hold</w:t>
      </w:r>
      <w:r w:rsidRPr="00A14107">
        <w:rPr>
          <w:rFonts w:ascii="Times New Roman" w:hAnsi="Times New Roman" w:cs="Times New Roman"/>
          <w:noProof/>
          <w:sz w:val="24"/>
          <w:szCs w:val="24"/>
        </w:rPr>
        <w:t xml:space="preserve"> imported ODS up to the same standard. The need to control this can be flagged in the TARIC code and it is not expected </w:t>
      </w:r>
      <w:r w:rsidR="00393552">
        <w:rPr>
          <w:rFonts w:ascii="Times New Roman" w:hAnsi="Times New Roman" w:cs="Times New Roman"/>
          <w:noProof/>
          <w:sz w:val="24"/>
          <w:szCs w:val="24"/>
        </w:rPr>
        <w:t xml:space="preserve">that it will be necessary </w:t>
      </w:r>
      <w:r w:rsidRPr="00A14107">
        <w:rPr>
          <w:rFonts w:ascii="Times New Roman" w:hAnsi="Times New Roman" w:cs="Times New Roman"/>
          <w:noProof/>
          <w:sz w:val="24"/>
          <w:szCs w:val="24"/>
        </w:rPr>
        <w:t xml:space="preserve">to </w:t>
      </w:r>
      <w:r w:rsidR="00393552" w:rsidRPr="00A14107">
        <w:rPr>
          <w:rFonts w:ascii="Times New Roman" w:hAnsi="Times New Roman" w:cs="Times New Roman"/>
          <w:noProof/>
          <w:sz w:val="24"/>
          <w:szCs w:val="24"/>
        </w:rPr>
        <w:t xml:space="preserve">substantially </w:t>
      </w:r>
      <w:r w:rsidRPr="00A14107">
        <w:rPr>
          <w:rFonts w:ascii="Times New Roman" w:hAnsi="Times New Roman" w:cs="Times New Roman"/>
          <w:noProof/>
          <w:sz w:val="24"/>
          <w:szCs w:val="24"/>
        </w:rPr>
        <w:t>increase enforcement activities for Member States.</w:t>
      </w:r>
    </w:p>
    <w:p w14:paraId="38C4076F" w14:textId="77777777" w:rsidR="00A14107" w:rsidRPr="00A14107" w:rsidRDefault="00A14107" w:rsidP="00A14107">
      <w:pPr>
        <w:rPr>
          <w:rFonts w:ascii="Times New Roman" w:hAnsi="Times New Roman" w:cs="Times New Roman"/>
          <w:noProof/>
          <w:sz w:val="24"/>
          <w:szCs w:val="24"/>
        </w:rPr>
      </w:pPr>
      <w:r w:rsidRPr="00A14107">
        <w:rPr>
          <w:rFonts w:ascii="Times New Roman" w:hAnsi="Times New Roman" w:cs="Times New Roman"/>
          <w:noProof/>
          <w:sz w:val="24"/>
          <w:szCs w:val="24"/>
        </w:rPr>
        <w:t xml:space="preserve">In addition, a number of additional clarifications are considered (see Annex 7). </w:t>
      </w:r>
    </w:p>
    <w:p w14:paraId="535DF3E8" w14:textId="0D92F0BD" w:rsidR="00A14107" w:rsidRPr="001D68A6" w:rsidRDefault="00896FDA" w:rsidP="00896FDA">
      <w:pPr>
        <w:pStyle w:val="Heading2"/>
        <w:rPr>
          <w:noProof/>
        </w:rPr>
      </w:pPr>
      <w:bookmarkStart w:id="149" w:name="_Toc71559413"/>
      <w:bookmarkStart w:id="150" w:name="_Toc71707018"/>
      <w:bookmarkStart w:id="151" w:name="_Toc71708228"/>
      <w:bookmarkStart w:id="152" w:name="_Toc71710960"/>
      <w:bookmarkStart w:id="153" w:name="_Toc72399362"/>
      <w:bookmarkStart w:id="154" w:name="_Toc93511474"/>
      <w:r w:rsidRPr="00896FDA">
        <w:t>5.3.</w:t>
      </w:r>
      <w:r w:rsidRPr="00896FDA">
        <w:tab/>
      </w:r>
      <w:r w:rsidR="00E670D0">
        <w:rPr>
          <w:noProof/>
        </w:rPr>
        <w:t>Measures</w:t>
      </w:r>
      <w:r w:rsidR="00A14107" w:rsidRPr="001D68A6">
        <w:rPr>
          <w:noProof/>
        </w:rPr>
        <w:t xml:space="preserve"> discarded at an early stage</w:t>
      </w:r>
      <w:bookmarkEnd w:id="149"/>
      <w:bookmarkEnd w:id="150"/>
      <w:bookmarkEnd w:id="151"/>
      <w:bookmarkEnd w:id="152"/>
      <w:bookmarkEnd w:id="153"/>
      <w:bookmarkEnd w:id="154"/>
    </w:p>
    <w:p w14:paraId="5662E92A" w14:textId="77777777" w:rsidR="001D68A6" w:rsidRPr="00501849" w:rsidRDefault="00A14107" w:rsidP="006578FA">
      <w:pPr>
        <w:spacing w:after="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During the stakeholder consultation exercise, a number of additional measures were proposed. Some of these were screened out early on due to a lack of feasibility (either of </w:t>
      </w:r>
      <w:r w:rsidRPr="00086935">
        <w:rPr>
          <w:rFonts w:ascii="Times New Roman" w:hAnsi="Times New Roman" w:cs="Times New Roman"/>
          <w:b/>
          <w:noProof/>
          <w:sz w:val="24"/>
          <w:szCs w:val="24"/>
        </w:rPr>
        <w:t>a technical, legal, enforcement, effectiveness and efficiency or general nature</w:t>
      </w:r>
      <w:r w:rsidRPr="00A14107">
        <w:rPr>
          <w:rFonts w:ascii="Times New Roman" w:hAnsi="Times New Roman" w:cs="Times New Roman"/>
          <w:noProof/>
          <w:sz w:val="24"/>
          <w:szCs w:val="24"/>
        </w:rPr>
        <w:t>). These options are summarised in Annex 9.</w:t>
      </w:r>
      <w:bookmarkStart w:id="155" w:name="_Toc71559414"/>
      <w:bookmarkStart w:id="156" w:name="_Toc71707043"/>
      <w:bookmarkStart w:id="157" w:name="_Toc71708229"/>
      <w:bookmarkStart w:id="158" w:name="_Toc71710961"/>
      <w:bookmarkStart w:id="159" w:name="_Toc72399363"/>
    </w:p>
    <w:p w14:paraId="2B97E0F4" w14:textId="4876B88E" w:rsidR="00A14107" w:rsidRPr="00A14107" w:rsidRDefault="00896FDA" w:rsidP="00896FDA">
      <w:pPr>
        <w:pStyle w:val="Heading1"/>
        <w:rPr>
          <w:noProof/>
        </w:rPr>
      </w:pPr>
      <w:bookmarkStart w:id="160" w:name="_Toc93511475"/>
      <w:r w:rsidRPr="00896FDA">
        <w:t>6.</w:t>
      </w:r>
      <w:r w:rsidRPr="00896FDA">
        <w:tab/>
      </w:r>
      <w:r w:rsidR="00A14107" w:rsidRPr="00A14107">
        <w:rPr>
          <w:noProof/>
        </w:rPr>
        <w:t>What are the impacts of the measures in the policy options?</w:t>
      </w:r>
      <w:bookmarkEnd w:id="155"/>
      <w:bookmarkEnd w:id="156"/>
      <w:bookmarkEnd w:id="157"/>
      <w:bookmarkEnd w:id="158"/>
      <w:bookmarkEnd w:id="159"/>
      <w:bookmarkEnd w:id="160"/>
    </w:p>
    <w:p w14:paraId="7C9DAB4E" w14:textId="79478999" w:rsidR="00A14107" w:rsidRPr="001D68A6" w:rsidRDefault="00896FDA" w:rsidP="00896FDA">
      <w:pPr>
        <w:pStyle w:val="Heading2"/>
        <w:rPr>
          <w:noProof/>
        </w:rPr>
      </w:pPr>
      <w:bookmarkStart w:id="161" w:name="_Toc93511476"/>
      <w:bookmarkStart w:id="162" w:name="_Toc71559415"/>
      <w:bookmarkStart w:id="163" w:name="_Toc71707044"/>
      <w:bookmarkStart w:id="164" w:name="_Toc71708230"/>
      <w:bookmarkStart w:id="165" w:name="_Toc71710962"/>
      <w:bookmarkStart w:id="166" w:name="_Toc72399364"/>
      <w:r w:rsidRPr="00896FDA">
        <w:t>6.1.</w:t>
      </w:r>
      <w:r w:rsidRPr="00896FDA">
        <w:tab/>
      </w:r>
      <w:r w:rsidR="00A14107" w:rsidRPr="001D68A6">
        <w:rPr>
          <w:noProof/>
        </w:rPr>
        <w:t xml:space="preserve">Achieve a higher level of </w:t>
      </w:r>
      <w:r w:rsidR="00D70A6E">
        <w:rPr>
          <w:noProof/>
        </w:rPr>
        <w:t>additional emission</w:t>
      </w:r>
      <w:r w:rsidR="00A14107" w:rsidRPr="001D68A6">
        <w:rPr>
          <w:noProof/>
        </w:rPr>
        <w:t xml:space="preserve"> reductions</w:t>
      </w:r>
      <w:bookmarkEnd w:id="161"/>
      <w:r w:rsidR="00A14107" w:rsidRPr="001D68A6">
        <w:rPr>
          <w:noProof/>
        </w:rPr>
        <w:t xml:space="preserve"> </w:t>
      </w:r>
      <w:bookmarkEnd w:id="162"/>
      <w:bookmarkEnd w:id="163"/>
      <w:bookmarkEnd w:id="164"/>
      <w:bookmarkEnd w:id="165"/>
      <w:bookmarkEnd w:id="166"/>
    </w:p>
    <w:p w14:paraId="47C1D828" w14:textId="77777777" w:rsidR="00A14107" w:rsidRPr="00A14107" w:rsidRDefault="00A14107" w:rsidP="00A14107">
      <w:pPr>
        <w:keepNext/>
        <w:numPr>
          <w:ilvl w:val="2"/>
          <w:numId w:val="0"/>
        </w:numPr>
        <w:spacing w:after="120" w:line="240" w:lineRule="auto"/>
        <w:ind w:left="1004" w:hanging="437"/>
        <w:jc w:val="both"/>
        <w:outlineLvl w:val="2"/>
        <w:rPr>
          <w:rFonts w:ascii="Times New Roman" w:eastAsia="Times New Roman" w:hAnsi="Times New Roman" w:cs="Times New Roman"/>
          <w:i/>
          <w:noProof/>
          <w:sz w:val="24"/>
          <w:szCs w:val="24"/>
        </w:rPr>
      </w:pPr>
      <w:bookmarkStart w:id="167" w:name="_Toc71559416"/>
      <w:bookmarkStart w:id="168" w:name="_Toc71707045"/>
      <w:bookmarkStart w:id="169" w:name="_Toc71708231"/>
      <w:bookmarkStart w:id="170" w:name="_Toc71710963"/>
      <w:bookmarkStart w:id="171" w:name="_Toc72399365"/>
      <w:r w:rsidRPr="00A14107">
        <w:rPr>
          <w:rFonts w:ascii="Times New Roman" w:eastAsia="Times New Roman" w:hAnsi="Times New Roman" w:cs="Times New Roman"/>
          <w:i/>
          <w:noProof/>
          <w:sz w:val="24"/>
          <w:szCs w:val="20"/>
        </w:rPr>
        <w:t>A1. Require mandatory recovery and destruction of ODS from some foam banks</w:t>
      </w:r>
      <w:bookmarkEnd w:id="167"/>
      <w:bookmarkEnd w:id="168"/>
      <w:bookmarkEnd w:id="169"/>
      <w:bookmarkEnd w:id="170"/>
      <w:bookmarkEnd w:id="171"/>
    </w:p>
    <w:p w14:paraId="728E4414" w14:textId="77777777" w:rsidR="00A14107" w:rsidRPr="00CE34BC"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environmental benefit of this measure is very high, in particular in climate terms, due to the high GWP of the ODS used in these foams.</w:t>
      </w:r>
      <w:r w:rsidRPr="00A14107">
        <w:rPr>
          <w:rFonts w:ascii="Times New Roman" w:hAnsi="Times New Roman" w:cs="Times New Roman"/>
          <w:noProof/>
          <w:sz w:val="24"/>
          <w:szCs w:val="24"/>
        </w:rPr>
        <w:t xml:space="preserve"> This option is supported by both authorities and businesses consulted. Recycling experts consider that recovery and destruction is feasible today</w:t>
      </w:r>
      <w:r w:rsidR="00BF4DBE">
        <w:rPr>
          <w:rFonts w:ascii="Times New Roman" w:hAnsi="Times New Roman" w:cs="Times New Roman"/>
          <w:noProof/>
          <w:sz w:val="24"/>
          <w:szCs w:val="24"/>
        </w:rPr>
        <w:t xml:space="preserve"> for some foam banks, e.g. metal</w:t>
      </w:r>
      <w:r w:rsidRPr="00A14107">
        <w:rPr>
          <w:rFonts w:ascii="Times New Roman" w:hAnsi="Times New Roman" w:cs="Times New Roman"/>
          <w:noProof/>
          <w:sz w:val="24"/>
          <w:szCs w:val="24"/>
        </w:rPr>
        <w:t>-faced panels</w:t>
      </w:r>
      <w:r w:rsidRPr="00A14107">
        <w:rPr>
          <w:noProof/>
          <w:sz w:val="24"/>
          <w:szCs w:val="24"/>
          <w:vertAlign w:val="superscript"/>
        </w:rPr>
        <w:footnoteReference w:id="60"/>
      </w:r>
      <w:r w:rsidRPr="00A14107">
        <w:rPr>
          <w:rFonts w:ascii="Times New Roman" w:hAnsi="Times New Roman" w:cs="Times New Roman"/>
          <w:noProof/>
          <w:sz w:val="24"/>
          <w:szCs w:val="24"/>
        </w:rPr>
        <w:t xml:space="preserve"> and, to </w:t>
      </w:r>
      <w:r w:rsidR="00CF361D">
        <w:rPr>
          <w:rFonts w:ascii="Times New Roman" w:hAnsi="Times New Roman" w:cs="Times New Roman"/>
          <w:noProof/>
          <w:sz w:val="24"/>
          <w:szCs w:val="24"/>
        </w:rPr>
        <w:t>some extent</w:t>
      </w:r>
      <w:r w:rsidRPr="00A14107">
        <w:rPr>
          <w:rFonts w:ascii="Times New Roman" w:hAnsi="Times New Roman" w:cs="Times New Roman"/>
          <w:noProof/>
          <w:sz w:val="24"/>
          <w:szCs w:val="24"/>
        </w:rPr>
        <w:t xml:space="preserve"> </w:t>
      </w:r>
      <w:r w:rsidR="00393552" w:rsidRPr="00A14107">
        <w:rPr>
          <w:rFonts w:ascii="Times New Roman" w:hAnsi="Times New Roman" w:cs="Times New Roman"/>
          <w:noProof/>
          <w:sz w:val="24"/>
          <w:szCs w:val="24"/>
        </w:rPr>
        <w:t>f</w:t>
      </w:r>
      <w:r w:rsidR="00393552">
        <w:rPr>
          <w:rFonts w:ascii="Times New Roman" w:hAnsi="Times New Roman" w:cs="Times New Roman"/>
          <w:noProof/>
          <w:sz w:val="24"/>
          <w:szCs w:val="24"/>
        </w:rPr>
        <w:t>or</w:t>
      </w:r>
      <w:r w:rsidR="00393552"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laminated boards, depending on where these have been installed</w:t>
      </w:r>
      <w:r w:rsidRPr="00A14107">
        <w:rPr>
          <w:noProof/>
          <w:sz w:val="24"/>
          <w:szCs w:val="24"/>
          <w:vertAlign w:val="superscript"/>
        </w:rPr>
        <w:footnoteReference w:id="61"/>
      </w:r>
      <w:r w:rsidRPr="00A14107">
        <w:rPr>
          <w:rFonts w:ascii="Times New Roman" w:hAnsi="Times New Roman" w:cs="Times New Roman"/>
          <w:noProof/>
          <w:sz w:val="24"/>
          <w:szCs w:val="24"/>
        </w:rPr>
        <w:t xml:space="preserve">. These foams are in principal recoverable for destruction if separated during renovation or demolition of buildings. On the other hand, a separate collection of block foams and spray foams would be very difficult to achieve. A full recovery of </w:t>
      </w:r>
      <w:r w:rsidR="00BF4DBE">
        <w:rPr>
          <w:rFonts w:ascii="Times New Roman" w:hAnsi="Times New Roman" w:cs="Times New Roman"/>
          <w:noProof/>
          <w:sz w:val="24"/>
          <w:szCs w:val="24"/>
        </w:rPr>
        <w:t>metal</w:t>
      </w:r>
      <w:r w:rsidRPr="00A14107">
        <w:rPr>
          <w:rFonts w:ascii="Times New Roman" w:hAnsi="Times New Roman" w:cs="Times New Roman"/>
          <w:noProof/>
          <w:sz w:val="24"/>
          <w:szCs w:val="24"/>
        </w:rPr>
        <w:t xml:space="preserve">-faced panels would save up to 18,200 tODP or </w:t>
      </w:r>
      <w:r w:rsidR="00C82687">
        <w:rPr>
          <w:rFonts w:ascii="Times New Roman" w:hAnsi="Times New Roman" w:cs="Times New Roman"/>
          <w:noProof/>
          <w:sz w:val="24"/>
          <w:szCs w:val="24"/>
        </w:rPr>
        <w:t>88</w:t>
      </w:r>
      <w:r w:rsidRPr="00A14107">
        <w:rPr>
          <w:rFonts w:ascii="Times New Roman" w:hAnsi="Times New Roman" w:cs="Times New Roman"/>
          <w:noProof/>
          <w:sz w:val="24"/>
          <w:szCs w:val="24"/>
        </w:rPr>
        <w:t xml:space="preserve"> million tCO2e until 2050, which is ca </w:t>
      </w:r>
      <w:r w:rsidR="00532AAD">
        <w:rPr>
          <w:rFonts w:ascii="Times New Roman" w:hAnsi="Times New Roman" w:cs="Times New Roman"/>
          <w:noProof/>
          <w:sz w:val="24"/>
          <w:szCs w:val="24"/>
        </w:rPr>
        <w:t>14</w:t>
      </w:r>
      <w:r w:rsidR="006578FA">
        <w:rPr>
          <w:rFonts w:ascii="Times New Roman" w:hAnsi="Times New Roman" w:cs="Times New Roman"/>
          <w:noProof/>
          <w:sz w:val="24"/>
          <w:szCs w:val="24"/>
        </w:rPr>
        <w:t>% of all ODS in foams reaching end-of-life</w:t>
      </w:r>
      <w:r w:rsidRPr="00A14107">
        <w:rPr>
          <w:rFonts w:ascii="Times New Roman" w:hAnsi="Times New Roman" w:cs="Times New Roman"/>
          <w:noProof/>
          <w:sz w:val="24"/>
          <w:szCs w:val="24"/>
        </w:rPr>
        <w:t xml:space="preserve"> (i</w:t>
      </w:r>
      <w:r w:rsidR="00CF361D">
        <w:rPr>
          <w:rFonts w:ascii="Times New Roman" w:hAnsi="Times New Roman" w:cs="Times New Roman"/>
          <w:noProof/>
          <w:sz w:val="24"/>
          <w:szCs w:val="24"/>
        </w:rPr>
        <w:t>n CO2e) in that period (</w:t>
      </w:r>
      <w:r w:rsidR="0088564C">
        <w:rPr>
          <w:rFonts w:ascii="Times New Roman" w:hAnsi="Times New Roman" w:cs="Times New Roman"/>
          <w:noProof/>
          <w:sz w:val="24"/>
          <w:szCs w:val="24"/>
        </w:rPr>
        <w:t>Option</w:t>
      </w:r>
      <w:r w:rsidRPr="00A14107">
        <w:rPr>
          <w:rFonts w:ascii="Times New Roman" w:hAnsi="Times New Roman" w:cs="Times New Roman"/>
          <w:noProof/>
          <w:sz w:val="24"/>
          <w:szCs w:val="24"/>
        </w:rPr>
        <w:t xml:space="preserve"> 1</w:t>
      </w:r>
      <w:r w:rsidR="00F3660A">
        <w:rPr>
          <w:rFonts w:ascii="Times New Roman" w:hAnsi="Times New Roman" w:cs="Times New Roman"/>
          <w:noProof/>
          <w:sz w:val="24"/>
          <w:szCs w:val="24"/>
        </w:rPr>
        <w:t>: measure A1(a)</w:t>
      </w:r>
      <w:r w:rsidRPr="00A14107">
        <w:rPr>
          <w:rFonts w:ascii="Times New Roman" w:hAnsi="Times New Roman" w:cs="Times New Roman"/>
          <w:noProof/>
          <w:sz w:val="24"/>
          <w:szCs w:val="24"/>
        </w:rPr>
        <w:t>). If, in addition, 25% of foams from laminated panels in built-up systems and cavity structures</w:t>
      </w:r>
      <w:r w:rsidR="00BF4DBE">
        <w:rPr>
          <w:rStyle w:val="FootnoteReference"/>
          <w:rFonts w:ascii="Times New Roman" w:hAnsi="Times New Roman" w:cs="Times New Roman"/>
          <w:noProof/>
          <w:sz w:val="24"/>
          <w:szCs w:val="24"/>
        </w:rPr>
        <w:footnoteReference w:id="62"/>
      </w:r>
      <w:r w:rsidR="00CF361D">
        <w:rPr>
          <w:rFonts w:ascii="Times New Roman" w:hAnsi="Times New Roman" w:cs="Times New Roman"/>
          <w:noProof/>
          <w:sz w:val="24"/>
          <w:szCs w:val="24"/>
        </w:rPr>
        <w:t xml:space="preserve"> are recovered (</w:t>
      </w:r>
      <w:r w:rsidR="0088564C">
        <w:rPr>
          <w:rFonts w:ascii="Times New Roman" w:hAnsi="Times New Roman" w:cs="Times New Roman"/>
          <w:noProof/>
          <w:sz w:val="24"/>
          <w:szCs w:val="24"/>
        </w:rPr>
        <w:t>Option</w:t>
      </w:r>
      <w:r w:rsidRPr="00A14107">
        <w:rPr>
          <w:rFonts w:ascii="Times New Roman" w:hAnsi="Times New Roman" w:cs="Times New Roman"/>
          <w:noProof/>
          <w:sz w:val="24"/>
          <w:szCs w:val="24"/>
        </w:rPr>
        <w:t xml:space="preserve"> 2</w:t>
      </w:r>
      <w:r w:rsidR="0088564C">
        <w:rPr>
          <w:rFonts w:ascii="Times New Roman" w:hAnsi="Times New Roman" w:cs="Times New Roman"/>
          <w:noProof/>
          <w:sz w:val="24"/>
          <w:szCs w:val="24"/>
        </w:rPr>
        <w:t xml:space="preserve"> and 3</w:t>
      </w:r>
      <w:r w:rsidR="00F3660A">
        <w:rPr>
          <w:rFonts w:ascii="Times New Roman" w:hAnsi="Times New Roman" w:cs="Times New Roman"/>
          <w:noProof/>
          <w:sz w:val="24"/>
          <w:szCs w:val="24"/>
        </w:rPr>
        <w:t>: measure A1(b)</w:t>
      </w:r>
      <w:r w:rsidRPr="00A14107">
        <w:rPr>
          <w:rFonts w:ascii="Times New Roman" w:hAnsi="Times New Roman" w:cs="Times New Roman"/>
          <w:noProof/>
          <w:sz w:val="24"/>
          <w:szCs w:val="24"/>
        </w:rPr>
        <w:t xml:space="preserve">), this would save an additional 14,000 tODP or </w:t>
      </w:r>
      <w:r w:rsidRPr="008727FE">
        <w:rPr>
          <w:rFonts w:ascii="Times New Roman" w:hAnsi="Times New Roman" w:cs="Times New Roman"/>
          <w:noProof/>
          <w:sz w:val="24"/>
          <w:szCs w:val="24"/>
        </w:rPr>
        <w:t>91</w:t>
      </w:r>
      <w:r w:rsidR="00CF361D">
        <w:rPr>
          <w:rFonts w:ascii="Times New Roman" w:hAnsi="Times New Roman" w:cs="Times New Roman"/>
          <w:noProof/>
          <w:sz w:val="24"/>
          <w:szCs w:val="24"/>
        </w:rPr>
        <w:t xml:space="preserve"> million tCO2e until 2050</w:t>
      </w:r>
      <w:r w:rsidRPr="00A14107">
        <w:rPr>
          <w:noProof/>
          <w:sz w:val="24"/>
          <w:szCs w:val="24"/>
          <w:vertAlign w:val="superscript"/>
        </w:rPr>
        <w:footnoteReference w:id="63"/>
      </w:r>
      <w:r w:rsidRPr="00A14107">
        <w:rPr>
          <w:rFonts w:ascii="Times New Roman" w:hAnsi="Times New Roman" w:cs="Times New Roman"/>
          <w:noProof/>
          <w:sz w:val="24"/>
          <w:szCs w:val="24"/>
        </w:rPr>
        <w:t xml:space="preserve">, which is </w:t>
      </w:r>
      <w:r w:rsidR="00532AAD" w:rsidRPr="006578FA">
        <w:rPr>
          <w:rFonts w:ascii="Times New Roman" w:hAnsi="Times New Roman" w:cs="Times New Roman"/>
          <w:noProof/>
          <w:sz w:val="24"/>
          <w:szCs w:val="24"/>
        </w:rPr>
        <w:t>28</w:t>
      </w:r>
      <w:r w:rsidRPr="00A14107">
        <w:rPr>
          <w:rFonts w:ascii="Times New Roman" w:hAnsi="Times New Roman" w:cs="Times New Roman"/>
          <w:noProof/>
          <w:sz w:val="24"/>
          <w:szCs w:val="24"/>
        </w:rPr>
        <w:t xml:space="preserve">% </w:t>
      </w:r>
      <w:r w:rsidR="006578FA" w:rsidRPr="006578FA">
        <w:rPr>
          <w:rFonts w:ascii="Times New Roman" w:hAnsi="Times New Roman" w:cs="Times New Roman"/>
          <w:noProof/>
          <w:sz w:val="24"/>
          <w:szCs w:val="24"/>
        </w:rPr>
        <w:t>of all ODS in foams reaching end-of-life (in CO2e) in that period</w:t>
      </w:r>
      <w:r w:rsidR="006578FA">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The success rate will ultimately depend on the enforcement of the requirements and on the </w:t>
      </w:r>
      <w:r w:rsidR="00BF4DBE">
        <w:rPr>
          <w:rFonts w:ascii="Times New Roman" w:hAnsi="Times New Roman" w:cs="Times New Roman"/>
          <w:noProof/>
          <w:sz w:val="24"/>
          <w:szCs w:val="24"/>
        </w:rPr>
        <w:t xml:space="preserve">synergy </w:t>
      </w:r>
      <w:r w:rsidR="00BF4DBE" w:rsidRPr="00CE34BC">
        <w:rPr>
          <w:rFonts w:ascii="Times New Roman" w:hAnsi="Times New Roman" w:cs="Times New Roman"/>
          <w:noProof/>
          <w:sz w:val="24"/>
          <w:szCs w:val="24"/>
        </w:rPr>
        <w:t>with</w:t>
      </w:r>
      <w:r w:rsidRPr="00CE34BC">
        <w:rPr>
          <w:rFonts w:ascii="Times New Roman" w:hAnsi="Times New Roman" w:cs="Times New Roman"/>
          <w:noProof/>
          <w:sz w:val="24"/>
          <w:szCs w:val="24"/>
        </w:rPr>
        <w:t xml:space="preserve"> other relevant legislation prescribing separation</w:t>
      </w:r>
      <w:r w:rsidR="00B07A60">
        <w:rPr>
          <w:rFonts w:ascii="Times New Roman" w:hAnsi="Times New Roman" w:cs="Times New Roman"/>
          <w:noProof/>
          <w:sz w:val="24"/>
          <w:szCs w:val="24"/>
        </w:rPr>
        <w:t xml:space="preserve"> and recovery of construction and demolition</w:t>
      </w:r>
      <w:r w:rsidRPr="00CE34BC">
        <w:rPr>
          <w:rFonts w:ascii="Times New Roman" w:hAnsi="Times New Roman" w:cs="Times New Roman"/>
          <w:noProof/>
          <w:sz w:val="24"/>
          <w:szCs w:val="24"/>
        </w:rPr>
        <w:t xml:space="preserve"> materials.</w:t>
      </w:r>
      <w:r w:rsidR="00EE3F81" w:rsidRPr="00CE34BC" w:rsidDel="00EE3F81">
        <w:rPr>
          <w:rFonts w:ascii="Times New Roman" w:hAnsi="Times New Roman" w:cs="Times New Roman"/>
          <w:noProof/>
          <w:sz w:val="24"/>
          <w:szCs w:val="24"/>
          <w:vertAlign w:val="superscript"/>
        </w:rPr>
        <w:t xml:space="preserve"> </w:t>
      </w:r>
      <w:r w:rsidR="00CE34BC" w:rsidRPr="00CE34BC">
        <w:rPr>
          <w:rFonts w:ascii="Times New Roman" w:hAnsi="Times New Roman" w:cs="Times New Roman"/>
          <w:noProof/>
          <w:sz w:val="24"/>
          <w:szCs w:val="24"/>
        </w:rPr>
        <w:t>There are clear synergies with the Waste Framework Directive (WFD)</w:t>
      </w:r>
      <w:r w:rsidR="00CE34BC">
        <w:rPr>
          <w:rFonts w:ascii="Times New Roman" w:hAnsi="Times New Roman" w:cs="Times New Roman"/>
          <w:noProof/>
          <w:sz w:val="24"/>
          <w:szCs w:val="24"/>
        </w:rPr>
        <w:t xml:space="preserve"> </w:t>
      </w:r>
      <w:r w:rsidR="00CE34BC" w:rsidRPr="00CE34BC">
        <w:rPr>
          <w:rFonts w:ascii="Times New Roman" w:hAnsi="Times New Roman" w:cs="Times New Roman"/>
          <w:noProof/>
          <w:sz w:val="24"/>
          <w:szCs w:val="24"/>
        </w:rPr>
        <w:t>that set a 2020 M</w:t>
      </w:r>
      <w:r w:rsidR="001F29FB">
        <w:rPr>
          <w:rFonts w:ascii="Times New Roman" w:hAnsi="Times New Roman" w:cs="Times New Roman"/>
          <w:noProof/>
          <w:sz w:val="24"/>
          <w:szCs w:val="24"/>
        </w:rPr>
        <w:t xml:space="preserve">ember </w:t>
      </w:r>
      <w:r w:rsidR="00CE34BC" w:rsidRPr="00CE34BC">
        <w:rPr>
          <w:rFonts w:ascii="Times New Roman" w:hAnsi="Times New Roman" w:cs="Times New Roman"/>
          <w:noProof/>
          <w:sz w:val="24"/>
          <w:szCs w:val="24"/>
        </w:rPr>
        <w:t>S</w:t>
      </w:r>
      <w:r w:rsidR="001F29FB">
        <w:rPr>
          <w:rFonts w:ascii="Times New Roman" w:hAnsi="Times New Roman" w:cs="Times New Roman"/>
          <w:noProof/>
          <w:sz w:val="24"/>
          <w:szCs w:val="24"/>
        </w:rPr>
        <w:t>tates</w:t>
      </w:r>
      <w:r w:rsidR="00CE34BC" w:rsidRPr="00CE34BC">
        <w:rPr>
          <w:rFonts w:ascii="Times New Roman" w:hAnsi="Times New Roman" w:cs="Times New Roman"/>
          <w:noProof/>
          <w:sz w:val="24"/>
          <w:szCs w:val="24"/>
        </w:rPr>
        <w:t xml:space="preserve"> target of 70% preparation of construction and demolition wastes for re-use, recycling and recovery. The WFD also promotes waste prevention through improving planning and logistics on construction sites and selective demolition and sorting at source.</w:t>
      </w:r>
    </w:p>
    <w:p w14:paraId="56D6B364" w14:textId="77777777" w:rsidR="00CE34BC" w:rsidRPr="00CE7AAA" w:rsidRDefault="00A14107" w:rsidP="005F1C85">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costs appear proportionate in climate terms and are distributed over many years and a large number of building owners and developers.</w:t>
      </w:r>
      <w:r w:rsidRPr="00A14107">
        <w:rPr>
          <w:rFonts w:ascii="Times New Roman" w:hAnsi="Times New Roman" w:cs="Times New Roman"/>
          <w:noProof/>
          <w:sz w:val="24"/>
          <w:szCs w:val="24"/>
        </w:rPr>
        <w:t xml:space="preserve"> Based on stakeholder interviews it seems that the technical and economic feasibility of recovery has improved </w:t>
      </w:r>
      <w:r w:rsidR="00F33357">
        <w:rPr>
          <w:rFonts w:ascii="Times New Roman" w:hAnsi="Times New Roman" w:cs="Times New Roman"/>
          <w:noProof/>
          <w:sz w:val="24"/>
          <w:szCs w:val="24"/>
        </w:rPr>
        <w:t>since</w:t>
      </w:r>
      <w:r w:rsidR="00F33357"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 situation 10 years ago. Businesses indicated that a large fraction of the costs are labour costs</w:t>
      </w:r>
      <w:r w:rsidR="00F84311">
        <w:rPr>
          <w:rFonts w:ascii="Times New Roman" w:hAnsi="Times New Roman" w:cs="Times New Roman"/>
          <w:noProof/>
          <w:sz w:val="24"/>
          <w:szCs w:val="24"/>
        </w:rPr>
        <w:t xml:space="preserve"> due to the work involved in the</w:t>
      </w:r>
      <w:r w:rsidRPr="00A14107">
        <w:rPr>
          <w:rFonts w:ascii="Times New Roman" w:hAnsi="Times New Roman" w:cs="Times New Roman"/>
          <w:noProof/>
          <w:sz w:val="24"/>
          <w:szCs w:val="24"/>
        </w:rPr>
        <w:t xml:space="preserve"> </w:t>
      </w:r>
      <w:r w:rsidR="00BF4DBE">
        <w:rPr>
          <w:rFonts w:ascii="Times New Roman" w:hAnsi="Times New Roman" w:cs="Times New Roman"/>
          <w:noProof/>
          <w:sz w:val="24"/>
          <w:szCs w:val="24"/>
        </w:rPr>
        <w:t>collection an</w:t>
      </w:r>
      <w:r w:rsidR="00B07A60">
        <w:rPr>
          <w:rFonts w:ascii="Times New Roman" w:hAnsi="Times New Roman" w:cs="Times New Roman"/>
          <w:noProof/>
          <w:sz w:val="24"/>
          <w:szCs w:val="24"/>
        </w:rPr>
        <w:t>d separation of construction and demolition wastes</w:t>
      </w:r>
      <w:r w:rsidR="00BF4DBE">
        <w:rPr>
          <w:rFonts w:ascii="Times New Roman" w:hAnsi="Times New Roman" w:cs="Times New Roman"/>
          <w:noProof/>
          <w:sz w:val="24"/>
          <w:szCs w:val="24"/>
        </w:rPr>
        <w:t>, rather than transport or destruction costs</w:t>
      </w:r>
      <w:r w:rsidRPr="00A14107">
        <w:rPr>
          <w:rFonts w:ascii="Times New Roman" w:hAnsi="Times New Roman" w:cs="Times New Roman"/>
          <w:noProof/>
          <w:sz w:val="24"/>
          <w:szCs w:val="24"/>
        </w:rPr>
        <w:t xml:space="preserve">. Member States have very different legislative and technical approaches to the demolition of buildings and requirements to recover, separate, treat </w:t>
      </w:r>
      <w:r w:rsidR="00B07A60">
        <w:rPr>
          <w:rFonts w:ascii="Times New Roman" w:hAnsi="Times New Roman" w:cs="Times New Roman"/>
          <w:noProof/>
          <w:sz w:val="24"/>
          <w:szCs w:val="24"/>
        </w:rPr>
        <w:t>etc. different components of construction and demolition wastes</w:t>
      </w:r>
      <w:r w:rsidRPr="00A14107">
        <w:rPr>
          <w:rFonts w:ascii="Times New Roman" w:hAnsi="Times New Roman" w:cs="Times New Roman"/>
          <w:noProof/>
          <w:sz w:val="24"/>
          <w:szCs w:val="24"/>
        </w:rPr>
        <w:t>. Where such legislation exists, a separate recovery of foams would be facilitated by these requirements and additional costs would be rather low.</w:t>
      </w:r>
      <w:r w:rsidRPr="00A14107">
        <w:rPr>
          <w:rFonts w:ascii="Times New Roman" w:hAnsi="Times New Roman" w:cs="Times New Roman"/>
          <w:noProof/>
          <w:sz w:val="24"/>
          <w:szCs w:val="24"/>
          <w:lang w:eastAsia="en-GB"/>
        </w:rPr>
        <w:t xml:space="preserve"> </w:t>
      </w:r>
      <w:r w:rsidRPr="00A14107">
        <w:rPr>
          <w:rFonts w:ascii="Times New Roman" w:hAnsi="Times New Roman" w:cs="Times New Roman"/>
          <w:noProof/>
          <w:sz w:val="24"/>
          <w:szCs w:val="24"/>
        </w:rPr>
        <w:t>It is very difficult to set an average recovery cost for the EU as a whole by material type due to the cost dependency on country specifics (e.g. country waste regulations). In two case studies</w:t>
      </w:r>
      <w:r w:rsidR="00ED04A7">
        <w:rPr>
          <w:rFonts w:ascii="Times New Roman" w:hAnsi="Times New Roman" w:cs="Times New Roman"/>
          <w:noProof/>
          <w:sz w:val="24"/>
          <w:szCs w:val="24"/>
        </w:rPr>
        <w:t xml:space="preserve"> from A</w:t>
      </w:r>
      <w:r w:rsidR="001F29FB">
        <w:rPr>
          <w:rFonts w:ascii="Times New Roman" w:hAnsi="Times New Roman" w:cs="Times New Roman"/>
          <w:noProof/>
          <w:sz w:val="24"/>
          <w:szCs w:val="24"/>
        </w:rPr>
        <w:t>ustria and the Netherlands</w:t>
      </w:r>
      <w:r w:rsidR="001C7627">
        <w:rPr>
          <w:rStyle w:val="FootnoteReference"/>
          <w:rFonts w:ascii="Times New Roman" w:hAnsi="Times New Roman" w:cs="Times New Roman"/>
          <w:noProof/>
          <w:sz w:val="24"/>
          <w:szCs w:val="24"/>
        </w:rPr>
        <w:footnoteReference w:id="64"/>
      </w:r>
      <w:r w:rsidRPr="00A14107">
        <w:rPr>
          <w:rFonts w:ascii="Times New Roman" w:hAnsi="Times New Roman" w:cs="Times New Roman"/>
          <w:noProof/>
          <w:sz w:val="24"/>
          <w:szCs w:val="24"/>
        </w:rPr>
        <w:t>, recovery costs for panels and boards were determined as €1050-1200/t raw material. In addition, incineration costs may be up to €2500-3500/t. Abatement costs based on these two case studies indicate that total abatement costs for the two scenarios would be roug</w:t>
      </w:r>
      <w:r w:rsidR="00ED04A7">
        <w:rPr>
          <w:rFonts w:ascii="Times New Roman" w:hAnsi="Times New Roman" w:cs="Times New Roman"/>
          <w:noProof/>
          <w:sz w:val="24"/>
          <w:szCs w:val="24"/>
        </w:rPr>
        <w:t>hly 450 million € for Option A1(a)</w:t>
      </w:r>
      <w:r w:rsidRPr="00A14107">
        <w:rPr>
          <w:rFonts w:ascii="Times New Roman" w:hAnsi="Times New Roman" w:cs="Times New Roman"/>
          <w:noProof/>
          <w:sz w:val="24"/>
          <w:szCs w:val="24"/>
        </w:rPr>
        <w:t>, and an addition</w:t>
      </w:r>
      <w:r w:rsidR="00ED04A7">
        <w:rPr>
          <w:rFonts w:ascii="Times New Roman" w:hAnsi="Times New Roman" w:cs="Times New Roman"/>
          <w:noProof/>
          <w:sz w:val="24"/>
          <w:szCs w:val="24"/>
        </w:rPr>
        <w:t>al 1.53 billion € for Option A1(b)</w:t>
      </w:r>
      <w:r w:rsidRPr="00A14107">
        <w:rPr>
          <w:rFonts w:ascii="Times New Roman" w:hAnsi="Times New Roman" w:cs="Times New Roman"/>
          <w:noProof/>
          <w:sz w:val="24"/>
          <w:szCs w:val="24"/>
        </w:rPr>
        <w:t>, which would in turn represent aba</w:t>
      </w:r>
      <w:r w:rsidR="00ED04A7">
        <w:rPr>
          <w:rFonts w:ascii="Times New Roman" w:hAnsi="Times New Roman" w:cs="Times New Roman"/>
          <w:noProof/>
          <w:sz w:val="24"/>
          <w:szCs w:val="24"/>
        </w:rPr>
        <w:t>tement costs of 25,000 €/tODP (A1a</w:t>
      </w:r>
      <w:r w:rsidRPr="00A14107">
        <w:rPr>
          <w:rFonts w:ascii="Times New Roman" w:hAnsi="Times New Roman" w:cs="Times New Roman"/>
          <w:noProof/>
          <w:sz w:val="24"/>
          <w:szCs w:val="24"/>
        </w:rPr>
        <w:t xml:space="preserve">) and 87,000-132,000 €/tODP (2). In climate terms, this translates into abatement costs of </w:t>
      </w:r>
      <w:r w:rsidR="00532AAD" w:rsidRPr="006578FA">
        <w:rPr>
          <w:rFonts w:ascii="Times New Roman" w:hAnsi="Times New Roman" w:cs="Times New Roman"/>
          <w:noProof/>
          <w:sz w:val="24"/>
          <w:szCs w:val="24"/>
        </w:rPr>
        <w:t>5.1</w:t>
      </w:r>
      <w:r w:rsidRPr="00532AAD">
        <w:rPr>
          <w:rFonts w:ascii="Times New Roman" w:hAnsi="Times New Roman" w:cs="Times New Roman"/>
          <w:noProof/>
          <w:sz w:val="24"/>
          <w:szCs w:val="24"/>
        </w:rPr>
        <w:t xml:space="preserve"> €/tCO2e</w:t>
      </w:r>
      <w:r w:rsidR="00ED04A7">
        <w:rPr>
          <w:rFonts w:ascii="Times New Roman" w:hAnsi="Times New Roman" w:cs="Times New Roman"/>
          <w:noProof/>
          <w:sz w:val="24"/>
          <w:szCs w:val="24"/>
        </w:rPr>
        <w:t xml:space="preserve"> (A1b</w:t>
      </w:r>
      <w:r w:rsidRPr="00A14107">
        <w:rPr>
          <w:rFonts w:ascii="Times New Roman" w:hAnsi="Times New Roman" w:cs="Times New Roman"/>
          <w:noProof/>
          <w:sz w:val="24"/>
          <w:szCs w:val="24"/>
        </w:rPr>
        <w:t xml:space="preserve">) and </w:t>
      </w:r>
      <w:r w:rsidRPr="00532AAD">
        <w:rPr>
          <w:rFonts w:ascii="Times New Roman" w:hAnsi="Times New Roman" w:cs="Times New Roman"/>
          <w:noProof/>
          <w:sz w:val="24"/>
          <w:szCs w:val="24"/>
        </w:rPr>
        <w:t>15.0-18.4 €/tCO2e</w:t>
      </w:r>
      <w:r w:rsidRPr="00A14107">
        <w:rPr>
          <w:rFonts w:ascii="Times New Roman" w:hAnsi="Times New Roman" w:cs="Times New Roman"/>
          <w:noProof/>
          <w:sz w:val="24"/>
          <w:szCs w:val="24"/>
        </w:rPr>
        <w:t xml:space="preserve"> (2), respecti</w:t>
      </w:r>
      <w:r w:rsidR="005F1C85">
        <w:rPr>
          <w:rFonts w:ascii="Times New Roman" w:hAnsi="Times New Roman" w:cs="Times New Roman"/>
          <w:noProof/>
          <w:sz w:val="24"/>
          <w:szCs w:val="24"/>
        </w:rPr>
        <w:t>vely.</w:t>
      </w:r>
      <w:r w:rsidR="005F1C85">
        <w:rPr>
          <w:rStyle w:val="FootnoteReference"/>
          <w:rFonts w:ascii="Times New Roman" w:hAnsi="Times New Roman" w:cs="Times New Roman"/>
          <w:noProof/>
          <w:sz w:val="24"/>
          <w:szCs w:val="24"/>
        </w:rPr>
        <w:footnoteReference w:id="65"/>
      </w:r>
      <w:r w:rsidRPr="00A14107">
        <w:rPr>
          <w:rFonts w:ascii="Times New Roman" w:hAnsi="Times New Roman" w:cs="Times New Roman"/>
          <w:noProof/>
          <w:sz w:val="24"/>
          <w:szCs w:val="24"/>
        </w:rPr>
        <w:t xml:space="preserve"> These moderate abatement costs in terms of CO2 are achieved due to the strong climate-warming effects of the gases used in the foams, but may be higher in some Member States.</w:t>
      </w:r>
      <w:r w:rsidR="00CE34BC">
        <w:rPr>
          <w:rFonts w:ascii="Times New Roman" w:hAnsi="Times New Roman" w:cs="Times New Roman"/>
          <w:noProof/>
          <w:sz w:val="24"/>
          <w:szCs w:val="24"/>
        </w:rPr>
        <w:t xml:space="preserve"> </w:t>
      </w:r>
      <w:r w:rsidR="003E6732">
        <w:rPr>
          <w:rFonts w:ascii="Times New Roman" w:hAnsi="Times New Roman" w:cs="Times New Roman"/>
          <w:noProof/>
          <w:sz w:val="24"/>
          <w:szCs w:val="24"/>
        </w:rPr>
        <w:t>Reliable</w:t>
      </w:r>
      <w:r w:rsidR="00CE34BC">
        <w:rPr>
          <w:rFonts w:ascii="Times New Roman" w:hAnsi="Times New Roman" w:cs="Times New Roman"/>
          <w:noProof/>
          <w:sz w:val="24"/>
          <w:szCs w:val="24"/>
        </w:rPr>
        <w:t xml:space="preserve"> cost</w:t>
      </w:r>
      <w:r w:rsidR="003E6732">
        <w:rPr>
          <w:rFonts w:ascii="Times New Roman" w:hAnsi="Times New Roman" w:cs="Times New Roman"/>
          <w:noProof/>
          <w:sz w:val="24"/>
          <w:szCs w:val="24"/>
        </w:rPr>
        <w:t xml:space="preserve"> e</w:t>
      </w:r>
      <w:r w:rsidR="00CE34BC">
        <w:rPr>
          <w:rFonts w:ascii="Times New Roman" w:hAnsi="Times New Roman" w:cs="Times New Roman"/>
          <w:noProof/>
          <w:sz w:val="24"/>
          <w:szCs w:val="24"/>
        </w:rPr>
        <w:t>s</w:t>
      </w:r>
      <w:r w:rsidR="003E6732">
        <w:rPr>
          <w:rFonts w:ascii="Times New Roman" w:hAnsi="Times New Roman" w:cs="Times New Roman"/>
          <w:noProof/>
          <w:sz w:val="24"/>
          <w:szCs w:val="24"/>
        </w:rPr>
        <w:t>timates for</w:t>
      </w:r>
      <w:r w:rsidR="00CE34BC">
        <w:rPr>
          <w:rFonts w:ascii="Times New Roman" w:hAnsi="Times New Roman" w:cs="Times New Roman"/>
          <w:noProof/>
          <w:sz w:val="24"/>
          <w:szCs w:val="24"/>
        </w:rPr>
        <w:t xml:space="preserve"> </w:t>
      </w:r>
      <w:r w:rsidR="003E6732">
        <w:rPr>
          <w:rFonts w:ascii="Times New Roman" w:hAnsi="Times New Roman" w:cs="Times New Roman"/>
          <w:noProof/>
          <w:sz w:val="24"/>
          <w:szCs w:val="24"/>
        </w:rPr>
        <w:t>all</w:t>
      </w:r>
      <w:r w:rsidR="00064320">
        <w:rPr>
          <w:rFonts w:ascii="Times New Roman" w:hAnsi="Times New Roman" w:cs="Times New Roman"/>
          <w:noProof/>
          <w:sz w:val="24"/>
          <w:szCs w:val="24"/>
        </w:rPr>
        <w:t xml:space="preserve"> </w:t>
      </w:r>
      <w:r w:rsidR="00CE34BC">
        <w:rPr>
          <w:rFonts w:ascii="Times New Roman" w:hAnsi="Times New Roman" w:cs="Times New Roman"/>
          <w:noProof/>
          <w:sz w:val="24"/>
          <w:szCs w:val="24"/>
        </w:rPr>
        <w:t>Member States</w:t>
      </w:r>
      <w:r w:rsidR="00064320">
        <w:rPr>
          <w:rFonts w:ascii="Times New Roman" w:hAnsi="Times New Roman" w:cs="Times New Roman"/>
          <w:noProof/>
          <w:sz w:val="24"/>
          <w:szCs w:val="24"/>
        </w:rPr>
        <w:t>,</w:t>
      </w:r>
      <w:r w:rsidR="00CE34BC">
        <w:rPr>
          <w:rFonts w:ascii="Times New Roman" w:hAnsi="Times New Roman" w:cs="Times New Roman"/>
          <w:noProof/>
          <w:sz w:val="24"/>
          <w:szCs w:val="24"/>
        </w:rPr>
        <w:t xml:space="preserve"> </w:t>
      </w:r>
      <w:r w:rsidR="00064320">
        <w:rPr>
          <w:rFonts w:ascii="Times New Roman" w:hAnsi="Times New Roman" w:cs="Times New Roman"/>
          <w:noProof/>
          <w:sz w:val="24"/>
          <w:szCs w:val="24"/>
        </w:rPr>
        <w:t xml:space="preserve">especially those </w:t>
      </w:r>
      <w:r w:rsidR="00CE34BC">
        <w:rPr>
          <w:rFonts w:ascii="Times New Roman" w:hAnsi="Times New Roman" w:cs="Times New Roman"/>
          <w:noProof/>
          <w:sz w:val="24"/>
          <w:szCs w:val="24"/>
        </w:rPr>
        <w:t>where waste separation methods were less established</w:t>
      </w:r>
      <w:r w:rsidR="003E6732">
        <w:rPr>
          <w:rFonts w:ascii="Times New Roman" w:hAnsi="Times New Roman" w:cs="Times New Roman"/>
          <w:noProof/>
          <w:sz w:val="24"/>
          <w:szCs w:val="24"/>
        </w:rPr>
        <w:t>, were difficult to obtain</w:t>
      </w:r>
      <w:r w:rsidR="00064320">
        <w:rPr>
          <w:rStyle w:val="FootnoteReference"/>
          <w:rFonts w:ascii="Times New Roman" w:hAnsi="Times New Roman" w:cs="Times New Roman"/>
          <w:noProof/>
          <w:sz w:val="24"/>
          <w:szCs w:val="24"/>
        </w:rPr>
        <w:footnoteReference w:id="66"/>
      </w:r>
      <w:r w:rsidR="003E6732">
        <w:rPr>
          <w:rFonts w:ascii="Times New Roman" w:hAnsi="Times New Roman" w:cs="Times New Roman"/>
          <w:noProof/>
          <w:sz w:val="24"/>
          <w:szCs w:val="24"/>
        </w:rPr>
        <w:t xml:space="preserve">. </w:t>
      </w:r>
      <w:r w:rsidR="00ED04A7" w:rsidRPr="00ED04A7">
        <w:rPr>
          <w:rFonts w:ascii="Times New Roman" w:hAnsi="Times New Roman" w:cs="Times New Roman"/>
          <w:noProof/>
          <w:sz w:val="24"/>
          <w:szCs w:val="24"/>
        </w:rPr>
        <w:t>The data</w:t>
      </w:r>
      <w:r w:rsidR="00ED04A7">
        <w:rPr>
          <w:rFonts w:ascii="Times New Roman" w:hAnsi="Times New Roman" w:cs="Times New Roman"/>
          <w:noProof/>
          <w:sz w:val="24"/>
          <w:szCs w:val="24"/>
        </w:rPr>
        <w:t xml:space="preserve"> for A</w:t>
      </w:r>
      <w:r w:rsidR="001F29FB">
        <w:rPr>
          <w:rFonts w:ascii="Times New Roman" w:hAnsi="Times New Roman" w:cs="Times New Roman"/>
          <w:noProof/>
          <w:sz w:val="24"/>
          <w:szCs w:val="24"/>
        </w:rPr>
        <w:t xml:space="preserve">ustria </w:t>
      </w:r>
      <w:r w:rsidR="00ED04A7">
        <w:rPr>
          <w:rFonts w:ascii="Times New Roman" w:hAnsi="Times New Roman" w:cs="Times New Roman"/>
          <w:noProof/>
          <w:sz w:val="24"/>
          <w:szCs w:val="24"/>
        </w:rPr>
        <w:t xml:space="preserve">and </w:t>
      </w:r>
      <w:r w:rsidR="001F29FB">
        <w:rPr>
          <w:rFonts w:ascii="Times New Roman" w:hAnsi="Times New Roman" w:cs="Times New Roman"/>
          <w:noProof/>
          <w:sz w:val="24"/>
          <w:szCs w:val="24"/>
        </w:rPr>
        <w:t>the Netherlands</w:t>
      </w:r>
      <w:r w:rsidR="00ED04A7" w:rsidRPr="00ED04A7">
        <w:rPr>
          <w:rFonts w:ascii="Times New Roman" w:hAnsi="Times New Roman" w:cs="Times New Roman"/>
          <w:noProof/>
          <w:sz w:val="24"/>
          <w:szCs w:val="24"/>
        </w:rPr>
        <w:t xml:space="preserve">, while being only from two countries, does still provide a useful overview as they present two different “business cases” for proper management of ODS containing panels. </w:t>
      </w:r>
      <w:r w:rsidR="00ED04A7">
        <w:rPr>
          <w:rFonts w:ascii="Times New Roman" w:hAnsi="Times New Roman" w:cs="Times New Roman"/>
          <w:noProof/>
          <w:sz w:val="24"/>
          <w:szCs w:val="24"/>
        </w:rPr>
        <w:t xml:space="preserve">In order to approximate how high costs could likely get in other cases, costs for </w:t>
      </w:r>
      <w:r w:rsidR="00CE34BC">
        <w:rPr>
          <w:rFonts w:ascii="Times New Roman" w:hAnsi="Times New Roman" w:cs="Times New Roman"/>
          <w:noProof/>
          <w:sz w:val="24"/>
          <w:szCs w:val="24"/>
        </w:rPr>
        <w:t>asbestos recovery</w:t>
      </w:r>
      <w:r w:rsidR="00064320">
        <w:rPr>
          <w:rFonts w:ascii="Times New Roman" w:hAnsi="Times New Roman" w:cs="Times New Roman"/>
          <w:noProof/>
          <w:sz w:val="24"/>
          <w:szCs w:val="24"/>
        </w:rPr>
        <w:t xml:space="preserve"> from buildings</w:t>
      </w:r>
      <w:r w:rsidR="00CE7AAA">
        <w:rPr>
          <w:rFonts w:ascii="Times New Roman" w:hAnsi="Times New Roman" w:cs="Times New Roman"/>
          <w:noProof/>
          <w:sz w:val="24"/>
          <w:szCs w:val="24"/>
        </w:rPr>
        <w:t xml:space="preserve"> </w:t>
      </w:r>
      <w:r w:rsidR="00ED04A7">
        <w:rPr>
          <w:rFonts w:ascii="Times New Roman" w:hAnsi="Times New Roman" w:cs="Times New Roman"/>
          <w:noProof/>
          <w:sz w:val="24"/>
          <w:szCs w:val="24"/>
        </w:rPr>
        <w:t xml:space="preserve">was also considered </w:t>
      </w:r>
      <w:r w:rsidR="00CE34BC">
        <w:rPr>
          <w:rFonts w:ascii="Times New Roman" w:hAnsi="Times New Roman" w:cs="Times New Roman"/>
          <w:noProof/>
          <w:sz w:val="24"/>
          <w:szCs w:val="24"/>
        </w:rPr>
        <w:t>as a</w:t>
      </w:r>
      <w:r w:rsidR="00064320">
        <w:rPr>
          <w:rFonts w:ascii="Times New Roman" w:hAnsi="Times New Roman" w:cs="Times New Roman"/>
          <w:noProof/>
          <w:sz w:val="24"/>
          <w:szCs w:val="24"/>
        </w:rPr>
        <w:t>n absolute</w:t>
      </w:r>
      <w:r w:rsidR="00CE34BC">
        <w:rPr>
          <w:rFonts w:ascii="Times New Roman" w:hAnsi="Times New Roman" w:cs="Times New Roman"/>
          <w:noProof/>
          <w:sz w:val="24"/>
          <w:szCs w:val="24"/>
        </w:rPr>
        <w:t xml:space="preserve"> worst-case cost approximation. </w:t>
      </w:r>
      <w:r w:rsidR="00CE7AAA">
        <w:rPr>
          <w:rFonts w:ascii="Times New Roman" w:hAnsi="Times New Roman" w:cs="Times New Roman"/>
          <w:noProof/>
          <w:sz w:val="24"/>
          <w:szCs w:val="24"/>
        </w:rPr>
        <w:t xml:space="preserve">These proxy </w:t>
      </w:r>
      <w:r w:rsidR="00CE7AAA" w:rsidRPr="00CE7AAA">
        <w:rPr>
          <w:rFonts w:ascii="Times New Roman" w:hAnsi="Times New Roman" w:cs="Times New Roman"/>
          <w:noProof/>
          <w:sz w:val="24"/>
          <w:szCs w:val="24"/>
        </w:rPr>
        <w:t>costs</w:t>
      </w:r>
      <w:r w:rsidR="00FA307E">
        <w:rPr>
          <w:rStyle w:val="FootnoteReference"/>
          <w:rFonts w:ascii="Times New Roman" w:hAnsi="Times New Roman" w:cs="Times New Roman"/>
          <w:noProof/>
          <w:sz w:val="24"/>
          <w:szCs w:val="24"/>
        </w:rPr>
        <w:footnoteReference w:id="67"/>
      </w:r>
      <w:r w:rsidR="00CE7AAA" w:rsidRPr="00CE7AAA">
        <w:rPr>
          <w:rFonts w:ascii="Times New Roman" w:hAnsi="Times New Roman" w:cs="Times New Roman"/>
          <w:noProof/>
          <w:sz w:val="24"/>
          <w:szCs w:val="24"/>
        </w:rPr>
        <w:t xml:space="preserve"> </w:t>
      </w:r>
      <w:r w:rsidR="00596987">
        <w:rPr>
          <w:rFonts w:ascii="Times New Roman" w:hAnsi="Times New Roman" w:cs="Times New Roman"/>
          <w:noProof/>
          <w:sz w:val="24"/>
          <w:szCs w:val="24"/>
        </w:rPr>
        <w:t>relate</w:t>
      </w:r>
      <w:r w:rsidR="00693E82">
        <w:rPr>
          <w:rFonts w:ascii="Times New Roman" w:hAnsi="Times New Roman" w:cs="Times New Roman"/>
          <w:noProof/>
          <w:sz w:val="24"/>
          <w:szCs w:val="24"/>
        </w:rPr>
        <w:t xml:space="preserve"> to the effort required </w:t>
      </w:r>
      <w:r w:rsidR="00CE7AAA">
        <w:rPr>
          <w:rFonts w:ascii="Times New Roman" w:hAnsi="Times New Roman" w:cs="Times New Roman"/>
          <w:noProof/>
          <w:sz w:val="24"/>
          <w:szCs w:val="24"/>
        </w:rPr>
        <w:t xml:space="preserve">for asbestos separation, transport and incineration </w:t>
      </w:r>
      <w:r w:rsidR="00596987">
        <w:rPr>
          <w:rFonts w:ascii="Times New Roman" w:hAnsi="Times New Roman" w:cs="Times New Roman"/>
          <w:noProof/>
          <w:sz w:val="24"/>
          <w:szCs w:val="24"/>
        </w:rPr>
        <w:t xml:space="preserve">and </w:t>
      </w:r>
      <w:r w:rsidR="00ED04A7">
        <w:rPr>
          <w:rFonts w:ascii="Times New Roman" w:hAnsi="Times New Roman" w:cs="Times New Roman"/>
          <w:noProof/>
          <w:sz w:val="24"/>
          <w:szCs w:val="24"/>
        </w:rPr>
        <w:t xml:space="preserve">were determined to be </w:t>
      </w:r>
      <w:r w:rsidR="00CE7AAA" w:rsidRPr="00CE7AAA">
        <w:rPr>
          <w:rFonts w:ascii="Times New Roman" w:hAnsi="Times New Roman" w:cs="Times New Roman"/>
          <w:noProof/>
          <w:sz w:val="24"/>
          <w:szCs w:val="24"/>
        </w:rPr>
        <w:t>€ 228 per tCO</w:t>
      </w:r>
      <w:r w:rsidR="00CE7AAA" w:rsidRPr="00CE7AAA">
        <w:rPr>
          <w:rFonts w:ascii="Times New Roman" w:hAnsi="Times New Roman" w:cs="Times New Roman"/>
          <w:noProof/>
          <w:sz w:val="24"/>
          <w:szCs w:val="24"/>
          <w:vertAlign w:val="subscript"/>
        </w:rPr>
        <w:t>2</w:t>
      </w:r>
      <w:r w:rsidR="00CE7AAA" w:rsidRPr="00CE7AAA">
        <w:rPr>
          <w:rFonts w:ascii="Times New Roman" w:hAnsi="Times New Roman" w:cs="Times New Roman"/>
          <w:noProof/>
          <w:sz w:val="24"/>
          <w:szCs w:val="24"/>
        </w:rPr>
        <w:t>e</w:t>
      </w:r>
      <w:r w:rsidR="00693E82">
        <w:rPr>
          <w:rFonts w:ascii="Times New Roman" w:hAnsi="Times New Roman" w:cs="Times New Roman"/>
          <w:noProof/>
          <w:sz w:val="24"/>
          <w:szCs w:val="24"/>
        </w:rPr>
        <w:t xml:space="preserve">. Given the costly worker protection measures required for asbestos, which are not needed for ODS foams, real costs </w:t>
      </w:r>
      <w:r w:rsidR="00ED04A7">
        <w:rPr>
          <w:rFonts w:ascii="Times New Roman" w:hAnsi="Times New Roman" w:cs="Times New Roman"/>
          <w:noProof/>
          <w:sz w:val="24"/>
          <w:szCs w:val="24"/>
        </w:rPr>
        <w:t xml:space="preserve">for foam treatment </w:t>
      </w:r>
      <w:r w:rsidR="00693E82">
        <w:rPr>
          <w:rFonts w:ascii="Times New Roman" w:hAnsi="Times New Roman" w:cs="Times New Roman"/>
          <w:noProof/>
          <w:sz w:val="24"/>
          <w:szCs w:val="24"/>
        </w:rPr>
        <w:t xml:space="preserve">would be lower and </w:t>
      </w:r>
      <w:r w:rsidR="003E6732">
        <w:rPr>
          <w:rFonts w:ascii="Times New Roman" w:hAnsi="Times New Roman" w:cs="Times New Roman"/>
          <w:noProof/>
          <w:sz w:val="24"/>
          <w:szCs w:val="24"/>
        </w:rPr>
        <w:t xml:space="preserve">therefore </w:t>
      </w:r>
      <w:r w:rsidR="00693E82">
        <w:rPr>
          <w:rFonts w:ascii="Times New Roman" w:hAnsi="Times New Roman" w:cs="Times New Roman"/>
          <w:noProof/>
          <w:sz w:val="24"/>
          <w:szCs w:val="24"/>
        </w:rPr>
        <w:t>well below costs considered proportionate as abatement costs to reach carbon neutrality by 2050</w:t>
      </w:r>
      <w:r w:rsidR="00ED04A7">
        <w:rPr>
          <w:rFonts w:ascii="Times New Roman" w:hAnsi="Times New Roman" w:cs="Times New Roman"/>
          <w:noProof/>
          <w:sz w:val="24"/>
          <w:szCs w:val="24"/>
        </w:rPr>
        <w:t>.</w:t>
      </w:r>
      <w:r w:rsidR="00693E82">
        <w:rPr>
          <w:rStyle w:val="FootnoteReference"/>
          <w:rFonts w:ascii="Times New Roman" w:hAnsi="Times New Roman" w:cs="Times New Roman"/>
          <w:noProof/>
          <w:sz w:val="24"/>
          <w:szCs w:val="24"/>
        </w:rPr>
        <w:footnoteReference w:id="68"/>
      </w:r>
      <w:r w:rsidR="00C43E31">
        <w:rPr>
          <w:rFonts w:ascii="Times New Roman" w:hAnsi="Times New Roman" w:cs="Times New Roman"/>
          <w:noProof/>
          <w:sz w:val="24"/>
          <w:szCs w:val="24"/>
        </w:rPr>
        <w:t xml:space="preserve"> Finally, many countries for which costs on foam separation are not available, such as Eastern countries, have a relatively low share of the ODS foams bank as their use was not as widespread as in Northern and Western Europe. </w:t>
      </w:r>
    </w:p>
    <w:p w14:paraId="05ACF48C"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Some authorities raised concerns regarding costs</w:t>
      </w:r>
      <w:r w:rsidR="00596987">
        <w:rPr>
          <w:rFonts w:ascii="Times New Roman" w:hAnsi="Times New Roman" w:cs="Times New Roman"/>
          <w:noProof/>
          <w:sz w:val="24"/>
          <w:szCs w:val="24"/>
        </w:rPr>
        <w:t xml:space="preserve"> of this measure</w:t>
      </w:r>
      <w:r w:rsidRPr="00A14107">
        <w:rPr>
          <w:rFonts w:ascii="Times New Roman" w:hAnsi="Times New Roman" w:cs="Times New Roman"/>
          <w:noProof/>
          <w:sz w:val="24"/>
          <w:szCs w:val="24"/>
        </w:rPr>
        <w:t>. The costs would in all likelihood</w:t>
      </w:r>
      <w:r w:rsidRPr="00A14107" w:rsidDel="00013A7F">
        <w:rPr>
          <w:rFonts w:ascii="Times New Roman" w:hAnsi="Times New Roman" w:cs="Times New Roman"/>
          <w:noProof/>
          <w:sz w:val="24"/>
          <w:szCs w:val="24"/>
        </w:rPr>
        <w:t xml:space="preserve"> </w:t>
      </w:r>
      <w:r w:rsidRPr="00A14107">
        <w:rPr>
          <w:rFonts w:ascii="Times New Roman" w:hAnsi="Times New Roman" w:cs="Times New Roman"/>
          <w:noProof/>
          <w:sz w:val="24"/>
          <w:szCs w:val="24"/>
        </w:rPr>
        <w:t>be borne by building owners</w:t>
      </w:r>
      <w:r w:rsidR="003C411C">
        <w:rPr>
          <w:rFonts w:ascii="Times New Roman" w:hAnsi="Times New Roman" w:cs="Times New Roman"/>
          <w:noProof/>
          <w:sz w:val="24"/>
          <w:szCs w:val="24"/>
        </w:rPr>
        <w:t xml:space="preserve"> undertaking substantial overhaul or refurbishment activit</w:t>
      </w:r>
      <w:r w:rsidR="000F2EE6">
        <w:rPr>
          <w:rFonts w:ascii="Times New Roman" w:hAnsi="Times New Roman" w:cs="Times New Roman"/>
          <w:noProof/>
          <w:sz w:val="24"/>
          <w:szCs w:val="24"/>
        </w:rPr>
        <w:t>i</w:t>
      </w:r>
      <w:r w:rsidR="003C411C">
        <w:rPr>
          <w:rFonts w:ascii="Times New Roman" w:hAnsi="Times New Roman" w:cs="Times New Roman"/>
          <w:noProof/>
          <w:sz w:val="24"/>
          <w:szCs w:val="24"/>
        </w:rPr>
        <w:t>es</w:t>
      </w:r>
      <w:r w:rsidRPr="00A14107">
        <w:rPr>
          <w:rFonts w:ascii="Times New Roman" w:hAnsi="Times New Roman" w:cs="Times New Roman"/>
          <w:noProof/>
          <w:sz w:val="24"/>
          <w:szCs w:val="24"/>
        </w:rPr>
        <w:t>, as demolition/renovation contractors are expected to pass these on. Thus</w:t>
      </w:r>
      <w:r w:rsidRPr="00A14107" w:rsidDel="00013A7F">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they are distributed over a large number of persons and the additional costs compared to the overall costs of demolishing or refurbishing the building would tend to be rather small</w:t>
      </w:r>
      <w:r w:rsidR="005E31F6">
        <w:rPr>
          <w:rFonts w:ascii="Times New Roman" w:hAnsi="Times New Roman" w:cs="Times New Roman"/>
          <w:noProof/>
          <w:sz w:val="24"/>
          <w:szCs w:val="24"/>
        </w:rPr>
        <w:t>. R</w:t>
      </w:r>
      <w:r w:rsidRPr="00A14107">
        <w:rPr>
          <w:rFonts w:ascii="Times New Roman" w:hAnsi="Times New Roman" w:cs="Times New Roman"/>
          <w:noProof/>
          <w:sz w:val="24"/>
          <w:szCs w:val="24"/>
        </w:rPr>
        <w:t xml:space="preserve">eal estate prices are not expected to be affected by the requirement. </w:t>
      </w:r>
      <w:r w:rsidR="003C411C">
        <w:rPr>
          <w:rFonts w:ascii="Times New Roman" w:hAnsi="Times New Roman" w:cs="Times New Roman"/>
          <w:noProof/>
          <w:sz w:val="24"/>
          <w:szCs w:val="24"/>
        </w:rPr>
        <w:t>As for small, vulnerable consumers, replacement of foams is not usually linked to necessary maintenance or emergency reparations.</w:t>
      </w:r>
    </w:p>
    <w:p w14:paraId="572E63F1"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This measure is expected to spur innovation and R&amp;D </w:t>
      </w:r>
      <w:r w:rsidRPr="00A14107">
        <w:rPr>
          <w:rFonts w:ascii="Times New Roman" w:hAnsi="Times New Roman" w:cs="Times New Roman"/>
          <w:noProof/>
          <w:sz w:val="24"/>
          <w:szCs w:val="24"/>
        </w:rPr>
        <w:t xml:space="preserve">on demolition, reclamation and recycling technologies, according to the experts consulted. This would in turn yield better and cheaper ways of ensuring recovery and support the aims of a circular economy. The measure may create some additional need for training specialised personnel in the relevant companies, which are often SMEs. </w:t>
      </w:r>
      <w:r w:rsidR="00F84311">
        <w:rPr>
          <w:rFonts w:ascii="Times New Roman" w:hAnsi="Times New Roman" w:cs="Times New Roman"/>
          <w:noProof/>
          <w:sz w:val="24"/>
          <w:szCs w:val="24"/>
        </w:rPr>
        <w:t>On the other hand</w:t>
      </w:r>
      <w:r w:rsidRPr="00A14107">
        <w:rPr>
          <w:rFonts w:ascii="Times New Roman" w:hAnsi="Times New Roman" w:cs="Times New Roman"/>
          <w:noProof/>
          <w:sz w:val="24"/>
          <w:szCs w:val="24"/>
        </w:rPr>
        <w:t>, as a result</w:t>
      </w:r>
      <w:r w:rsidR="00F84311">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there may be positive effects on employment</w:t>
      </w:r>
      <w:r w:rsidRPr="00A14107">
        <w:rPr>
          <w:rFonts w:ascii="Times New Roman" w:hAnsi="Times New Roman" w:cs="Times New Roman"/>
          <w:noProof/>
          <w:sz w:val="24"/>
          <w:szCs w:val="24"/>
        </w:rPr>
        <w:t xml:space="preserve"> due to the labour-intensiveness of the decommissioning process and the need for more treatment capacity for these types of wastes. Using the current revenue-to-employee ratios by a typical recycling plant treating foams in fridges, this could be extrapolated to 215 FTEs for scenario 1, and close to 2400 FTEs for scenario 2. Positive knock-on effects on the efficiency of refrigerator recycling from these activities is also expected.</w:t>
      </w:r>
    </w:p>
    <w:p w14:paraId="29BD0086" w14:textId="77777777" w:rsidR="00A14107" w:rsidRPr="00A14107" w:rsidRDefault="00A14107" w:rsidP="006578FA">
      <w:pPr>
        <w:keepNext/>
        <w:numPr>
          <w:ilvl w:val="2"/>
          <w:numId w:val="0"/>
        </w:numPr>
        <w:spacing w:after="120" w:line="240" w:lineRule="auto"/>
        <w:ind w:left="993" w:hanging="437"/>
        <w:jc w:val="both"/>
        <w:outlineLvl w:val="2"/>
        <w:rPr>
          <w:rFonts w:ascii="Times New Roman" w:eastAsia="Times New Roman" w:hAnsi="Times New Roman" w:cs="Times New Roman"/>
          <w:bCs/>
          <w:i/>
          <w:noProof/>
          <w:sz w:val="24"/>
          <w:szCs w:val="24"/>
        </w:rPr>
      </w:pPr>
      <w:bookmarkStart w:id="172" w:name="_Toc71559417"/>
      <w:bookmarkStart w:id="173" w:name="_Toc71707046"/>
      <w:bookmarkStart w:id="174" w:name="_Toc71708232"/>
      <w:bookmarkStart w:id="175" w:name="_Toc71710964"/>
      <w:bookmarkStart w:id="176" w:name="_Toc72399366"/>
      <w:r w:rsidRPr="00A14107">
        <w:rPr>
          <w:rFonts w:ascii="Times New Roman" w:eastAsia="Times New Roman" w:hAnsi="Times New Roman" w:cs="Times New Roman"/>
          <w:i/>
          <w:noProof/>
          <w:sz w:val="24"/>
          <w:szCs w:val="20"/>
        </w:rPr>
        <w:t>A2. Introduce a negative list for chemical production processes where alternatives exist</w:t>
      </w:r>
      <w:bookmarkEnd w:id="172"/>
      <w:bookmarkEnd w:id="173"/>
      <w:bookmarkEnd w:id="174"/>
      <w:bookmarkEnd w:id="175"/>
      <w:bookmarkEnd w:id="176"/>
    </w:p>
    <w:p w14:paraId="52C9E4B4" w14:textId="77777777" w:rsidR="00A14107" w:rsidRPr="00A14107" w:rsidRDefault="00A14107" w:rsidP="005E31F6">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The environmental benefits of this measure are </w:t>
      </w:r>
      <w:r w:rsidR="007E5BD2">
        <w:rPr>
          <w:rFonts w:ascii="Times New Roman" w:hAnsi="Times New Roman" w:cs="Times New Roman"/>
          <w:b/>
          <w:noProof/>
          <w:sz w:val="24"/>
          <w:szCs w:val="24"/>
        </w:rPr>
        <w:t>uncertain</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While the identified processes where alternatives appear to be available</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 xml:space="preserve">represent 38% of all ODS used for feedstock in the EU in metric tonnes, they represent only 1.6% of total feedstock emissions in ODP, according to data reported by industry. The yearly savings possible are therefore below 1 tODP (or less than 10,000 tCO2e). In addition, there may, according to a number of industry stakeholders, be (i) higher energy costs of alternative production systems (e.g. due to higher temperature processes for the alternative production of TFE), (ii) an increased risk of other greenhouse gases such as HFC-23 being emitted and a less efficient process resulting in unwanted by-products (TFE production), and (iii) less efficient use of an existing by-product from other processes (CTC) which would have no other use and require incineration (PCE production), which all result in negative environmental impacts. Accordingly, businesses expressed strong concerns on the technical and economic feasibility of the alternative pathways. Finally, if negative listing of these processes leads to the relocation of chemical production facilities outside the EU, any emissions benefits may not be realised at all, as the emission controls at non-EU facilities are frequently lower. </w:t>
      </w:r>
    </w:p>
    <w:p w14:paraId="2657A6EF"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measure could result in very significant economic costs</w:t>
      </w:r>
      <w:r w:rsidR="0088564C">
        <w:rPr>
          <w:rFonts w:ascii="Times New Roman" w:hAnsi="Times New Roman" w:cs="Times New Roman"/>
          <w:b/>
          <w:noProof/>
          <w:sz w:val="24"/>
          <w:szCs w:val="24"/>
        </w:rPr>
        <w:t xml:space="preserve"> for the companies involved</w:t>
      </w:r>
      <w:r w:rsidRPr="00A14107">
        <w:rPr>
          <w:rFonts w:ascii="Times New Roman" w:hAnsi="Times New Roman" w:cs="Times New Roman"/>
          <w:b/>
          <w:noProof/>
          <w:sz w:val="24"/>
          <w:szCs w:val="24"/>
        </w:rPr>
        <w:t xml:space="preserve"> and negative effects on employment. </w:t>
      </w:r>
      <w:r w:rsidRPr="00A14107">
        <w:rPr>
          <w:rFonts w:ascii="Times New Roman" w:hAnsi="Times New Roman" w:cs="Times New Roman"/>
          <w:noProof/>
          <w:sz w:val="24"/>
          <w:szCs w:val="24"/>
        </w:rPr>
        <w:t>By way of example, a major TFE producer</w:t>
      </w:r>
      <w:r w:rsidRPr="00A14107">
        <w:rPr>
          <w:noProof/>
          <w:sz w:val="24"/>
          <w:szCs w:val="24"/>
          <w:vertAlign w:val="superscript"/>
        </w:rPr>
        <w:footnoteReference w:id="69"/>
      </w:r>
      <w:r w:rsidRPr="00A14107">
        <w:rPr>
          <w:rFonts w:ascii="Times New Roman" w:hAnsi="Times New Roman" w:cs="Times New Roman"/>
          <w:noProof/>
          <w:sz w:val="24"/>
          <w:szCs w:val="24"/>
        </w:rPr>
        <w:t xml:space="preserve"> claims that an annual €500 million value-added production line is entirely dependent on the pathway using HCFC-22 involving employment for 1600 persons. A change to a different process would involve “hundreds of million €” of investment, so that it is likely that production of TFE would be moved outside of the EU instead of the company investing in alternative processes. Stakeholders pointed out that relocation outside </w:t>
      </w:r>
      <w:r w:rsidR="00F84311">
        <w:rPr>
          <w:rFonts w:ascii="Times New Roman" w:hAnsi="Times New Roman" w:cs="Times New Roman"/>
          <w:noProof/>
          <w:sz w:val="24"/>
          <w:szCs w:val="24"/>
        </w:rPr>
        <w:t>of</w:t>
      </w:r>
      <w:r w:rsidR="00F84311"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 EU would also lead to a loss of jobs in industries that are relevant in terms of added-value and employment.</w:t>
      </w:r>
      <w:r w:rsidRPr="00A14107">
        <w:rPr>
          <w:noProof/>
          <w:szCs w:val="20"/>
        </w:rPr>
        <w:t xml:space="preserve"> </w:t>
      </w:r>
      <w:r w:rsidRPr="00A14107">
        <w:rPr>
          <w:rFonts w:ascii="Times New Roman" w:hAnsi="Times New Roman" w:cs="Times New Roman"/>
          <w:noProof/>
          <w:sz w:val="24"/>
          <w:szCs w:val="24"/>
        </w:rPr>
        <w:t>As regards PCE production</w:t>
      </w:r>
      <w:r w:rsidRPr="00A14107">
        <w:rPr>
          <w:noProof/>
          <w:sz w:val="24"/>
          <w:szCs w:val="24"/>
          <w:vertAlign w:val="superscript"/>
        </w:rPr>
        <w:footnoteReference w:id="70"/>
      </w:r>
      <w:r w:rsidRPr="00A14107">
        <w:rPr>
          <w:rFonts w:ascii="Times New Roman" w:hAnsi="Times New Roman" w:cs="Times New Roman"/>
          <w:noProof/>
          <w:sz w:val="24"/>
          <w:szCs w:val="24"/>
        </w:rPr>
        <w:t>, an offshoring of production as a result of the policy measures appears less likely, but additional costs for producers would arise from having to incinerat</w:t>
      </w:r>
      <w:r w:rsidR="009967B0">
        <w:rPr>
          <w:rFonts w:ascii="Times New Roman" w:hAnsi="Times New Roman" w:cs="Times New Roman"/>
          <w:noProof/>
          <w:sz w:val="24"/>
          <w:szCs w:val="24"/>
        </w:rPr>
        <w:t>e</w:t>
      </w:r>
      <w:r w:rsidRPr="00A14107">
        <w:rPr>
          <w:rFonts w:ascii="Times New Roman" w:hAnsi="Times New Roman" w:cs="Times New Roman"/>
          <w:noProof/>
          <w:sz w:val="24"/>
          <w:szCs w:val="24"/>
        </w:rPr>
        <w:t>, rather than consume CTC from by-production, and for having to purify the chloromethane flow. Member States would incur some additional costs for inspections. Industry stakeholders suggested instead to consider more cost-effective policy options for this sector such as setting emission limits under the IED.</w:t>
      </w:r>
      <w:r w:rsidR="0088564C">
        <w:rPr>
          <w:rFonts w:ascii="Times New Roman" w:hAnsi="Times New Roman" w:cs="Times New Roman"/>
          <w:noProof/>
          <w:sz w:val="24"/>
          <w:szCs w:val="24"/>
        </w:rPr>
        <w:t xml:space="preserve"> The latter may require additional measures to reduce emission losses to stay within the limits according to best practices, but would not require scrapping of the whole production line as would a prohibition of use.</w:t>
      </w:r>
    </w:p>
    <w:p w14:paraId="0BABD4A0" w14:textId="77777777" w:rsidR="00A14107" w:rsidRPr="00A14107" w:rsidRDefault="00A14107" w:rsidP="005E31F6">
      <w:pPr>
        <w:keepNext/>
        <w:numPr>
          <w:ilvl w:val="2"/>
          <w:numId w:val="0"/>
        </w:numPr>
        <w:spacing w:after="120" w:line="240" w:lineRule="auto"/>
        <w:ind w:left="993" w:hanging="437"/>
        <w:jc w:val="both"/>
        <w:outlineLvl w:val="2"/>
        <w:rPr>
          <w:rFonts w:ascii="Times New Roman" w:eastAsia="Times New Roman" w:hAnsi="Times New Roman" w:cs="Times New Roman"/>
          <w:bCs/>
          <w:i/>
          <w:noProof/>
          <w:sz w:val="24"/>
          <w:szCs w:val="24"/>
        </w:rPr>
      </w:pPr>
      <w:bookmarkStart w:id="177" w:name="_Toc71559418"/>
      <w:bookmarkStart w:id="178" w:name="_Toc71707047"/>
      <w:bookmarkStart w:id="179" w:name="_Toc71708233"/>
      <w:bookmarkStart w:id="180" w:name="_Toc71710965"/>
      <w:bookmarkStart w:id="181" w:name="_Toc72399367"/>
      <w:r w:rsidRPr="00A14107">
        <w:rPr>
          <w:rFonts w:ascii="Times New Roman" w:eastAsia="Times New Roman" w:hAnsi="Times New Roman" w:cs="Times New Roman"/>
          <w:i/>
          <w:noProof/>
          <w:sz w:val="24"/>
          <w:szCs w:val="20"/>
        </w:rPr>
        <w:t>A3. Move forward prohibition dates for equipment using halons</w:t>
      </w:r>
      <w:bookmarkEnd w:id="177"/>
      <w:bookmarkEnd w:id="178"/>
      <w:bookmarkEnd w:id="179"/>
      <w:bookmarkEnd w:id="180"/>
      <w:bookmarkEnd w:id="181"/>
    </w:p>
    <w:p w14:paraId="5A08C1A2" w14:textId="77777777" w:rsidR="00A14107" w:rsidRPr="00A14107" w:rsidRDefault="00A14107" w:rsidP="0054427D">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measure may achieve some emission savings.</w:t>
      </w:r>
      <w:r w:rsidRPr="00A14107">
        <w:rPr>
          <w:rFonts w:ascii="Times New Roman" w:hAnsi="Times New Roman" w:cs="Times New Roman"/>
          <w:noProof/>
          <w:sz w:val="24"/>
          <w:szCs w:val="24"/>
        </w:rPr>
        <w:t xml:space="preserve"> The emissions of critical use halons where a suitable alternative is available for retrofit of equipment are estimated at 6.9 ODPt in 2030. This would theoretically provide total savings of ca. 35 tODP by </w:t>
      </w:r>
      <w:r w:rsidR="009967B0">
        <w:rPr>
          <w:rFonts w:ascii="Times New Roman" w:hAnsi="Times New Roman" w:cs="Times New Roman"/>
          <w:noProof/>
          <w:sz w:val="24"/>
          <w:szCs w:val="24"/>
        </w:rPr>
        <w:t>bringing forward</w:t>
      </w:r>
      <w:r w:rsidRPr="00A14107">
        <w:rPr>
          <w:rFonts w:ascii="Times New Roman" w:hAnsi="Times New Roman" w:cs="Times New Roman"/>
          <w:noProof/>
          <w:sz w:val="24"/>
          <w:szCs w:val="24"/>
        </w:rPr>
        <w:t xml:space="preserve"> the prohibitions by 5 years (or roughly 44,000 tCO2e for the whole period), but it is likely that the military users concerned will gradually retrofit or replace the equipment in advance of the 2035 ‘end date’ following their regular replacement schedules, so that real savings are likely to be lower. While some businesses and authorities agreed that this option may lead to emissions savings, an expert on the use of halons in military applications and member of HTOC indicated that the quantities in the halon bank as well as emissions are low compared to other relevant ODS emission sources.</w:t>
      </w:r>
    </w:p>
    <w:p w14:paraId="1CF956F2"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High economic impacts for the military </w:t>
      </w:r>
      <w:r w:rsidR="008E75AA">
        <w:rPr>
          <w:rFonts w:ascii="Times New Roman" w:hAnsi="Times New Roman" w:cs="Times New Roman"/>
          <w:b/>
          <w:noProof/>
          <w:sz w:val="24"/>
          <w:szCs w:val="24"/>
        </w:rPr>
        <w:t xml:space="preserve">are </w:t>
      </w:r>
      <w:r w:rsidRPr="00A14107">
        <w:rPr>
          <w:rFonts w:ascii="Times New Roman" w:hAnsi="Times New Roman" w:cs="Times New Roman"/>
          <w:b/>
          <w:noProof/>
          <w:sz w:val="24"/>
          <w:szCs w:val="24"/>
        </w:rPr>
        <w:t>likely.</w:t>
      </w:r>
      <w:r w:rsidRPr="00A14107">
        <w:rPr>
          <w:rFonts w:ascii="Times New Roman" w:hAnsi="Times New Roman" w:cs="Times New Roman"/>
          <w:noProof/>
          <w:sz w:val="24"/>
          <w:szCs w:val="24"/>
        </w:rPr>
        <w:t xml:space="preserve"> </w:t>
      </w:r>
      <w:r w:rsidRPr="00A14107">
        <w:rPr>
          <w:rFonts w:ascii="Times New Roman" w:eastAsia="Arial" w:hAnsi="Times New Roman" w:cs="Times New Roman"/>
          <w:noProof/>
          <w:sz w:val="24"/>
          <w:szCs w:val="24"/>
        </w:rPr>
        <w:t xml:space="preserve">Authorities pointed out the potentially high costs for the military to switch from halons and highlighted the importance of halons for existing defence material and maintenance contracts. </w:t>
      </w:r>
      <w:r w:rsidRPr="00A14107">
        <w:rPr>
          <w:rFonts w:ascii="Times New Roman" w:hAnsi="Times New Roman" w:cs="Times New Roman"/>
          <w:noProof/>
          <w:sz w:val="24"/>
          <w:szCs w:val="24"/>
        </w:rPr>
        <w:t xml:space="preserve">If the Member State is simply advancing the retrofitting of existing equipment, it could simply be a matter of </w:t>
      </w:r>
      <w:r w:rsidR="008E75AA">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 xml:space="preserve">timing of the costs, while </w:t>
      </w:r>
      <w:r w:rsidR="008E75AA">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 xml:space="preserve">overall the costs </w:t>
      </w:r>
      <w:r w:rsidR="008E75AA">
        <w:rPr>
          <w:rFonts w:ascii="Times New Roman" w:hAnsi="Times New Roman" w:cs="Times New Roman"/>
          <w:noProof/>
          <w:sz w:val="24"/>
          <w:szCs w:val="24"/>
        </w:rPr>
        <w:t xml:space="preserve">in fact </w:t>
      </w:r>
      <w:r w:rsidRPr="00A14107">
        <w:rPr>
          <w:rFonts w:ascii="Times New Roman" w:hAnsi="Times New Roman" w:cs="Times New Roman"/>
          <w:noProof/>
          <w:sz w:val="24"/>
          <w:szCs w:val="24"/>
        </w:rPr>
        <w:t>stay the same. However, if the intention is to scrap the vehicle or ship between 2030 and 2035, additional costs</w:t>
      </w:r>
      <w:r w:rsidR="008E75AA">
        <w:rPr>
          <w:rFonts w:ascii="Times New Roman" w:hAnsi="Times New Roman" w:cs="Times New Roman"/>
          <w:noProof/>
          <w:sz w:val="24"/>
          <w:szCs w:val="24"/>
        </w:rPr>
        <w:t xml:space="preserve"> would be involved</w:t>
      </w:r>
      <w:r w:rsidRPr="00A14107">
        <w:rPr>
          <w:rFonts w:ascii="Times New Roman" w:hAnsi="Times New Roman" w:cs="Times New Roman"/>
          <w:noProof/>
          <w:sz w:val="24"/>
          <w:szCs w:val="24"/>
        </w:rPr>
        <w:t xml:space="preserve"> to either retrofit the equipment before 2030 or to advance the scrapping to before 2030. It </w:t>
      </w:r>
      <w:r w:rsidR="008E75AA">
        <w:rPr>
          <w:rFonts w:ascii="Times New Roman" w:hAnsi="Times New Roman" w:cs="Times New Roman"/>
          <w:noProof/>
          <w:sz w:val="24"/>
          <w:szCs w:val="24"/>
        </w:rPr>
        <w:t>h</w:t>
      </w:r>
      <w:r w:rsidRPr="00A14107">
        <w:rPr>
          <w:rFonts w:ascii="Times New Roman" w:hAnsi="Times New Roman" w:cs="Times New Roman"/>
          <w:noProof/>
          <w:sz w:val="24"/>
          <w:szCs w:val="24"/>
        </w:rPr>
        <w:t xml:space="preserve">as not been possible to get information from Member States that would allow an estimation of such additional costs. However, to provide an indication of the magnitude on the basis of information received from one </w:t>
      </w:r>
      <w:r w:rsidR="00E02447">
        <w:rPr>
          <w:rFonts w:ascii="Times New Roman" w:hAnsi="Times New Roman" w:cs="Times New Roman"/>
          <w:noProof/>
          <w:sz w:val="24"/>
          <w:szCs w:val="24"/>
        </w:rPr>
        <w:t>Member State</w:t>
      </w:r>
      <w:r w:rsidR="00E02447">
        <w:rPr>
          <w:rStyle w:val="FootnoteReference"/>
          <w:rFonts w:ascii="Times New Roman" w:hAnsi="Times New Roman" w:cs="Times New Roman"/>
          <w:noProof/>
          <w:sz w:val="24"/>
          <w:szCs w:val="24"/>
        </w:rPr>
        <w:footnoteReference w:id="71"/>
      </w:r>
      <w:r w:rsidRPr="00A14107">
        <w:rPr>
          <w:rFonts w:ascii="Times New Roman" w:hAnsi="Times New Roman" w:cs="Times New Roman"/>
          <w:noProof/>
          <w:sz w:val="24"/>
          <w:szCs w:val="24"/>
        </w:rPr>
        <w:t xml:space="preserve">, the total expense for retrofitting fire protection systems for all their current military vehicles and ships with halons could be in the order of EUR 15 million for vehicles and EUR 0.5 million for ships. Assuming that other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s are in a similar situation and assuming that only a share of their total fleet with halons would undergo additional retrofitting, possible costs for the additional retrofitting could be at least in the tens of million</w:t>
      </w:r>
      <w:r w:rsidR="009260B0">
        <w:rPr>
          <w:rFonts w:ascii="Times New Roman" w:hAnsi="Times New Roman" w:cs="Times New Roman"/>
          <w:noProof/>
          <w:sz w:val="24"/>
          <w:szCs w:val="24"/>
        </w:rPr>
        <w:t>s of</w:t>
      </w:r>
      <w:r w:rsidRPr="00A14107">
        <w:rPr>
          <w:rFonts w:ascii="Times New Roman" w:hAnsi="Times New Roman" w:cs="Times New Roman"/>
          <w:noProof/>
          <w:sz w:val="24"/>
          <w:szCs w:val="24"/>
        </w:rPr>
        <w:t xml:space="preserve"> euros in total</w:t>
      </w:r>
      <w:r w:rsidRPr="00A14107">
        <w:rPr>
          <w:noProof/>
          <w:sz w:val="24"/>
          <w:szCs w:val="24"/>
          <w:vertAlign w:val="superscript"/>
        </w:rPr>
        <w:footnoteReference w:id="72"/>
      </w:r>
      <w:r w:rsidRPr="00A14107">
        <w:rPr>
          <w:rFonts w:ascii="Times New Roman" w:hAnsi="Times New Roman" w:cs="Times New Roman"/>
          <w:noProof/>
          <w:sz w:val="24"/>
          <w:szCs w:val="24"/>
        </w:rPr>
        <w:t>. Abatement costs were determined as €1,265,000/tODP or €203/tCO2e. In addition to this</w:t>
      </w:r>
      <w:r w:rsidR="009260B0">
        <w:rPr>
          <w:rFonts w:ascii="Times New Roman" w:hAnsi="Times New Roman" w:cs="Times New Roman"/>
          <w:noProof/>
          <w:sz w:val="24"/>
          <w:szCs w:val="24"/>
        </w:rPr>
        <w:t>,</w:t>
      </w:r>
      <w:r w:rsidRPr="00A14107">
        <w:rPr>
          <w:rFonts w:ascii="Times New Roman" w:hAnsi="Times New Roman" w:cs="Times New Roman"/>
          <w:noProof/>
          <w:sz w:val="24"/>
          <w:szCs w:val="24"/>
        </w:rPr>
        <w:t xml:space="preserve"> higher depreciation costs related to early scrapping</w:t>
      </w:r>
      <w:r w:rsidR="009260B0">
        <w:rPr>
          <w:rFonts w:ascii="Times New Roman" w:hAnsi="Times New Roman" w:cs="Times New Roman"/>
          <w:noProof/>
          <w:sz w:val="24"/>
          <w:szCs w:val="24"/>
        </w:rPr>
        <w:t xml:space="preserve"> must be considered</w:t>
      </w:r>
      <w:r w:rsidRPr="00A14107">
        <w:rPr>
          <w:rFonts w:ascii="Times New Roman" w:hAnsi="Times New Roman" w:cs="Times New Roman"/>
          <w:noProof/>
          <w:sz w:val="24"/>
          <w:szCs w:val="24"/>
        </w:rPr>
        <w:t>. One competent authority believed that this option could have negative impacts on the capabilities of defence forces and the safety of soldiers as a result.</w:t>
      </w:r>
    </w:p>
    <w:p w14:paraId="24893564" w14:textId="77777777" w:rsidR="00A14107" w:rsidRPr="00A14107" w:rsidRDefault="00A14107" w:rsidP="005E31F6">
      <w:pPr>
        <w:keepNext/>
        <w:numPr>
          <w:ilvl w:val="2"/>
          <w:numId w:val="0"/>
        </w:numPr>
        <w:spacing w:after="120" w:line="240" w:lineRule="auto"/>
        <w:ind w:left="993" w:hanging="437"/>
        <w:jc w:val="both"/>
        <w:outlineLvl w:val="2"/>
        <w:rPr>
          <w:rFonts w:ascii="Times New Roman" w:eastAsia="Times New Roman" w:hAnsi="Times New Roman" w:cs="Times New Roman"/>
          <w:i/>
          <w:noProof/>
          <w:sz w:val="24"/>
          <w:szCs w:val="24"/>
        </w:rPr>
      </w:pPr>
      <w:bookmarkStart w:id="182" w:name="_Toc71559419"/>
      <w:bookmarkStart w:id="183" w:name="_Toc71707048"/>
      <w:bookmarkStart w:id="184" w:name="_Toc71708234"/>
      <w:bookmarkStart w:id="185" w:name="_Toc71710966"/>
      <w:bookmarkStart w:id="186" w:name="_Toc72399368"/>
      <w:r w:rsidRPr="00A14107">
        <w:rPr>
          <w:rFonts w:ascii="Times New Roman" w:eastAsia="Times New Roman" w:hAnsi="Times New Roman" w:cs="Times New Roman"/>
          <w:i/>
          <w:noProof/>
          <w:sz w:val="24"/>
          <w:szCs w:val="20"/>
        </w:rPr>
        <w:t>A4. Prohibit the destruction of halons</w:t>
      </w:r>
      <w:bookmarkEnd w:id="182"/>
      <w:bookmarkEnd w:id="183"/>
      <w:bookmarkEnd w:id="184"/>
      <w:bookmarkEnd w:id="185"/>
      <w:bookmarkEnd w:id="186"/>
    </w:p>
    <w:p w14:paraId="3ED20F00" w14:textId="77777777" w:rsidR="00A14107" w:rsidRPr="00A14107" w:rsidRDefault="00A14107" w:rsidP="005E31F6">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A positive environmental impact </w:t>
      </w:r>
      <w:r w:rsidR="00EC0215">
        <w:rPr>
          <w:rFonts w:ascii="Times New Roman" w:hAnsi="Times New Roman" w:cs="Times New Roman"/>
          <w:b/>
          <w:noProof/>
          <w:sz w:val="24"/>
          <w:szCs w:val="24"/>
        </w:rPr>
        <w:t>will be</w:t>
      </w:r>
      <w:r w:rsidR="00EC0215" w:rsidRPr="00A14107">
        <w:rPr>
          <w:rFonts w:ascii="Times New Roman" w:hAnsi="Times New Roman" w:cs="Times New Roman"/>
          <w:b/>
          <w:noProof/>
          <w:sz w:val="24"/>
          <w:szCs w:val="24"/>
        </w:rPr>
        <w:t xml:space="preserve"> </w:t>
      </w:r>
      <w:r w:rsidRPr="00A14107">
        <w:rPr>
          <w:rFonts w:ascii="Times New Roman" w:hAnsi="Times New Roman" w:cs="Times New Roman"/>
          <w:b/>
          <w:noProof/>
          <w:sz w:val="24"/>
          <w:szCs w:val="24"/>
        </w:rPr>
        <w:t>achieved</w:t>
      </w:r>
      <w:r w:rsidRPr="00A14107">
        <w:rPr>
          <w:rFonts w:ascii="Times New Roman" w:hAnsi="Times New Roman" w:cs="Times New Roman"/>
          <w:noProof/>
          <w:sz w:val="24"/>
          <w:szCs w:val="24"/>
        </w:rPr>
        <w:t xml:space="preserve"> from the avoidance of new production of halons in the future</w:t>
      </w:r>
      <w:r w:rsidR="00EC0215">
        <w:rPr>
          <w:rFonts w:ascii="Times New Roman" w:hAnsi="Times New Roman" w:cs="Times New Roman"/>
          <w:noProof/>
          <w:sz w:val="24"/>
          <w:szCs w:val="24"/>
        </w:rPr>
        <w:t>.</w:t>
      </w:r>
      <w:r w:rsidRPr="00A14107">
        <w:rPr>
          <w:noProof/>
          <w:sz w:val="24"/>
          <w:szCs w:val="24"/>
          <w:vertAlign w:val="superscript"/>
        </w:rPr>
        <w:footnoteReference w:id="73"/>
      </w:r>
      <w:r w:rsidRPr="00A14107">
        <w:rPr>
          <w:rFonts w:ascii="Times New Roman" w:hAnsi="Times New Roman" w:cs="Times New Roman"/>
          <w:noProof/>
          <w:sz w:val="24"/>
          <w:szCs w:val="24"/>
        </w:rPr>
        <w:t xml:space="preserve"> </w:t>
      </w:r>
      <w:r w:rsidR="00EC0215">
        <w:rPr>
          <w:rFonts w:ascii="Times New Roman" w:hAnsi="Times New Roman" w:cs="Times New Roman"/>
          <w:noProof/>
          <w:sz w:val="24"/>
          <w:szCs w:val="24"/>
        </w:rPr>
        <w:t>D</w:t>
      </w:r>
      <w:r w:rsidRPr="00A14107">
        <w:rPr>
          <w:rFonts w:ascii="Times New Roman" w:hAnsi="Times New Roman" w:cs="Times New Roman"/>
          <w:noProof/>
          <w:sz w:val="24"/>
          <w:szCs w:val="24"/>
        </w:rPr>
        <w:t>ue to the continuing demand for critical uses at global level</w:t>
      </w:r>
      <w:r w:rsidR="00EC0215">
        <w:rPr>
          <w:rFonts w:ascii="Times New Roman" w:hAnsi="Times New Roman" w:cs="Times New Roman"/>
          <w:noProof/>
          <w:sz w:val="24"/>
          <w:szCs w:val="24"/>
        </w:rPr>
        <w:t>, this is unlikely to</w:t>
      </w:r>
      <w:r w:rsidRPr="00A14107">
        <w:rPr>
          <w:rFonts w:ascii="Times New Roman" w:hAnsi="Times New Roman" w:cs="Times New Roman"/>
          <w:noProof/>
          <w:sz w:val="24"/>
          <w:szCs w:val="24"/>
        </w:rPr>
        <w:t xml:space="preserve"> be guaranteed otherwise. </w:t>
      </w:r>
      <w:r w:rsidR="00EC0215">
        <w:rPr>
          <w:rFonts w:ascii="Times New Roman" w:hAnsi="Times New Roman" w:cs="Times New Roman"/>
          <w:noProof/>
          <w:sz w:val="24"/>
          <w:szCs w:val="24"/>
        </w:rPr>
        <w:t>Allowing</w:t>
      </w:r>
      <w:r w:rsidR="00EC0215"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production </w:t>
      </w:r>
      <w:r w:rsidR="000A224C">
        <w:rPr>
          <w:rFonts w:ascii="Times New Roman" w:hAnsi="Times New Roman" w:cs="Times New Roman"/>
          <w:noProof/>
          <w:sz w:val="24"/>
          <w:szCs w:val="24"/>
        </w:rPr>
        <w:t xml:space="preserve">in the future </w:t>
      </w:r>
      <w:r w:rsidRPr="00A14107">
        <w:rPr>
          <w:rFonts w:ascii="Times New Roman" w:hAnsi="Times New Roman" w:cs="Times New Roman"/>
          <w:noProof/>
          <w:sz w:val="24"/>
          <w:szCs w:val="24"/>
        </w:rPr>
        <w:t>would lead to additional emissions.</w:t>
      </w:r>
      <w:r w:rsidR="00E02447">
        <w:rPr>
          <w:rStyle w:val="FootnoteReference"/>
          <w:rFonts w:ascii="Times New Roman" w:hAnsi="Times New Roman" w:cs="Times New Roman"/>
          <w:noProof/>
          <w:sz w:val="24"/>
          <w:szCs w:val="24"/>
        </w:rPr>
        <w:footnoteReference w:id="74"/>
      </w:r>
      <w:r w:rsidRPr="00A14107">
        <w:rPr>
          <w:rFonts w:ascii="Times New Roman" w:hAnsi="Times New Roman" w:cs="Times New Roman"/>
          <w:noProof/>
          <w:sz w:val="24"/>
          <w:szCs w:val="24"/>
        </w:rPr>
        <w:t xml:space="preserve"> The EU annual</w:t>
      </w:r>
      <w:r w:rsidR="00E02447">
        <w:rPr>
          <w:rFonts w:ascii="Times New Roman" w:hAnsi="Times New Roman" w:cs="Times New Roman"/>
          <w:noProof/>
          <w:sz w:val="24"/>
          <w:szCs w:val="24"/>
        </w:rPr>
        <w:t xml:space="preserve"> demand is currently between 30–</w:t>
      </w:r>
      <w:r w:rsidRPr="00A14107">
        <w:rPr>
          <w:rFonts w:ascii="Times New Roman" w:hAnsi="Times New Roman" w:cs="Times New Roman"/>
          <w:noProof/>
          <w:sz w:val="24"/>
          <w:szCs w:val="24"/>
        </w:rPr>
        <w:t>40 metric tonnes, which would need to be replenished if stocks expire. Additional annual emissions linked to these quantities from production and use could be around 21 tODP or close to 15,000 tCO2e.</w:t>
      </w:r>
      <w:r w:rsidRPr="00A14107">
        <w:rPr>
          <w:noProof/>
          <w:sz w:val="24"/>
          <w:szCs w:val="24"/>
          <w:vertAlign w:val="superscript"/>
        </w:rPr>
        <w:footnoteReference w:id="75"/>
      </w:r>
      <w:r w:rsidRPr="00A14107">
        <w:rPr>
          <w:rFonts w:ascii="Times New Roman" w:hAnsi="Times New Roman" w:cs="Times New Roman"/>
          <w:noProof/>
          <w:sz w:val="24"/>
          <w:szCs w:val="24"/>
        </w:rPr>
        <w:t xml:space="preserve"> Further demand exists in many other countries in the world, which would need to be addressed in case of a global shortage, and which is likely to have much more important environmental impacts. By avoiding </w:t>
      </w:r>
      <w:r w:rsidR="00EC0215">
        <w:rPr>
          <w:rFonts w:ascii="Times New Roman" w:hAnsi="Times New Roman" w:cs="Times New Roman"/>
          <w:noProof/>
          <w:sz w:val="24"/>
          <w:szCs w:val="24"/>
        </w:rPr>
        <w:t>restarting</w:t>
      </w:r>
      <w:r w:rsidRPr="00A14107">
        <w:rPr>
          <w:rFonts w:ascii="Times New Roman" w:hAnsi="Times New Roman" w:cs="Times New Roman"/>
          <w:noProof/>
          <w:sz w:val="24"/>
          <w:szCs w:val="24"/>
        </w:rPr>
        <w:t xml:space="preserve"> production of halons, more efforts to prevent leaks from equipment globally is likely</w:t>
      </w:r>
      <w:r w:rsidR="005E31F6">
        <w:rPr>
          <w:rFonts w:ascii="Times New Roman" w:hAnsi="Times New Roman" w:cs="Times New Roman"/>
          <w:noProof/>
          <w:sz w:val="24"/>
          <w:szCs w:val="24"/>
        </w:rPr>
        <w:t xml:space="preserve"> as well as </w:t>
      </w:r>
      <w:r w:rsidR="00EC0215">
        <w:rPr>
          <w:rFonts w:ascii="Times New Roman" w:hAnsi="Times New Roman" w:cs="Times New Roman"/>
          <w:noProof/>
          <w:sz w:val="24"/>
          <w:szCs w:val="24"/>
        </w:rPr>
        <w:t xml:space="preserve">an </w:t>
      </w:r>
      <w:r w:rsidR="005E31F6">
        <w:rPr>
          <w:rFonts w:ascii="Times New Roman" w:hAnsi="Times New Roman" w:cs="Times New Roman"/>
          <w:noProof/>
          <w:sz w:val="24"/>
          <w:szCs w:val="24"/>
        </w:rPr>
        <w:t>increased use of alternatives</w:t>
      </w:r>
      <w:r w:rsidRPr="00A14107">
        <w:rPr>
          <w:rFonts w:ascii="Times New Roman" w:hAnsi="Times New Roman" w:cs="Times New Roman"/>
          <w:noProof/>
          <w:sz w:val="24"/>
          <w:szCs w:val="24"/>
        </w:rPr>
        <w:t>, which would add to the benefits. Good enforcement is needed to prevent a perverse incentive for owners of halon stock to vent the gases rather than recover them as a result of th</w:t>
      </w:r>
      <w:r w:rsidR="00EC0215">
        <w:rPr>
          <w:rFonts w:ascii="Times New Roman" w:hAnsi="Times New Roman" w:cs="Times New Roman"/>
          <w:noProof/>
          <w:sz w:val="24"/>
          <w:szCs w:val="24"/>
        </w:rPr>
        <w:t>is</w:t>
      </w:r>
      <w:r w:rsidRPr="00A14107">
        <w:rPr>
          <w:rFonts w:ascii="Times New Roman" w:hAnsi="Times New Roman" w:cs="Times New Roman"/>
          <w:noProof/>
          <w:sz w:val="24"/>
          <w:szCs w:val="24"/>
        </w:rPr>
        <w:t xml:space="preserve"> policy option.</w:t>
      </w:r>
    </w:p>
    <w:p w14:paraId="1B964C64"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measure could result in some additional costs to owners of halon stocks</w:t>
      </w:r>
      <w:r w:rsidRPr="00A14107">
        <w:rPr>
          <w:rFonts w:ascii="Times New Roman" w:hAnsi="Times New Roman" w:cs="Times New Roman"/>
          <w:noProof/>
          <w:sz w:val="24"/>
          <w:szCs w:val="24"/>
        </w:rPr>
        <w:t xml:space="preserve"> when reclamation, transport and sale is more expensive than the cost of destruction. Generally, there could be a good business case due to the high </w:t>
      </w:r>
      <w:r w:rsidR="005E31F6">
        <w:rPr>
          <w:rFonts w:ascii="Times New Roman" w:hAnsi="Times New Roman" w:cs="Times New Roman"/>
          <w:noProof/>
          <w:sz w:val="24"/>
          <w:szCs w:val="24"/>
        </w:rPr>
        <w:t xml:space="preserve">re-sale </w:t>
      </w:r>
      <w:r w:rsidRPr="00A14107">
        <w:rPr>
          <w:rFonts w:ascii="Times New Roman" w:hAnsi="Times New Roman" w:cs="Times New Roman"/>
          <w:noProof/>
          <w:sz w:val="24"/>
          <w:szCs w:val="24"/>
        </w:rPr>
        <w:t>value of the gas after reclamation</w:t>
      </w:r>
      <w:r w:rsidRPr="00A14107">
        <w:rPr>
          <w:noProof/>
          <w:sz w:val="24"/>
          <w:szCs w:val="24"/>
          <w:vertAlign w:val="superscript"/>
        </w:rPr>
        <w:footnoteReference w:id="76"/>
      </w:r>
      <w:r w:rsidRPr="00A14107">
        <w:rPr>
          <w:rFonts w:ascii="Times New Roman" w:hAnsi="Times New Roman" w:cs="Times New Roman"/>
          <w:noProof/>
          <w:sz w:val="24"/>
          <w:szCs w:val="24"/>
        </w:rPr>
        <w:t xml:space="preserve">, which </w:t>
      </w:r>
      <w:r w:rsidR="005E31F6">
        <w:rPr>
          <w:rFonts w:ascii="Times New Roman" w:hAnsi="Times New Roman" w:cs="Times New Roman"/>
          <w:noProof/>
          <w:sz w:val="24"/>
          <w:szCs w:val="24"/>
        </w:rPr>
        <w:t>could</w:t>
      </w:r>
      <w:r w:rsidRPr="00A14107">
        <w:rPr>
          <w:rFonts w:ascii="Times New Roman" w:hAnsi="Times New Roman" w:cs="Times New Roman"/>
          <w:noProof/>
          <w:sz w:val="24"/>
          <w:szCs w:val="24"/>
        </w:rPr>
        <w:t xml:space="preserve"> go up in the future due to the expected increasing scarcity of stocks. This changes when halons need to be transported long distance to reclamation facilities, in particular across borders, as they are treated as hazardous waste.</w:t>
      </w:r>
      <w:r w:rsidRPr="00A14107">
        <w:rPr>
          <w:noProof/>
          <w:sz w:val="24"/>
          <w:szCs w:val="24"/>
          <w:vertAlign w:val="superscript"/>
        </w:rPr>
        <w:footnoteReference w:id="77"/>
      </w:r>
      <w:r w:rsidRPr="00A14107">
        <w:rPr>
          <w:rFonts w:ascii="Times New Roman" w:hAnsi="Times New Roman" w:cs="Times New Roman"/>
          <w:noProof/>
          <w:sz w:val="24"/>
          <w:szCs w:val="24"/>
        </w:rPr>
        <w:t xml:space="preserve"> The amounts recovered may in this case be too small to allow stock owners to fully recover their costs under current market conditions. Thus</w:t>
      </w:r>
      <w:r w:rsidR="00EC0215">
        <w:rPr>
          <w:rFonts w:ascii="Times New Roman" w:hAnsi="Times New Roman" w:cs="Times New Roman"/>
          <w:noProof/>
          <w:sz w:val="24"/>
          <w:szCs w:val="24"/>
        </w:rPr>
        <w:t>,</w:t>
      </w:r>
      <w:r w:rsidRPr="00A14107">
        <w:rPr>
          <w:rFonts w:ascii="Times New Roman" w:hAnsi="Times New Roman" w:cs="Times New Roman"/>
          <w:noProof/>
          <w:sz w:val="24"/>
          <w:szCs w:val="24"/>
        </w:rPr>
        <w:t xml:space="preserve"> depending on the circumstances, </w:t>
      </w:r>
      <w:r w:rsidR="005E31F6">
        <w:rPr>
          <w:rFonts w:ascii="Times New Roman" w:hAnsi="Times New Roman" w:cs="Times New Roman"/>
          <w:noProof/>
          <w:sz w:val="24"/>
          <w:szCs w:val="24"/>
        </w:rPr>
        <w:t>the option will</w:t>
      </w:r>
      <w:r w:rsidRPr="00A14107">
        <w:rPr>
          <w:rFonts w:ascii="Times New Roman" w:hAnsi="Times New Roman" w:cs="Times New Roman"/>
          <w:noProof/>
          <w:sz w:val="24"/>
          <w:szCs w:val="24"/>
        </w:rPr>
        <w:t xml:space="preserve"> either result in benefits or minor costs for businesses. Companies w</w:t>
      </w:r>
      <w:r w:rsidR="005E31F6">
        <w:rPr>
          <w:rFonts w:ascii="Times New Roman" w:hAnsi="Times New Roman" w:cs="Times New Roman"/>
          <w:noProof/>
          <w:sz w:val="24"/>
          <w:szCs w:val="24"/>
        </w:rPr>
        <w:t>ill</w:t>
      </w:r>
      <w:r w:rsidRPr="00A14107">
        <w:rPr>
          <w:rFonts w:ascii="Times New Roman" w:hAnsi="Times New Roman" w:cs="Times New Roman"/>
          <w:noProof/>
          <w:sz w:val="24"/>
          <w:szCs w:val="24"/>
        </w:rPr>
        <w:t xml:space="preserve"> also </w:t>
      </w:r>
      <w:r w:rsidR="00EC0215">
        <w:rPr>
          <w:rFonts w:ascii="Times New Roman" w:hAnsi="Times New Roman" w:cs="Times New Roman"/>
          <w:noProof/>
          <w:sz w:val="24"/>
          <w:szCs w:val="24"/>
        </w:rPr>
        <w:t>incur</w:t>
      </w:r>
      <w:r w:rsidR="00EC0215"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minor administrative expenses as they need to keep records on halon recovery and treatment. </w:t>
      </w:r>
      <w:r w:rsidR="00AE25D0" w:rsidRPr="00AE25D0">
        <w:rPr>
          <w:rFonts w:ascii="Times New Roman" w:hAnsi="Times New Roman" w:cs="Times New Roman"/>
          <w:noProof/>
          <w:sz w:val="24"/>
          <w:szCs w:val="24"/>
        </w:rPr>
        <w:t>Since there will continue to be demand for halons</w:t>
      </w:r>
      <w:r w:rsidR="00AE25D0">
        <w:rPr>
          <w:rFonts w:ascii="Times New Roman" w:hAnsi="Times New Roman" w:cs="Times New Roman"/>
          <w:noProof/>
          <w:sz w:val="24"/>
          <w:szCs w:val="24"/>
        </w:rPr>
        <w:t xml:space="preserve"> in the future</w:t>
      </w:r>
      <w:r w:rsidR="00AE25D0" w:rsidRPr="00AE25D0">
        <w:rPr>
          <w:rFonts w:ascii="Times New Roman" w:hAnsi="Times New Roman" w:cs="Times New Roman"/>
          <w:noProof/>
          <w:sz w:val="24"/>
          <w:szCs w:val="24"/>
        </w:rPr>
        <w:t xml:space="preserve">, their re-use will become more economically favourable. </w:t>
      </w:r>
      <w:r w:rsidRPr="00A14107">
        <w:rPr>
          <w:rFonts w:ascii="Times New Roman" w:hAnsi="Times New Roman" w:cs="Times New Roman"/>
          <w:noProof/>
          <w:sz w:val="24"/>
          <w:szCs w:val="24"/>
        </w:rPr>
        <w:t xml:space="preserve">Some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s have introduced legislation to address this issue such as national halon banks, but </w:t>
      </w:r>
      <w:r w:rsidR="005E31F6">
        <w:rPr>
          <w:rFonts w:ascii="Times New Roman" w:hAnsi="Times New Roman" w:cs="Times New Roman"/>
          <w:noProof/>
          <w:sz w:val="24"/>
          <w:szCs w:val="24"/>
        </w:rPr>
        <w:t xml:space="preserve">some </w:t>
      </w:r>
      <w:r w:rsidRPr="00A14107">
        <w:rPr>
          <w:rFonts w:ascii="Times New Roman" w:hAnsi="Times New Roman" w:cs="Times New Roman"/>
          <w:noProof/>
          <w:sz w:val="24"/>
          <w:szCs w:val="24"/>
        </w:rPr>
        <w:t>also expressed concern on potential cost increases due to a need for additional enforcement and checks.</w:t>
      </w:r>
    </w:p>
    <w:p w14:paraId="6FFD668D" w14:textId="77777777" w:rsidR="00A14107" w:rsidRPr="00A14107" w:rsidRDefault="00A14107" w:rsidP="005E31F6">
      <w:pPr>
        <w:keepNext/>
        <w:numPr>
          <w:ilvl w:val="2"/>
          <w:numId w:val="0"/>
        </w:numPr>
        <w:spacing w:after="120" w:line="240" w:lineRule="auto"/>
        <w:ind w:left="993" w:hanging="437"/>
        <w:jc w:val="both"/>
        <w:outlineLvl w:val="2"/>
        <w:rPr>
          <w:rFonts w:ascii="Times New Roman" w:eastAsia="Times New Roman" w:hAnsi="Times New Roman" w:cs="Times New Roman"/>
          <w:bCs/>
          <w:i/>
          <w:noProof/>
          <w:sz w:val="24"/>
          <w:szCs w:val="24"/>
        </w:rPr>
      </w:pPr>
      <w:bookmarkStart w:id="187" w:name="_Toc71559420"/>
      <w:bookmarkStart w:id="188" w:name="_Toc71707049"/>
      <w:bookmarkStart w:id="189" w:name="_Toc71708235"/>
      <w:bookmarkStart w:id="190" w:name="_Toc71710967"/>
      <w:bookmarkStart w:id="191" w:name="_Toc72399369"/>
      <w:r w:rsidRPr="00A14107">
        <w:rPr>
          <w:rFonts w:ascii="Times New Roman" w:eastAsia="Times New Roman" w:hAnsi="Times New Roman" w:cs="Times New Roman"/>
          <w:i/>
          <w:noProof/>
          <w:sz w:val="24"/>
          <w:szCs w:val="20"/>
        </w:rPr>
        <w:t>A5. Prohibit the use of Annex II substances in refrigeration and air conditioning equipment</w:t>
      </w:r>
      <w:bookmarkEnd w:id="187"/>
      <w:bookmarkEnd w:id="188"/>
      <w:bookmarkEnd w:id="189"/>
      <w:bookmarkEnd w:id="190"/>
      <w:bookmarkEnd w:id="191"/>
    </w:p>
    <w:p w14:paraId="67542156" w14:textId="77777777" w:rsidR="00A14107" w:rsidRPr="00A14107" w:rsidRDefault="00A14107" w:rsidP="0054427D">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environmental benefit of this policy option is uncertain.</w:t>
      </w:r>
      <w:r w:rsidRPr="00A14107">
        <w:rPr>
          <w:rFonts w:ascii="Times New Roman" w:hAnsi="Times New Roman" w:cs="Times New Roman"/>
          <w:noProof/>
          <w:sz w:val="24"/>
          <w:szCs w:val="24"/>
        </w:rPr>
        <w:t xml:space="preserve"> The ODP of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 xml:space="preserve">I is rather low (0.01-0.02) and its use in refrigerant blends in cooling equipment </w:t>
      </w:r>
      <w:r w:rsidR="006F3B90">
        <w:rPr>
          <w:rFonts w:ascii="Times New Roman" w:hAnsi="Times New Roman" w:cs="Times New Roman"/>
          <w:noProof/>
          <w:sz w:val="24"/>
          <w:szCs w:val="24"/>
        </w:rPr>
        <w:t xml:space="preserve">is </w:t>
      </w:r>
      <w:r w:rsidRPr="00A14107">
        <w:rPr>
          <w:rFonts w:ascii="Times New Roman" w:hAnsi="Times New Roman" w:cs="Times New Roman"/>
          <w:noProof/>
          <w:sz w:val="24"/>
          <w:szCs w:val="24"/>
        </w:rPr>
        <w:t>very limited so far. Any potential ozone-relevant emission savings from disallowing the (future) use of this substance in refrigerant blends would need to be examined in light of reducing the choice and availability of refrigerants that are more climate-friendly than the highly warming HFCs that they aim to replace, with potentially much more substantial amounts of climate-relevant emissions to be saved.</w:t>
      </w:r>
      <w:r w:rsidRPr="00A14107">
        <w:rPr>
          <w:noProof/>
          <w:sz w:val="24"/>
          <w:szCs w:val="24"/>
          <w:vertAlign w:val="superscript"/>
        </w:rPr>
        <w:footnoteReference w:id="78"/>
      </w:r>
      <w:r w:rsidRPr="00A14107">
        <w:rPr>
          <w:rFonts w:ascii="Times New Roman" w:hAnsi="Times New Roman" w:cs="Times New Roman"/>
          <w:noProof/>
          <w:sz w:val="24"/>
          <w:szCs w:val="24"/>
        </w:rPr>
        <w:t xml:space="preserve"> In particular, adding small amounts of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I reduces the flammability of low GWP refrigerant blends, allowing them to be used more easily as alternatives in applications where this may be required. A number of different stakeholders stressed the importance of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I as</w:t>
      </w:r>
      <w:r w:rsidR="006F3B90">
        <w:rPr>
          <w:rFonts w:ascii="Times New Roman" w:hAnsi="Times New Roman" w:cs="Times New Roman"/>
          <w:noProof/>
          <w:sz w:val="24"/>
          <w:szCs w:val="24"/>
        </w:rPr>
        <w:t xml:space="preserve"> an</w:t>
      </w:r>
      <w:r w:rsidRPr="00A14107">
        <w:rPr>
          <w:rFonts w:ascii="Times New Roman" w:hAnsi="Times New Roman" w:cs="Times New Roman"/>
          <w:noProof/>
          <w:sz w:val="24"/>
          <w:szCs w:val="24"/>
        </w:rPr>
        <w:t xml:space="preserve"> HFC alternative.</w:t>
      </w:r>
    </w:p>
    <w:p w14:paraId="218FD2A9" w14:textId="77777777" w:rsidR="00A14107" w:rsidRPr="00A14107" w:rsidRDefault="00A14107" w:rsidP="006578FA">
      <w:pPr>
        <w:spacing w:after="120"/>
        <w:jc w:val="both"/>
        <w:rPr>
          <w:rFonts w:ascii="Times New Roman" w:hAnsi="Times New Roman" w:cs="Times New Roman"/>
          <w:noProof/>
          <w:sz w:val="24"/>
          <w:szCs w:val="24"/>
          <w:u w:val="single"/>
        </w:rPr>
      </w:pPr>
      <w:r w:rsidRPr="00A14107">
        <w:rPr>
          <w:rFonts w:ascii="Times New Roman" w:hAnsi="Times New Roman" w:cs="Times New Roman"/>
          <w:b/>
          <w:noProof/>
          <w:sz w:val="24"/>
          <w:szCs w:val="24"/>
        </w:rPr>
        <w:t>The economic impacts of this policy option are difficult to assess.</w:t>
      </w:r>
      <w:r w:rsidRPr="00A14107">
        <w:rPr>
          <w:rFonts w:ascii="Times New Roman" w:hAnsi="Times New Roman" w:cs="Times New Roman"/>
          <w:noProof/>
          <w:sz w:val="24"/>
          <w:szCs w:val="24"/>
        </w:rPr>
        <w:t xml:space="preserve"> Given the rapid development of the cooling market and the number of new refrigerant choices</w:t>
      </w:r>
      <w:r w:rsidR="006F3B90">
        <w:rPr>
          <w:rFonts w:ascii="Times New Roman" w:hAnsi="Times New Roman" w:cs="Times New Roman"/>
          <w:noProof/>
          <w:sz w:val="24"/>
          <w:szCs w:val="24"/>
        </w:rPr>
        <w:t xml:space="preserve"> available</w:t>
      </w:r>
      <w:r w:rsidRPr="00A14107">
        <w:rPr>
          <w:rFonts w:ascii="Times New Roman" w:hAnsi="Times New Roman" w:cs="Times New Roman"/>
          <w:noProof/>
          <w:sz w:val="24"/>
          <w:szCs w:val="24"/>
        </w:rPr>
        <w:t xml:space="preserve"> since 2014 as result of the F-gas Regulation, it is very difficult to speculate at this moment how much any blend using CF</w:t>
      </w:r>
      <w:r w:rsidRPr="00A14107">
        <w:rPr>
          <w:rFonts w:ascii="Times New Roman" w:hAnsi="Times New Roman" w:cs="Times New Roman"/>
          <w:noProof/>
          <w:sz w:val="24"/>
          <w:szCs w:val="24"/>
          <w:vertAlign w:val="subscript"/>
        </w:rPr>
        <w:t>3</w:t>
      </w:r>
      <w:r w:rsidRPr="00A14107">
        <w:rPr>
          <w:rFonts w:ascii="Times New Roman" w:hAnsi="Times New Roman" w:cs="Times New Roman"/>
          <w:noProof/>
          <w:sz w:val="24"/>
          <w:szCs w:val="24"/>
        </w:rPr>
        <w:t>I will in the future be adopted by equipment manufacturers and end-users, and thus be a suitable and cost-effective alternative.</w:t>
      </w:r>
      <w:r w:rsidR="009C4D76">
        <w:rPr>
          <w:rFonts w:ascii="Times New Roman" w:hAnsi="Times New Roman" w:cs="Times New Roman"/>
          <w:noProof/>
          <w:sz w:val="24"/>
          <w:szCs w:val="24"/>
        </w:rPr>
        <w:t xml:space="preserve"> For the same reason, determining an abatement cost is not feasible.</w:t>
      </w:r>
      <w:r w:rsidRPr="00A14107">
        <w:rPr>
          <w:rFonts w:ascii="Times New Roman" w:hAnsi="Times New Roman" w:cs="Times New Roman"/>
          <w:noProof/>
          <w:sz w:val="24"/>
          <w:szCs w:val="24"/>
        </w:rPr>
        <w:t xml:space="preserve"> There would be a negative impact for some chemical producers that invested in using CF3I to make their HFC alternatives marketable and safe, as mentioned by authorities, industry and other stakeholders alike. </w:t>
      </w:r>
    </w:p>
    <w:p w14:paraId="25915EE2" w14:textId="17C19A42" w:rsidR="00A14107" w:rsidRPr="00A14107" w:rsidRDefault="00896FDA" w:rsidP="00896FDA">
      <w:pPr>
        <w:pStyle w:val="Heading2"/>
        <w:rPr>
          <w:noProof/>
        </w:rPr>
      </w:pPr>
      <w:bookmarkStart w:id="192" w:name="_Toc71559421"/>
      <w:bookmarkStart w:id="193" w:name="_Toc71707050"/>
      <w:bookmarkStart w:id="194" w:name="_Toc71708236"/>
      <w:bookmarkStart w:id="195" w:name="_Toc71710968"/>
      <w:bookmarkStart w:id="196" w:name="_Toc72399370"/>
      <w:bookmarkStart w:id="197" w:name="_Toc93511477"/>
      <w:r w:rsidRPr="00896FDA">
        <w:t>6.2.</w:t>
      </w:r>
      <w:r w:rsidRPr="00896FDA">
        <w:tab/>
      </w:r>
      <w:r w:rsidR="00A14107" w:rsidRPr="00A14107">
        <w:rPr>
          <w:noProof/>
        </w:rPr>
        <w:t>Improve the efficiency of the Ozone Regulation while preserving the significant emission reductions achieved so far</w:t>
      </w:r>
      <w:bookmarkEnd w:id="192"/>
      <w:bookmarkEnd w:id="193"/>
      <w:bookmarkEnd w:id="194"/>
      <w:bookmarkEnd w:id="195"/>
      <w:bookmarkEnd w:id="196"/>
      <w:bookmarkEnd w:id="197"/>
    </w:p>
    <w:p w14:paraId="54F1D480" w14:textId="77777777" w:rsidR="00A14107" w:rsidRPr="00A14107" w:rsidRDefault="00A14107" w:rsidP="006578FA">
      <w:pPr>
        <w:tabs>
          <w:tab w:val="left" w:pos="2302"/>
        </w:tabs>
        <w:spacing w:after="120" w:line="240" w:lineRule="auto"/>
        <w:jc w:val="both"/>
        <w:rPr>
          <w:rFonts w:ascii="Times New Roman" w:eastAsia="Times New Roman" w:hAnsi="Times New Roman" w:cs="Times New Roman"/>
          <w:noProof/>
          <w:sz w:val="24"/>
          <w:szCs w:val="24"/>
        </w:rPr>
      </w:pPr>
      <w:r w:rsidRPr="00A14107">
        <w:rPr>
          <w:rFonts w:ascii="Times New Roman" w:eastAsia="Times New Roman" w:hAnsi="Times New Roman" w:cs="Times New Roman"/>
          <w:noProof/>
          <w:sz w:val="24"/>
          <w:szCs w:val="20"/>
        </w:rPr>
        <w:t xml:space="preserve">The following measures have been conceived in order to maintain (and in some cases improve) controls at lower costs. Even though these efficiency gains are the main rationale, </w:t>
      </w:r>
      <w:r w:rsidRPr="00A14107">
        <w:rPr>
          <w:rFonts w:ascii="Times New Roman" w:eastAsia="Times New Roman" w:hAnsi="Times New Roman" w:cs="Times New Roman"/>
          <w:b/>
          <w:noProof/>
          <w:sz w:val="24"/>
          <w:szCs w:val="20"/>
        </w:rPr>
        <w:t xml:space="preserve">there are some environmental gains to be expected for these measures from improved oversight, such as regards the control of illegal trade, </w:t>
      </w:r>
      <w:r w:rsidR="00FE682B">
        <w:rPr>
          <w:rFonts w:ascii="Times New Roman" w:eastAsia="Times New Roman" w:hAnsi="Times New Roman" w:cs="Times New Roman"/>
          <w:b/>
          <w:noProof/>
          <w:sz w:val="24"/>
          <w:szCs w:val="20"/>
        </w:rPr>
        <w:t>but these</w:t>
      </w:r>
      <w:r w:rsidR="00FE682B" w:rsidRPr="00A14107">
        <w:rPr>
          <w:rFonts w:ascii="Times New Roman" w:eastAsia="Times New Roman" w:hAnsi="Times New Roman" w:cs="Times New Roman"/>
          <w:b/>
          <w:noProof/>
          <w:sz w:val="24"/>
          <w:szCs w:val="20"/>
        </w:rPr>
        <w:t xml:space="preserve"> </w:t>
      </w:r>
      <w:r w:rsidRPr="00A14107">
        <w:rPr>
          <w:rFonts w:ascii="Times New Roman" w:eastAsia="Times New Roman" w:hAnsi="Times New Roman" w:cs="Times New Roman"/>
          <w:b/>
          <w:noProof/>
          <w:sz w:val="24"/>
          <w:szCs w:val="20"/>
        </w:rPr>
        <w:t xml:space="preserve">are difficult to quantify. </w:t>
      </w:r>
    </w:p>
    <w:p w14:paraId="5C720884" w14:textId="77777777" w:rsidR="00A14107" w:rsidRPr="00A14107" w:rsidRDefault="00A14107" w:rsidP="005E31F6">
      <w:pPr>
        <w:keepNext/>
        <w:numPr>
          <w:ilvl w:val="2"/>
          <w:numId w:val="0"/>
        </w:numPr>
        <w:spacing w:after="120" w:line="240" w:lineRule="auto"/>
        <w:ind w:left="567"/>
        <w:jc w:val="both"/>
        <w:outlineLvl w:val="2"/>
        <w:rPr>
          <w:rFonts w:ascii="Times New Roman" w:eastAsia="Times New Roman" w:hAnsi="Times New Roman" w:cs="Times New Roman"/>
          <w:i/>
          <w:noProof/>
          <w:sz w:val="24"/>
          <w:szCs w:val="24"/>
        </w:rPr>
      </w:pPr>
      <w:bookmarkStart w:id="198" w:name="_Toc71559422"/>
      <w:bookmarkStart w:id="199" w:name="_Toc71707051"/>
      <w:bookmarkStart w:id="200" w:name="_Toc71708237"/>
      <w:bookmarkStart w:id="201" w:name="_Toc71710969"/>
      <w:bookmarkStart w:id="202" w:name="_Toc72399371"/>
      <w:r w:rsidRPr="00A14107">
        <w:rPr>
          <w:rFonts w:ascii="Times New Roman" w:eastAsia="Times New Roman" w:hAnsi="Times New Roman" w:cs="Times New Roman"/>
          <w:i/>
          <w:noProof/>
          <w:sz w:val="24"/>
          <w:szCs w:val="20"/>
        </w:rPr>
        <w:t>B1. Modernise the licensing system in view of the EU Single Window Environment for Customs: Introduce trader licenses for ODS bulk and equipment</w:t>
      </w:r>
      <w:bookmarkEnd w:id="198"/>
      <w:bookmarkEnd w:id="199"/>
      <w:bookmarkEnd w:id="200"/>
      <w:bookmarkEnd w:id="201"/>
      <w:bookmarkEnd w:id="202"/>
    </w:p>
    <w:p w14:paraId="1DBD9DE0" w14:textId="77777777" w:rsidR="00A14107" w:rsidRPr="00A14107" w:rsidRDefault="00A14107" w:rsidP="005E31F6">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This measure is expected to</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lower administrative cost</w:t>
      </w:r>
      <w:r w:rsidR="00FE682B">
        <w:rPr>
          <w:rFonts w:ascii="Times New Roman" w:hAnsi="Times New Roman" w:cs="Times New Roman"/>
          <w:b/>
          <w:noProof/>
          <w:sz w:val="24"/>
          <w:szCs w:val="24"/>
        </w:rPr>
        <w:t>s</w:t>
      </w:r>
      <w:r w:rsidRPr="00A14107">
        <w:rPr>
          <w:rFonts w:ascii="Times New Roman" w:hAnsi="Times New Roman" w:cs="Times New Roman"/>
          <w:b/>
          <w:noProof/>
          <w:sz w:val="24"/>
          <w:szCs w:val="24"/>
        </w:rPr>
        <w:t xml:space="preserve"> for businesses</w:t>
      </w:r>
      <w:r w:rsidRPr="00A14107">
        <w:rPr>
          <w:rFonts w:ascii="Times New Roman" w:hAnsi="Times New Roman" w:cs="Times New Roman"/>
          <w:noProof/>
          <w:sz w:val="24"/>
          <w:szCs w:val="24"/>
        </w:rPr>
        <w:t xml:space="preserve"> applying for longer term trade licences (import/export) instead of pre-approved licences at shipment level</w:t>
      </w:r>
      <w:r w:rsidR="0088564C">
        <w:rPr>
          <w:rFonts w:ascii="Times New Roman" w:hAnsi="Times New Roman" w:cs="Times New Roman"/>
          <w:noProof/>
          <w:sz w:val="24"/>
          <w:szCs w:val="24"/>
        </w:rPr>
        <w:t>, including for SMEs</w:t>
      </w:r>
      <w:r w:rsidRPr="00A14107">
        <w:rPr>
          <w:rFonts w:ascii="Times New Roman" w:hAnsi="Times New Roman" w:cs="Times New Roman"/>
          <w:noProof/>
          <w:sz w:val="24"/>
          <w:szCs w:val="24"/>
        </w:rPr>
        <w:t xml:space="preserve">. Businesses indicated that </w:t>
      </w:r>
      <w:r w:rsidR="00FE682B">
        <w:rPr>
          <w:rFonts w:ascii="Times New Roman" w:hAnsi="Times New Roman" w:cs="Times New Roman"/>
          <w:noProof/>
          <w:sz w:val="24"/>
          <w:szCs w:val="24"/>
        </w:rPr>
        <w:t>such a change would lead to a</w:t>
      </w:r>
      <w:r w:rsidRPr="00A14107">
        <w:rPr>
          <w:rFonts w:ascii="Times New Roman" w:hAnsi="Times New Roman" w:cs="Times New Roman"/>
          <w:noProof/>
          <w:sz w:val="24"/>
          <w:szCs w:val="24"/>
        </w:rPr>
        <w:t xml:space="preserve"> reduction in person hours </w:t>
      </w:r>
      <w:r w:rsidR="00FE682B">
        <w:rPr>
          <w:rFonts w:ascii="Times New Roman" w:hAnsi="Times New Roman" w:cs="Times New Roman"/>
          <w:noProof/>
          <w:sz w:val="24"/>
          <w:szCs w:val="24"/>
        </w:rPr>
        <w:t xml:space="preserve">of </w:t>
      </w:r>
      <w:r w:rsidRPr="00A14107">
        <w:rPr>
          <w:rFonts w:ascii="Times New Roman" w:hAnsi="Times New Roman" w:cs="Times New Roman"/>
          <w:noProof/>
          <w:sz w:val="24"/>
          <w:szCs w:val="24"/>
        </w:rPr>
        <w:t xml:space="preserve">between 13% to 80% </w:t>
      </w:r>
      <w:r w:rsidRPr="00A14107">
        <w:rPr>
          <w:noProof/>
          <w:sz w:val="24"/>
          <w:szCs w:val="24"/>
          <w:vertAlign w:val="superscript"/>
        </w:rPr>
        <w:footnoteReference w:id="79"/>
      </w:r>
      <w:r w:rsidRPr="00A14107">
        <w:rPr>
          <w:rFonts w:ascii="Times New Roman" w:hAnsi="Times New Roman" w:cs="Times New Roman"/>
          <w:noProof/>
          <w:sz w:val="24"/>
          <w:szCs w:val="24"/>
        </w:rPr>
        <w:t xml:space="preserve"> and could save 163-395 days overall (€49,000-119.000).</w:t>
      </w:r>
      <w:r w:rsidRPr="00A14107">
        <w:rPr>
          <w:noProof/>
          <w:sz w:val="24"/>
          <w:szCs w:val="24"/>
          <w:vertAlign w:val="superscript"/>
        </w:rPr>
        <w:footnoteReference w:id="80"/>
      </w:r>
      <w:r w:rsidRPr="00A14107">
        <w:rPr>
          <w:rFonts w:ascii="Times New Roman" w:hAnsi="Times New Roman" w:cs="Times New Roman"/>
          <w:noProof/>
          <w:sz w:val="24"/>
          <w:szCs w:val="24"/>
        </w:rPr>
        <w:t xml:space="preserve"> Member States will save resources mostly due to the use of the Single Window itself irrespective of trader or shipment licenses, due to more efficient and automatic custom</w:t>
      </w:r>
      <w:r w:rsidR="00FE682B">
        <w:rPr>
          <w:rFonts w:ascii="Times New Roman" w:hAnsi="Times New Roman" w:cs="Times New Roman"/>
          <w:noProof/>
          <w:sz w:val="24"/>
          <w:szCs w:val="24"/>
        </w:rPr>
        <w:t>s</w:t>
      </w:r>
      <w:r w:rsidRPr="00A14107">
        <w:rPr>
          <w:rFonts w:ascii="Times New Roman" w:hAnsi="Times New Roman" w:cs="Times New Roman"/>
          <w:noProof/>
          <w:sz w:val="24"/>
          <w:szCs w:val="24"/>
        </w:rPr>
        <w:t xml:space="preserve"> treatment procedures. This time saving is estimated at 30 to 45 minutes per shipment (EC, 2020)</w:t>
      </w:r>
      <w:r w:rsidRPr="00A14107">
        <w:rPr>
          <w:noProof/>
          <w:sz w:val="24"/>
          <w:szCs w:val="24"/>
          <w:vertAlign w:val="superscript"/>
        </w:rPr>
        <w:footnoteReference w:id="81"/>
      </w:r>
      <w:r w:rsidRPr="00A14107">
        <w:rPr>
          <w:rFonts w:ascii="Times New Roman" w:hAnsi="Times New Roman" w:cs="Times New Roman"/>
          <w:noProof/>
          <w:sz w:val="24"/>
          <w:szCs w:val="24"/>
        </w:rPr>
        <w:t>. In the open public consultation, many respondents placed high importance on the simplification of the licen</w:t>
      </w:r>
      <w:r w:rsidR="00FE682B">
        <w:rPr>
          <w:rFonts w:ascii="Times New Roman" w:hAnsi="Times New Roman" w:cs="Times New Roman"/>
          <w:noProof/>
          <w:sz w:val="24"/>
          <w:szCs w:val="24"/>
        </w:rPr>
        <w:t>s</w:t>
      </w:r>
      <w:r w:rsidRPr="00A14107">
        <w:rPr>
          <w:rFonts w:ascii="Times New Roman" w:hAnsi="Times New Roman" w:cs="Times New Roman"/>
          <w:noProof/>
          <w:sz w:val="24"/>
          <w:szCs w:val="24"/>
        </w:rPr>
        <w:t xml:space="preserve">ing system in view of the EU Single Window environment for Customs. Industry stakeholders explained that the current system is </w:t>
      </w:r>
      <w:r w:rsidR="005E31F6">
        <w:rPr>
          <w:rFonts w:ascii="Times New Roman" w:hAnsi="Times New Roman" w:cs="Times New Roman"/>
          <w:noProof/>
          <w:sz w:val="24"/>
          <w:szCs w:val="24"/>
        </w:rPr>
        <w:t xml:space="preserve">overly </w:t>
      </w:r>
      <w:r w:rsidRPr="00A14107">
        <w:rPr>
          <w:rFonts w:ascii="Times New Roman" w:hAnsi="Times New Roman" w:cs="Times New Roman"/>
          <w:noProof/>
          <w:sz w:val="24"/>
          <w:szCs w:val="24"/>
        </w:rPr>
        <w:t>bureaucratic, requir</w:t>
      </w:r>
      <w:r w:rsidR="005E31F6">
        <w:rPr>
          <w:rFonts w:ascii="Times New Roman" w:hAnsi="Times New Roman" w:cs="Times New Roman"/>
          <w:noProof/>
          <w:sz w:val="24"/>
          <w:szCs w:val="24"/>
        </w:rPr>
        <w:t>ing</w:t>
      </w:r>
      <w:r w:rsidRPr="00A14107">
        <w:rPr>
          <w:rFonts w:ascii="Times New Roman" w:hAnsi="Times New Roman" w:cs="Times New Roman"/>
          <w:noProof/>
          <w:sz w:val="24"/>
          <w:szCs w:val="24"/>
        </w:rPr>
        <w:t xml:space="preserve"> significant paperwork and time for each individual shipment of ODS. </w:t>
      </w:r>
    </w:p>
    <w:p w14:paraId="0E5E5FC3" w14:textId="77777777" w:rsidR="00A14107" w:rsidRPr="00A14107" w:rsidRDefault="00A14107" w:rsidP="0054427D">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For the European Commission, licen</w:t>
      </w:r>
      <w:r w:rsidR="00FE682B">
        <w:rPr>
          <w:rFonts w:ascii="Times New Roman" w:hAnsi="Times New Roman" w:cs="Times New Roman"/>
          <w:b/>
          <w:noProof/>
          <w:sz w:val="24"/>
          <w:szCs w:val="24"/>
        </w:rPr>
        <w:t>s</w:t>
      </w:r>
      <w:r w:rsidRPr="00A14107">
        <w:rPr>
          <w:rFonts w:ascii="Times New Roman" w:hAnsi="Times New Roman" w:cs="Times New Roman"/>
          <w:b/>
          <w:noProof/>
          <w:sz w:val="24"/>
          <w:szCs w:val="24"/>
        </w:rPr>
        <w:t>ing costs will go down</w:t>
      </w:r>
      <w:r w:rsidRPr="00A14107">
        <w:rPr>
          <w:rFonts w:ascii="Times New Roman" w:hAnsi="Times New Roman" w:cs="Times New Roman"/>
          <w:noProof/>
          <w:sz w:val="24"/>
          <w:szCs w:val="24"/>
        </w:rPr>
        <w:t xml:space="preserve"> as the number of licences goes down. Assuming the number of per-shipment licences </w:t>
      </w:r>
      <w:r w:rsidR="00FE682B">
        <w:rPr>
          <w:rFonts w:ascii="Times New Roman" w:hAnsi="Times New Roman" w:cs="Times New Roman"/>
          <w:noProof/>
          <w:sz w:val="24"/>
          <w:szCs w:val="24"/>
        </w:rPr>
        <w:t xml:space="preserve">is </w:t>
      </w:r>
      <w:r w:rsidRPr="00A14107">
        <w:rPr>
          <w:rFonts w:ascii="Times New Roman" w:hAnsi="Times New Roman" w:cs="Times New Roman"/>
          <w:noProof/>
          <w:sz w:val="24"/>
          <w:szCs w:val="24"/>
        </w:rPr>
        <w:t>reduce</w:t>
      </w:r>
      <w:r w:rsidR="00FE682B">
        <w:rPr>
          <w:rFonts w:ascii="Times New Roman" w:hAnsi="Times New Roman" w:cs="Times New Roman"/>
          <w:noProof/>
          <w:sz w:val="24"/>
          <w:szCs w:val="24"/>
        </w:rPr>
        <w:t>d</w:t>
      </w:r>
      <w:r w:rsidRPr="00A14107">
        <w:rPr>
          <w:rFonts w:ascii="Times New Roman" w:hAnsi="Times New Roman" w:cs="Times New Roman"/>
          <w:noProof/>
          <w:sz w:val="24"/>
          <w:szCs w:val="24"/>
        </w:rPr>
        <w:t xml:space="preserve"> from 1,859 in 2019 to 275 under the Single Window environment (which is an average of three trader licences per company in 2019, and a reduction of 85%), costs could </w:t>
      </w:r>
      <w:r w:rsidR="00FE682B">
        <w:rPr>
          <w:rFonts w:ascii="Times New Roman" w:hAnsi="Times New Roman" w:cs="Times New Roman"/>
          <w:noProof/>
          <w:sz w:val="24"/>
          <w:szCs w:val="24"/>
        </w:rPr>
        <w:t>drop</w:t>
      </w:r>
      <w:r w:rsidR="00FE682B"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to less than 20% of the baseline by 2025. In terms of number of days, this would save the EC 95 person-days per year, from a total of 132 days per year spent in the baseline</w:t>
      </w:r>
      <w:r w:rsidR="00FE682B">
        <w:rPr>
          <w:rFonts w:ascii="Times New Roman" w:hAnsi="Times New Roman" w:cs="Times New Roman"/>
          <w:noProof/>
          <w:sz w:val="24"/>
          <w:szCs w:val="24"/>
        </w:rPr>
        <w:t xml:space="preserve"> scenario</w:t>
      </w:r>
      <w:r w:rsidRPr="00A14107">
        <w:rPr>
          <w:rFonts w:ascii="Times New Roman" w:hAnsi="Times New Roman" w:cs="Times New Roman"/>
          <w:noProof/>
          <w:sz w:val="24"/>
          <w:szCs w:val="24"/>
        </w:rPr>
        <w:t>. There are</w:t>
      </w:r>
      <w:r w:rsidR="00FE682B">
        <w:rPr>
          <w:rFonts w:ascii="Times New Roman" w:hAnsi="Times New Roman" w:cs="Times New Roman"/>
          <w:noProof/>
          <w:sz w:val="24"/>
          <w:szCs w:val="24"/>
        </w:rPr>
        <w:t>, however,</w:t>
      </w:r>
      <w:r w:rsidRPr="00A14107">
        <w:rPr>
          <w:rFonts w:ascii="Times New Roman" w:hAnsi="Times New Roman" w:cs="Times New Roman"/>
          <w:noProof/>
          <w:sz w:val="24"/>
          <w:szCs w:val="24"/>
        </w:rPr>
        <w:t xml:space="preserve"> one-off costs for changing the IT system to accommodate for trader licenses.</w:t>
      </w:r>
    </w:p>
    <w:p w14:paraId="558C76F5"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measure will, in combination with the Single Window, allow for a complete storing of shipment data (since this is done automatically and no dependency on custom closing licenses as currently the case) and the possibility for follow</w:t>
      </w:r>
      <w:r w:rsidR="0054427D">
        <w:rPr>
          <w:rFonts w:ascii="Times New Roman" w:hAnsi="Times New Roman" w:cs="Times New Roman"/>
          <w:noProof/>
          <w:sz w:val="24"/>
          <w:szCs w:val="24"/>
        </w:rPr>
        <w:t>-</w:t>
      </w:r>
      <w:r w:rsidRPr="00A14107">
        <w:rPr>
          <w:rFonts w:ascii="Times New Roman" w:hAnsi="Times New Roman" w:cs="Times New Roman"/>
          <w:noProof/>
          <w:sz w:val="24"/>
          <w:szCs w:val="24"/>
        </w:rPr>
        <w:t>up of any suspicious activities, and thus would increase the controls on illegal trade. A number of authorities, including customs, supported the measure, but pointed to the fact that the EU-wide rollout of the Single Window will not be immediate, meaning the current system would need to be maintained until then. Some authorities expressed doubts on the achievable environmental benefits, as they consider that the current licensing system is working well.</w:t>
      </w:r>
    </w:p>
    <w:p w14:paraId="08BC7AE9" w14:textId="77777777" w:rsidR="00A14107" w:rsidRPr="00A14107" w:rsidRDefault="00A14107" w:rsidP="005E31F6">
      <w:pPr>
        <w:keepNext/>
        <w:numPr>
          <w:ilvl w:val="2"/>
          <w:numId w:val="0"/>
        </w:numPr>
        <w:spacing w:after="120" w:line="240" w:lineRule="auto"/>
        <w:ind w:firstLine="720"/>
        <w:jc w:val="both"/>
        <w:outlineLvl w:val="2"/>
        <w:rPr>
          <w:rFonts w:ascii="Times New Roman" w:eastAsia="Times New Roman" w:hAnsi="Times New Roman" w:cs="Times New Roman"/>
          <w:i/>
          <w:noProof/>
          <w:sz w:val="24"/>
          <w:szCs w:val="20"/>
        </w:rPr>
      </w:pPr>
      <w:bookmarkStart w:id="203" w:name="_Toc71559423"/>
      <w:bookmarkStart w:id="204" w:name="_Toc71707052"/>
      <w:bookmarkStart w:id="205" w:name="_Toc71708238"/>
      <w:bookmarkStart w:id="206" w:name="_Toc71710970"/>
      <w:bookmarkStart w:id="207" w:name="_Toc72399372"/>
      <w:r w:rsidRPr="00A14107">
        <w:rPr>
          <w:rFonts w:ascii="Times New Roman" w:eastAsia="Times New Roman" w:hAnsi="Times New Roman" w:cs="Times New Roman"/>
          <w:i/>
          <w:noProof/>
          <w:sz w:val="24"/>
          <w:szCs w:val="20"/>
        </w:rPr>
        <w:t>B2. Better monitoring of illegal goods</w:t>
      </w:r>
      <w:bookmarkEnd w:id="203"/>
      <w:bookmarkEnd w:id="204"/>
      <w:bookmarkEnd w:id="205"/>
      <w:bookmarkEnd w:id="206"/>
      <w:bookmarkEnd w:id="207"/>
    </w:p>
    <w:p w14:paraId="41C3F152"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This measure allows better control over illegal activities but leads</w:t>
      </w:r>
      <w:r w:rsidRPr="00A14107">
        <w:rPr>
          <w:rFonts w:ascii="Times New Roman" w:hAnsi="Times New Roman" w:cs="Times New Roman"/>
          <w:noProof/>
          <w:sz w:val="24"/>
          <w:szCs w:val="24"/>
        </w:rPr>
        <w:t xml:space="preserve"> </w:t>
      </w:r>
      <w:r w:rsidRPr="00A14107">
        <w:rPr>
          <w:rFonts w:ascii="Times New Roman" w:hAnsi="Times New Roman" w:cs="Times New Roman"/>
          <w:b/>
          <w:noProof/>
          <w:sz w:val="24"/>
          <w:szCs w:val="24"/>
        </w:rPr>
        <w:t>to small administrative costs for the importer</w:t>
      </w:r>
      <w:r w:rsidRPr="00A14107">
        <w:rPr>
          <w:rFonts w:ascii="Times New Roman" w:hAnsi="Times New Roman" w:cs="Times New Roman"/>
          <w:noProof/>
          <w:sz w:val="24"/>
          <w:szCs w:val="24"/>
        </w:rPr>
        <w:t xml:space="preserve">, as the 8/10-digit TARIC code would need to be specified in the customs declaration for </w:t>
      </w:r>
      <w:r w:rsidR="009C4D76">
        <w:rPr>
          <w:rFonts w:ascii="Times New Roman" w:hAnsi="Times New Roman" w:cs="Times New Roman"/>
          <w:noProof/>
          <w:sz w:val="24"/>
          <w:szCs w:val="24"/>
        </w:rPr>
        <w:t>relevant custom procedures</w:t>
      </w:r>
      <w:r w:rsidRPr="00A14107">
        <w:rPr>
          <w:rFonts w:ascii="Times New Roman" w:hAnsi="Times New Roman" w:cs="Times New Roman"/>
          <w:noProof/>
          <w:sz w:val="24"/>
          <w:szCs w:val="24"/>
        </w:rPr>
        <w:t>, which is not mandatory so far. There are indications that these procedures are exploited for illegal activities as recent custom seizures indicate, but the overall extent is not known. Customs would incur costs due to carrying out controls on a risk basis</w:t>
      </w:r>
      <w:r w:rsidR="009C4D76">
        <w:rPr>
          <w:rFonts w:ascii="Times New Roman" w:hAnsi="Times New Roman" w:cs="Times New Roman"/>
          <w:noProof/>
          <w:sz w:val="24"/>
          <w:szCs w:val="24"/>
        </w:rPr>
        <w:t>, but the automatic controls via CERTEX/Single Window should make such controls more efficient</w:t>
      </w:r>
      <w:r w:rsidRPr="00A14107">
        <w:rPr>
          <w:rFonts w:ascii="Times New Roman" w:hAnsi="Times New Roman" w:cs="Times New Roman"/>
          <w:noProof/>
          <w:sz w:val="24"/>
          <w:szCs w:val="24"/>
        </w:rPr>
        <w:t>. Stakeholders generally supported the extension of control to relevant customs procedures. A few authorities warned that this could increase the administrative burden on them.</w:t>
      </w:r>
    </w:p>
    <w:p w14:paraId="150DA4DE" w14:textId="77777777" w:rsidR="00A14107" w:rsidRPr="00A14107" w:rsidRDefault="00A14107" w:rsidP="005E31F6">
      <w:pPr>
        <w:keepNext/>
        <w:numPr>
          <w:ilvl w:val="2"/>
          <w:numId w:val="0"/>
        </w:numPr>
        <w:spacing w:after="120" w:line="240" w:lineRule="auto"/>
        <w:ind w:firstLine="720"/>
        <w:jc w:val="both"/>
        <w:outlineLvl w:val="2"/>
        <w:rPr>
          <w:rFonts w:ascii="Times New Roman" w:eastAsia="Times New Roman" w:hAnsi="Times New Roman" w:cs="Times New Roman"/>
          <w:i/>
          <w:noProof/>
          <w:sz w:val="24"/>
          <w:szCs w:val="20"/>
        </w:rPr>
      </w:pPr>
      <w:bookmarkStart w:id="208" w:name="_Toc71559424"/>
      <w:bookmarkStart w:id="209" w:name="_Toc71707053"/>
      <w:bookmarkStart w:id="210" w:name="_Toc71708239"/>
      <w:bookmarkStart w:id="211" w:name="_Toc71710971"/>
      <w:bookmarkStart w:id="212" w:name="_Toc72399373"/>
      <w:r w:rsidRPr="00A14107">
        <w:rPr>
          <w:rFonts w:ascii="Times New Roman" w:eastAsia="Times New Roman" w:hAnsi="Times New Roman" w:cs="Times New Roman"/>
          <w:i/>
          <w:noProof/>
          <w:sz w:val="24"/>
          <w:szCs w:val="20"/>
        </w:rPr>
        <w:t>B3. Special custom</w:t>
      </w:r>
      <w:r w:rsidR="00FE682B">
        <w:rPr>
          <w:rFonts w:ascii="Times New Roman" w:eastAsia="Times New Roman" w:hAnsi="Times New Roman" w:cs="Times New Roman"/>
          <w:i/>
          <w:noProof/>
          <w:sz w:val="24"/>
          <w:szCs w:val="20"/>
        </w:rPr>
        <w:t>s</w:t>
      </w:r>
      <w:r w:rsidRPr="00A14107">
        <w:rPr>
          <w:rFonts w:ascii="Times New Roman" w:eastAsia="Times New Roman" w:hAnsi="Times New Roman" w:cs="Times New Roman"/>
          <w:i/>
          <w:noProof/>
          <w:sz w:val="24"/>
          <w:szCs w:val="20"/>
        </w:rPr>
        <w:t xml:space="preserve"> rules for ODS</w:t>
      </w:r>
      <w:bookmarkEnd w:id="208"/>
      <w:bookmarkEnd w:id="209"/>
      <w:bookmarkEnd w:id="210"/>
      <w:bookmarkEnd w:id="211"/>
      <w:bookmarkEnd w:id="212"/>
      <w:r w:rsidRPr="00A14107">
        <w:rPr>
          <w:rFonts w:ascii="Times New Roman" w:eastAsia="Times New Roman" w:hAnsi="Times New Roman" w:cs="Times New Roman"/>
          <w:i/>
          <w:noProof/>
          <w:sz w:val="24"/>
          <w:szCs w:val="20"/>
        </w:rPr>
        <w:t xml:space="preserve"> </w:t>
      </w:r>
    </w:p>
    <w:p w14:paraId="477A9677"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This measure allows better control over illegal activities at moderate costs </w:t>
      </w:r>
      <w:r w:rsidR="007E041D">
        <w:rPr>
          <w:rFonts w:ascii="Times New Roman" w:hAnsi="Times New Roman" w:cs="Times New Roman"/>
          <w:b/>
          <w:noProof/>
          <w:sz w:val="24"/>
          <w:szCs w:val="24"/>
        </w:rPr>
        <w:t>to</w:t>
      </w:r>
      <w:r w:rsidRPr="00A14107">
        <w:rPr>
          <w:rFonts w:ascii="Times New Roman" w:hAnsi="Times New Roman" w:cs="Times New Roman"/>
          <w:b/>
          <w:noProof/>
          <w:sz w:val="24"/>
          <w:szCs w:val="24"/>
        </w:rPr>
        <w:t xml:space="preserve"> importers.</w:t>
      </w:r>
      <w:r w:rsidRPr="00A14107">
        <w:rPr>
          <w:rFonts w:ascii="Times New Roman" w:hAnsi="Times New Roman" w:cs="Times New Roman"/>
          <w:noProof/>
          <w:sz w:val="24"/>
          <w:szCs w:val="24"/>
        </w:rPr>
        <w:t xml:space="preserve"> For</w:t>
      </w:r>
      <w:r w:rsidRPr="00A14107" w:rsidDel="00531510">
        <w:rPr>
          <w:rFonts w:ascii="Times New Roman" w:hAnsi="Times New Roman" w:cs="Times New Roman"/>
          <w:noProof/>
          <w:sz w:val="24"/>
          <w:szCs w:val="24"/>
        </w:rPr>
        <w:t xml:space="preserve"> </w:t>
      </w:r>
      <w:r w:rsidRPr="00A14107">
        <w:rPr>
          <w:rFonts w:ascii="Times New Roman" w:hAnsi="Times New Roman" w:cs="Times New Roman"/>
          <w:noProof/>
          <w:sz w:val="24"/>
          <w:szCs w:val="24"/>
        </w:rPr>
        <w:t>traders, logistics and/or admin</w:t>
      </w:r>
      <w:r w:rsidR="007E041D">
        <w:rPr>
          <w:rFonts w:ascii="Times New Roman" w:hAnsi="Times New Roman" w:cs="Times New Roman"/>
          <w:noProof/>
          <w:sz w:val="24"/>
          <w:szCs w:val="24"/>
        </w:rPr>
        <w:t>istrative</w:t>
      </w:r>
      <w:r w:rsidRPr="00A14107">
        <w:rPr>
          <w:rFonts w:ascii="Times New Roman" w:hAnsi="Times New Roman" w:cs="Times New Roman"/>
          <w:noProof/>
          <w:sz w:val="24"/>
          <w:szCs w:val="24"/>
        </w:rPr>
        <w:t xml:space="preserve"> costs may increase due to restrictions </w:t>
      </w:r>
      <w:r w:rsidR="007E041D">
        <w:rPr>
          <w:rFonts w:ascii="Times New Roman" w:hAnsi="Times New Roman" w:cs="Times New Roman"/>
          <w:noProof/>
          <w:sz w:val="24"/>
          <w:szCs w:val="24"/>
        </w:rPr>
        <w:t>as to</w:t>
      </w:r>
      <w:r w:rsidR="007E041D"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which custom</w:t>
      </w:r>
      <w:r w:rsidR="007E041D">
        <w:rPr>
          <w:rFonts w:ascii="Times New Roman" w:hAnsi="Times New Roman" w:cs="Times New Roman"/>
          <w:noProof/>
          <w:sz w:val="24"/>
          <w:szCs w:val="24"/>
        </w:rPr>
        <w:t>s</w:t>
      </w:r>
      <w:r w:rsidRPr="00A14107">
        <w:rPr>
          <w:rFonts w:ascii="Times New Roman" w:hAnsi="Times New Roman" w:cs="Times New Roman"/>
          <w:noProof/>
          <w:sz w:val="24"/>
          <w:szCs w:val="24"/>
        </w:rPr>
        <w:t xml:space="preserve"> offices can be used.</w:t>
      </w:r>
      <w:r w:rsidR="00EE7983">
        <w:rPr>
          <w:rFonts w:ascii="Times New Roman" w:hAnsi="Times New Roman" w:cs="Times New Roman"/>
          <w:noProof/>
          <w:sz w:val="24"/>
          <w:szCs w:val="24"/>
        </w:rPr>
        <w:t xml:space="preserve"> However this is expected to be a transitory issue as frequent traders would adapt to these new rules quickly.</w:t>
      </w:r>
      <w:r w:rsidRPr="00A14107">
        <w:rPr>
          <w:rFonts w:ascii="Times New Roman" w:hAnsi="Times New Roman" w:cs="Times New Roman"/>
          <w:noProof/>
          <w:sz w:val="24"/>
          <w:szCs w:val="24"/>
        </w:rPr>
        <w:t xml:space="preserve"> Support was expressed by industry and some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s for limiting the use of special procedures to certain custom offices equipped to handle ODS. </w:t>
      </w:r>
      <w:r w:rsidR="0054427D">
        <w:rPr>
          <w:rFonts w:ascii="Times New Roman" w:hAnsi="Times New Roman" w:cs="Times New Roman"/>
          <w:noProof/>
          <w:sz w:val="24"/>
          <w:szCs w:val="24"/>
        </w:rPr>
        <w:t>T</w:t>
      </w:r>
      <w:r w:rsidRPr="00A14107">
        <w:rPr>
          <w:rFonts w:ascii="Times New Roman" w:hAnsi="Times New Roman" w:cs="Times New Roman"/>
          <w:noProof/>
          <w:sz w:val="24"/>
          <w:szCs w:val="24"/>
        </w:rPr>
        <w:t>he possibility in the transit procedure to legally change the destination custom</w:t>
      </w:r>
      <w:r w:rsidR="007E041D">
        <w:rPr>
          <w:rFonts w:ascii="Times New Roman" w:hAnsi="Times New Roman" w:cs="Times New Roman"/>
          <w:noProof/>
          <w:sz w:val="24"/>
          <w:szCs w:val="24"/>
        </w:rPr>
        <w:t>s</w:t>
      </w:r>
      <w:r w:rsidRPr="00A14107">
        <w:rPr>
          <w:rFonts w:ascii="Times New Roman" w:hAnsi="Times New Roman" w:cs="Times New Roman"/>
          <w:noProof/>
          <w:sz w:val="24"/>
          <w:szCs w:val="24"/>
        </w:rPr>
        <w:t xml:space="preserve"> office may limit the controls over that procedure. Furthermore, consistency of custom</w:t>
      </w:r>
      <w:r w:rsidR="007E041D">
        <w:rPr>
          <w:rFonts w:ascii="Times New Roman" w:hAnsi="Times New Roman" w:cs="Times New Roman"/>
          <w:noProof/>
          <w:sz w:val="24"/>
          <w:szCs w:val="24"/>
        </w:rPr>
        <w:t>s</w:t>
      </w:r>
      <w:r w:rsidRPr="00A14107">
        <w:rPr>
          <w:rFonts w:ascii="Times New Roman" w:hAnsi="Times New Roman" w:cs="Times New Roman"/>
          <w:noProof/>
          <w:sz w:val="24"/>
          <w:szCs w:val="24"/>
        </w:rPr>
        <w:t xml:space="preserve"> rules with the F-gas Regulation</w:t>
      </w:r>
      <w:r w:rsidRPr="00A14107">
        <w:rPr>
          <w:noProof/>
          <w:sz w:val="24"/>
          <w:szCs w:val="24"/>
          <w:vertAlign w:val="superscript"/>
        </w:rPr>
        <w:footnoteReference w:id="82"/>
      </w:r>
      <w:r w:rsidRPr="00A14107">
        <w:rPr>
          <w:rFonts w:ascii="Times New Roman" w:hAnsi="Times New Roman" w:cs="Times New Roman"/>
          <w:noProof/>
          <w:sz w:val="24"/>
          <w:szCs w:val="24"/>
        </w:rPr>
        <w:t xml:space="preserve"> is </w:t>
      </w:r>
      <w:r w:rsidR="0054427D">
        <w:rPr>
          <w:rFonts w:ascii="Times New Roman" w:hAnsi="Times New Roman" w:cs="Times New Roman"/>
          <w:noProof/>
          <w:sz w:val="24"/>
          <w:szCs w:val="24"/>
        </w:rPr>
        <w:t>important for many stakeholders</w:t>
      </w:r>
      <w:r w:rsidRPr="00A14107">
        <w:rPr>
          <w:rFonts w:ascii="Times New Roman" w:hAnsi="Times New Roman" w:cs="Times New Roman"/>
          <w:noProof/>
          <w:sz w:val="24"/>
          <w:szCs w:val="24"/>
        </w:rPr>
        <w:t xml:space="preserve">. </w:t>
      </w:r>
      <w:r w:rsidRPr="00A14107" w:rsidDel="00B203F8">
        <w:rPr>
          <w:rFonts w:ascii="Times New Roman" w:hAnsi="Times New Roman" w:cs="Times New Roman"/>
          <w:noProof/>
          <w:sz w:val="24"/>
          <w:szCs w:val="24"/>
        </w:rPr>
        <w:t xml:space="preserve">Customs would incur costs due to controls on a risk basis. </w:t>
      </w:r>
      <w:r w:rsidRPr="00A14107">
        <w:rPr>
          <w:rFonts w:ascii="Times New Roman" w:hAnsi="Times New Roman" w:cs="Times New Roman"/>
          <w:noProof/>
          <w:sz w:val="24"/>
          <w:szCs w:val="24"/>
        </w:rPr>
        <w:t>Customs authorities interviewed indicated that the control of ODS should be rather strict</w:t>
      </w:r>
      <w:r w:rsidR="00B17033">
        <w:rPr>
          <w:rFonts w:ascii="Times New Roman" w:hAnsi="Times New Roman" w:cs="Times New Roman"/>
          <w:noProof/>
          <w:sz w:val="24"/>
          <w:szCs w:val="24"/>
        </w:rPr>
        <w:t>.</w:t>
      </w:r>
      <w:r w:rsidRPr="00A14107">
        <w:rPr>
          <w:rFonts w:ascii="Times New Roman" w:hAnsi="Times New Roman" w:cs="Times New Roman"/>
          <w:noProof/>
          <w:sz w:val="24"/>
          <w:szCs w:val="24"/>
        </w:rPr>
        <w:t xml:space="preserve"> </w:t>
      </w:r>
      <w:r w:rsidR="00B17033">
        <w:rPr>
          <w:rFonts w:ascii="Times New Roman" w:hAnsi="Times New Roman" w:cs="Times New Roman"/>
          <w:noProof/>
          <w:sz w:val="24"/>
          <w:szCs w:val="24"/>
        </w:rPr>
        <w:t>I</w:t>
      </w:r>
      <w:r w:rsidRPr="00A14107">
        <w:rPr>
          <w:rFonts w:ascii="Times New Roman" w:hAnsi="Times New Roman" w:cs="Times New Roman"/>
          <w:noProof/>
          <w:sz w:val="24"/>
          <w:szCs w:val="24"/>
        </w:rPr>
        <w:t xml:space="preserve">f well implemented, the additional administrative burden would likely be low, but vary depending on the volume </w:t>
      </w:r>
      <w:r w:rsidR="007E041D">
        <w:rPr>
          <w:rFonts w:ascii="Times New Roman" w:hAnsi="Times New Roman" w:cs="Times New Roman"/>
          <w:noProof/>
          <w:sz w:val="24"/>
          <w:szCs w:val="24"/>
        </w:rPr>
        <w:t>of</w:t>
      </w:r>
      <w:r w:rsidR="007E041D"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illicit trafficking. </w:t>
      </w:r>
    </w:p>
    <w:p w14:paraId="44EB2773"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13" w:name="_Toc72399374"/>
      <w:r w:rsidRPr="00A14107">
        <w:rPr>
          <w:rFonts w:ascii="Times New Roman" w:eastAsia="Times New Roman" w:hAnsi="Times New Roman" w:cs="Times New Roman"/>
          <w:i/>
          <w:noProof/>
          <w:sz w:val="24"/>
          <w:szCs w:val="20"/>
        </w:rPr>
        <w:t>B4. Abolish the registration system for laboratories</w:t>
      </w:r>
      <w:bookmarkEnd w:id="213"/>
    </w:p>
    <w:p w14:paraId="0C5546EA"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This measure will result in cost savings for companies </w:t>
      </w:r>
      <w:r w:rsidRPr="00A14107">
        <w:rPr>
          <w:rFonts w:ascii="Times New Roman" w:hAnsi="Times New Roman" w:cs="Times New Roman"/>
          <w:noProof/>
          <w:sz w:val="24"/>
          <w:szCs w:val="24"/>
        </w:rPr>
        <w:t>as it will</w:t>
      </w:r>
      <w:r w:rsidRPr="00A14107">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 xml:space="preserve">decrease the administrative burden on the 2,211 laboratories </w:t>
      </w:r>
      <w:r w:rsidR="000A224C">
        <w:rPr>
          <w:rFonts w:ascii="Times New Roman" w:hAnsi="Times New Roman" w:cs="Times New Roman"/>
          <w:noProof/>
          <w:sz w:val="24"/>
          <w:szCs w:val="24"/>
        </w:rPr>
        <w:t xml:space="preserve">that </w:t>
      </w:r>
      <w:r w:rsidRPr="00A14107">
        <w:rPr>
          <w:rFonts w:ascii="Times New Roman" w:hAnsi="Times New Roman" w:cs="Times New Roman"/>
          <w:noProof/>
          <w:sz w:val="24"/>
          <w:szCs w:val="24"/>
        </w:rPr>
        <w:t>registered in 2020</w:t>
      </w:r>
      <w:r w:rsidR="00B17033">
        <w:rPr>
          <w:rFonts w:ascii="Times New Roman" w:hAnsi="Times New Roman" w:cs="Times New Roman"/>
          <w:noProof/>
          <w:sz w:val="24"/>
          <w:szCs w:val="24"/>
        </w:rPr>
        <w:t>.</w:t>
      </w:r>
      <w:r w:rsidR="00B17033">
        <w:rPr>
          <w:rStyle w:val="FootnoteReference"/>
          <w:rFonts w:ascii="Times New Roman" w:hAnsi="Times New Roman" w:cs="Times New Roman"/>
          <w:noProof/>
          <w:sz w:val="24"/>
          <w:szCs w:val="24"/>
        </w:rPr>
        <w:footnoteReference w:id="83"/>
      </w:r>
      <w:r w:rsidRPr="00A14107">
        <w:rPr>
          <w:rFonts w:ascii="Times New Roman" w:hAnsi="Times New Roman" w:cs="Times New Roman"/>
          <w:noProof/>
          <w:sz w:val="24"/>
          <w:szCs w:val="24"/>
        </w:rPr>
        <w:t xml:space="preserve"> The total cost avoided each year would be around €50,000</w:t>
      </w:r>
      <w:r w:rsidR="00EE7983">
        <w:rPr>
          <w:rFonts w:ascii="Times New Roman" w:hAnsi="Times New Roman" w:cs="Times New Roman"/>
          <w:noProof/>
          <w:sz w:val="24"/>
          <w:szCs w:val="24"/>
        </w:rPr>
        <w:t xml:space="preserve"> (see evaluation)</w:t>
      </w:r>
      <w:r w:rsidRPr="00A14107">
        <w:rPr>
          <w:rFonts w:ascii="Times New Roman" w:hAnsi="Times New Roman" w:cs="Times New Roman"/>
          <w:noProof/>
          <w:sz w:val="24"/>
          <w:szCs w:val="24"/>
        </w:rPr>
        <w:t xml:space="preserve">. Laboratories and other entities that will be impacted by this measure are often SMEs. These savings are generally welcomed by stakeholders. One industry representative said in the stakeholder workshop that the current system is excessive compared to the quantities covered. Requesting instead 5-year record keeping will slightly reduce the savings, but laboratories should already </w:t>
      </w:r>
      <w:r w:rsidR="000A224C">
        <w:rPr>
          <w:rFonts w:ascii="Times New Roman" w:hAnsi="Times New Roman" w:cs="Times New Roman"/>
          <w:noProof/>
          <w:sz w:val="24"/>
          <w:szCs w:val="24"/>
        </w:rPr>
        <w:t xml:space="preserve">be </w:t>
      </w:r>
      <w:r w:rsidRPr="00A14107">
        <w:rPr>
          <w:rFonts w:ascii="Times New Roman" w:hAnsi="Times New Roman" w:cs="Times New Roman"/>
          <w:noProof/>
          <w:sz w:val="24"/>
          <w:szCs w:val="24"/>
        </w:rPr>
        <w:t>keep</w:t>
      </w:r>
      <w:r w:rsidR="000A224C">
        <w:rPr>
          <w:rFonts w:ascii="Times New Roman" w:hAnsi="Times New Roman" w:cs="Times New Roman"/>
          <w:noProof/>
          <w:sz w:val="24"/>
          <w:szCs w:val="24"/>
        </w:rPr>
        <w:t>ing</w:t>
      </w:r>
      <w:r w:rsidRPr="00A14107">
        <w:rPr>
          <w:rFonts w:ascii="Times New Roman" w:hAnsi="Times New Roman" w:cs="Times New Roman"/>
          <w:noProof/>
          <w:sz w:val="24"/>
          <w:szCs w:val="24"/>
        </w:rPr>
        <w:t xml:space="preserve"> track currently of substance acquisition, and this would therefore only entail ensuring that this information is not deleted. Some ODS suppliers expressed concern that some of these costs may be shifted to them for ensuring ODS are not misused for other prohibited purposes. There are savings for the European Commission amounting to 72 days per year of processing laboratory registrations and another 27 person days per year related to the development and maintenance of the related IT system. Member States may have some enforcement costs, but as the quantities and risks are low in this case, such action is expected to be very light. Some authorities also feared that there </w:t>
      </w:r>
      <w:r w:rsidR="000A224C" w:rsidRPr="00A14107">
        <w:rPr>
          <w:rFonts w:ascii="Times New Roman" w:hAnsi="Times New Roman" w:cs="Times New Roman"/>
          <w:noProof/>
          <w:sz w:val="24"/>
          <w:szCs w:val="24"/>
        </w:rPr>
        <w:t>m</w:t>
      </w:r>
      <w:r w:rsidR="000A224C">
        <w:rPr>
          <w:rFonts w:ascii="Times New Roman" w:hAnsi="Times New Roman" w:cs="Times New Roman"/>
          <w:noProof/>
          <w:sz w:val="24"/>
          <w:szCs w:val="24"/>
        </w:rPr>
        <w:t>ay</w:t>
      </w:r>
      <w:r w:rsidR="000A224C"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be less overview and control over this ODS use in the future.</w:t>
      </w:r>
      <w:r w:rsidR="0007183B">
        <w:rPr>
          <w:rFonts w:ascii="Times New Roman" w:hAnsi="Times New Roman" w:cs="Times New Roman"/>
          <w:noProof/>
          <w:sz w:val="24"/>
          <w:szCs w:val="24"/>
        </w:rPr>
        <w:t xml:space="preserve"> Generally however the lack of registration should not result in additional emissions given the small amounts of ODS involved and the control of trade by e.g. monitoring and licensing.</w:t>
      </w:r>
    </w:p>
    <w:p w14:paraId="3E8E3435" w14:textId="77777777" w:rsidR="00A14107" w:rsidRPr="00A14107" w:rsidRDefault="00A14107" w:rsidP="006578FA">
      <w:pPr>
        <w:keepNext/>
        <w:spacing w:after="120" w:line="240" w:lineRule="auto"/>
        <w:ind w:firstLine="720"/>
        <w:jc w:val="both"/>
        <w:outlineLvl w:val="2"/>
        <w:rPr>
          <w:rFonts w:ascii="Times New Roman" w:eastAsia="Times New Roman" w:hAnsi="Times New Roman" w:cs="Times New Roman"/>
          <w:i/>
          <w:noProof/>
          <w:sz w:val="24"/>
          <w:szCs w:val="20"/>
        </w:rPr>
      </w:pPr>
      <w:bookmarkStart w:id="214" w:name="_Toc72399375"/>
      <w:r w:rsidRPr="00A14107">
        <w:rPr>
          <w:rFonts w:ascii="Times New Roman" w:eastAsia="Times New Roman" w:hAnsi="Times New Roman" w:cs="Times New Roman"/>
          <w:i/>
          <w:noProof/>
          <w:sz w:val="24"/>
          <w:szCs w:val="20"/>
        </w:rPr>
        <w:t>B5. Abolish the annual quota allocation process</w:t>
      </w:r>
      <w:bookmarkEnd w:id="214"/>
    </w:p>
    <w:p w14:paraId="7075ADBE"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This measure will result in cost savings for companies and authorities.</w:t>
      </w:r>
      <w:r w:rsidRPr="00A14107">
        <w:rPr>
          <w:rFonts w:ascii="Times New Roman" w:hAnsi="Times New Roman" w:cs="Times New Roman"/>
          <w:noProof/>
          <w:sz w:val="24"/>
          <w:szCs w:val="24"/>
        </w:rPr>
        <w:t xml:space="preserve"> This modification will decrease administrative burden on businesses</w:t>
      </w:r>
      <w:r w:rsidR="0088564C">
        <w:rPr>
          <w:rFonts w:ascii="Times New Roman" w:hAnsi="Times New Roman" w:cs="Times New Roman"/>
          <w:noProof/>
          <w:sz w:val="24"/>
          <w:szCs w:val="24"/>
        </w:rPr>
        <w:t xml:space="preserve"> including SMEs</w:t>
      </w:r>
      <w:r w:rsidRPr="00A14107">
        <w:rPr>
          <w:rFonts w:ascii="Times New Roman" w:hAnsi="Times New Roman" w:cs="Times New Roman"/>
          <w:noProof/>
          <w:sz w:val="24"/>
          <w:szCs w:val="24"/>
        </w:rPr>
        <w:t>, saving them €11,000 per year with respect to the baseline. This does not include additional costs saved where the import quota application turned out to be too low and the company had to buy ODS on the EU market at high purchase prices in case of requiring bulk ODS at short notice without having applied for quota. While businesses were</w:t>
      </w:r>
      <w:r w:rsidRPr="00A14107" w:rsidDel="00D3787B">
        <w:rPr>
          <w:rFonts w:ascii="Times New Roman" w:hAnsi="Times New Roman" w:cs="Times New Roman"/>
          <w:noProof/>
          <w:sz w:val="24"/>
          <w:szCs w:val="24"/>
        </w:rPr>
        <w:t xml:space="preserve"> </w:t>
      </w:r>
      <w:r w:rsidRPr="00A14107">
        <w:rPr>
          <w:rFonts w:ascii="Times New Roman" w:hAnsi="Times New Roman" w:cs="Times New Roman"/>
          <w:noProof/>
          <w:sz w:val="24"/>
          <w:szCs w:val="24"/>
        </w:rPr>
        <w:t>in favour of abolishing quota allocations, authorities had mixed views on its feasibility, as some of them were concerned that the system would not effectively control the quantities and application types. While Member States already have low costs, the European Commission would achieve savings of 60 person days per year related to the allocation of quotas.</w:t>
      </w:r>
      <w:r w:rsidR="0007183B">
        <w:rPr>
          <w:rFonts w:ascii="Times New Roman" w:hAnsi="Times New Roman" w:cs="Times New Roman"/>
          <w:noProof/>
          <w:sz w:val="24"/>
          <w:szCs w:val="24"/>
        </w:rPr>
        <w:t xml:space="preserve"> No additional emissions are expected as the necessary control is achi</w:t>
      </w:r>
      <w:r w:rsidR="00BA2B5D">
        <w:rPr>
          <w:rFonts w:ascii="Times New Roman" w:hAnsi="Times New Roman" w:cs="Times New Roman"/>
          <w:noProof/>
          <w:sz w:val="24"/>
          <w:szCs w:val="24"/>
        </w:rPr>
        <w:t>e</w:t>
      </w:r>
      <w:r w:rsidR="0007183B">
        <w:rPr>
          <w:rFonts w:ascii="Times New Roman" w:hAnsi="Times New Roman" w:cs="Times New Roman"/>
          <w:noProof/>
          <w:sz w:val="24"/>
          <w:szCs w:val="24"/>
        </w:rPr>
        <w:t>ved through e.g. monitoring and licensing.</w:t>
      </w:r>
    </w:p>
    <w:p w14:paraId="6D973FB7"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15" w:name="_Toc72399376"/>
      <w:r w:rsidRPr="00A14107">
        <w:rPr>
          <w:rFonts w:ascii="Times New Roman" w:eastAsia="Times New Roman" w:hAnsi="Times New Roman" w:cs="Times New Roman"/>
          <w:i/>
          <w:noProof/>
          <w:sz w:val="24"/>
          <w:szCs w:val="20"/>
        </w:rPr>
        <w:t>B6. Delay the requirement of using non-halon fire protection for normally unoccupied cargo compartments in newly type certified aircraft</w:t>
      </w:r>
      <w:bookmarkEnd w:id="215"/>
    </w:p>
    <w:p w14:paraId="5E744CAF" w14:textId="77777777" w:rsidR="00A14107" w:rsidRPr="00A14107" w:rsidRDefault="00A14107" w:rsidP="006578FA">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 xml:space="preserve">This measure will result in cost savings for companies and authorities. </w:t>
      </w:r>
      <w:r w:rsidRPr="00A14107">
        <w:rPr>
          <w:rFonts w:ascii="Times New Roman" w:hAnsi="Times New Roman" w:cs="Times New Roman"/>
          <w:noProof/>
          <w:sz w:val="24"/>
          <w:szCs w:val="24"/>
        </w:rPr>
        <w:t xml:space="preserve">Authorities and businesses alike highlighted positive economic impacts from removing the need to request corresponding derogations. Without this measure, aviation companies would need to ask for case-by-case derogations due to the current infeasibility to meet the 2018 prohibition. 3 to 4 derogation requests could be submitted to the European Commission until 2024 from Member States on behalf of operators of airplanes having such compartments, without the deadline change. These companies could therefore avoid the costs linked to preparing the case by providing all the relevant technical data (estimated to be at least 30 person days per derogation depending upon complexity). The concerned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 would avoid costs for preparing the derogation request to the Commission (15-30 person days per derogation). Likewise, the Commission would not incur administrative costs for treating, issuing and monitoring </w:t>
      </w:r>
      <w:r w:rsidR="000A224C" w:rsidRPr="00A14107">
        <w:rPr>
          <w:rFonts w:ascii="Times New Roman" w:hAnsi="Times New Roman" w:cs="Times New Roman"/>
          <w:noProof/>
          <w:sz w:val="24"/>
          <w:szCs w:val="24"/>
        </w:rPr>
        <w:t xml:space="preserve">such derogations </w:t>
      </w:r>
      <w:r w:rsidRPr="00A14107">
        <w:rPr>
          <w:rFonts w:ascii="Times New Roman" w:hAnsi="Times New Roman" w:cs="Times New Roman"/>
          <w:noProof/>
          <w:sz w:val="24"/>
          <w:szCs w:val="24"/>
        </w:rPr>
        <w:t>(40 person days per derogation per year</w:t>
      </w:r>
      <w:r w:rsidRPr="00A14107">
        <w:rPr>
          <w:noProof/>
          <w:sz w:val="24"/>
          <w:szCs w:val="24"/>
          <w:vertAlign w:val="superscript"/>
        </w:rPr>
        <w:footnoteReference w:id="84"/>
      </w:r>
      <w:r w:rsidRPr="00A14107">
        <w:rPr>
          <w:rFonts w:ascii="Times New Roman" w:hAnsi="Times New Roman" w:cs="Times New Roman"/>
          <w:noProof/>
          <w:sz w:val="24"/>
          <w:szCs w:val="24"/>
        </w:rPr>
        <w:t xml:space="preserve">). In total, costs avoided could be 120 person days for both </w:t>
      </w:r>
      <w:r w:rsidR="000A224C">
        <w:rPr>
          <w:rFonts w:ascii="Times New Roman" w:hAnsi="Times New Roman" w:cs="Times New Roman"/>
          <w:noProof/>
          <w:sz w:val="24"/>
          <w:szCs w:val="24"/>
        </w:rPr>
        <w:t xml:space="preserve">the </w:t>
      </w:r>
      <w:r w:rsidRPr="00A14107">
        <w:rPr>
          <w:rFonts w:ascii="Times New Roman" w:hAnsi="Times New Roman" w:cs="Times New Roman"/>
          <w:noProof/>
          <w:sz w:val="24"/>
          <w:szCs w:val="24"/>
        </w:rPr>
        <w:t xml:space="preserve">aviation industry and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 authorities, and up to 320 person days</w:t>
      </w:r>
      <w:r w:rsidRPr="00A14107">
        <w:rPr>
          <w:noProof/>
          <w:sz w:val="24"/>
          <w:szCs w:val="24"/>
          <w:vertAlign w:val="superscript"/>
        </w:rPr>
        <w:footnoteReference w:id="85"/>
      </w:r>
      <w:r w:rsidRPr="00A14107">
        <w:rPr>
          <w:rFonts w:ascii="Times New Roman" w:hAnsi="Times New Roman" w:cs="Times New Roman"/>
          <w:noProof/>
          <w:sz w:val="24"/>
          <w:szCs w:val="24"/>
        </w:rPr>
        <w:t xml:space="preserve"> for the European Commission. As mentioned by some businesses, no environmental impacts are expected as there </w:t>
      </w:r>
      <w:r w:rsidR="000A224C" w:rsidRPr="00A14107">
        <w:rPr>
          <w:rFonts w:ascii="Times New Roman" w:hAnsi="Times New Roman" w:cs="Times New Roman"/>
          <w:noProof/>
          <w:sz w:val="24"/>
          <w:szCs w:val="24"/>
        </w:rPr>
        <w:t xml:space="preserve">are </w:t>
      </w:r>
      <w:r w:rsidRPr="00A14107">
        <w:rPr>
          <w:rFonts w:ascii="Times New Roman" w:hAnsi="Times New Roman" w:cs="Times New Roman"/>
          <w:noProof/>
          <w:sz w:val="24"/>
          <w:szCs w:val="24"/>
        </w:rPr>
        <w:t xml:space="preserve">currently no suitable alternatives, meaning the use of halons will have to continue, either by derogations or by delaying the deadline. </w:t>
      </w:r>
      <w:r w:rsidR="0007183B">
        <w:rPr>
          <w:rFonts w:ascii="Times New Roman" w:hAnsi="Times New Roman" w:cs="Times New Roman"/>
          <w:noProof/>
          <w:sz w:val="24"/>
          <w:szCs w:val="24"/>
        </w:rPr>
        <w:t>No additional emissions are expected, as the delay of the deadline is due to the fact that no technical options exist, so the use (and any potential future emissions) cannot be avoided at this time.</w:t>
      </w:r>
    </w:p>
    <w:p w14:paraId="2EAEC37F" w14:textId="1D711F11" w:rsidR="00A14107" w:rsidRPr="00A14107" w:rsidRDefault="00896FDA" w:rsidP="00896FDA">
      <w:pPr>
        <w:pStyle w:val="Heading2"/>
        <w:rPr>
          <w:noProof/>
        </w:rPr>
      </w:pPr>
      <w:bookmarkStart w:id="216" w:name="_Toc71559425"/>
      <w:bookmarkStart w:id="217" w:name="_Toc71707054"/>
      <w:bookmarkStart w:id="218" w:name="_Toc71708240"/>
      <w:bookmarkStart w:id="219" w:name="_Toc71710972"/>
      <w:bookmarkStart w:id="220" w:name="_Toc72399377"/>
      <w:bookmarkStart w:id="221" w:name="_Toc93511478"/>
      <w:r w:rsidRPr="00896FDA">
        <w:t>6.3.</w:t>
      </w:r>
      <w:r w:rsidRPr="00896FDA">
        <w:tab/>
      </w:r>
      <w:r w:rsidR="00A14107" w:rsidRPr="00A14107">
        <w:rPr>
          <w:noProof/>
        </w:rPr>
        <w:t>Ensure more comprehensive monitoring</w:t>
      </w:r>
      <w:bookmarkEnd w:id="216"/>
      <w:bookmarkEnd w:id="217"/>
      <w:bookmarkEnd w:id="218"/>
      <w:bookmarkEnd w:id="219"/>
      <w:bookmarkEnd w:id="220"/>
      <w:bookmarkEnd w:id="221"/>
    </w:p>
    <w:p w14:paraId="018EA486" w14:textId="77777777" w:rsidR="00A14107" w:rsidRPr="00A14107" w:rsidRDefault="00A14107" w:rsidP="006578FA">
      <w:pPr>
        <w:tabs>
          <w:tab w:val="left" w:pos="2302"/>
        </w:tabs>
        <w:spacing w:after="120"/>
        <w:jc w:val="both"/>
        <w:rPr>
          <w:rFonts w:ascii="Times New Roman" w:eastAsia="Times New Roman" w:hAnsi="Times New Roman" w:cs="Times New Roman"/>
          <w:noProof/>
          <w:sz w:val="24"/>
          <w:szCs w:val="24"/>
        </w:rPr>
      </w:pPr>
      <w:r w:rsidRPr="00A14107">
        <w:rPr>
          <w:rFonts w:ascii="Times New Roman" w:eastAsia="Times New Roman" w:hAnsi="Times New Roman" w:cs="Times New Roman"/>
          <w:noProof/>
          <w:sz w:val="24"/>
          <w:szCs w:val="20"/>
        </w:rPr>
        <w:t xml:space="preserve">The rationale for these measures is to have a better understanding and overview </w:t>
      </w:r>
      <w:r w:rsidR="00435100">
        <w:rPr>
          <w:rFonts w:ascii="Times New Roman" w:eastAsia="Times New Roman" w:hAnsi="Times New Roman" w:cs="Times New Roman"/>
          <w:noProof/>
          <w:sz w:val="24"/>
          <w:szCs w:val="20"/>
        </w:rPr>
        <w:t>of</w:t>
      </w:r>
      <w:r w:rsidR="00435100" w:rsidRPr="00A14107">
        <w:rPr>
          <w:rFonts w:ascii="Times New Roman" w:eastAsia="Times New Roman" w:hAnsi="Times New Roman" w:cs="Times New Roman"/>
          <w:noProof/>
          <w:sz w:val="24"/>
          <w:szCs w:val="20"/>
        </w:rPr>
        <w:t xml:space="preserve"> </w:t>
      </w:r>
      <w:r w:rsidRPr="00A14107">
        <w:rPr>
          <w:rFonts w:ascii="Times New Roman" w:eastAsia="Times New Roman" w:hAnsi="Times New Roman" w:cs="Times New Roman"/>
          <w:noProof/>
          <w:sz w:val="24"/>
          <w:szCs w:val="20"/>
        </w:rPr>
        <w:t xml:space="preserve">remaining ODS-related trade and use, for authorities, stakeholders and the public. In enabling better controls and early warning on any worrying trends, </w:t>
      </w:r>
      <w:r w:rsidRPr="00A14107">
        <w:rPr>
          <w:rFonts w:ascii="Times New Roman" w:eastAsia="Times New Roman" w:hAnsi="Times New Roman" w:cs="Times New Roman"/>
          <w:b/>
          <w:noProof/>
          <w:sz w:val="24"/>
          <w:szCs w:val="20"/>
        </w:rPr>
        <w:t>there is an inherent environmental benefit to all these measures</w:t>
      </w:r>
      <w:r w:rsidRPr="00A14107">
        <w:rPr>
          <w:rFonts w:ascii="Times New Roman" w:eastAsia="Times New Roman" w:hAnsi="Times New Roman" w:cs="Times New Roman"/>
          <w:noProof/>
          <w:sz w:val="24"/>
          <w:szCs w:val="20"/>
        </w:rPr>
        <w:t>, which is however difficult to quantify.</w:t>
      </w:r>
    </w:p>
    <w:p w14:paraId="584A63CC"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22" w:name="_Toc72399378"/>
      <w:r w:rsidRPr="00A14107">
        <w:rPr>
          <w:rFonts w:ascii="Times New Roman" w:eastAsia="Times New Roman" w:hAnsi="Times New Roman" w:cs="Times New Roman"/>
          <w:i/>
          <w:noProof/>
          <w:sz w:val="24"/>
          <w:szCs w:val="20"/>
        </w:rPr>
        <w:t>C1. Require reporting on use as feedstock, process agents and destruction also for new ODS (Annex II)</w:t>
      </w:r>
      <w:bookmarkEnd w:id="222"/>
    </w:p>
    <w:p w14:paraId="38E36F04" w14:textId="77777777" w:rsidR="00A14107" w:rsidRPr="00A14107" w:rsidRDefault="00A14107" w:rsidP="00B17033">
      <w:pPr>
        <w:spacing w:after="120" w:line="259" w:lineRule="auto"/>
        <w:jc w:val="both"/>
        <w:rPr>
          <w:rFonts w:ascii="Times New Roman" w:eastAsia="Calibri" w:hAnsi="Times New Roman" w:cs="Times New Roman"/>
          <w:noProof/>
          <w:sz w:val="24"/>
          <w:szCs w:val="24"/>
        </w:rPr>
      </w:pPr>
      <w:r w:rsidRPr="00A14107">
        <w:rPr>
          <w:rFonts w:ascii="Times New Roman" w:eastAsia="Calibri" w:hAnsi="Times New Roman" w:cs="Times New Roman"/>
          <w:b/>
          <w:noProof/>
          <w:sz w:val="24"/>
          <w:szCs w:val="24"/>
        </w:rPr>
        <w:t>Stakeholders were rather confident that the additional costs for this requirement are rather low.</w:t>
      </w:r>
      <w:r w:rsidRPr="00A14107">
        <w:rPr>
          <w:rFonts w:ascii="Times New Roman" w:eastAsia="Calibri" w:hAnsi="Times New Roman" w:cs="Times New Roman"/>
          <w:noProof/>
          <w:sz w:val="24"/>
          <w:szCs w:val="24"/>
        </w:rPr>
        <w:t xml:space="preserve"> Concerned stakeholders acknowledged that the data are</w:t>
      </w:r>
      <w:r w:rsidR="007E5BD2">
        <w:rPr>
          <w:rFonts w:ascii="Times New Roman" w:eastAsia="Calibri" w:hAnsi="Times New Roman" w:cs="Times New Roman"/>
          <w:noProof/>
          <w:sz w:val="24"/>
          <w:szCs w:val="24"/>
        </w:rPr>
        <w:t xml:space="preserve">, for the most </w:t>
      </w:r>
      <w:r w:rsidR="00435100">
        <w:rPr>
          <w:rFonts w:ascii="Times New Roman" w:eastAsia="Calibri" w:hAnsi="Times New Roman" w:cs="Times New Roman"/>
          <w:noProof/>
          <w:sz w:val="24"/>
          <w:szCs w:val="24"/>
        </w:rPr>
        <w:t>part,</w:t>
      </w:r>
      <w:r w:rsidR="007E5BD2">
        <w:rPr>
          <w:rFonts w:ascii="Times New Roman" w:eastAsia="Calibri" w:hAnsi="Times New Roman" w:cs="Times New Roman"/>
          <w:noProof/>
          <w:sz w:val="24"/>
          <w:szCs w:val="24"/>
        </w:rPr>
        <w:t xml:space="preserve"> </w:t>
      </w:r>
      <w:r w:rsidRPr="00A14107">
        <w:rPr>
          <w:rFonts w:ascii="Times New Roman" w:eastAsia="Calibri" w:hAnsi="Times New Roman" w:cs="Times New Roman"/>
          <w:noProof/>
          <w:sz w:val="24"/>
          <w:szCs w:val="24"/>
        </w:rPr>
        <w:t xml:space="preserve">already collected today (voluntarily) and could be reported without noteworthy increases in administrative costs. The benefit of this measure </w:t>
      </w:r>
      <w:r w:rsidR="00435100">
        <w:rPr>
          <w:rFonts w:ascii="Times New Roman" w:eastAsia="Calibri" w:hAnsi="Times New Roman" w:cs="Times New Roman"/>
          <w:noProof/>
          <w:sz w:val="24"/>
          <w:szCs w:val="24"/>
        </w:rPr>
        <w:t>is</w:t>
      </w:r>
      <w:r w:rsidR="00435100" w:rsidRPr="00A14107">
        <w:rPr>
          <w:rFonts w:ascii="Times New Roman" w:eastAsia="Calibri" w:hAnsi="Times New Roman" w:cs="Times New Roman"/>
          <w:noProof/>
          <w:sz w:val="24"/>
          <w:szCs w:val="24"/>
        </w:rPr>
        <w:t xml:space="preserve"> </w:t>
      </w:r>
      <w:r w:rsidRPr="00A14107">
        <w:rPr>
          <w:rFonts w:ascii="Times New Roman" w:eastAsia="Calibri" w:hAnsi="Times New Roman" w:cs="Times New Roman"/>
          <w:noProof/>
          <w:sz w:val="24"/>
          <w:szCs w:val="24"/>
        </w:rPr>
        <w:t xml:space="preserve">a much better understanding of the use of those gases in </w:t>
      </w:r>
      <w:r w:rsidR="00435100">
        <w:rPr>
          <w:rFonts w:ascii="Times New Roman" w:eastAsia="Calibri" w:hAnsi="Times New Roman" w:cs="Times New Roman"/>
          <w:noProof/>
          <w:sz w:val="24"/>
          <w:szCs w:val="24"/>
        </w:rPr>
        <w:t xml:space="preserve">the </w:t>
      </w:r>
      <w:r w:rsidRPr="00A14107">
        <w:rPr>
          <w:rFonts w:ascii="Times New Roman" w:eastAsia="Calibri" w:hAnsi="Times New Roman" w:cs="Times New Roman"/>
          <w:noProof/>
          <w:sz w:val="24"/>
          <w:szCs w:val="24"/>
        </w:rPr>
        <w:t xml:space="preserve">chemical industry, as stated by some authorities. The affected stakeholders are existing reporting companies, especially feedstock users, and additional administrative burden on businesses is estimated as </w:t>
      </w:r>
      <w:r w:rsidR="00435100">
        <w:rPr>
          <w:rFonts w:ascii="Times New Roman" w:eastAsia="Calibri" w:hAnsi="Times New Roman" w:cs="Times New Roman"/>
          <w:noProof/>
          <w:sz w:val="24"/>
          <w:szCs w:val="24"/>
        </w:rPr>
        <w:t xml:space="preserve">being </w:t>
      </w:r>
      <w:r w:rsidRPr="00A14107">
        <w:rPr>
          <w:rFonts w:ascii="Times New Roman" w:eastAsia="Calibri" w:hAnsi="Times New Roman" w:cs="Times New Roman"/>
          <w:noProof/>
          <w:sz w:val="24"/>
          <w:szCs w:val="24"/>
        </w:rPr>
        <w:t>up to €5,500 per year for all undertakings combined. Annex</w:t>
      </w:r>
      <w:r w:rsidR="00435100">
        <w:rPr>
          <w:rFonts w:ascii="Times New Roman" w:eastAsia="Calibri" w:hAnsi="Times New Roman" w:cs="Times New Roman"/>
          <w:noProof/>
          <w:sz w:val="24"/>
          <w:szCs w:val="24"/>
        </w:rPr>
        <w:t>es</w:t>
      </w:r>
      <w:r w:rsidRPr="00A14107">
        <w:rPr>
          <w:rFonts w:ascii="Times New Roman" w:eastAsia="Calibri" w:hAnsi="Times New Roman" w:cs="Times New Roman"/>
          <w:noProof/>
          <w:sz w:val="24"/>
          <w:szCs w:val="24"/>
        </w:rPr>
        <w:t xml:space="preserve"> I and II data reporting requirements already require the same type of primary data collection, so the required data by the measure is often already available and does not need a separate collection. In addition, the feedstock produced is </w:t>
      </w:r>
      <w:r w:rsidR="00435100">
        <w:rPr>
          <w:rFonts w:ascii="Times New Roman" w:eastAsia="Calibri" w:hAnsi="Times New Roman" w:cs="Times New Roman"/>
          <w:noProof/>
          <w:sz w:val="24"/>
          <w:szCs w:val="24"/>
        </w:rPr>
        <w:t xml:space="preserve">often </w:t>
      </w:r>
      <w:r w:rsidRPr="00A14107">
        <w:rPr>
          <w:rFonts w:ascii="Times New Roman" w:eastAsia="Calibri" w:hAnsi="Times New Roman" w:cs="Times New Roman"/>
          <w:noProof/>
          <w:sz w:val="24"/>
          <w:szCs w:val="24"/>
        </w:rPr>
        <w:t>also used by another part of the company conglomerate, which means that in these case</w:t>
      </w:r>
      <w:r w:rsidR="00435100">
        <w:rPr>
          <w:rFonts w:ascii="Times New Roman" w:eastAsia="Calibri" w:hAnsi="Times New Roman" w:cs="Times New Roman"/>
          <w:noProof/>
          <w:sz w:val="24"/>
          <w:szCs w:val="24"/>
        </w:rPr>
        <w:t>s</w:t>
      </w:r>
      <w:r w:rsidRPr="00A14107">
        <w:rPr>
          <w:rFonts w:ascii="Times New Roman" w:eastAsia="Calibri" w:hAnsi="Times New Roman" w:cs="Times New Roman"/>
          <w:noProof/>
          <w:sz w:val="24"/>
          <w:szCs w:val="24"/>
        </w:rPr>
        <w:t xml:space="preserve"> additional reporting on use is minimal. This policy measure has no impact on costs for the reporting system run by the EEA, since the additional reporting parameters are already included in the IT system.</w:t>
      </w:r>
      <w:r w:rsidRPr="00A14107">
        <w:rPr>
          <w:rFonts w:ascii="Arial" w:hAnsi="Arial" w:cs="Arial"/>
          <w:noProof/>
          <w:sz w:val="20"/>
          <w:szCs w:val="20"/>
        </w:rPr>
        <w:t xml:space="preserve"> </w:t>
      </w:r>
    </w:p>
    <w:p w14:paraId="0826AC98"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23" w:name="_Toc72399379"/>
      <w:r w:rsidRPr="00A14107">
        <w:rPr>
          <w:rFonts w:ascii="Times New Roman" w:eastAsia="Times New Roman" w:hAnsi="Times New Roman" w:cs="Times New Roman"/>
          <w:i/>
          <w:noProof/>
          <w:sz w:val="24"/>
          <w:szCs w:val="20"/>
        </w:rPr>
        <w:t>C2. Require reporting on emissions at substance level for the production and destruction of ODS</w:t>
      </w:r>
      <w:bookmarkEnd w:id="223"/>
    </w:p>
    <w:p w14:paraId="4EB80947" w14:textId="77777777" w:rsidR="00A14107" w:rsidRPr="00B17033" w:rsidRDefault="00A14107" w:rsidP="006578FA">
      <w:pPr>
        <w:spacing w:after="120" w:line="259" w:lineRule="auto"/>
        <w:jc w:val="both"/>
        <w:rPr>
          <w:bCs/>
          <w:noProof/>
          <w:szCs w:val="24"/>
        </w:rPr>
      </w:pPr>
      <w:r w:rsidRPr="00A14107">
        <w:rPr>
          <w:rFonts w:ascii="Times New Roman" w:eastAsia="Calibri" w:hAnsi="Times New Roman" w:cs="Times New Roman"/>
          <w:b/>
          <w:noProof/>
          <w:sz w:val="24"/>
          <w:szCs w:val="24"/>
        </w:rPr>
        <w:t xml:space="preserve">This measure is expected to slightly increase the administrative burden for some of the affected businesses. </w:t>
      </w:r>
      <w:r w:rsidRPr="00A14107">
        <w:rPr>
          <w:rFonts w:ascii="Times New Roman" w:eastAsia="Calibri" w:hAnsi="Times New Roman" w:cs="Times New Roman"/>
          <w:noProof/>
          <w:sz w:val="24"/>
          <w:szCs w:val="24"/>
        </w:rPr>
        <w:t xml:space="preserve">Two businesses indicated higher costs corresponding to 1-2 and 1-5 additional working days per year, whilst one </w:t>
      </w:r>
      <w:r w:rsidR="00F27F2A">
        <w:rPr>
          <w:rFonts w:ascii="Times New Roman" w:eastAsia="Calibri" w:hAnsi="Times New Roman" w:cs="Times New Roman"/>
          <w:noProof/>
          <w:sz w:val="24"/>
          <w:szCs w:val="24"/>
        </w:rPr>
        <w:t>b</w:t>
      </w:r>
      <w:r w:rsidRPr="00A14107">
        <w:rPr>
          <w:rFonts w:ascii="Times New Roman" w:eastAsia="Calibri" w:hAnsi="Times New Roman" w:cs="Times New Roman"/>
          <w:noProof/>
          <w:sz w:val="24"/>
          <w:szCs w:val="24"/>
        </w:rPr>
        <w:t xml:space="preserve">usiness even estimated no increase in costs because of similar information already collected for the IED and the E-PRTR. One Business representative stated in the stakeholder workshop that the reporting focus should be on monitoring emissions rather than quantities used as currently the case. Producers </w:t>
      </w:r>
      <w:r w:rsidR="00F27F2A">
        <w:rPr>
          <w:rFonts w:ascii="Times New Roman" w:eastAsia="Calibri" w:hAnsi="Times New Roman" w:cs="Times New Roman"/>
          <w:noProof/>
          <w:sz w:val="24"/>
          <w:szCs w:val="24"/>
        </w:rPr>
        <w:t>account for</w:t>
      </w:r>
      <w:r w:rsidR="00F27F2A" w:rsidRPr="00A14107">
        <w:rPr>
          <w:rFonts w:ascii="Times New Roman" w:eastAsia="Calibri" w:hAnsi="Times New Roman" w:cs="Times New Roman"/>
          <w:noProof/>
          <w:sz w:val="24"/>
          <w:szCs w:val="24"/>
        </w:rPr>
        <w:t xml:space="preserve"> </w:t>
      </w:r>
      <w:r w:rsidRPr="00A14107">
        <w:rPr>
          <w:rFonts w:ascii="Times New Roman" w:eastAsia="Calibri" w:hAnsi="Times New Roman" w:cs="Times New Roman"/>
          <w:noProof/>
          <w:sz w:val="24"/>
          <w:szCs w:val="24"/>
        </w:rPr>
        <w:t xml:space="preserve">approximately 50% of entities who report on ODS. This measure implies that the reporting costs go up by up to €20,000 per year for all undertakings in total (based on </w:t>
      </w:r>
      <w:r w:rsidR="00F27F2A">
        <w:rPr>
          <w:rFonts w:ascii="Times New Roman" w:eastAsia="Calibri" w:hAnsi="Times New Roman" w:cs="Times New Roman"/>
          <w:noProof/>
          <w:sz w:val="24"/>
          <w:szCs w:val="24"/>
        </w:rPr>
        <w:t xml:space="preserve">a </w:t>
      </w:r>
      <w:r w:rsidRPr="00A14107">
        <w:rPr>
          <w:rFonts w:ascii="Times New Roman" w:eastAsia="Calibri" w:hAnsi="Times New Roman" w:cs="Times New Roman"/>
          <w:noProof/>
          <w:sz w:val="24"/>
          <w:szCs w:val="24"/>
        </w:rPr>
        <w:t xml:space="preserve">2025 baseline). These additional costs are not expected to change over time if production of ODS stays stable. Some companies may already collect such data as was the case for 2 out of 4 companies interviewed, meaning this measure would not increase their costs. No additional costs </w:t>
      </w:r>
      <w:r w:rsidR="00F27F2A">
        <w:rPr>
          <w:rFonts w:ascii="Times New Roman" w:eastAsia="Calibri" w:hAnsi="Times New Roman" w:cs="Times New Roman"/>
          <w:noProof/>
          <w:sz w:val="24"/>
          <w:szCs w:val="24"/>
        </w:rPr>
        <w:t>are</w:t>
      </w:r>
      <w:r w:rsidR="00F27F2A" w:rsidRPr="00A14107">
        <w:rPr>
          <w:rFonts w:ascii="Times New Roman" w:eastAsia="Calibri" w:hAnsi="Times New Roman" w:cs="Times New Roman"/>
          <w:noProof/>
          <w:sz w:val="24"/>
          <w:szCs w:val="24"/>
        </w:rPr>
        <w:t xml:space="preserve"> </w:t>
      </w:r>
      <w:r w:rsidRPr="00A14107">
        <w:rPr>
          <w:rFonts w:ascii="Times New Roman" w:eastAsia="Calibri" w:hAnsi="Times New Roman" w:cs="Times New Roman"/>
          <w:noProof/>
          <w:sz w:val="24"/>
          <w:szCs w:val="24"/>
        </w:rPr>
        <w:t xml:space="preserve">expected for the EEA reporting system, as it is already equipped to handle emissions reporting by producers and destruction facilities on a voluntary basis today. </w:t>
      </w:r>
      <w:r w:rsidRPr="00A14107">
        <w:rPr>
          <w:rFonts w:ascii="Times New Roman" w:eastAsia="Times New Roman" w:hAnsi="Times New Roman" w:cs="Times New Roman"/>
          <w:noProof/>
          <w:sz w:val="24"/>
          <w:szCs w:val="20"/>
        </w:rPr>
        <w:t>Given the relevance of knowing the emissions of these highly warming gases more accurately and comprehensively than obtained currently from other sources such as E-PRTR</w:t>
      </w:r>
      <w:r w:rsidRPr="00A14107">
        <w:rPr>
          <w:rFonts w:ascii="Times New Roman" w:eastAsia="Times New Roman" w:hAnsi="Times New Roman" w:cs="Times New Roman"/>
          <w:noProof/>
          <w:sz w:val="24"/>
          <w:szCs w:val="20"/>
          <w:vertAlign w:val="superscript"/>
        </w:rPr>
        <w:footnoteReference w:id="86"/>
      </w:r>
      <w:r w:rsidRPr="00A14107">
        <w:rPr>
          <w:rFonts w:ascii="Times New Roman" w:eastAsia="Times New Roman" w:hAnsi="Times New Roman" w:cs="Times New Roman"/>
          <w:noProof/>
          <w:sz w:val="24"/>
          <w:szCs w:val="20"/>
        </w:rPr>
        <w:t xml:space="preserve"> there is a </w:t>
      </w:r>
      <w:r w:rsidRPr="00A14107">
        <w:rPr>
          <w:rFonts w:ascii="Times New Roman" w:eastAsia="Times New Roman" w:hAnsi="Times New Roman" w:cs="Times New Roman"/>
          <w:b/>
          <w:noProof/>
          <w:sz w:val="24"/>
          <w:szCs w:val="20"/>
        </w:rPr>
        <w:t>strong environmental rationale for monitoring them more closely</w:t>
      </w:r>
      <w:r w:rsidRPr="00A14107">
        <w:rPr>
          <w:rFonts w:ascii="Times New Roman" w:eastAsia="Times New Roman" w:hAnsi="Times New Roman" w:cs="Times New Roman"/>
          <w:noProof/>
          <w:sz w:val="24"/>
          <w:szCs w:val="20"/>
        </w:rPr>
        <w:t>.</w:t>
      </w:r>
      <w:r w:rsidRPr="00A14107">
        <w:rPr>
          <w:rFonts w:ascii="Times New Roman" w:eastAsia="Calibri" w:hAnsi="Times New Roman" w:cs="Times New Roman"/>
          <w:noProof/>
          <w:sz w:val="24"/>
          <w:szCs w:val="24"/>
        </w:rPr>
        <w:t xml:space="preserve"> One competent authority suggested to additionally include (fugitive) emissions from stocks in order to capture all relevant and potential emission sources.</w:t>
      </w:r>
    </w:p>
    <w:p w14:paraId="0548BC44"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24" w:name="_Toc72399380"/>
      <w:r w:rsidRPr="00A14107">
        <w:rPr>
          <w:rFonts w:ascii="Times New Roman" w:eastAsia="Times New Roman" w:hAnsi="Times New Roman" w:cs="Times New Roman"/>
          <w:i/>
          <w:noProof/>
          <w:sz w:val="24"/>
          <w:szCs w:val="20"/>
        </w:rPr>
        <w:t>C3. Add global warming potential (GWP) values to increase awareness of the climate impacts of ODS</w:t>
      </w:r>
      <w:bookmarkEnd w:id="224"/>
    </w:p>
    <w:p w14:paraId="526B3D84" w14:textId="77777777" w:rsidR="00A14107" w:rsidRPr="00A14107" w:rsidRDefault="00A14107" w:rsidP="006578FA">
      <w:pPr>
        <w:tabs>
          <w:tab w:val="left" w:pos="2302"/>
        </w:tabs>
        <w:spacing w:after="120" w:line="240" w:lineRule="auto"/>
        <w:jc w:val="both"/>
        <w:rPr>
          <w:rFonts w:ascii="Times New Roman" w:eastAsia="Times New Roman" w:hAnsi="Times New Roman" w:cs="Times New Roman"/>
          <w:i/>
          <w:noProof/>
          <w:sz w:val="24"/>
          <w:szCs w:val="20"/>
        </w:rPr>
      </w:pPr>
      <w:r w:rsidRPr="00A14107">
        <w:rPr>
          <w:rFonts w:ascii="Times New Roman" w:eastAsia="Times New Roman" w:hAnsi="Times New Roman" w:cs="Times New Roman"/>
          <w:b/>
          <w:noProof/>
          <w:sz w:val="24"/>
          <w:szCs w:val="20"/>
        </w:rPr>
        <w:t>This policy measure is an awareness raising measure and does not have immediate economic or social impacts</w:t>
      </w:r>
      <w:r w:rsidRPr="00A14107">
        <w:rPr>
          <w:rFonts w:ascii="Times New Roman" w:eastAsia="Times New Roman" w:hAnsi="Times New Roman" w:cs="Times New Roman"/>
          <w:noProof/>
          <w:sz w:val="24"/>
          <w:szCs w:val="20"/>
        </w:rPr>
        <w:t xml:space="preserve">. </w:t>
      </w:r>
      <w:r w:rsidR="00B17033">
        <w:rPr>
          <w:rFonts w:ascii="Times New Roman" w:eastAsia="Times New Roman" w:hAnsi="Times New Roman" w:cs="Times New Roman"/>
          <w:noProof/>
          <w:sz w:val="24"/>
          <w:szCs w:val="20"/>
        </w:rPr>
        <w:t>However</w:t>
      </w:r>
      <w:r w:rsidRPr="00A14107">
        <w:rPr>
          <w:rFonts w:ascii="Times New Roman" w:eastAsia="Times New Roman" w:hAnsi="Times New Roman" w:cs="Times New Roman"/>
          <w:noProof/>
          <w:sz w:val="24"/>
          <w:szCs w:val="20"/>
        </w:rPr>
        <w:t>, it is important in case other greenhouse gas relevant legislation points to the climate impact of these gases and for emission monitoring (in combination with C2). Although a majority of the authorities supported this revision, questions were raised by some on added value and environmental benefits.</w:t>
      </w:r>
    </w:p>
    <w:p w14:paraId="7723CF5C"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25" w:name="_Toc72399381"/>
      <w:r w:rsidRPr="00A14107">
        <w:rPr>
          <w:rFonts w:ascii="Times New Roman" w:eastAsia="Times New Roman" w:hAnsi="Times New Roman" w:cs="Times New Roman"/>
          <w:i/>
          <w:noProof/>
          <w:sz w:val="24"/>
          <w:szCs w:val="20"/>
        </w:rPr>
        <w:t>C4. Require reporting on sales and purchase</w:t>
      </w:r>
      <w:r w:rsidR="00F27F2A">
        <w:rPr>
          <w:rFonts w:ascii="Times New Roman" w:eastAsia="Times New Roman" w:hAnsi="Times New Roman" w:cs="Times New Roman"/>
          <w:i/>
          <w:noProof/>
          <w:sz w:val="24"/>
          <w:szCs w:val="20"/>
        </w:rPr>
        <w:t>s</w:t>
      </w:r>
      <w:r w:rsidRPr="00A14107">
        <w:rPr>
          <w:rFonts w:ascii="Times New Roman" w:eastAsia="Times New Roman" w:hAnsi="Times New Roman" w:cs="Times New Roman"/>
          <w:i/>
          <w:noProof/>
          <w:sz w:val="24"/>
          <w:szCs w:val="20"/>
        </w:rPr>
        <w:t xml:space="preserve"> of controlled ODS (Annex I) also for producers, destruction facilities and feedstock and process agent users</w:t>
      </w:r>
      <w:bookmarkEnd w:id="225"/>
    </w:p>
    <w:p w14:paraId="33D6F788" w14:textId="77777777" w:rsidR="00A14107" w:rsidRPr="00A14107" w:rsidRDefault="00A14107" w:rsidP="006578FA">
      <w:pPr>
        <w:tabs>
          <w:tab w:val="left" w:pos="2302"/>
        </w:tabs>
        <w:spacing w:after="120"/>
        <w:jc w:val="both"/>
        <w:rPr>
          <w:rFonts w:ascii="Times New Roman" w:eastAsia="Times New Roman" w:hAnsi="Times New Roman" w:cs="Times New Roman"/>
          <w:bCs/>
          <w:noProof/>
          <w:sz w:val="24"/>
          <w:szCs w:val="24"/>
        </w:rPr>
      </w:pPr>
      <w:r w:rsidRPr="00A14107">
        <w:rPr>
          <w:rFonts w:ascii="Times New Roman" w:eastAsia="Times New Roman" w:hAnsi="Times New Roman" w:cs="Times New Roman"/>
          <w:b/>
          <w:noProof/>
          <w:sz w:val="24"/>
          <w:szCs w:val="20"/>
        </w:rPr>
        <w:t>This measure is expected to slightly increase the administrative burden for some of the affected businesses.</w:t>
      </w:r>
      <w:r w:rsidRPr="00A14107">
        <w:rPr>
          <w:rFonts w:ascii="Times New Roman" w:eastAsia="Times New Roman" w:hAnsi="Times New Roman" w:cs="Times New Roman"/>
          <w:noProof/>
          <w:sz w:val="24"/>
          <w:szCs w:val="20"/>
        </w:rPr>
        <w:t xml:space="preserve"> Reporting intra-EU sales is expected to impact most businesses who are still involved with ODS. However, most trade flows are expected to be linked to a select number of multinational companies, as by far the largest quantities of use are linked to feedstock. Similar to some of the other monitoring measures above, some business stakeholders indicated this would not increase costs for them substantially, as data is already collected internally. Businesses indicated additional costs to be from 0 up to 3 working days. Assuming an additional 20% in reporting effort for 50% of companies, the impact would amount to €13,000 per year for all undertakings combined. These additional costs are not expected to change with time assuming the production of ODS stays stable. The main benefit </w:t>
      </w:r>
      <w:r w:rsidR="00F27F2A">
        <w:rPr>
          <w:rFonts w:ascii="Times New Roman" w:eastAsia="Times New Roman" w:hAnsi="Times New Roman" w:cs="Times New Roman"/>
          <w:noProof/>
          <w:sz w:val="24"/>
          <w:szCs w:val="20"/>
        </w:rPr>
        <w:t xml:space="preserve">will result from </w:t>
      </w:r>
      <w:r w:rsidRPr="00A14107">
        <w:rPr>
          <w:rFonts w:ascii="Times New Roman" w:eastAsia="Times New Roman" w:hAnsi="Times New Roman" w:cs="Times New Roman"/>
          <w:noProof/>
          <w:sz w:val="24"/>
          <w:szCs w:val="20"/>
        </w:rPr>
        <w:t xml:space="preserve">better control on existing trade flows, which may be desirable in case </w:t>
      </w:r>
      <w:r w:rsidR="00B17033">
        <w:rPr>
          <w:rFonts w:ascii="Times New Roman" w:eastAsia="Times New Roman" w:hAnsi="Times New Roman" w:cs="Times New Roman"/>
          <w:noProof/>
          <w:sz w:val="24"/>
          <w:szCs w:val="20"/>
        </w:rPr>
        <w:t xml:space="preserve">the </w:t>
      </w:r>
      <w:r w:rsidRPr="00A14107">
        <w:rPr>
          <w:rFonts w:ascii="Times New Roman" w:eastAsia="Times New Roman" w:hAnsi="Times New Roman" w:cs="Times New Roman"/>
          <w:noProof/>
          <w:sz w:val="24"/>
          <w:szCs w:val="20"/>
        </w:rPr>
        <w:t>traditional control system</w:t>
      </w:r>
      <w:r w:rsidR="00B17033">
        <w:rPr>
          <w:rFonts w:ascii="Times New Roman" w:eastAsia="Times New Roman" w:hAnsi="Times New Roman" w:cs="Times New Roman"/>
          <w:noProof/>
          <w:sz w:val="24"/>
          <w:szCs w:val="20"/>
        </w:rPr>
        <w:t>s</w:t>
      </w:r>
      <w:r w:rsidRPr="00A14107">
        <w:rPr>
          <w:rFonts w:ascii="Times New Roman" w:eastAsia="Times New Roman" w:hAnsi="Times New Roman" w:cs="Times New Roman"/>
          <w:noProof/>
          <w:sz w:val="24"/>
          <w:szCs w:val="20"/>
        </w:rPr>
        <w:t xml:space="preserve"> </w:t>
      </w:r>
      <w:r w:rsidR="00F27F2A">
        <w:rPr>
          <w:rFonts w:ascii="Times New Roman" w:eastAsia="Times New Roman" w:hAnsi="Times New Roman" w:cs="Times New Roman"/>
          <w:noProof/>
          <w:sz w:val="24"/>
          <w:szCs w:val="20"/>
        </w:rPr>
        <w:t>such as</w:t>
      </w:r>
      <w:r w:rsidR="00F27F2A" w:rsidRPr="00A14107">
        <w:rPr>
          <w:rFonts w:ascii="Times New Roman" w:eastAsia="Times New Roman" w:hAnsi="Times New Roman" w:cs="Times New Roman"/>
          <w:noProof/>
          <w:sz w:val="24"/>
          <w:szCs w:val="20"/>
        </w:rPr>
        <w:t xml:space="preserve"> </w:t>
      </w:r>
      <w:r w:rsidRPr="00A14107">
        <w:rPr>
          <w:rFonts w:ascii="Times New Roman" w:eastAsia="Times New Roman" w:hAnsi="Times New Roman" w:cs="Times New Roman"/>
          <w:noProof/>
          <w:sz w:val="24"/>
          <w:szCs w:val="20"/>
        </w:rPr>
        <w:t xml:space="preserve">quotas and registrations are </w:t>
      </w:r>
      <w:r w:rsidR="00F27F2A">
        <w:rPr>
          <w:rFonts w:ascii="Times New Roman" w:eastAsia="Times New Roman" w:hAnsi="Times New Roman" w:cs="Times New Roman"/>
          <w:noProof/>
          <w:sz w:val="24"/>
          <w:szCs w:val="20"/>
        </w:rPr>
        <w:t>removed</w:t>
      </w:r>
      <w:r w:rsidRPr="00A14107">
        <w:rPr>
          <w:rFonts w:ascii="Times New Roman" w:eastAsia="Times New Roman" w:hAnsi="Times New Roman" w:cs="Times New Roman"/>
          <w:noProof/>
          <w:sz w:val="24"/>
          <w:szCs w:val="20"/>
        </w:rPr>
        <w:t xml:space="preserve"> (supporting the putting in place of efficiency measures B4 and B5). </w:t>
      </w:r>
    </w:p>
    <w:p w14:paraId="58E2E0AA" w14:textId="77777777" w:rsidR="00A14107" w:rsidRPr="00A14107" w:rsidRDefault="00A14107" w:rsidP="006578FA">
      <w:pPr>
        <w:keepNext/>
        <w:spacing w:after="120" w:line="240" w:lineRule="auto"/>
        <w:ind w:left="709"/>
        <w:jc w:val="both"/>
        <w:outlineLvl w:val="2"/>
        <w:rPr>
          <w:rFonts w:ascii="Times New Roman" w:eastAsia="Times New Roman" w:hAnsi="Times New Roman" w:cs="Times New Roman"/>
          <w:i/>
          <w:noProof/>
          <w:sz w:val="24"/>
          <w:szCs w:val="20"/>
        </w:rPr>
      </w:pPr>
      <w:bookmarkStart w:id="226" w:name="_Toc72399382"/>
      <w:r w:rsidRPr="00A14107">
        <w:rPr>
          <w:rFonts w:ascii="Times New Roman" w:eastAsia="Times New Roman" w:hAnsi="Times New Roman" w:cs="Times New Roman"/>
          <w:i/>
          <w:noProof/>
          <w:sz w:val="24"/>
          <w:szCs w:val="20"/>
        </w:rPr>
        <w:t>C5. Add new substances to Annex II B</w:t>
      </w:r>
      <w:bookmarkEnd w:id="226"/>
      <w:r w:rsidRPr="00A14107">
        <w:rPr>
          <w:rFonts w:ascii="Times New Roman" w:eastAsia="Times New Roman" w:hAnsi="Times New Roman" w:cs="Times New Roman"/>
          <w:i/>
          <w:noProof/>
          <w:sz w:val="24"/>
          <w:szCs w:val="20"/>
        </w:rPr>
        <w:t xml:space="preserve"> </w:t>
      </w:r>
    </w:p>
    <w:p w14:paraId="12D1C5CF" w14:textId="77777777" w:rsidR="00A14107" w:rsidRPr="00B17033" w:rsidRDefault="00A14107" w:rsidP="006C1A6B">
      <w:pPr>
        <w:tabs>
          <w:tab w:val="left" w:pos="2302"/>
        </w:tabs>
        <w:spacing w:after="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b/>
          <w:noProof/>
          <w:sz w:val="24"/>
          <w:szCs w:val="20"/>
        </w:rPr>
        <w:t>This measure is expected to increase the administrative burden for some of the affected businesses.</w:t>
      </w:r>
      <w:r w:rsidRPr="00A14107">
        <w:rPr>
          <w:rFonts w:ascii="Times New Roman" w:eastAsia="Times New Roman" w:hAnsi="Times New Roman" w:cs="Times New Roman"/>
          <w:noProof/>
          <w:sz w:val="24"/>
          <w:szCs w:val="20"/>
        </w:rPr>
        <w:t xml:space="preserve"> From the stakeholder consultation, the expected additional reporting cost for a large business to report</w:t>
      </w:r>
      <w:r w:rsidR="00F27F2A">
        <w:rPr>
          <w:rFonts w:ascii="Times New Roman" w:eastAsia="Times New Roman" w:hAnsi="Times New Roman" w:cs="Times New Roman"/>
          <w:noProof/>
          <w:sz w:val="24"/>
          <w:szCs w:val="20"/>
        </w:rPr>
        <w:t xml:space="preserve"> on</w:t>
      </w:r>
      <w:r w:rsidRPr="00A14107">
        <w:rPr>
          <w:rFonts w:ascii="Times New Roman" w:eastAsia="Times New Roman" w:hAnsi="Times New Roman" w:cs="Times New Roman"/>
          <w:noProof/>
          <w:sz w:val="24"/>
          <w:szCs w:val="20"/>
        </w:rPr>
        <w:t xml:space="preserve"> the production of a new ODS is one to two weeks of person days per year. Some authorities referred to potential future positive environmental impacts of the measure as it would allow for informed decisions on potentially controlling their use in the future based on the reported data. On the other hand, businesses often considered the environmental impacts of potential new ODS as low since they do not remain for a very long</w:t>
      </w:r>
      <w:r w:rsidR="00B17033">
        <w:rPr>
          <w:rFonts w:ascii="Times New Roman" w:eastAsia="Times New Roman" w:hAnsi="Times New Roman" w:cs="Times New Roman"/>
          <w:noProof/>
          <w:sz w:val="24"/>
          <w:szCs w:val="20"/>
        </w:rPr>
        <w:t xml:space="preserve"> time in the atmosphere (VSLS). </w:t>
      </w:r>
      <w:r w:rsidRPr="00A14107">
        <w:rPr>
          <w:rFonts w:ascii="Times New Roman" w:eastAsia="Times New Roman" w:hAnsi="Times New Roman" w:cs="Times New Roman"/>
          <w:noProof/>
          <w:sz w:val="24"/>
          <w:szCs w:val="20"/>
        </w:rPr>
        <w:t xml:space="preserve">As DCM is produced using methylchloride (already in Annex II) as a feedstock, existing reporting data on the latter substance (e.g. 14 companies) can be used as a proxy for the number of companies likely </w:t>
      </w:r>
      <w:r w:rsidR="00F27F2A">
        <w:rPr>
          <w:rFonts w:ascii="Times New Roman" w:eastAsia="Times New Roman" w:hAnsi="Times New Roman" w:cs="Times New Roman"/>
          <w:noProof/>
          <w:sz w:val="24"/>
          <w:szCs w:val="20"/>
        </w:rPr>
        <w:t xml:space="preserve">to be </w:t>
      </w:r>
      <w:r w:rsidRPr="00A14107">
        <w:rPr>
          <w:rFonts w:ascii="Times New Roman" w:eastAsia="Times New Roman" w:hAnsi="Times New Roman" w:cs="Times New Roman"/>
          <w:noProof/>
          <w:sz w:val="24"/>
          <w:szCs w:val="20"/>
        </w:rPr>
        <w:t xml:space="preserve">faced with an additional reporting </w:t>
      </w:r>
      <w:r w:rsidR="00C653D6">
        <w:rPr>
          <w:rFonts w:ascii="Times New Roman" w:eastAsia="Times New Roman" w:hAnsi="Times New Roman" w:cs="Times New Roman"/>
          <w:noProof/>
          <w:sz w:val="24"/>
          <w:szCs w:val="20"/>
        </w:rPr>
        <w:t xml:space="preserve">requirement </w:t>
      </w:r>
      <w:r w:rsidRPr="00A14107">
        <w:rPr>
          <w:rFonts w:ascii="Times New Roman" w:eastAsia="Times New Roman" w:hAnsi="Times New Roman" w:cs="Times New Roman"/>
          <w:noProof/>
          <w:sz w:val="24"/>
          <w:szCs w:val="20"/>
        </w:rPr>
        <w:t xml:space="preserve">on production. </w:t>
      </w:r>
      <w:bookmarkStart w:id="227" w:name="_Ref71640307"/>
      <w:r w:rsidRPr="00A14107">
        <w:rPr>
          <w:rFonts w:ascii="Times New Roman" w:eastAsia="Times New Roman" w:hAnsi="Times New Roman" w:cs="Times New Roman"/>
          <w:noProof/>
          <w:sz w:val="24"/>
          <w:szCs w:val="20"/>
        </w:rPr>
        <w:t>This would add 21 weeks of yearly reporting effort for all pro</w:t>
      </w:r>
      <w:r w:rsidR="003D407F">
        <w:rPr>
          <w:rFonts w:ascii="Times New Roman" w:eastAsia="Times New Roman" w:hAnsi="Times New Roman" w:cs="Times New Roman"/>
          <w:noProof/>
          <w:sz w:val="24"/>
          <w:szCs w:val="20"/>
        </w:rPr>
        <w:t>ducers combined, which totals €</w:t>
      </w:r>
      <w:r w:rsidRPr="00A14107">
        <w:rPr>
          <w:rFonts w:ascii="Times New Roman" w:eastAsia="Times New Roman" w:hAnsi="Times New Roman" w:cs="Times New Roman"/>
          <w:noProof/>
          <w:sz w:val="24"/>
          <w:szCs w:val="20"/>
        </w:rPr>
        <w:t>6,200 per year of additional reporting costs.</w:t>
      </w:r>
      <w:r w:rsidRPr="00A14107">
        <w:rPr>
          <w:rFonts w:ascii="Times New Roman" w:eastAsia="Times New Roman" w:hAnsi="Times New Roman" w:cs="Times New Roman"/>
          <w:noProof/>
          <w:sz w:val="24"/>
          <w:szCs w:val="20"/>
          <w:vertAlign w:val="superscript"/>
        </w:rPr>
        <w:footnoteReference w:id="87"/>
      </w:r>
      <w:bookmarkEnd w:id="227"/>
      <w:r w:rsidRPr="00A14107">
        <w:rPr>
          <w:rFonts w:ascii="Times New Roman" w:eastAsia="Times New Roman" w:hAnsi="Times New Roman" w:cs="Times New Roman"/>
          <w:noProof/>
          <w:sz w:val="24"/>
          <w:szCs w:val="20"/>
        </w:rPr>
        <w:t xml:space="preserve"> For PCE there are only 8 registrants in the REACH database, 5 of which already report under this Regulation. PCE is commonly used as a dry cleaning agent, but these users (e.g. </w:t>
      </w:r>
      <w:r w:rsidR="00C653D6">
        <w:rPr>
          <w:rFonts w:ascii="Times New Roman" w:eastAsia="Times New Roman" w:hAnsi="Times New Roman" w:cs="Times New Roman"/>
          <w:noProof/>
          <w:sz w:val="24"/>
          <w:szCs w:val="20"/>
        </w:rPr>
        <w:t xml:space="preserve">the </w:t>
      </w:r>
      <w:r w:rsidRPr="00A14107">
        <w:rPr>
          <w:rFonts w:ascii="Times New Roman" w:eastAsia="Times New Roman" w:hAnsi="Times New Roman" w:cs="Times New Roman"/>
          <w:noProof/>
          <w:sz w:val="24"/>
          <w:szCs w:val="20"/>
        </w:rPr>
        <w:t xml:space="preserve">dry cleaning industry and its 1000s of SMEs) would not be covered by </w:t>
      </w:r>
      <w:r w:rsidR="006C1A6B">
        <w:rPr>
          <w:rFonts w:ascii="Times New Roman" w:eastAsia="Times New Roman" w:hAnsi="Times New Roman" w:cs="Times New Roman"/>
          <w:noProof/>
          <w:sz w:val="24"/>
          <w:szCs w:val="20"/>
        </w:rPr>
        <w:t>the reporting obligation. From E</w:t>
      </w:r>
      <w:r w:rsidRPr="00A14107">
        <w:rPr>
          <w:rFonts w:ascii="Times New Roman" w:eastAsia="Times New Roman" w:hAnsi="Times New Roman" w:cs="Times New Roman"/>
          <w:noProof/>
          <w:sz w:val="24"/>
          <w:szCs w:val="20"/>
        </w:rPr>
        <w:t>-PRTR, 30 companies report PCE industrial activities, not all of which would fall under the new reporting requirement. 45 weeks</w:t>
      </w:r>
      <w:r w:rsidRPr="00A14107">
        <w:rPr>
          <w:rFonts w:ascii="Times New Roman" w:eastAsia="Times New Roman" w:hAnsi="Times New Roman" w:cs="Times New Roman"/>
          <w:noProof/>
          <w:sz w:val="24"/>
          <w:szCs w:val="20"/>
          <w:vertAlign w:val="superscript"/>
        </w:rPr>
        <w:fldChar w:fldCharType="begin"/>
      </w:r>
      <w:r w:rsidRPr="00A14107">
        <w:rPr>
          <w:rFonts w:ascii="Times New Roman" w:eastAsia="Times New Roman" w:hAnsi="Times New Roman" w:cs="Times New Roman"/>
          <w:noProof/>
          <w:sz w:val="24"/>
          <w:szCs w:val="20"/>
          <w:vertAlign w:val="superscript"/>
        </w:rPr>
        <w:instrText xml:space="preserve"> NOTEREF _Ref71640307 \h  \* MERGEFORMAT </w:instrText>
      </w:r>
      <w:r w:rsidRPr="00A14107">
        <w:rPr>
          <w:rFonts w:ascii="Times New Roman" w:eastAsia="Times New Roman" w:hAnsi="Times New Roman" w:cs="Times New Roman"/>
          <w:noProof/>
          <w:sz w:val="24"/>
          <w:szCs w:val="20"/>
          <w:vertAlign w:val="superscript"/>
        </w:rPr>
      </w:r>
      <w:r w:rsidRPr="00A14107">
        <w:rPr>
          <w:rFonts w:ascii="Times New Roman" w:eastAsia="Times New Roman" w:hAnsi="Times New Roman" w:cs="Times New Roman"/>
          <w:noProof/>
          <w:sz w:val="24"/>
          <w:szCs w:val="20"/>
          <w:vertAlign w:val="superscript"/>
        </w:rPr>
        <w:fldChar w:fldCharType="separate"/>
      </w:r>
      <w:r w:rsidRPr="00A14107">
        <w:rPr>
          <w:rFonts w:ascii="Times New Roman" w:eastAsia="Times New Roman" w:hAnsi="Times New Roman" w:cs="Times New Roman"/>
          <w:noProof/>
          <w:sz w:val="24"/>
          <w:szCs w:val="20"/>
          <w:vertAlign w:val="superscript"/>
        </w:rPr>
        <w:t>73</w:t>
      </w:r>
      <w:r w:rsidRPr="00A14107">
        <w:rPr>
          <w:rFonts w:ascii="Times New Roman" w:eastAsia="Times New Roman" w:hAnsi="Times New Roman" w:cs="Times New Roman"/>
          <w:noProof/>
          <w:sz w:val="24"/>
          <w:szCs w:val="20"/>
          <w:vertAlign w:val="superscript"/>
        </w:rPr>
        <w:fldChar w:fldCharType="end"/>
      </w:r>
      <w:r w:rsidRPr="00A14107">
        <w:rPr>
          <w:rFonts w:ascii="Times New Roman" w:eastAsia="Times New Roman" w:hAnsi="Times New Roman" w:cs="Times New Roman"/>
          <w:noProof/>
          <w:sz w:val="24"/>
          <w:szCs w:val="20"/>
        </w:rPr>
        <w:t xml:space="preserve"> of additional reporting effort are estimated in total, or €13,300 additional reporting burden per annum. The impacts of inclusion of 2-BTP are expected to be even lower, as this is chemical produced or imported in lower volumes and by a few companies only. Based on these considerations, about €25,000 in total additional costs can be expected for reporters. Adding three substances to the reporting system requires only minimal changes </w:t>
      </w:r>
      <w:r w:rsidR="00C653D6">
        <w:rPr>
          <w:rFonts w:ascii="Times New Roman" w:eastAsia="Times New Roman" w:hAnsi="Times New Roman" w:cs="Times New Roman"/>
          <w:noProof/>
          <w:sz w:val="24"/>
          <w:szCs w:val="20"/>
        </w:rPr>
        <w:t>to</w:t>
      </w:r>
      <w:r w:rsidR="00C653D6" w:rsidRPr="00A14107">
        <w:rPr>
          <w:rFonts w:ascii="Times New Roman" w:eastAsia="Times New Roman" w:hAnsi="Times New Roman" w:cs="Times New Roman"/>
          <w:noProof/>
          <w:sz w:val="24"/>
          <w:szCs w:val="20"/>
        </w:rPr>
        <w:t xml:space="preserve"> </w:t>
      </w:r>
      <w:r w:rsidRPr="00A14107">
        <w:rPr>
          <w:rFonts w:ascii="Times New Roman" w:eastAsia="Times New Roman" w:hAnsi="Times New Roman" w:cs="Times New Roman"/>
          <w:noProof/>
          <w:sz w:val="24"/>
          <w:szCs w:val="20"/>
        </w:rPr>
        <w:t>the EEA reporting system.</w:t>
      </w:r>
    </w:p>
    <w:p w14:paraId="149E46D5" w14:textId="77777777" w:rsidR="00A14107" w:rsidRPr="00A14107" w:rsidRDefault="00A14107" w:rsidP="00A14107">
      <w:pPr>
        <w:autoSpaceDE w:val="0"/>
        <w:autoSpaceDN w:val="0"/>
        <w:adjustRightInd w:val="0"/>
        <w:spacing w:after="0" w:line="240" w:lineRule="auto"/>
        <w:rPr>
          <w:rFonts w:ascii="MinionPro-Bold" w:hAnsi="MinionPro-Bold" w:cs="MinionPro-Bold"/>
          <w:b/>
          <w:bCs/>
          <w:noProof/>
        </w:rPr>
      </w:pPr>
    </w:p>
    <w:p w14:paraId="17100870" w14:textId="6948805B" w:rsidR="00A14107" w:rsidRPr="00A14107" w:rsidRDefault="00896FDA" w:rsidP="00896FDA">
      <w:pPr>
        <w:pStyle w:val="Heading2"/>
        <w:rPr>
          <w:noProof/>
        </w:rPr>
      </w:pPr>
      <w:bookmarkStart w:id="228" w:name="_Toc71559426"/>
      <w:bookmarkStart w:id="229" w:name="_Toc71707055"/>
      <w:bookmarkStart w:id="230" w:name="_Toc71708241"/>
      <w:bookmarkStart w:id="231" w:name="_Toc71710973"/>
      <w:bookmarkStart w:id="232" w:name="_Toc72399383"/>
      <w:bookmarkStart w:id="233" w:name="_Toc93511479"/>
      <w:r w:rsidRPr="00896FDA">
        <w:t>6.4.</w:t>
      </w:r>
      <w:r w:rsidRPr="00896FDA">
        <w:tab/>
      </w:r>
      <w:r w:rsidR="00A14107" w:rsidRPr="00A14107">
        <w:rPr>
          <w:noProof/>
        </w:rPr>
        <w:t>Improve coherence</w:t>
      </w:r>
      <w:bookmarkEnd w:id="228"/>
      <w:bookmarkEnd w:id="229"/>
      <w:bookmarkEnd w:id="230"/>
      <w:bookmarkEnd w:id="231"/>
      <w:bookmarkEnd w:id="232"/>
      <w:r w:rsidR="00A14107" w:rsidRPr="00A14107">
        <w:rPr>
          <w:noProof/>
        </w:rPr>
        <w:t xml:space="preserve"> and clarity</w:t>
      </w:r>
      <w:bookmarkEnd w:id="233"/>
    </w:p>
    <w:p w14:paraId="5D2066DC" w14:textId="77777777" w:rsidR="00A14107" w:rsidRPr="00A14107" w:rsidRDefault="00A14107" w:rsidP="00A14107">
      <w:pPr>
        <w:tabs>
          <w:tab w:val="left" w:pos="2302"/>
        </w:tabs>
        <w:spacing w:after="240"/>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 xml:space="preserve">These measures are not expected to have significant economic and environmental impacts. Across consultation activities, all stakeholders generally agreed that it is important to have a clearer and more accessible legal text of the Regulation. Most options contribute to improving compliance and enforcement by providing clarifications. Option D3 may help to avoid costs for business and authorities by allowing to adjust infeasible obligations, and help the environment if progress on alternatives is reflected </w:t>
      </w:r>
      <w:r w:rsidR="00C653D6">
        <w:rPr>
          <w:rFonts w:ascii="Times New Roman" w:eastAsia="Times New Roman" w:hAnsi="Times New Roman" w:cs="Times New Roman"/>
          <w:noProof/>
          <w:sz w:val="24"/>
          <w:szCs w:val="20"/>
        </w:rPr>
        <w:t xml:space="preserve">in a </w:t>
      </w:r>
      <w:r w:rsidRPr="00A14107">
        <w:rPr>
          <w:rFonts w:ascii="Times New Roman" w:eastAsia="Times New Roman" w:hAnsi="Times New Roman" w:cs="Times New Roman"/>
          <w:noProof/>
          <w:sz w:val="24"/>
          <w:szCs w:val="20"/>
        </w:rPr>
        <w:t>more timely</w:t>
      </w:r>
      <w:r w:rsidR="00C653D6">
        <w:rPr>
          <w:rFonts w:ascii="Times New Roman" w:eastAsia="Times New Roman" w:hAnsi="Times New Roman" w:cs="Times New Roman"/>
          <w:noProof/>
          <w:sz w:val="24"/>
          <w:szCs w:val="20"/>
        </w:rPr>
        <w:t xml:space="preserve"> way</w:t>
      </w:r>
      <w:r w:rsidRPr="00A14107">
        <w:rPr>
          <w:rFonts w:ascii="Times New Roman" w:eastAsia="Times New Roman" w:hAnsi="Times New Roman" w:cs="Times New Roman"/>
          <w:noProof/>
          <w:sz w:val="24"/>
          <w:szCs w:val="20"/>
        </w:rPr>
        <w:t>. The custom</w:t>
      </w:r>
      <w:r w:rsidR="00C653D6">
        <w:rPr>
          <w:rFonts w:ascii="Times New Roman" w:eastAsia="Times New Roman" w:hAnsi="Times New Roman" w:cs="Times New Roman"/>
          <w:noProof/>
          <w:sz w:val="24"/>
          <w:szCs w:val="20"/>
        </w:rPr>
        <w:t>s</w:t>
      </w:r>
      <w:r w:rsidRPr="00A14107">
        <w:rPr>
          <w:rFonts w:ascii="Times New Roman" w:eastAsia="Times New Roman" w:hAnsi="Times New Roman" w:cs="Times New Roman"/>
          <w:noProof/>
          <w:sz w:val="24"/>
          <w:szCs w:val="20"/>
        </w:rPr>
        <w:t xml:space="preserve"> alignment measure allow</w:t>
      </w:r>
      <w:r w:rsidR="00C653D6">
        <w:rPr>
          <w:rFonts w:ascii="Times New Roman" w:eastAsia="Times New Roman" w:hAnsi="Times New Roman" w:cs="Times New Roman"/>
          <w:noProof/>
          <w:sz w:val="24"/>
          <w:szCs w:val="20"/>
        </w:rPr>
        <w:t>s</w:t>
      </w:r>
      <w:r w:rsidRPr="00A14107">
        <w:rPr>
          <w:rFonts w:ascii="Times New Roman" w:eastAsia="Times New Roman" w:hAnsi="Times New Roman" w:cs="Times New Roman"/>
          <w:noProof/>
          <w:sz w:val="24"/>
          <w:szCs w:val="20"/>
        </w:rPr>
        <w:t xml:space="preserve"> for better custom</w:t>
      </w:r>
      <w:r w:rsidR="00C653D6">
        <w:rPr>
          <w:rFonts w:ascii="Times New Roman" w:eastAsia="Times New Roman" w:hAnsi="Times New Roman" w:cs="Times New Roman"/>
          <w:noProof/>
          <w:sz w:val="24"/>
          <w:szCs w:val="20"/>
        </w:rPr>
        <w:t>s</w:t>
      </w:r>
      <w:r w:rsidRPr="00A14107">
        <w:rPr>
          <w:rFonts w:ascii="Times New Roman" w:eastAsia="Times New Roman" w:hAnsi="Times New Roman" w:cs="Times New Roman"/>
          <w:noProof/>
          <w:sz w:val="24"/>
          <w:szCs w:val="20"/>
        </w:rPr>
        <w:t xml:space="preserve"> controls and are widely supported by stakeholders including customs authorities consulted. Measure D8 may have a positive environmental impact for cases where this obligations is not already complied with by fluorocarbon producers outside the EU. </w:t>
      </w:r>
    </w:p>
    <w:p w14:paraId="3F16EC46" w14:textId="1F6B0FC3" w:rsidR="00A14107" w:rsidRPr="006C1A6B" w:rsidRDefault="00896FDA" w:rsidP="00896FDA">
      <w:pPr>
        <w:pStyle w:val="Heading1"/>
        <w:rPr>
          <w:noProof/>
        </w:rPr>
      </w:pPr>
      <w:bookmarkStart w:id="234" w:name="_Toc93511480"/>
      <w:r w:rsidRPr="00896FDA">
        <w:t>7.</w:t>
      </w:r>
      <w:r w:rsidRPr="00896FDA">
        <w:tab/>
      </w:r>
      <w:r w:rsidR="00A14107" w:rsidRPr="006C1A6B">
        <w:rPr>
          <w:noProof/>
        </w:rPr>
        <w:t>How do the options compare?</w:t>
      </w:r>
      <w:bookmarkEnd w:id="234"/>
    </w:p>
    <w:p w14:paraId="6D7317E9" w14:textId="77777777" w:rsidR="00A14107" w:rsidRPr="00A14107" w:rsidRDefault="00A14107" w:rsidP="00A14107">
      <w:pPr>
        <w:tabs>
          <w:tab w:val="left" w:pos="2302"/>
        </w:tabs>
        <w:spacing w:after="240" w:line="240" w:lineRule="auto"/>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 xml:space="preserve">Table 3 provides an overview of the impacts of the measures in the three policy options. </w:t>
      </w:r>
    </w:p>
    <w:p w14:paraId="736947B8" w14:textId="77777777" w:rsidR="00A14107" w:rsidRPr="00A14107" w:rsidRDefault="00A14107" w:rsidP="00A14107">
      <w:pPr>
        <w:spacing w:after="240" w:line="240" w:lineRule="auto"/>
        <w:jc w:val="both"/>
        <w:rPr>
          <w:rFonts w:eastAsia="Times New Roman"/>
          <w:noProof/>
          <w:color w:val="0070C0"/>
          <w:sz w:val="20"/>
          <w:szCs w:val="20"/>
        </w:rPr>
      </w:pPr>
      <w:r w:rsidRPr="00A14107">
        <w:rPr>
          <w:rFonts w:eastAsia="Times New Roman"/>
          <w:noProof/>
          <w:color w:val="0070C0"/>
          <w:sz w:val="20"/>
          <w:szCs w:val="20"/>
        </w:rPr>
        <w:t>Table 3. Overview of impacts for the each measures included in each of the 3 options</w:t>
      </w:r>
    </w:p>
    <w:tbl>
      <w:tblPr>
        <w:tblStyle w:val="Mainbidtables111"/>
        <w:tblW w:w="0" w:type="auto"/>
        <w:tblLayout w:type="fixed"/>
        <w:tblLook w:val="04A0" w:firstRow="1" w:lastRow="0" w:firstColumn="1" w:lastColumn="0" w:noHBand="0" w:noVBand="1"/>
      </w:tblPr>
      <w:tblGrid>
        <w:gridCol w:w="444"/>
        <w:gridCol w:w="1559"/>
        <w:gridCol w:w="7"/>
        <w:gridCol w:w="2082"/>
        <w:gridCol w:w="7"/>
        <w:gridCol w:w="1539"/>
        <w:gridCol w:w="7"/>
        <w:gridCol w:w="1117"/>
        <w:gridCol w:w="7"/>
        <w:gridCol w:w="977"/>
        <w:gridCol w:w="7"/>
        <w:gridCol w:w="62"/>
        <w:gridCol w:w="993"/>
        <w:gridCol w:w="7"/>
      </w:tblGrid>
      <w:tr w:rsidR="00A14107" w:rsidRPr="00A14107" w14:paraId="2CE3D3C4" w14:textId="77777777" w:rsidTr="00F3660A">
        <w:trPr>
          <w:cnfStyle w:val="100000000000" w:firstRow="1" w:lastRow="0" w:firstColumn="0" w:lastColumn="0" w:oddVBand="0" w:evenVBand="0" w:oddHBand="0" w:evenHBand="0" w:firstRowFirstColumn="0" w:firstRowLastColumn="0" w:lastRowFirstColumn="0" w:lastRowLastColumn="0"/>
          <w:trHeight w:val="243"/>
        </w:trPr>
        <w:tc>
          <w:tcPr>
            <w:tcW w:w="2010" w:type="dxa"/>
            <w:gridSpan w:val="3"/>
            <w:vMerge w:val="restart"/>
            <w:noWrap/>
            <w:hideMark/>
          </w:tcPr>
          <w:p w14:paraId="28F14446"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FFFFFF" w:themeColor="background1"/>
                <w:sz w:val="16"/>
                <w:szCs w:val="16"/>
              </w:rPr>
              <w:t>Measures</w:t>
            </w:r>
          </w:p>
        </w:tc>
        <w:tc>
          <w:tcPr>
            <w:tcW w:w="2089" w:type="dxa"/>
            <w:gridSpan w:val="2"/>
            <w:vMerge w:val="restart"/>
            <w:noWrap/>
            <w:hideMark/>
          </w:tcPr>
          <w:p w14:paraId="4AD4F098" w14:textId="77777777" w:rsidR="00A14107" w:rsidRPr="00A14107" w:rsidRDefault="00A14107" w:rsidP="00A14107">
            <w:pPr>
              <w:spacing w:before="0"/>
              <w:jc w:val="center"/>
              <w:rPr>
                <w:rFonts w:asciiTheme="minorHAnsi" w:hAnsiTheme="minorHAnsi" w:cstheme="minorHAnsi"/>
                <w:b/>
                <w:noProof/>
                <w:sz w:val="16"/>
                <w:szCs w:val="16"/>
              </w:rPr>
            </w:pPr>
            <w:r w:rsidRPr="00A14107">
              <w:rPr>
                <w:rFonts w:asciiTheme="minorHAnsi" w:hAnsiTheme="minorHAnsi" w:cstheme="minorHAnsi"/>
                <w:b/>
                <w:noProof/>
                <w:sz w:val="16"/>
                <w:szCs w:val="16"/>
              </w:rPr>
              <w:t xml:space="preserve">Environment </w:t>
            </w:r>
          </w:p>
        </w:tc>
        <w:tc>
          <w:tcPr>
            <w:tcW w:w="3654" w:type="dxa"/>
            <w:gridSpan w:val="6"/>
            <w:noWrap/>
            <w:hideMark/>
          </w:tcPr>
          <w:p w14:paraId="661ED5C7" w14:textId="77777777" w:rsidR="00A14107" w:rsidRPr="00A14107" w:rsidRDefault="00A14107" w:rsidP="00A14107">
            <w:pPr>
              <w:spacing w:before="0"/>
              <w:jc w:val="center"/>
              <w:rPr>
                <w:rFonts w:asciiTheme="minorHAnsi" w:hAnsiTheme="minorHAnsi" w:cstheme="minorHAnsi"/>
                <w:noProof/>
                <w:sz w:val="16"/>
                <w:szCs w:val="16"/>
              </w:rPr>
            </w:pPr>
            <w:r w:rsidRPr="00A14107">
              <w:rPr>
                <w:rFonts w:asciiTheme="minorHAnsi" w:hAnsiTheme="minorHAnsi" w:cstheme="minorHAnsi"/>
                <w:b/>
                <w:noProof/>
                <w:sz w:val="16"/>
                <w:szCs w:val="16"/>
              </w:rPr>
              <w:t>Economic impacts</w:t>
            </w:r>
            <w:r w:rsidRPr="00A14107">
              <w:rPr>
                <w:rFonts w:asciiTheme="minorHAnsi" w:hAnsiTheme="minorHAnsi" w:cstheme="minorHAnsi"/>
                <w:noProof/>
                <w:sz w:val="16"/>
                <w:szCs w:val="16"/>
              </w:rPr>
              <w:t xml:space="preserve"> – cost increases or savings (per year unless otherwise specified)</w:t>
            </w:r>
          </w:p>
        </w:tc>
        <w:tc>
          <w:tcPr>
            <w:tcW w:w="1062" w:type="dxa"/>
            <w:gridSpan w:val="3"/>
            <w:vMerge w:val="restart"/>
            <w:hideMark/>
          </w:tcPr>
          <w:p w14:paraId="47FC15F9" w14:textId="77777777" w:rsidR="00A14107" w:rsidRPr="00A14107" w:rsidRDefault="00A14107" w:rsidP="00A14107">
            <w:pPr>
              <w:spacing w:before="0"/>
              <w:jc w:val="center"/>
              <w:rPr>
                <w:rFonts w:asciiTheme="minorHAnsi" w:hAnsiTheme="minorHAnsi" w:cstheme="minorHAnsi"/>
                <w:b/>
                <w:noProof/>
                <w:sz w:val="16"/>
                <w:szCs w:val="16"/>
              </w:rPr>
            </w:pPr>
            <w:r w:rsidRPr="00A14107">
              <w:rPr>
                <w:rFonts w:asciiTheme="minorHAnsi" w:hAnsiTheme="minorHAnsi" w:cstheme="minorHAnsi"/>
                <w:b/>
                <w:noProof/>
                <w:sz w:val="16"/>
                <w:szCs w:val="16"/>
              </w:rPr>
              <w:t>Indirect economic/</w:t>
            </w:r>
            <w:r w:rsidRPr="00A14107">
              <w:rPr>
                <w:rFonts w:asciiTheme="minorHAnsi" w:hAnsiTheme="minorHAnsi" w:cstheme="minorHAnsi"/>
                <w:noProof/>
                <w:sz w:val="16"/>
                <w:szCs w:val="16"/>
              </w:rPr>
              <w:br/>
            </w:r>
            <w:r w:rsidRPr="00A14107">
              <w:rPr>
                <w:rFonts w:asciiTheme="minorHAnsi" w:hAnsiTheme="minorHAnsi" w:cstheme="minorHAnsi"/>
                <w:b/>
                <w:noProof/>
                <w:sz w:val="16"/>
                <w:szCs w:val="16"/>
              </w:rPr>
              <w:t>social</w:t>
            </w:r>
          </w:p>
        </w:tc>
      </w:tr>
      <w:tr w:rsidR="00A14107" w:rsidRPr="00A14107" w14:paraId="4847A2F3" w14:textId="77777777" w:rsidTr="00F3660A">
        <w:trPr>
          <w:cnfStyle w:val="000000100000" w:firstRow="0" w:lastRow="0" w:firstColumn="0" w:lastColumn="0" w:oddVBand="0" w:evenVBand="0" w:oddHBand="1" w:evenHBand="0" w:firstRowFirstColumn="0" w:firstRowLastColumn="0" w:lastRowFirstColumn="0" w:lastRowLastColumn="0"/>
          <w:trHeight w:val="292"/>
        </w:trPr>
        <w:tc>
          <w:tcPr>
            <w:tcW w:w="2010" w:type="dxa"/>
            <w:gridSpan w:val="3"/>
            <w:vMerge/>
            <w:hideMark/>
          </w:tcPr>
          <w:p w14:paraId="3B3FC5AB" w14:textId="77777777" w:rsidR="00A14107" w:rsidRPr="00A14107" w:rsidRDefault="00A14107" w:rsidP="00A14107">
            <w:pPr>
              <w:spacing w:before="0"/>
              <w:rPr>
                <w:rFonts w:asciiTheme="minorHAnsi" w:hAnsiTheme="minorHAnsi" w:cstheme="minorHAnsi"/>
                <w:b/>
                <w:noProof/>
                <w:color w:val="000000"/>
                <w:sz w:val="16"/>
                <w:szCs w:val="16"/>
              </w:rPr>
            </w:pPr>
          </w:p>
        </w:tc>
        <w:tc>
          <w:tcPr>
            <w:tcW w:w="2089" w:type="dxa"/>
            <w:gridSpan w:val="2"/>
            <w:vMerge/>
            <w:hideMark/>
          </w:tcPr>
          <w:p w14:paraId="188F0532" w14:textId="77777777" w:rsidR="00A14107" w:rsidRPr="00A14107" w:rsidRDefault="00A14107" w:rsidP="00A14107">
            <w:pPr>
              <w:spacing w:before="0"/>
              <w:rPr>
                <w:rFonts w:asciiTheme="minorHAnsi" w:hAnsiTheme="minorHAnsi" w:cstheme="minorHAnsi"/>
                <w:b/>
                <w:noProof/>
                <w:color w:val="FFFFFF"/>
                <w:sz w:val="16"/>
                <w:szCs w:val="16"/>
              </w:rPr>
            </w:pPr>
          </w:p>
        </w:tc>
        <w:tc>
          <w:tcPr>
            <w:tcW w:w="1546" w:type="dxa"/>
            <w:gridSpan w:val="2"/>
            <w:shd w:val="clear" w:color="auto" w:fill="B8CCE4" w:themeFill="accent1" w:themeFillTint="66"/>
            <w:hideMark/>
          </w:tcPr>
          <w:p w14:paraId="41C6FAFF"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Business</w:t>
            </w:r>
          </w:p>
        </w:tc>
        <w:tc>
          <w:tcPr>
            <w:tcW w:w="1124" w:type="dxa"/>
            <w:gridSpan w:val="2"/>
            <w:shd w:val="clear" w:color="auto" w:fill="B8CCE4" w:themeFill="accent1" w:themeFillTint="66"/>
            <w:hideMark/>
          </w:tcPr>
          <w:p w14:paraId="0997EC72"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Member States</w:t>
            </w:r>
          </w:p>
        </w:tc>
        <w:tc>
          <w:tcPr>
            <w:tcW w:w="984" w:type="dxa"/>
            <w:gridSpan w:val="2"/>
            <w:shd w:val="clear" w:color="auto" w:fill="B8CCE4" w:themeFill="accent1" w:themeFillTint="66"/>
            <w:hideMark/>
          </w:tcPr>
          <w:p w14:paraId="245682CB"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EC/</w:t>
            </w:r>
            <w:r w:rsidRPr="00A14107">
              <w:rPr>
                <w:rFonts w:asciiTheme="minorHAnsi" w:hAnsiTheme="minorHAnsi" w:cstheme="minorHAnsi"/>
                <w:noProof/>
                <w:sz w:val="16"/>
                <w:szCs w:val="16"/>
              </w:rPr>
              <w:br/>
            </w:r>
            <w:r w:rsidRPr="00A14107">
              <w:rPr>
                <w:rFonts w:asciiTheme="minorHAnsi" w:hAnsiTheme="minorHAnsi" w:cstheme="minorHAnsi"/>
                <w:b/>
                <w:noProof/>
                <w:color w:val="000000" w:themeColor="text1"/>
                <w:sz w:val="16"/>
                <w:szCs w:val="16"/>
              </w:rPr>
              <w:t>EEA</w:t>
            </w:r>
          </w:p>
        </w:tc>
        <w:tc>
          <w:tcPr>
            <w:tcW w:w="1062" w:type="dxa"/>
            <w:gridSpan w:val="3"/>
            <w:vMerge/>
            <w:hideMark/>
          </w:tcPr>
          <w:p w14:paraId="25E4741F" w14:textId="77777777" w:rsidR="00A14107" w:rsidRPr="00A14107" w:rsidRDefault="00A14107" w:rsidP="00A14107">
            <w:pPr>
              <w:spacing w:before="0"/>
              <w:rPr>
                <w:rFonts w:asciiTheme="minorHAnsi" w:hAnsiTheme="minorHAnsi" w:cstheme="minorHAnsi"/>
                <w:b/>
                <w:noProof/>
                <w:sz w:val="16"/>
                <w:szCs w:val="16"/>
              </w:rPr>
            </w:pPr>
          </w:p>
        </w:tc>
      </w:tr>
      <w:tr w:rsidR="00A14107" w:rsidRPr="00A14107" w14:paraId="56D51AC7"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tcBorders>
              <w:right w:val="single" w:sz="4" w:space="0" w:color="auto"/>
            </w:tcBorders>
            <w:noWrap/>
          </w:tcPr>
          <w:p w14:paraId="7F432E5F" w14:textId="77777777" w:rsidR="00A14107" w:rsidRPr="00A14107" w:rsidRDefault="00A14107" w:rsidP="00A14107">
            <w:pPr>
              <w:spacing w:before="0"/>
              <w:rPr>
                <w:rFonts w:cstheme="minorHAnsi"/>
                <w:noProof/>
                <w:color w:val="000000" w:themeColor="text1"/>
                <w:sz w:val="16"/>
                <w:szCs w:val="16"/>
              </w:rPr>
            </w:pPr>
          </w:p>
        </w:tc>
        <w:tc>
          <w:tcPr>
            <w:tcW w:w="8364" w:type="dxa"/>
            <w:gridSpan w:val="12"/>
            <w:tcBorders>
              <w:top w:val="single" w:sz="4" w:space="0" w:color="auto"/>
              <w:left w:val="single" w:sz="4" w:space="0" w:color="auto"/>
              <w:bottom w:val="single" w:sz="4" w:space="0" w:color="auto"/>
              <w:right w:val="single" w:sz="4" w:space="0" w:color="auto"/>
            </w:tcBorders>
            <w:shd w:val="clear" w:color="auto" w:fill="auto"/>
            <w:noWrap/>
          </w:tcPr>
          <w:p w14:paraId="4F56FA82" w14:textId="77777777" w:rsidR="00A14107" w:rsidRPr="009B2432" w:rsidRDefault="00A14107" w:rsidP="00A14107">
            <w:pPr>
              <w:spacing w:before="0"/>
              <w:jc w:val="center"/>
              <w:rPr>
                <w:rFonts w:asciiTheme="minorHAnsi" w:hAnsiTheme="minorHAnsi" w:cstheme="minorHAnsi"/>
                <w:b/>
                <w:noProof/>
                <w:color w:val="000000" w:themeColor="text1"/>
                <w:sz w:val="28"/>
                <w:szCs w:val="28"/>
              </w:rPr>
            </w:pPr>
            <w:r w:rsidRPr="009B2432">
              <w:rPr>
                <w:rFonts w:asciiTheme="minorHAnsi" w:hAnsiTheme="minorHAnsi" w:cstheme="minorHAnsi"/>
                <w:b/>
                <w:noProof/>
                <w:color w:val="000000" w:themeColor="text1"/>
                <w:sz w:val="28"/>
                <w:szCs w:val="28"/>
              </w:rPr>
              <w:t>Option 1</w:t>
            </w:r>
          </w:p>
        </w:tc>
      </w:tr>
      <w:tr w:rsidR="00A14107" w:rsidRPr="00A14107" w14:paraId="323AD521"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tcBorders>
              <w:right w:val="single" w:sz="4" w:space="0" w:color="auto"/>
            </w:tcBorders>
            <w:shd w:val="clear" w:color="auto" w:fill="auto"/>
            <w:noWrap/>
            <w:hideMark/>
          </w:tcPr>
          <w:p w14:paraId="48711E0F" w14:textId="77777777" w:rsidR="008B2070"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A1</w:t>
            </w:r>
          </w:p>
          <w:p w14:paraId="369AF027" w14:textId="77777777" w:rsidR="00A14107" w:rsidRPr="00A14107" w:rsidRDefault="00F3660A" w:rsidP="00A14107">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0FBE5A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Foam bank recovery</w:t>
            </w:r>
          </w:p>
          <w:p w14:paraId="0AA71211" w14:textId="77777777" w:rsidR="00A14107" w:rsidRPr="00A14107" w:rsidRDefault="00A14107" w:rsidP="00A14107">
            <w:pPr>
              <w:spacing w:before="0"/>
              <w:rPr>
                <w:rFonts w:asciiTheme="minorHAnsi" w:hAnsiTheme="minorHAnsi" w:cstheme="minorHAnsi"/>
                <w:b/>
                <w:i/>
                <w:noProof/>
                <w:color w:val="000000" w:themeColor="text1"/>
                <w:sz w:val="16"/>
                <w:szCs w:val="16"/>
              </w:rPr>
            </w:pPr>
            <w:r w:rsidRPr="00A14107">
              <w:rPr>
                <w:rFonts w:asciiTheme="minorHAnsi" w:hAnsiTheme="minorHAnsi" w:cstheme="minorHAnsi"/>
                <w:b/>
                <w:i/>
                <w:noProof/>
                <w:color w:val="000000" w:themeColor="text1"/>
                <w:sz w:val="16"/>
                <w:szCs w:val="16"/>
              </w:rPr>
              <w:t xml:space="preserve">Sandwich </w:t>
            </w:r>
            <w:r w:rsidRPr="00A14107">
              <w:rPr>
                <w:rFonts w:cstheme="minorHAnsi"/>
                <w:b/>
                <w:i/>
                <w:noProof/>
                <w:color w:val="000000" w:themeColor="text1"/>
                <w:sz w:val="16"/>
                <w:szCs w:val="16"/>
              </w:rPr>
              <w:t>Panels only</w:t>
            </w:r>
          </w:p>
        </w:tc>
        <w:tc>
          <w:tcPr>
            <w:tcW w:w="208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14:paraId="466CBF29"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4EE6F72" w14:textId="77777777" w:rsidR="00A14107" w:rsidRPr="00532AAD" w:rsidRDefault="00A14107" w:rsidP="00A14107">
            <w:pPr>
              <w:spacing w:before="0"/>
              <w:jc w:val="center"/>
              <w:rPr>
                <w:rFonts w:asciiTheme="minorHAnsi" w:hAnsiTheme="minorHAnsi" w:cstheme="minorHAnsi"/>
                <w:noProof/>
                <w:color w:val="000000" w:themeColor="text1"/>
                <w:sz w:val="16"/>
                <w:szCs w:val="16"/>
              </w:rPr>
            </w:pPr>
            <w:r w:rsidRPr="00532AAD">
              <w:rPr>
                <w:rFonts w:cstheme="minorHAnsi"/>
                <w:noProof/>
                <w:color w:val="000000" w:themeColor="text1"/>
                <w:sz w:val="16"/>
                <w:szCs w:val="16"/>
              </w:rPr>
              <w:t>up to 18,200 tODP</w:t>
            </w:r>
          </w:p>
          <w:p w14:paraId="5A36434D"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532AAD">
              <w:rPr>
                <w:rFonts w:cstheme="minorHAnsi"/>
                <w:noProof/>
                <w:color w:val="000000" w:themeColor="text1"/>
                <w:sz w:val="16"/>
                <w:szCs w:val="16"/>
              </w:rPr>
              <w:t xml:space="preserve">Or </w:t>
            </w:r>
            <w:r w:rsidR="00532AAD" w:rsidRPr="006578FA">
              <w:rPr>
                <w:rFonts w:cstheme="minorHAnsi"/>
                <w:noProof/>
                <w:color w:val="000000" w:themeColor="text1"/>
                <w:sz w:val="16"/>
                <w:szCs w:val="16"/>
              </w:rPr>
              <w:t>88</w:t>
            </w:r>
            <w:r w:rsidRPr="00532AAD">
              <w:rPr>
                <w:rFonts w:cstheme="minorHAnsi"/>
                <w:noProof/>
                <w:color w:val="000000" w:themeColor="text1"/>
                <w:sz w:val="16"/>
                <w:szCs w:val="16"/>
              </w:rPr>
              <w:t xml:space="preserve"> MtCO2e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EC0C779"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74B15960"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Abatement costs</w:t>
            </w:r>
            <w:bookmarkStart w:id="235" w:name="_Ref92878899"/>
            <w:r w:rsidR="00D93917">
              <w:rPr>
                <w:rStyle w:val="FootnoteReference"/>
                <w:rFonts w:asciiTheme="minorHAnsi" w:hAnsiTheme="minorHAnsi" w:cstheme="minorHAnsi"/>
                <w:noProof/>
                <w:color w:val="000000" w:themeColor="text1"/>
                <w:sz w:val="16"/>
                <w:szCs w:val="16"/>
              </w:rPr>
              <w:footnoteReference w:id="88"/>
            </w:r>
            <w:bookmarkEnd w:id="235"/>
            <w:r w:rsidRPr="00A14107">
              <w:rPr>
                <w:rFonts w:asciiTheme="minorHAnsi" w:hAnsiTheme="minorHAnsi" w:cstheme="minorHAnsi"/>
                <w:noProof/>
                <w:color w:val="000000" w:themeColor="text1"/>
                <w:sz w:val="16"/>
                <w:szCs w:val="16"/>
              </w:rPr>
              <w:t xml:space="preserve">: </w:t>
            </w:r>
          </w:p>
          <w:p w14:paraId="52BEB1C8"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€25,000/tODP</w:t>
            </w:r>
          </w:p>
          <w:p w14:paraId="78B733DF"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532AAD">
              <w:rPr>
                <w:rFonts w:cstheme="minorHAnsi"/>
                <w:noProof/>
                <w:color w:val="000000" w:themeColor="text1"/>
                <w:sz w:val="16"/>
                <w:szCs w:val="16"/>
              </w:rPr>
              <w:t>€</w:t>
            </w:r>
            <w:r w:rsidR="00532AAD" w:rsidRPr="006578FA">
              <w:rPr>
                <w:rFonts w:cstheme="minorHAnsi"/>
                <w:noProof/>
                <w:color w:val="000000" w:themeColor="text1"/>
                <w:sz w:val="16"/>
                <w:szCs w:val="16"/>
              </w:rPr>
              <w:t>5.1</w:t>
            </w:r>
            <w:r w:rsidRPr="00532AAD">
              <w:rPr>
                <w:rFonts w:cstheme="minorHAnsi"/>
                <w:noProof/>
                <w:color w:val="000000" w:themeColor="text1"/>
                <w:sz w:val="16"/>
                <w:szCs w:val="16"/>
              </w:rPr>
              <w:t>/tCO2e</w:t>
            </w:r>
          </w:p>
        </w:tc>
        <w:tc>
          <w:tcPr>
            <w:tcW w:w="112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74DF9A2"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p>
          <w:p w14:paraId="756E8CFF"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2D2407FA"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Enforcement costs</w:t>
            </w:r>
          </w:p>
        </w:tc>
        <w:tc>
          <w:tcPr>
            <w:tcW w:w="984" w:type="dxa"/>
            <w:gridSpan w:val="2"/>
            <w:tcBorders>
              <w:top w:val="single" w:sz="4" w:space="0" w:color="auto"/>
              <w:left w:val="single" w:sz="4" w:space="0" w:color="auto"/>
              <w:bottom w:val="single" w:sz="4" w:space="0" w:color="auto"/>
              <w:right w:val="single" w:sz="4" w:space="0" w:color="auto"/>
            </w:tcBorders>
            <w:noWrap/>
          </w:tcPr>
          <w:p w14:paraId="5A52C6AE"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tcPr>
          <w:p w14:paraId="349CD847"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b/>
                <w:noProof/>
                <w:color w:val="000000" w:themeColor="text1"/>
                <w:sz w:val="16"/>
                <w:szCs w:val="16"/>
              </w:rPr>
              <w:t xml:space="preserve">(+) </w:t>
            </w:r>
            <w:r w:rsidRPr="00A14107">
              <w:rPr>
                <w:rFonts w:asciiTheme="minorHAnsi" w:hAnsiTheme="minorHAnsi" w:cstheme="minorHAnsi"/>
                <w:noProof/>
                <w:color w:val="000000" w:themeColor="text1"/>
                <w:sz w:val="16"/>
                <w:szCs w:val="16"/>
              </w:rPr>
              <w:t xml:space="preserve">R&amp;D, </w:t>
            </w:r>
            <w:r w:rsidRPr="00A14107">
              <w:rPr>
                <w:rFonts w:asciiTheme="minorHAnsi" w:hAnsiTheme="minorHAnsi" w:cstheme="minorHAnsi"/>
                <w:noProof/>
                <w:sz w:val="16"/>
                <w:szCs w:val="16"/>
              </w:rPr>
              <w:br/>
            </w:r>
            <w:r w:rsidRPr="00A14107">
              <w:rPr>
                <w:rFonts w:asciiTheme="minorHAnsi" w:hAnsiTheme="minorHAnsi" w:cstheme="minorHAnsi"/>
                <w:b/>
                <w:noProof/>
                <w:color w:val="000000" w:themeColor="text1"/>
                <w:sz w:val="16"/>
                <w:szCs w:val="16"/>
              </w:rPr>
              <w:t>(+)</w:t>
            </w:r>
            <w:r w:rsidRPr="00A14107">
              <w:rPr>
                <w:rFonts w:asciiTheme="minorHAnsi" w:hAnsiTheme="minorHAnsi" w:cstheme="minorHAnsi"/>
                <w:noProof/>
                <w:color w:val="000000" w:themeColor="text1"/>
                <w:sz w:val="16"/>
                <w:szCs w:val="16"/>
              </w:rPr>
              <w:t xml:space="preserve"> Employment: 215 FTEs, </w:t>
            </w:r>
          </w:p>
          <w:p w14:paraId="0021F82F"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Real estate prices</w:t>
            </w:r>
          </w:p>
        </w:tc>
      </w:tr>
      <w:tr w:rsidR="00A14107" w:rsidRPr="00A14107" w14:paraId="10D88B4D"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1174"/>
        </w:trPr>
        <w:tc>
          <w:tcPr>
            <w:tcW w:w="444" w:type="dxa"/>
            <w:shd w:val="clear" w:color="auto" w:fill="FFFFFF" w:themeFill="background1"/>
            <w:noWrap/>
            <w:hideMark/>
          </w:tcPr>
          <w:p w14:paraId="160F135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B1</w:t>
            </w:r>
          </w:p>
        </w:tc>
        <w:tc>
          <w:tcPr>
            <w:tcW w:w="1559" w:type="dxa"/>
            <w:tcBorders>
              <w:top w:val="single" w:sz="4" w:space="0" w:color="auto"/>
              <w:bottom w:val="single" w:sz="4" w:space="0" w:color="auto"/>
            </w:tcBorders>
            <w:shd w:val="clear" w:color="auto" w:fill="FFFFFF" w:themeFill="background1"/>
            <w:noWrap/>
            <w:hideMark/>
          </w:tcPr>
          <w:p w14:paraId="5B664D0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Trader licences</w:t>
            </w:r>
          </w:p>
        </w:tc>
        <w:tc>
          <w:tcPr>
            <w:tcW w:w="2089" w:type="dxa"/>
            <w:gridSpan w:val="2"/>
            <w:tcBorders>
              <w:top w:val="single" w:sz="4" w:space="0" w:color="auto"/>
            </w:tcBorders>
            <w:shd w:val="clear" w:color="auto" w:fill="FFFFFF" w:themeFill="background1"/>
            <w:noWrap/>
          </w:tcPr>
          <w:p w14:paraId="7EA687A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Positive due to better controls with CERTEX/Single Window</w:t>
            </w:r>
          </w:p>
        </w:tc>
        <w:tc>
          <w:tcPr>
            <w:tcW w:w="1546" w:type="dxa"/>
            <w:gridSpan w:val="2"/>
            <w:tcBorders>
              <w:top w:val="single" w:sz="4" w:space="0" w:color="auto"/>
              <w:bottom w:val="nil"/>
            </w:tcBorders>
            <w:shd w:val="clear" w:color="auto" w:fill="C2D69B" w:themeFill="accent3" w:themeFillTint="99"/>
          </w:tcPr>
          <w:p w14:paraId="55AFA1CE"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4DDF5140"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Total savings of </w:t>
            </w:r>
            <w:r w:rsidRPr="00A14107">
              <w:rPr>
                <w:rFonts w:cstheme="minorHAnsi"/>
                <w:noProof/>
                <w:color w:val="000000" w:themeColor="text1"/>
                <w:sz w:val="16"/>
                <w:szCs w:val="16"/>
              </w:rPr>
              <w:t>49,000-</w:t>
            </w:r>
            <w:r w:rsidRPr="00A14107">
              <w:rPr>
                <w:rFonts w:asciiTheme="minorHAnsi" w:hAnsiTheme="minorHAnsi" w:cstheme="minorHAnsi"/>
                <w:noProof/>
                <w:color w:val="000000" w:themeColor="text1"/>
                <w:sz w:val="16"/>
                <w:szCs w:val="16"/>
              </w:rPr>
              <w:t>119,000</w:t>
            </w:r>
          </w:p>
        </w:tc>
        <w:tc>
          <w:tcPr>
            <w:tcW w:w="1124" w:type="dxa"/>
            <w:gridSpan w:val="2"/>
            <w:tcBorders>
              <w:top w:val="single" w:sz="4" w:space="0" w:color="auto"/>
              <w:bottom w:val="nil"/>
            </w:tcBorders>
            <w:shd w:val="clear" w:color="auto" w:fill="FFFFFF" w:themeFill="background1"/>
          </w:tcPr>
          <w:p w14:paraId="0B3CCFEE"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Benefits from CERTEX/Single Window</w:t>
            </w:r>
          </w:p>
        </w:tc>
        <w:tc>
          <w:tcPr>
            <w:tcW w:w="984" w:type="dxa"/>
            <w:gridSpan w:val="2"/>
            <w:tcBorders>
              <w:top w:val="single" w:sz="4" w:space="0" w:color="auto"/>
              <w:bottom w:val="nil"/>
            </w:tcBorders>
            <w:shd w:val="clear" w:color="auto" w:fill="C2D69B" w:themeFill="accent3" w:themeFillTint="99"/>
          </w:tcPr>
          <w:p w14:paraId="3701A279"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4C2BA99" w14:textId="77777777" w:rsid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95 person days savings</w:t>
            </w:r>
          </w:p>
          <w:p w14:paraId="4D7D53BA" w14:textId="77777777" w:rsidR="008B2070" w:rsidRPr="00A14107" w:rsidRDefault="008B2070" w:rsidP="00A14107">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One-off costs for IT changes</w:t>
            </w:r>
          </w:p>
        </w:tc>
        <w:tc>
          <w:tcPr>
            <w:tcW w:w="1062" w:type="dxa"/>
            <w:gridSpan w:val="3"/>
            <w:tcBorders>
              <w:top w:val="single" w:sz="4" w:space="0" w:color="auto"/>
            </w:tcBorders>
            <w:shd w:val="clear" w:color="auto" w:fill="FFFFFF" w:themeFill="background1"/>
            <w:noWrap/>
            <w:hideMark/>
          </w:tcPr>
          <w:p w14:paraId="5C01DFBC"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N/A</w:t>
            </w:r>
          </w:p>
          <w:p w14:paraId="4EF10EF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w:t>
            </w:r>
          </w:p>
        </w:tc>
      </w:tr>
      <w:tr w:rsidR="00A14107" w:rsidRPr="00A14107" w14:paraId="07E613E8"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hideMark/>
          </w:tcPr>
          <w:p w14:paraId="5E64D3D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B4</w:t>
            </w:r>
          </w:p>
        </w:tc>
        <w:tc>
          <w:tcPr>
            <w:tcW w:w="1559" w:type="dxa"/>
            <w:tcBorders>
              <w:top w:val="single" w:sz="4" w:space="0" w:color="auto"/>
              <w:bottom w:val="single" w:sz="4" w:space="0" w:color="auto"/>
            </w:tcBorders>
            <w:shd w:val="clear" w:color="auto" w:fill="FFFFFF" w:themeFill="background1"/>
            <w:noWrap/>
            <w:hideMark/>
          </w:tcPr>
          <w:p w14:paraId="5D1F3119"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Abolish laboratory register</w:t>
            </w:r>
          </w:p>
        </w:tc>
        <w:tc>
          <w:tcPr>
            <w:tcW w:w="2089" w:type="dxa"/>
            <w:gridSpan w:val="2"/>
            <w:tcBorders>
              <w:top w:val="single" w:sz="4" w:space="0" w:color="auto"/>
              <w:bottom w:val="single" w:sz="4" w:space="0" w:color="auto"/>
            </w:tcBorders>
            <w:shd w:val="clear" w:color="auto" w:fill="FFFFFF" w:themeFill="background1"/>
            <w:noWrap/>
            <w:hideMark/>
          </w:tcPr>
          <w:p w14:paraId="10AB780F" w14:textId="77777777" w:rsidR="00A14107" w:rsidRPr="00A14107" w:rsidRDefault="0007183B" w:rsidP="0007183B">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0</w:t>
            </w:r>
          </w:p>
        </w:tc>
        <w:tc>
          <w:tcPr>
            <w:tcW w:w="1546" w:type="dxa"/>
            <w:gridSpan w:val="2"/>
            <w:tcBorders>
              <w:top w:val="single" w:sz="4" w:space="0" w:color="auto"/>
              <w:bottom w:val="single" w:sz="4" w:space="0" w:color="auto"/>
            </w:tcBorders>
            <w:shd w:val="clear" w:color="auto" w:fill="C2D69B" w:themeFill="accent3" w:themeFillTint="99"/>
          </w:tcPr>
          <w:p w14:paraId="1D29811D"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C4AE8B6"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€ 50,000 savings</w:t>
            </w:r>
          </w:p>
        </w:tc>
        <w:tc>
          <w:tcPr>
            <w:tcW w:w="1124" w:type="dxa"/>
            <w:gridSpan w:val="2"/>
            <w:tcBorders>
              <w:top w:val="single" w:sz="4" w:space="0" w:color="auto"/>
              <w:bottom w:val="single" w:sz="4" w:space="0" w:color="auto"/>
            </w:tcBorders>
            <w:shd w:val="clear" w:color="auto" w:fill="FFFF00"/>
          </w:tcPr>
          <w:p w14:paraId="40CE6A47"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highlight w:val="yellow"/>
              </w:rPr>
              <w:t>(0/</w:t>
            </w:r>
            <w:r w:rsidRPr="00A14107">
              <w:rPr>
                <w:rFonts w:asciiTheme="minorHAnsi" w:hAnsiTheme="minorHAnsi" w:cstheme="minorHAnsi"/>
                <w:b/>
                <w:noProof/>
                <w:color w:val="000000" w:themeColor="text1"/>
                <w:sz w:val="16"/>
                <w:szCs w:val="16"/>
              </w:rPr>
              <w:t>-)</w:t>
            </w:r>
          </w:p>
          <w:p w14:paraId="49D00FA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enforcement</w:t>
            </w:r>
          </w:p>
        </w:tc>
        <w:tc>
          <w:tcPr>
            <w:tcW w:w="984" w:type="dxa"/>
            <w:gridSpan w:val="2"/>
            <w:tcBorders>
              <w:top w:val="single" w:sz="4" w:space="0" w:color="auto"/>
              <w:bottom w:val="single" w:sz="4" w:space="0" w:color="auto"/>
            </w:tcBorders>
            <w:shd w:val="clear" w:color="auto" w:fill="C2D69B" w:themeFill="accent3" w:themeFillTint="99"/>
          </w:tcPr>
          <w:p w14:paraId="4DF5DFD9" w14:textId="77777777" w:rsidR="00A14107" w:rsidRPr="00A14107" w:rsidRDefault="00A14107" w:rsidP="00A14107">
            <w:pPr>
              <w:shd w:val="clear" w:color="auto" w:fill="C2D69B" w:themeFill="accent3" w:themeFillTint="99"/>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6C9961AB" w14:textId="77777777" w:rsidR="00A14107" w:rsidRPr="00A14107" w:rsidRDefault="00A14107" w:rsidP="00A14107">
            <w:pPr>
              <w:shd w:val="clear" w:color="auto" w:fill="C2D69B" w:themeFill="accent3" w:themeFillTint="99"/>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99 person days savings</w:t>
            </w:r>
          </w:p>
          <w:p w14:paraId="5344D528" w14:textId="77777777" w:rsidR="00A14107" w:rsidRPr="00A14107" w:rsidRDefault="00A14107" w:rsidP="00A14107">
            <w:pPr>
              <w:shd w:val="clear" w:color="auto" w:fill="C2D69B" w:themeFill="accent3" w:themeFillTint="99"/>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€ 31,500 </w:t>
            </w:r>
          </w:p>
          <w:p w14:paraId="12B23913" w14:textId="77777777" w:rsidR="00A14107" w:rsidRPr="00A14107" w:rsidRDefault="00A14107" w:rsidP="00A14107">
            <w:pPr>
              <w:shd w:val="clear" w:color="auto" w:fill="C2D69B" w:themeFill="accent3" w:themeFillTint="99"/>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IT savings</w:t>
            </w:r>
          </w:p>
        </w:tc>
        <w:tc>
          <w:tcPr>
            <w:tcW w:w="1062" w:type="dxa"/>
            <w:gridSpan w:val="3"/>
            <w:tcBorders>
              <w:top w:val="single" w:sz="4" w:space="0" w:color="auto"/>
              <w:bottom w:val="single" w:sz="4" w:space="0" w:color="auto"/>
            </w:tcBorders>
            <w:shd w:val="clear" w:color="auto" w:fill="FFFFFF" w:themeFill="background1"/>
            <w:noWrap/>
            <w:hideMark/>
          </w:tcPr>
          <w:p w14:paraId="5A4443B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N/A</w:t>
            </w:r>
          </w:p>
        </w:tc>
      </w:tr>
      <w:tr w:rsidR="00A14107" w:rsidRPr="00A14107" w14:paraId="2BC074DF"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hideMark/>
          </w:tcPr>
          <w:p w14:paraId="209651A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B5</w:t>
            </w:r>
          </w:p>
        </w:tc>
        <w:tc>
          <w:tcPr>
            <w:tcW w:w="1559" w:type="dxa"/>
            <w:tcBorders>
              <w:top w:val="single" w:sz="4" w:space="0" w:color="auto"/>
              <w:bottom w:val="single" w:sz="4" w:space="0" w:color="auto"/>
            </w:tcBorders>
            <w:shd w:val="clear" w:color="auto" w:fill="FFFFFF" w:themeFill="background1"/>
            <w:noWrap/>
            <w:hideMark/>
          </w:tcPr>
          <w:p w14:paraId="41C700C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Abolish quota</w:t>
            </w:r>
          </w:p>
        </w:tc>
        <w:tc>
          <w:tcPr>
            <w:tcW w:w="2089" w:type="dxa"/>
            <w:gridSpan w:val="2"/>
            <w:tcBorders>
              <w:top w:val="single" w:sz="4" w:space="0" w:color="auto"/>
              <w:bottom w:val="single" w:sz="4" w:space="0" w:color="auto"/>
            </w:tcBorders>
            <w:shd w:val="clear" w:color="auto" w:fill="FFFFFF" w:themeFill="background1"/>
            <w:noWrap/>
            <w:hideMark/>
          </w:tcPr>
          <w:p w14:paraId="0A75CA55" w14:textId="77777777" w:rsidR="00A14107" w:rsidRPr="00A14107" w:rsidRDefault="0007183B" w:rsidP="0007183B">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0</w:t>
            </w:r>
          </w:p>
        </w:tc>
        <w:tc>
          <w:tcPr>
            <w:tcW w:w="1546" w:type="dxa"/>
            <w:gridSpan w:val="2"/>
            <w:tcBorders>
              <w:top w:val="single" w:sz="4" w:space="0" w:color="auto"/>
              <w:bottom w:val="single" w:sz="4" w:space="0" w:color="auto"/>
            </w:tcBorders>
            <w:shd w:val="clear" w:color="auto" w:fill="EAF1DD" w:themeFill="accent3" w:themeFillTint="33"/>
          </w:tcPr>
          <w:p w14:paraId="63DFD1E7" w14:textId="77777777" w:rsidR="00A14107" w:rsidRPr="00A14107" w:rsidRDefault="008B2070" w:rsidP="00A14107">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00A14107" w:rsidRPr="00A14107">
              <w:rPr>
                <w:rFonts w:asciiTheme="minorHAnsi" w:hAnsiTheme="minorHAnsi" w:cstheme="minorHAnsi"/>
                <w:b/>
                <w:noProof/>
                <w:color w:val="000000" w:themeColor="text1"/>
                <w:sz w:val="16"/>
                <w:szCs w:val="16"/>
              </w:rPr>
              <w:t>)</w:t>
            </w:r>
          </w:p>
          <w:p w14:paraId="1C847F82"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Savings of</w:t>
            </w:r>
          </w:p>
          <w:p w14:paraId="221C69FB"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€ 11,000</w:t>
            </w:r>
          </w:p>
        </w:tc>
        <w:tc>
          <w:tcPr>
            <w:tcW w:w="1124" w:type="dxa"/>
            <w:gridSpan w:val="2"/>
            <w:tcBorders>
              <w:top w:val="single" w:sz="4" w:space="0" w:color="auto"/>
              <w:bottom w:val="single" w:sz="4" w:space="0" w:color="auto"/>
            </w:tcBorders>
            <w:shd w:val="clear" w:color="auto" w:fill="EAF1DD" w:themeFill="accent3" w:themeFillTint="33"/>
          </w:tcPr>
          <w:p w14:paraId="371A8E29" w14:textId="77777777" w:rsidR="00A14107" w:rsidRPr="00A14107" w:rsidRDefault="008B2070" w:rsidP="00A14107">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00A14107" w:rsidRPr="00A14107">
              <w:rPr>
                <w:rFonts w:asciiTheme="minorHAnsi" w:hAnsiTheme="minorHAnsi" w:cstheme="minorHAnsi"/>
                <w:b/>
                <w:noProof/>
                <w:color w:val="000000" w:themeColor="text1"/>
                <w:sz w:val="16"/>
                <w:szCs w:val="16"/>
              </w:rPr>
              <w:t>)</w:t>
            </w:r>
          </w:p>
          <w:p w14:paraId="10CC9BC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Small savings</w:t>
            </w:r>
          </w:p>
        </w:tc>
        <w:tc>
          <w:tcPr>
            <w:tcW w:w="984" w:type="dxa"/>
            <w:gridSpan w:val="2"/>
            <w:tcBorders>
              <w:top w:val="single" w:sz="4" w:space="0" w:color="auto"/>
              <w:bottom w:val="single" w:sz="4" w:space="0" w:color="auto"/>
            </w:tcBorders>
            <w:shd w:val="clear" w:color="auto" w:fill="EAF1DD" w:themeFill="accent3" w:themeFillTint="33"/>
          </w:tcPr>
          <w:p w14:paraId="1480F5D1" w14:textId="77777777" w:rsidR="00A14107" w:rsidRPr="00A14107" w:rsidRDefault="008B2070" w:rsidP="00A14107">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00A14107" w:rsidRPr="00A14107">
              <w:rPr>
                <w:rFonts w:asciiTheme="minorHAnsi" w:hAnsiTheme="minorHAnsi" w:cstheme="minorHAnsi"/>
                <w:b/>
                <w:noProof/>
                <w:color w:val="000000" w:themeColor="text1"/>
                <w:sz w:val="16"/>
                <w:szCs w:val="16"/>
              </w:rPr>
              <w:t>)</w:t>
            </w:r>
          </w:p>
          <w:p w14:paraId="32630235"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Savings of 60 person days</w:t>
            </w:r>
          </w:p>
        </w:tc>
        <w:tc>
          <w:tcPr>
            <w:tcW w:w="1062" w:type="dxa"/>
            <w:gridSpan w:val="3"/>
            <w:tcBorders>
              <w:top w:val="single" w:sz="4" w:space="0" w:color="auto"/>
              <w:bottom w:val="single" w:sz="4" w:space="0" w:color="auto"/>
            </w:tcBorders>
            <w:shd w:val="clear" w:color="auto" w:fill="FFFFFF" w:themeFill="background1"/>
            <w:noWrap/>
            <w:hideMark/>
          </w:tcPr>
          <w:p w14:paraId="1B58765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 </w:t>
            </w:r>
          </w:p>
        </w:tc>
      </w:tr>
      <w:tr w:rsidR="00A14107" w:rsidRPr="00A14107" w14:paraId="4554FC94"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1150484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B6</w:t>
            </w:r>
          </w:p>
        </w:tc>
        <w:tc>
          <w:tcPr>
            <w:tcW w:w="1559" w:type="dxa"/>
            <w:tcBorders>
              <w:top w:val="single" w:sz="4" w:space="0" w:color="auto"/>
              <w:bottom w:val="single" w:sz="4" w:space="0" w:color="auto"/>
            </w:tcBorders>
            <w:shd w:val="clear" w:color="auto" w:fill="FFFFFF" w:themeFill="background1"/>
            <w:noWrap/>
          </w:tcPr>
          <w:p w14:paraId="4FF0DD20"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Delay one halon cut-off date for aircraft cargo compartments to 2024</w:t>
            </w:r>
          </w:p>
        </w:tc>
        <w:tc>
          <w:tcPr>
            <w:tcW w:w="2089" w:type="dxa"/>
            <w:gridSpan w:val="2"/>
            <w:tcBorders>
              <w:top w:val="single" w:sz="4" w:space="0" w:color="auto"/>
              <w:bottom w:val="single" w:sz="4" w:space="0" w:color="auto"/>
            </w:tcBorders>
            <w:shd w:val="clear" w:color="auto" w:fill="auto"/>
            <w:noWrap/>
          </w:tcPr>
          <w:p w14:paraId="665FE399" w14:textId="77777777" w:rsidR="00A14107" w:rsidRPr="00A14107" w:rsidRDefault="0007183B" w:rsidP="0007183B">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0</w:t>
            </w:r>
          </w:p>
        </w:tc>
        <w:tc>
          <w:tcPr>
            <w:tcW w:w="1546" w:type="dxa"/>
            <w:gridSpan w:val="2"/>
            <w:tcBorders>
              <w:top w:val="single" w:sz="4" w:space="0" w:color="auto"/>
              <w:bottom w:val="single" w:sz="4" w:space="0" w:color="auto"/>
            </w:tcBorders>
            <w:shd w:val="clear" w:color="auto" w:fill="C2D69B" w:themeFill="accent3" w:themeFillTint="99"/>
          </w:tcPr>
          <w:p w14:paraId="07AB4FA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521BA929"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noProof/>
                <w:color w:val="000000" w:themeColor="text1"/>
                <w:sz w:val="16"/>
                <w:szCs w:val="16"/>
              </w:rPr>
              <w:t>Savings of 120+ person days (€36,000)</w:t>
            </w:r>
          </w:p>
        </w:tc>
        <w:tc>
          <w:tcPr>
            <w:tcW w:w="1124" w:type="dxa"/>
            <w:gridSpan w:val="2"/>
            <w:tcBorders>
              <w:top w:val="single" w:sz="4" w:space="0" w:color="auto"/>
              <w:bottom w:val="single" w:sz="4" w:space="0" w:color="auto"/>
            </w:tcBorders>
            <w:shd w:val="clear" w:color="auto" w:fill="C2D69B" w:themeFill="accent3" w:themeFillTint="99"/>
            <w:noWrap/>
          </w:tcPr>
          <w:p w14:paraId="0A356E87"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3EDDE25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Savings of up to 120 person days</w:t>
            </w:r>
          </w:p>
        </w:tc>
        <w:tc>
          <w:tcPr>
            <w:tcW w:w="984" w:type="dxa"/>
            <w:gridSpan w:val="2"/>
            <w:tcBorders>
              <w:top w:val="single" w:sz="4" w:space="0" w:color="auto"/>
              <w:bottom w:val="single" w:sz="4" w:space="0" w:color="auto"/>
            </w:tcBorders>
            <w:shd w:val="clear" w:color="auto" w:fill="C2D69B" w:themeFill="accent3" w:themeFillTint="99"/>
            <w:noWrap/>
          </w:tcPr>
          <w:p w14:paraId="614137BD"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1E042B7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Savings of up to 320 person days</w:t>
            </w:r>
          </w:p>
        </w:tc>
        <w:tc>
          <w:tcPr>
            <w:tcW w:w="1062" w:type="dxa"/>
            <w:gridSpan w:val="3"/>
            <w:tcBorders>
              <w:top w:val="single" w:sz="4" w:space="0" w:color="auto"/>
            </w:tcBorders>
            <w:shd w:val="clear" w:color="auto" w:fill="FFFFFF" w:themeFill="background1"/>
            <w:noWrap/>
          </w:tcPr>
          <w:p w14:paraId="21048452"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6FC82305"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hideMark/>
          </w:tcPr>
          <w:p w14:paraId="686A9BD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C1</w:t>
            </w:r>
          </w:p>
        </w:tc>
        <w:tc>
          <w:tcPr>
            <w:tcW w:w="1559" w:type="dxa"/>
            <w:tcBorders>
              <w:top w:val="single" w:sz="4" w:space="0" w:color="auto"/>
              <w:bottom w:val="single" w:sz="4" w:space="0" w:color="auto"/>
            </w:tcBorders>
            <w:shd w:val="clear" w:color="auto" w:fill="FFFFFF" w:themeFill="background1"/>
            <w:noWrap/>
            <w:hideMark/>
          </w:tcPr>
          <w:p w14:paraId="5CE9A4C1"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Annex II reporting</w:t>
            </w:r>
          </w:p>
        </w:tc>
        <w:tc>
          <w:tcPr>
            <w:tcW w:w="2089" w:type="dxa"/>
            <w:gridSpan w:val="2"/>
            <w:tcBorders>
              <w:top w:val="single" w:sz="4" w:space="0" w:color="auto"/>
              <w:bottom w:val="single" w:sz="4" w:space="0" w:color="auto"/>
            </w:tcBorders>
            <w:shd w:val="clear" w:color="auto" w:fill="EAF1DD" w:themeFill="accent3" w:themeFillTint="33"/>
            <w:noWrap/>
            <w:hideMark/>
          </w:tcPr>
          <w:p w14:paraId="0A62608D"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7B1EABEE"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Better overview on ODS use</w:t>
            </w:r>
          </w:p>
        </w:tc>
        <w:tc>
          <w:tcPr>
            <w:tcW w:w="1546" w:type="dxa"/>
            <w:gridSpan w:val="2"/>
            <w:tcBorders>
              <w:top w:val="single" w:sz="4" w:space="0" w:color="auto"/>
              <w:bottom w:val="single" w:sz="4" w:space="0" w:color="auto"/>
            </w:tcBorders>
            <w:shd w:val="clear" w:color="auto" w:fill="F2DBDB" w:themeFill="accent2" w:themeFillTint="33"/>
          </w:tcPr>
          <w:p w14:paraId="62B6B7D4"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16B72F4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cstheme="minorHAnsi"/>
                <w:noProof/>
                <w:color w:val="000000" w:themeColor="text1"/>
                <w:sz w:val="16"/>
                <w:szCs w:val="16"/>
              </w:rPr>
              <w:t>€ 5,500</w:t>
            </w:r>
          </w:p>
        </w:tc>
        <w:tc>
          <w:tcPr>
            <w:tcW w:w="1124" w:type="dxa"/>
            <w:gridSpan w:val="2"/>
            <w:tcBorders>
              <w:top w:val="single" w:sz="4" w:space="0" w:color="auto"/>
              <w:bottom w:val="single" w:sz="4" w:space="0" w:color="auto"/>
            </w:tcBorders>
            <w:shd w:val="clear" w:color="auto" w:fill="FFFFFF" w:themeFill="background1"/>
            <w:noWrap/>
          </w:tcPr>
          <w:p w14:paraId="0C9DD33F"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984" w:type="dxa"/>
            <w:gridSpan w:val="2"/>
            <w:tcBorders>
              <w:top w:val="single" w:sz="4" w:space="0" w:color="auto"/>
              <w:bottom w:val="single" w:sz="4" w:space="0" w:color="auto"/>
            </w:tcBorders>
            <w:shd w:val="clear" w:color="auto" w:fill="FFFFFF" w:themeFill="background1"/>
            <w:noWrap/>
          </w:tcPr>
          <w:p w14:paraId="1DBDD58E"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bottom w:val="single" w:sz="4" w:space="0" w:color="auto"/>
            </w:tcBorders>
            <w:shd w:val="clear" w:color="auto" w:fill="FFFFFF" w:themeFill="background1"/>
            <w:noWrap/>
            <w:hideMark/>
          </w:tcPr>
          <w:p w14:paraId="16B66EDF"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4E0B925F"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6BF477FE" w14:textId="77777777" w:rsidR="00A14107" w:rsidRPr="00A14107" w:rsidRDefault="00A14107" w:rsidP="00A14107">
            <w:pPr>
              <w:spacing w:before="0"/>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C3</w:t>
            </w:r>
          </w:p>
        </w:tc>
        <w:tc>
          <w:tcPr>
            <w:tcW w:w="1559" w:type="dxa"/>
            <w:tcBorders>
              <w:top w:val="single" w:sz="4" w:space="0" w:color="auto"/>
              <w:bottom w:val="single" w:sz="4" w:space="0" w:color="auto"/>
            </w:tcBorders>
            <w:shd w:val="clear" w:color="auto" w:fill="FFFFFF" w:themeFill="background1"/>
            <w:noWrap/>
          </w:tcPr>
          <w:p w14:paraId="1CAC2ACF" w14:textId="77777777" w:rsidR="00A14107" w:rsidRPr="00A14107" w:rsidRDefault="00A14107" w:rsidP="00A14107">
            <w:pP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Add GWP to Annex</w:t>
            </w:r>
          </w:p>
        </w:tc>
        <w:tc>
          <w:tcPr>
            <w:tcW w:w="2089" w:type="dxa"/>
            <w:gridSpan w:val="2"/>
            <w:tcBorders>
              <w:top w:val="single" w:sz="4" w:space="0" w:color="auto"/>
              <w:bottom w:val="single" w:sz="4" w:space="0" w:color="auto"/>
            </w:tcBorders>
            <w:shd w:val="clear" w:color="auto" w:fill="EAF1DD" w:themeFill="accent3" w:themeFillTint="33"/>
            <w:noWrap/>
          </w:tcPr>
          <w:p w14:paraId="13F31175"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6EF16934" w14:textId="77777777" w:rsidR="00A14107" w:rsidRPr="00A14107" w:rsidRDefault="00A14107" w:rsidP="00A14107">
            <w:pPr>
              <w:jc w:val="cente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Better awareness on climate effects</w:t>
            </w:r>
          </w:p>
        </w:tc>
        <w:tc>
          <w:tcPr>
            <w:tcW w:w="1546" w:type="dxa"/>
            <w:gridSpan w:val="2"/>
            <w:tcBorders>
              <w:top w:val="single" w:sz="4" w:space="0" w:color="auto"/>
              <w:bottom w:val="single" w:sz="4" w:space="0" w:color="auto"/>
            </w:tcBorders>
            <w:shd w:val="clear" w:color="auto" w:fill="FFFFFF" w:themeFill="background1"/>
          </w:tcPr>
          <w:p w14:paraId="3E5DD678" w14:textId="77777777" w:rsidR="00A14107" w:rsidRPr="00A14107" w:rsidRDefault="000535C5" w:rsidP="00A14107">
            <w:pPr>
              <w:jc w:val="center"/>
              <w:rPr>
                <w:rFonts w:cstheme="minorHAnsi"/>
                <w:b/>
                <w:noProof/>
                <w:color w:val="000000" w:themeColor="text1"/>
                <w:sz w:val="16"/>
                <w:szCs w:val="16"/>
              </w:rPr>
            </w:pPr>
            <w:r>
              <w:rPr>
                <w:rFonts w:asciiTheme="minorHAnsi" w:hAnsiTheme="minorHAnsi" w:cstheme="minorHAnsi"/>
                <w:noProof/>
                <w:color w:val="000000" w:themeColor="text1"/>
                <w:sz w:val="16"/>
                <w:szCs w:val="16"/>
              </w:rPr>
              <w:t>0</w:t>
            </w:r>
          </w:p>
        </w:tc>
        <w:tc>
          <w:tcPr>
            <w:tcW w:w="1124" w:type="dxa"/>
            <w:gridSpan w:val="2"/>
            <w:tcBorders>
              <w:top w:val="single" w:sz="4" w:space="0" w:color="auto"/>
              <w:bottom w:val="single" w:sz="4" w:space="0" w:color="auto"/>
            </w:tcBorders>
            <w:shd w:val="clear" w:color="auto" w:fill="FFFFFF" w:themeFill="background1"/>
            <w:noWrap/>
          </w:tcPr>
          <w:p w14:paraId="30F986B2" w14:textId="77777777" w:rsidR="00A14107" w:rsidRPr="00A14107" w:rsidRDefault="000535C5" w:rsidP="00A14107">
            <w:pPr>
              <w:rPr>
                <w:rFonts w:cstheme="minorHAnsi"/>
                <w:noProof/>
                <w:color w:val="000000" w:themeColor="text1"/>
                <w:sz w:val="16"/>
                <w:szCs w:val="16"/>
              </w:rPr>
            </w:pPr>
            <w:r>
              <w:rPr>
                <w:rFonts w:asciiTheme="minorHAnsi" w:hAnsiTheme="minorHAnsi" w:cstheme="minorHAnsi"/>
                <w:noProof/>
                <w:color w:val="000000" w:themeColor="text1"/>
                <w:sz w:val="16"/>
                <w:szCs w:val="16"/>
              </w:rPr>
              <w:t>N/A</w:t>
            </w:r>
          </w:p>
        </w:tc>
        <w:tc>
          <w:tcPr>
            <w:tcW w:w="984" w:type="dxa"/>
            <w:gridSpan w:val="2"/>
            <w:tcBorders>
              <w:top w:val="single" w:sz="4" w:space="0" w:color="auto"/>
              <w:bottom w:val="single" w:sz="4" w:space="0" w:color="auto"/>
            </w:tcBorders>
            <w:shd w:val="clear" w:color="auto" w:fill="FFFFFF" w:themeFill="background1"/>
            <w:noWrap/>
          </w:tcPr>
          <w:p w14:paraId="6FB130FB" w14:textId="77777777" w:rsidR="00A14107" w:rsidRPr="00A14107" w:rsidRDefault="00A14107" w:rsidP="00A14107">
            <w:pP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bottom w:val="single" w:sz="4" w:space="0" w:color="auto"/>
            </w:tcBorders>
            <w:shd w:val="clear" w:color="auto" w:fill="FFFFFF" w:themeFill="background1"/>
            <w:noWrap/>
          </w:tcPr>
          <w:p w14:paraId="7BB0F09C" w14:textId="77777777" w:rsidR="00A14107" w:rsidRPr="00A14107" w:rsidRDefault="00A14107" w:rsidP="00A14107">
            <w:pPr>
              <w:rPr>
                <w:rFonts w:cstheme="minorHAnsi"/>
                <w:noProof/>
                <w:color w:val="000000" w:themeColor="text1"/>
                <w:sz w:val="16"/>
                <w:szCs w:val="16"/>
              </w:rPr>
            </w:pPr>
            <w:r w:rsidRPr="00A14107">
              <w:rPr>
                <w:rFonts w:asciiTheme="minorHAnsi" w:hAnsiTheme="minorHAnsi" w:cstheme="minorHAnsi"/>
                <w:noProof/>
                <w:color w:val="000000" w:themeColor="text1"/>
                <w:sz w:val="16"/>
                <w:szCs w:val="16"/>
              </w:rPr>
              <w:t>N/A </w:t>
            </w:r>
          </w:p>
        </w:tc>
      </w:tr>
      <w:tr w:rsidR="00A14107" w:rsidRPr="00A14107" w14:paraId="7E72BDEB"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tcPr>
          <w:p w14:paraId="2CFB3089" w14:textId="77777777" w:rsidR="00A14107" w:rsidRPr="00A14107" w:rsidRDefault="00A14107" w:rsidP="00A14107">
            <w:pPr>
              <w:spacing w:before="0"/>
              <w:rPr>
                <w:rFonts w:cstheme="minorHAnsi"/>
                <w:noProof/>
                <w:color w:val="000000" w:themeColor="text1"/>
                <w:sz w:val="16"/>
                <w:szCs w:val="16"/>
              </w:rPr>
            </w:pPr>
          </w:p>
        </w:tc>
        <w:tc>
          <w:tcPr>
            <w:tcW w:w="8364" w:type="dxa"/>
            <w:gridSpan w:val="12"/>
            <w:tcBorders>
              <w:top w:val="single" w:sz="4" w:space="0" w:color="auto"/>
              <w:bottom w:val="single" w:sz="4" w:space="0" w:color="auto"/>
            </w:tcBorders>
            <w:shd w:val="clear" w:color="auto" w:fill="auto"/>
            <w:noWrap/>
          </w:tcPr>
          <w:p w14:paraId="3B81D26F" w14:textId="77777777" w:rsidR="00A14107" w:rsidRPr="009B2432" w:rsidRDefault="00A14107" w:rsidP="00A14107">
            <w:pPr>
              <w:spacing w:before="0"/>
              <w:jc w:val="center"/>
              <w:rPr>
                <w:rFonts w:asciiTheme="minorHAnsi" w:hAnsiTheme="minorHAnsi" w:cstheme="minorHAnsi"/>
                <w:noProof/>
                <w:color w:val="000000" w:themeColor="text1"/>
                <w:sz w:val="28"/>
                <w:szCs w:val="28"/>
              </w:rPr>
            </w:pPr>
            <w:r w:rsidRPr="009B2432" w:rsidDel="00A5052C">
              <w:rPr>
                <w:rFonts w:asciiTheme="minorHAnsi" w:hAnsiTheme="minorHAnsi" w:cstheme="minorHAnsi"/>
                <w:noProof/>
                <w:color w:val="000000" w:themeColor="text1"/>
                <w:sz w:val="28"/>
                <w:szCs w:val="28"/>
              </w:rPr>
              <w:t xml:space="preserve"> </w:t>
            </w:r>
            <w:r w:rsidRPr="009B2432">
              <w:rPr>
                <w:rFonts w:asciiTheme="minorHAnsi" w:hAnsiTheme="minorHAnsi" w:cstheme="minorHAnsi"/>
                <w:b/>
                <w:noProof/>
                <w:color w:val="000000" w:themeColor="text1"/>
                <w:sz w:val="28"/>
                <w:szCs w:val="28"/>
              </w:rPr>
              <w:t>Option 2 (includes also all measures of Option 1)</w:t>
            </w:r>
          </w:p>
        </w:tc>
      </w:tr>
      <w:tr w:rsidR="00A14107" w:rsidRPr="00A14107" w14:paraId="5B97910F"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12ECD929" w14:textId="77777777" w:rsidR="00F3660A"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A1</w:t>
            </w:r>
          </w:p>
          <w:p w14:paraId="2353A5E1" w14:textId="77777777" w:rsidR="00A14107" w:rsidRPr="00A14107" w:rsidRDefault="00F3660A" w:rsidP="00A14107">
            <w:pPr>
              <w:spacing w:before="0"/>
              <w:rPr>
                <w:rFonts w:cstheme="minorHAnsi"/>
                <w:noProof/>
                <w:color w:val="000000" w:themeColor="text1"/>
                <w:sz w:val="16"/>
                <w:szCs w:val="16"/>
              </w:rPr>
            </w:pPr>
            <w:r>
              <w:rPr>
                <w:rFonts w:asciiTheme="minorHAnsi" w:hAnsiTheme="minorHAnsi" w:cstheme="minorHAnsi"/>
                <w:noProof/>
                <w:color w:val="000000" w:themeColor="text1"/>
                <w:sz w:val="16"/>
                <w:szCs w:val="16"/>
              </w:rPr>
              <w:t>(b)</w:t>
            </w:r>
          </w:p>
        </w:tc>
        <w:tc>
          <w:tcPr>
            <w:tcW w:w="1559" w:type="dxa"/>
            <w:tcBorders>
              <w:top w:val="single" w:sz="4" w:space="0" w:color="auto"/>
              <w:left w:val="single" w:sz="4" w:space="0" w:color="auto"/>
              <w:bottom w:val="single" w:sz="4" w:space="0" w:color="auto"/>
              <w:right w:val="single" w:sz="4" w:space="0" w:color="auto"/>
            </w:tcBorders>
            <w:noWrap/>
          </w:tcPr>
          <w:p w14:paraId="5B0F741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Foam bank recovery</w:t>
            </w:r>
          </w:p>
          <w:p w14:paraId="7AE67265"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also for laminated boards</w:t>
            </w:r>
          </w:p>
        </w:tc>
        <w:tc>
          <w:tcPr>
            <w:tcW w:w="2089" w:type="dxa"/>
            <w:gridSpan w:val="2"/>
            <w:tcBorders>
              <w:top w:val="single" w:sz="4" w:space="0" w:color="auto"/>
              <w:left w:val="single" w:sz="4" w:space="0" w:color="auto"/>
              <w:bottom w:val="single" w:sz="4" w:space="0" w:color="auto"/>
              <w:right w:val="single" w:sz="4" w:space="0" w:color="auto"/>
            </w:tcBorders>
            <w:shd w:val="clear" w:color="auto" w:fill="00B050"/>
            <w:noWrap/>
          </w:tcPr>
          <w:p w14:paraId="75BF822D"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r w:rsidR="00F3660A">
              <w:rPr>
                <w:rFonts w:asciiTheme="minorHAnsi" w:hAnsiTheme="minorHAnsi" w:cstheme="minorHAnsi"/>
                <w:b/>
                <w:noProof/>
                <w:color w:val="000000" w:themeColor="text1"/>
                <w:sz w:val="16"/>
                <w:szCs w:val="16"/>
              </w:rPr>
              <w:t>+</w:t>
            </w:r>
            <w:r w:rsidRPr="00A14107">
              <w:rPr>
                <w:rFonts w:asciiTheme="minorHAnsi" w:hAnsiTheme="minorHAnsi" w:cstheme="minorHAnsi"/>
                <w:b/>
                <w:noProof/>
                <w:color w:val="000000" w:themeColor="text1"/>
                <w:sz w:val="16"/>
                <w:szCs w:val="16"/>
              </w:rPr>
              <w:t>)</w:t>
            </w:r>
          </w:p>
          <w:p w14:paraId="4EF1F15B" w14:textId="77777777" w:rsidR="00A14107" w:rsidRPr="00C338EA" w:rsidRDefault="00A14107" w:rsidP="00A14107">
            <w:pPr>
              <w:spacing w:before="0"/>
              <w:jc w:val="center"/>
              <w:rPr>
                <w:rFonts w:asciiTheme="minorHAnsi" w:hAnsiTheme="minorHAnsi" w:cstheme="minorHAnsi"/>
                <w:noProof/>
                <w:color w:val="000000" w:themeColor="text1"/>
                <w:sz w:val="16"/>
                <w:szCs w:val="16"/>
              </w:rPr>
            </w:pPr>
            <w:r w:rsidRPr="00C338EA">
              <w:rPr>
                <w:rFonts w:cstheme="minorHAnsi"/>
                <w:noProof/>
                <w:color w:val="000000" w:themeColor="text1"/>
                <w:sz w:val="16"/>
                <w:szCs w:val="16"/>
              </w:rPr>
              <w:t xml:space="preserve">Additional 14 000 tODP= </w:t>
            </w:r>
          </w:p>
          <w:p w14:paraId="32C51763" w14:textId="77777777" w:rsidR="00A14107" w:rsidRPr="00F860CA" w:rsidRDefault="00A14107" w:rsidP="00A14107">
            <w:pPr>
              <w:spacing w:before="0"/>
              <w:jc w:val="center"/>
              <w:rPr>
                <w:rFonts w:asciiTheme="minorHAnsi" w:hAnsiTheme="minorHAnsi" w:cstheme="minorHAnsi"/>
                <w:noProof/>
                <w:color w:val="000000" w:themeColor="text1"/>
                <w:sz w:val="16"/>
                <w:szCs w:val="16"/>
              </w:rPr>
            </w:pPr>
            <w:r w:rsidRPr="00C338EA">
              <w:rPr>
                <w:rFonts w:cstheme="minorHAnsi"/>
                <w:noProof/>
                <w:color w:val="000000" w:themeColor="text1"/>
                <w:sz w:val="16"/>
                <w:szCs w:val="16"/>
              </w:rPr>
              <w:t>90 MtCO</w:t>
            </w:r>
            <w:r w:rsidRPr="003563E4">
              <w:rPr>
                <w:rFonts w:cstheme="minorHAnsi"/>
                <w:noProof/>
                <w:color w:val="000000" w:themeColor="text1"/>
                <w:sz w:val="16"/>
                <w:szCs w:val="16"/>
              </w:rPr>
              <w:t>2e</w:t>
            </w:r>
          </w:p>
          <w:p w14:paraId="4E1EF6F3" w14:textId="77777777" w:rsidR="008B2070" w:rsidRDefault="00A14107" w:rsidP="00A14107">
            <w:pPr>
              <w:spacing w:before="0"/>
              <w:jc w:val="center"/>
              <w:rPr>
                <w:rFonts w:cstheme="minorHAnsi"/>
                <w:noProof/>
                <w:color w:val="000000" w:themeColor="text1"/>
                <w:sz w:val="16"/>
                <w:szCs w:val="16"/>
              </w:rPr>
            </w:pPr>
            <w:r w:rsidRPr="006578FA">
              <w:rPr>
                <w:rFonts w:cstheme="minorHAnsi"/>
                <w:noProof/>
                <w:color w:val="000000" w:themeColor="text1"/>
                <w:sz w:val="16"/>
                <w:szCs w:val="16"/>
              </w:rPr>
              <w:t>[i.e. in total for panels and boards</w:t>
            </w:r>
            <w:r w:rsidR="008B2070">
              <w:rPr>
                <w:rFonts w:cstheme="minorHAnsi"/>
                <w:noProof/>
                <w:color w:val="000000" w:themeColor="text1"/>
                <w:sz w:val="16"/>
                <w:szCs w:val="16"/>
              </w:rPr>
              <w:t xml:space="preserve"> (A1(a)+A1(b))</w:t>
            </w:r>
            <w:r w:rsidRPr="006578FA">
              <w:rPr>
                <w:rFonts w:cstheme="minorHAnsi"/>
                <w:noProof/>
                <w:color w:val="000000" w:themeColor="text1"/>
                <w:sz w:val="16"/>
                <w:szCs w:val="16"/>
              </w:rPr>
              <w:t xml:space="preserve">: </w:t>
            </w:r>
          </w:p>
          <w:p w14:paraId="14F494C8" w14:textId="77777777" w:rsidR="00A14107" w:rsidRPr="006578FA" w:rsidRDefault="00A14107" w:rsidP="00A14107">
            <w:pPr>
              <w:spacing w:before="0"/>
              <w:jc w:val="center"/>
              <w:rPr>
                <w:rFonts w:asciiTheme="minorHAnsi" w:hAnsiTheme="minorHAnsi" w:cstheme="minorHAnsi"/>
                <w:noProof/>
                <w:color w:val="000000" w:themeColor="text1"/>
                <w:sz w:val="16"/>
                <w:szCs w:val="16"/>
              </w:rPr>
            </w:pPr>
            <w:r w:rsidRPr="006578FA">
              <w:rPr>
                <w:rFonts w:cstheme="minorHAnsi"/>
                <w:noProof/>
                <w:color w:val="000000" w:themeColor="text1"/>
                <w:sz w:val="16"/>
                <w:szCs w:val="16"/>
              </w:rPr>
              <w:t>up to 32,000 tODP</w:t>
            </w:r>
          </w:p>
          <w:p w14:paraId="05FC8198"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C338EA">
              <w:rPr>
                <w:rFonts w:cstheme="minorHAnsi"/>
                <w:noProof/>
                <w:color w:val="000000" w:themeColor="text1"/>
                <w:sz w:val="16"/>
                <w:szCs w:val="16"/>
              </w:rPr>
              <w:t>Or 1</w:t>
            </w:r>
            <w:r w:rsidR="00C338EA" w:rsidRPr="006578FA">
              <w:rPr>
                <w:rFonts w:cstheme="minorHAnsi"/>
                <w:noProof/>
                <w:color w:val="000000" w:themeColor="text1"/>
                <w:sz w:val="16"/>
                <w:szCs w:val="16"/>
              </w:rPr>
              <w:t>79</w:t>
            </w:r>
            <w:r w:rsidRPr="00C338EA">
              <w:rPr>
                <w:rFonts w:cstheme="minorHAnsi"/>
                <w:noProof/>
                <w:color w:val="000000" w:themeColor="text1"/>
                <w:sz w:val="16"/>
                <w:szCs w:val="16"/>
              </w:rPr>
              <w:t xml:space="preserve"> MtCO2e]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3045BE4"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1946121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Abatement costs</w:t>
            </w:r>
            <w:r w:rsidR="00D93917" w:rsidRPr="00D93917">
              <w:rPr>
                <w:rFonts w:cstheme="minorHAnsi"/>
                <w:noProof/>
                <w:color w:val="000000" w:themeColor="text1"/>
                <w:sz w:val="16"/>
                <w:szCs w:val="16"/>
                <w:vertAlign w:val="superscript"/>
              </w:rPr>
              <w:fldChar w:fldCharType="begin"/>
            </w:r>
            <w:r w:rsidR="00D93917" w:rsidRPr="00D93917">
              <w:rPr>
                <w:rFonts w:asciiTheme="minorHAnsi" w:hAnsiTheme="minorHAnsi" w:cstheme="minorHAnsi"/>
                <w:noProof/>
                <w:color w:val="000000" w:themeColor="text1"/>
                <w:sz w:val="16"/>
                <w:szCs w:val="16"/>
                <w:vertAlign w:val="superscript"/>
              </w:rPr>
              <w:instrText xml:space="preserve"> NOTEREF _Ref92878899 \h </w:instrText>
            </w:r>
            <w:r w:rsidR="00D93917">
              <w:rPr>
                <w:rFonts w:asciiTheme="minorHAnsi" w:hAnsiTheme="minorHAnsi" w:cstheme="minorHAnsi"/>
                <w:noProof/>
                <w:color w:val="000000" w:themeColor="text1"/>
                <w:sz w:val="16"/>
                <w:szCs w:val="16"/>
                <w:vertAlign w:val="superscript"/>
              </w:rPr>
              <w:instrText xml:space="preserve"> \* MERGEFORMAT </w:instrText>
            </w:r>
            <w:r w:rsidR="00D93917" w:rsidRPr="00D93917">
              <w:rPr>
                <w:rFonts w:cstheme="minorHAnsi"/>
                <w:noProof/>
                <w:color w:val="000000" w:themeColor="text1"/>
                <w:sz w:val="16"/>
                <w:szCs w:val="16"/>
                <w:vertAlign w:val="superscript"/>
              </w:rPr>
            </w:r>
            <w:r w:rsidR="00D93917" w:rsidRPr="00D93917">
              <w:rPr>
                <w:rFonts w:cstheme="minorHAnsi"/>
                <w:noProof/>
                <w:color w:val="000000" w:themeColor="text1"/>
                <w:sz w:val="16"/>
                <w:szCs w:val="16"/>
                <w:vertAlign w:val="superscript"/>
              </w:rPr>
              <w:fldChar w:fldCharType="separate"/>
            </w:r>
            <w:r w:rsidR="008F39CF">
              <w:rPr>
                <w:rFonts w:asciiTheme="minorHAnsi" w:hAnsiTheme="minorHAnsi" w:cstheme="minorHAnsi"/>
                <w:noProof/>
                <w:color w:val="000000" w:themeColor="text1"/>
                <w:sz w:val="16"/>
                <w:szCs w:val="16"/>
                <w:vertAlign w:val="superscript"/>
              </w:rPr>
              <w:t>87</w:t>
            </w:r>
            <w:r w:rsidR="00D93917" w:rsidRPr="00D93917">
              <w:rPr>
                <w:rFonts w:cstheme="minorHAnsi"/>
                <w:noProof/>
                <w:color w:val="000000" w:themeColor="text1"/>
                <w:sz w:val="16"/>
                <w:szCs w:val="16"/>
                <w:vertAlign w:val="superscript"/>
              </w:rPr>
              <w:fldChar w:fldCharType="end"/>
            </w:r>
            <w:r w:rsidRPr="00A14107">
              <w:rPr>
                <w:rFonts w:asciiTheme="minorHAnsi" w:hAnsiTheme="minorHAnsi" w:cstheme="minorHAnsi"/>
                <w:noProof/>
                <w:color w:val="000000" w:themeColor="text1"/>
                <w:sz w:val="16"/>
                <w:szCs w:val="16"/>
              </w:rPr>
              <w:t xml:space="preserve">: </w:t>
            </w:r>
          </w:p>
          <w:p w14:paraId="3030FB83"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€87,000-132,000 / tODP</w:t>
            </w:r>
          </w:p>
          <w:p w14:paraId="622D8D6E"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C338EA">
              <w:rPr>
                <w:rFonts w:cstheme="minorHAnsi"/>
                <w:noProof/>
                <w:color w:val="000000" w:themeColor="text1"/>
                <w:sz w:val="16"/>
                <w:szCs w:val="16"/>
              </w:rPr>
              <w:t>€15.0-18.4 / tCO2e</w:t>
            </w:r>
          </w:p>
        </w:tc>
        <w:tc>
          <w:tcPr>
            <w:tcW w:w="112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cPr>
          <w:p w14:paraId="0897A1B0"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p>
          <w:p w14:paraId="3C227F8E"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12844148"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Enforcement costs</w:t>
            </w:r>
          </w:p>
        </w:tc>
        <w:tc>
          <w:tcPr>
            <w:tcW w:w="984" w:type="dxa"/>
            <w:gridSpan w:val="2"/>
            <w:tcBorders>
              <w:top w:val="single" w:sz="4" w:space="0" w:color="auto"/>
              <w:left w:val="single" w:sz="4" w:space="0" w:color="auto"/>
              <w:bottom w:val="single" w:sz="4" w:space="0" w:color="auto"/>
              <w:right w:val="single" w:sz="4" w:space="0" w:color="auto"/>
            </w:tcBorders>
            <w:noWrap/>
          </w:tcPr>
          <w:p w14:paraId="76C920B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tcPr>
          <w:p w14:paraId="1CF8600D"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b/>
                <w:noProof/>
                <w:color w:val="000000" w:themeColor="text1"/>
                <w:sz w:val="16"/>
                <w:szCs w:val="16"/>
              </w:rPr>
              <w:t xml:space="preserve">(++) </w:t>
            </w:r>
            <w:r w:rsidRPr="00A14107">
              <w:rPr>
                <w:rFonts w:asciiTheme="minorHAnsi" w:hAnsiTheme="minorHAnsi" w:cstheme="minorHAnsi"/>
                <w:noProof/>
                <w:color w:val="000000" w:themeColor="text1"/>
                <w:sz w:val="16"/>
                <w:szCs w:val="16"/>
              </w:rPr>
              <w:t xml:space="preserve">R&amp;D, </w:t>
            </w:r>
            <w:r w:rsidRPr="00A14107">
              <w:rPr>
                <w:rFonts w:asciiTheme="minorHAnsi" w:hAnsiTheme="minorHAnsi" w:cstheme="minorHAnsi"/>
                <w:noProof/>
                <w:sz w:val="16"/>
                <w:szCs w:val="16"/>
              </w:rPr>
              <w:br/>
            </w:r>
            <w:r w:rsidRPr="00A14107">
              <w:rPr>
                <w:rFonts w:asciiTheme="minorHAnsi" w:hAnsiTheme="minorHAnsi" w:cstheme="minorHAnsi"/>
                <w:b/>
                <w:noProof/>
                <w:color w:val="000000" w:themeColor="text1"/>
                <w:sz w:val="16"/>
                <w:szCs w:val="16"/>
              </w:rPr>
              <w:t>(++)</w:t>
            </w:r>
            <w:r w:rsidRPr="00A14107">
              <w:rPr>
                <w:rFonts w:asciiTheme="minorHAnsi" w:hAnsiTheme="minorHAnsi" w:cstheme="minorHAnsi"/>
                <w:noProof/>
                <w:color w:val="000000" w:themeColor="text1"/>
                <w:sz w:val="16"/>
                <w:szCs w:val="16"/>
              </w:rPr>
              <w:t xml:space="preserve"> Employment: 2400 FTEs, </w:t>
            </w:r>
          </w:p>
          <w:p w14:paraId="7F899149"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Real estate prices</w:t>
            </w:r>
          </w:p>
        </w:tc>
      </w:tr>
      <w:tr w:rsidR="00A14107" w:rsidRPr="00A14107" w14:paraId="74B973B4"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tcPr>
          <w:p w14:paraId="60A4C9E2"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E1D059"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Halons destruction</w:t>
            </w:r>
          </w:p>
        </w:tc>
        <w:tc>
          <w:tcPr>
            <w:tcW w:w="208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6E02B9BA"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799BF4C6"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cstheme="minorHAnsi"/>
                <w:noProof/>
                <w:color w:val="000000" w:themeColor="text1"/>
                <w:sz w:val="16"/>
                <w:szCs w:val="16"/>
              </w:rPr>
              <w:t>Max 21 tODP and 15,000 tCO2e annually by avoiding new production</w:t>
            </w:r>
          </w:p>
          <w:p w14:paraId="6F0A58D2"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requires good enforcement /positive global ODS policy implications</w:t>
            </w:r>
          </w:p>
        </w:tc>
        <w:tc>
          <w:tcPr>
            <w:tcW w:w="1546" w:type="dxa"/>
            <w:gridSpan w:val="2"/>
            <w:tcBorders>
              <w:top w:val="single" w:sz="4" w:space="0" w:color="auto"/>
              <w:left w:val="single" w:sz="4" w:space="0" w:color="auto"/>
              <w:bottom w:val="single" w:sz="4" w:space="0" w:color="auto"/>
              <w:right w:val="single" w:sz="4" w:space="0" w:color="auto"/>
            </w:tcBorders>
            <w:shd w:val="clear" w:color="auto" w:fill="FFFF00"/>
          </w:tcPr>
          <w:p w14:paraId="7AFE6B18"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(0/-)</w:t>
            </w:r>
          </w:p>
          <w:p w14:paraId="0D5F6CD6"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Good re</w:t>
            </w:r>
            <w:r w:rsidR="006C1A6B">
              <w:rPr>
                <w:rFonts w:asciiTheme="minorHAnsi" w:hAnsiTheme="minorHAnsi" w:cstheme="minorHAnsi"/>
                <w:noProof/>
                <w:color w:val="000000" w:themeColor="text1"/>
                <w:sz w:val="16"/>
                <w:szCs w:val="16"/>
              </w:rPr>
              <w:t>-</w:t>
            </w:r>
            <w:r w:rsidRPr="00A14107">
              <w:rPr>
                <w:rFonts w:asciiTheme="minorHAnsi" w:hAnsiTheme="minorHAnsi" w:cstheme="minorHAnsi"/>
                <w:noProof/>
                <w:color w:val="000000" w:themeColor="text1"/>
                <w:sz w:val="16"/>
                <w:szCs w:val="16"/>
              </w:rPr>
              <w:t>sale value, but (cross-border) transport may be costlier for some, record keeping</w:t>
            </w:r>
          </w:p>
        </w:tc>
        <w:tc>
          <w:tcPr>
            <w:tcW w:w="112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14:paraId="20DEFDA0"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25B4993A"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Some enforcement costs</w:t>
            </w:r>
          </w:p>
        </w:tc>
        <w:tc>
          <w:tcPr>
            <w:tcW w:w="98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1C66FF1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tcPr>
          <w:p w14:paraId="3654F7F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451B3AD7"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0998AA5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B2</w:t>
            </w:r>
          </w:p>
        </w:tc>
        <w:tc>
          <w:tcPr>
            <w:tcW w:w="1559" w:type="dxa"/>
            <w:tcBorders>
              <w:top w:val="single" w:sz="4" w:space="0" w:color="auto"/>
              <w:bottom w:val="single" w:sz="4" w:space="0" w:color="auto"/>
            </w:tcBorders>
            <w:shd w:val="clear" w:color="auto" w:fill="FFFFFF" w:themeFill="background1"/>
            <w:noWrap/>
          </w:tcPr>
          <w:p w14:paraId="40CB9F7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Better monitoring of illegal goods</w:t>
            </w:r>
          </w:p>
        </w:tc>
        <w:tc>
          <w:tcPr>
            <w:tcW w:w="2089" w:type="dxa"/>
            <w:gridSpan w:val="2"/>
            <w:vMerge w:val="restart"/>
            <w:tcBorders>
              <w:top w:val="single" w:sz="4" w:space="0" w:color="auto"/>
            </w:tcBorders>
            <w:shd w:val="clear" w:color="auto" w:fill="C2D69B" w:themeFill="accent3" w:themeFillTint="99"/>
            <w:noWrap/>
          </w:tcPr>
          <w:p w14:paraId="5EB0E26E"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42EB8621"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(reduced illegal trade)</w:t>
            </w:r>
          </w:p>
        </w:tc>
        <w:tc>
          <w:tcPr>
            <w:tcW w:w="1546" w:type="dxa"/>
            <w:gridSpan w:val="2"/>
            <w:tcBorders>
              <w:top w:val="single" w:sz="4" w:space="0" w:color="auto"/>
              <w:bottom w:val="single" w:sz="4" w:space="0" w:color="auto"/>
            </w:tcBorders>
            <w:shd w:val="clear" w:color="auto" w:fill="F2DBDB" w:themeFill="accent2" w:themeFillTint="33"/>
          </w:tcPr>
          <w:p w14:paraId="6085769B" w14:textId="77777777" w:rsidR="00A14107" w:rsidRPr="00A14107" w:rsidRDefault="00A14107" w:rsidP="00A14107">
            <w:pPr>
              <w:spacing w:before="0"/>
              <w:jc w:val="center"/>
              <w:rPr>
                <w:rFonts w:asciiTheme="minorHAnsi" w:hAnsiTheme="minorHAnsi" w:cstheme="minorHAnsi"/>
                <w:b/>
                <w:noProof/>
                <w:sz w:val="16"/>
                <w:szCs w:val="16"/>
              </w:rPr>
            </w:pPr>
            <w:r w:rsidRPr="00A14107">
              <w:rPr>
                <w:rFonts w:asciiTheme="minorHAnsi" w:hAnsiTheme="minorHAnsi" w:cstheme="minorHAnsi"/>
                <w:b/>
                <w:noProof/>
                <w:sz w:val="16"/>
                <w:szCs w:val="16"/>
              </w:rPr>
              <w:t xml:space="preserve">(-) </w:t>
            </w:r>
          </w:p>
          <w:p w14:paraId="7B23F13F" w14:textId="77777777" w:rsidR="00A14107" w:rsidRPr="00A14107" w:rsidRDefault="00A14107" w:rsidP="00A14107">
            <w:pPr>
              <w:spacing w:before="0"/>
              <w:jc w:val="center"/>
              <w:rPr>
                <w:rFonts w:asciiTheme="minorHAnsi" w:hAnsiTheme="minorHAnsi" w:cstheme="minorHAnsi"/>
                <w:noProof/>
                <w:sz w:val="16"/>
                <w:szCs w:val="16"/>
              </w:rPr>
            </w:pPr>
            <w:r w:rsidRPr="00A14107">
              <w:rPr>
                <w:rFonts w:asciiTheme="minorHAnsi" w:hAnsiTheme="minorHAnsi" w:cstheme="minorHAnsi"/>
                <w:noProof/>
                <w:sz w:val="16"/>
                <w:szCs w:val="16"/>
              </w:rPr>
              <w:t>More data to customs</w:t>
            </w:r>
          </w:p>
        </w:tc>
        <w:tc>
          <w:tcPr>
            <w:tcW w:w="1124" w:type="dxa"/>
            <w:gridSpan w:val="2"/>
            <w:tcBorders>
              <w:top w:val="single" w:sz="4" w:space="0" w:color="auto"/>
              <w:bottom w:val="single" w:sz="4" w:space="0" w:color="auto"/>
            </w:tcBorders>
            <w:shd w:val="clear" w:color="auto" w:fill="F2DBDB" w:themeFill="accent2" w:themeFillTint="33"/>
            <w:noWrap/>
          </w:tcPr>
          <w:p w14:paraId="2CEAEF08"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4BE0C42C"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Follow-up on suspicious cases</w:t>
            </w:r>
          </w:p>
        </w:tc>
        <w:tc>
          <w:tcPr>
            <w:tcW w:w="984" w:type="dxa"/>
            <w:gridSpan w:val="2"/>
            <w:tcBorders>
              <w:top w:val="single" w:sz="4" w:space="0" w:color="auto"/>
              <w:bottom w:val="single" w:sz="4" w:space="0" w:color="auto"/>
            </w:tcBorders>
            <w:shd w:val="clear" w:color="auto" w:fill="F2DBDB" w:themeFill="accent2" w:themeFillTint="33"/>
            <w:noWrap/>
          </w:tcPr>
          <w:p w14:paraId="08D2A3A7"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13DD0514"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Follow-up on suspicious cases</w:t>
            </w:r>
          </w:p>
        </w:tc>
        <w:tc>
          <w:tcPr>
            <w:tcW w:w="1062" w:type="dxa"/>
            <w:gridSpan w:val="3"/>
            <w:tcBorders>
              <w:top w:val="single" w:sz="4" w:space="0" w:color="auto"/>
              <w:bottom w:val="single" w:sz="4" w:space="0" w:color="auto"/>
            </w:tcBorders>
            <w:shd w:val="clear" w:color="auto" w:fill="FFFFFF" w:themeFill="background1"/>
            <w:noWrap/>
          </w:tcPr>
          <w:p w14:paraId="211887B7"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N/A</w:t>
            </w:r>
          </w:p>
        </w:tc>
      </w:tr>
      <w:tr w:rsidR="00A14107" w:rsidRPr="00A14107" w14:paraId="198C2DA1"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tcPr>
          <w:p w14:paraId="40AD2F42"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B3</w:t>
            </w:r>
          </w:p>
        </w:tc>
        <w:tc>
          <w:tcPr>
            <w:tcW w:w="1559" w:type="dxa"/>
            <w:tcBorders>
              <w:top w:val="single" w:sz="4" w:space="0" w:color="auto"/>
              <w:bottom w:val="single" w:sz="4" w:space="0" w:color="auto"/>
            </w:tcBorders>
            <w:shd w:val="clear" w:color="auto" w:fill="FFFFFF" w:themeFill="background1"/>
            <w:noWrap/>
          </w:tcPr>
          <w:p w14:paraId="4EFAD90F"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Special custom rules for ODS</w:t>
            </w:r>
          </w:p>
        </w:tc>
        <w:tc>
          <w:tcPr>
            <w:tcW w:w="2089" w:type="dxa"/>
            <w:gridSpan w:val="2"/>
            <w:vMerge/>
            <w:tcBorders>
              <w:bottom w:val="single" w:sz="4" w:space="0" w:color="auto"/>
            </w:tcBorders>
            <w:shd w:val="clear" w:color="auto" w:fill="C2D69B" w:themeFill="accent3" w:themeFillTint="99"/>
            <w:noWrap/>
          </w:tcPr>
          <w:p w14:paraId="0865E560" w14:textId="77777777" w:rsidR="00A14107" w:rsidRPr="00A14107" w:rsidRDefault="00A14107" w:rsidP="00A14107">
            <w:pPr>
              <w:spacing w:before="0"/>
              <w:rPr>
                <w:rFonts w:asciiTheme="minorHAnsi" w:hAnsiTheme="minorHAnsi" w:cstheme="minorHAnsi"/>
                <w:noProof/>
                <w:color w:val="000000"/>
                <w:sz w:val="16"/>
                <w:szCs w:val="16"/>
              </w:rPr>
            </w:pPr>
          </w:p>
        </w:tc>
        <w:tc>
          <w:tcPr>
            <w:tcW w:w="1546" w:type="dxa"/>
            <w:gridSpan w:val="2"/>
            <w:tcBorders>
              <w:top w:val="single" w:sz="4" w:space="0" w:color="auto"/>
              <w:bottom w:val="single" w:sz="4" w:space="0" w:color="auto"/>
            </w:tcBorders>
            <w:shd w:val="clear" w:color="auto" w:fill="F2DBDB" w:themeFill="accent2" w:themeFillTint="33"/>
          </w:tcPr>
          <w:p w14:paraId="481D4DF2" w14:textId="77777777" w:rsidR="00A14107" w:rsidRPr="00A14107" w:rsidRDefault="00A14107" w:rsidP="00A14107">
            <w:pPr>
              <w:spacing w:before="0"/>
              <w:jc w:val="center"/>
              <w:rPr>
                <w:rFonts w:asciiTheme="minorHAnsi" w:hAnsiTheme="minorHAnsi" w:cstheme="minorHAnsi"/>
                <w:b/>
                <w:noProof/>
                <w:sz w:val="16"/>
                <w:szCs w:val="16"/>
              </w:rPr>
            </w:pPr>
            <w:r w:rsidRPr="00A14107">
              <w:rPr>
                <w:rFonts w:asciiTheme="minorHAnsi" w:hAnsiTheme="minorHAnsi" w:cstheme="minorHAnsi"/>
                <w:b/>
                <w:noProof/>
                <w:sz w:val="16"/>
                <w:szCs w:val="16"/>
              </w:rPr>
              <w:t xml:space="preserve">(-) </w:t>
            </w:r>
          </w:p>
          <w:p w14:paraId="27440DFD" w14:textId="77777777" w:rsidR="00A14107" w:rsidRPr="00A14107" w:rsidRDefault="00A14107" w:rsidP="00A14107">
            <w:pPr>
              <w:spacing w:before="0"/>
              <w:jc w:val="center"/>
              <w:rPr>
                <w:rFonts w:asciiTheme="minorHAnsi" w:hAnsiTheme="minorHAnsi" w:cstheme="minorHAnsi"/>
                <w:b/>
                <w:noProof/>
                <w:sz w:val="16"/>
                <w:szCs w:val="16"/>
              </w:rPr>
            </w:pPr>
            <w:r w:rsidRPr="00A14107">
              <w:rPr>
                <w:rFonts w:asciiTheme="minorHAnsi" w:hAnsiTheme="minorHAnsi" w:cstheme="minorHAnsi"/>
                <w:noProof/>
                <w:sz w:val="16"/>
                <w:szCs w:val="16"/>
              </w:rPr>
              <w:t>Less flexibility</w:t>
            </w:r>
          </w:p>
        </w:tc>
        <w:tc>
          <w:tcPr>
            <w:tcW w:w="1124" w:type="dxa"/>
            <w:gridSpan w:val="2"/>
            <w:tcBorders>
              <w:top w:val="single" w:sz="4" w:space="0" w:color="auto"/>
              <w:bottom w:val="single" w:sz="4" w:space="0" w:color="auto"/>
            </w:tcBorders>
            <w:shd w:val="clear" w:color="auto" w:fill="F2DBDB" w:themeFill="accent2" w:themeFillTint="33"/>
            <w:noWrap/>
          </w:tcPr>
          <w:p w14:paraId="78D96AEA"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47E78234"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More obligations to check</w:t>
            </w:r>
          </w:p>
        </w:tc>
        <w:tc>
          <w:tcPr>
            <w:tcW w:w="984" w:type="dxa"/>
            <w:gridSpan w:val="2"/>
            <w:tcBorders>
              <w:top w:val="single" w:sz="4" w:space="0" w:color="auto"/>
              <w:bottom w:val="single" w:sz="4" w:space="0" w:color="auto"/>
            </w:tcBorders>
            <w:shd w:val="clear" w:color="auto" w:fill="F2DBDB" w:themeFill="accent2" w:themeFillTint="33"/>
            <w:noWrap/>
          </w:tcPr>
          <w:p w14:paraId="177ACDA6"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bottom w:val="single" w:sz="4" w:space="0" w:color="auto"/>
            </w:tcBorders>
            <w:shd w:val="clear" w:color="auto" w:fill="FFFFFF" w:themeFill="background1"/>
            <w:noWrap/>
          </w:tcPr>
          <w:p w14:paraId="5D301B17"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N/A</w:t>
            </w:r>
          </w:p>
        </w:tc>
      </w:tr>
      <w:tr w:rsidR="00A14107" w:rsidRPr="00A14107" w14:paraId="63F54FB9"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hideMark/>
          </w:tcPr>
          <w:p w14:paraId="31BF3F0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C2</w:t>
            </w:r>
          </w:p>
        </w:tc>
        <w:tc>
          <w:tcPr>
            <w:tcW w:w="1559" w:type="dxa"/>
            <w:tcBorders>
              <w:top w:val="single" w:sz="4" w:space="0" w:color="auto"/>
              <w:bottom w:val="single" w:sz="4" w:space="0" w:color="auto"/>
            </w:tcBorders>
            <w:shd w:val="clear" w:color="auto" w:fill="FFFFFF" w:themeFill="background1"/>
            <w:noWrap/>
            <w:hideMark/>
          </w:tcPr>
          <w:p w14:paraId="10E1923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Report production emissions</w:t>
            </w:r>
          </w:p>
        </w:tc>
        <w:tc>
          <w:tcPr>
            <w:tcW w:w="2089" w:type="dxa"/>
            <w:gridSpan w:val="2"/>
            <w:tcBorders>
              <w:top w:val="single" w:sz="4" w:space="0" w:color="auto"/>
              <w:bottom w:val="single" w:sz="4" w:space="0" w:color="auto"/>
            </w:tcBorders>
            <w:shd w:val="clear" w:color="auto" w:fill="EAF1DD" w:themeFill="accent3" w:themeFillTint="33"/>
            <w:noWrap/>
            <w:hideMark/>
          </w:tcPr>
          <w:p w14:paraId="38B3E575"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6876954A"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Better knowledge on climate emissions</w:t>
            </w:r>
          </w:p>
        </w:tc>
        <w:tc>
          <w:tcPr>
            <w:tcW w:w="1546" w:type="dxa"/>
            <w:gridSpan w:val="2"/>
            <w:tcBorders>
              <w:top w:val="single" w:sz="4" w:space="0" w:color="auto"/>
              <w:bottom w:val="single" w:sz="4" w:space="0" w:color="auto"/>
            </w:tcBorders>
            <w:shd w:val="clear" w:color="auto" w:fill="F2DBDB" w:themeFill="accent2" w:themeFillTint="33"/>
          </w:tcPr>
          <w:p w14:paraId="284A2548"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3F84F620"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cstheme="minorHAnsi"/>
                <w:noProof/>
                <w:color w:val="000000" w:themeColor="text1"/>
                <w:sz w:val="16"/>
                <w:szCs w:val="16"/>
              </w:rPr>
              <w:t>€ 20,000</w:t>
            </w:r>
          </w:p>
        </w:tc>
        <w:tc>
          <w:tcPr>
            <w:tcW w:w="1124" w:type="dxa"/>
            <w:gridSpan w:val="2"/>
            <w:tcBorders>
              <w:top w:val="single" w:sz="4" w:space="0" w:color="auto"/>
              <w:bottom w:val="single" w:sz="4" w:space="0" w:color="auto"/>
            </w:tcBorders>
            <w:shd w:val="clear" w:color="auto" w:fill="FFFFFF" w:themeFill="background1"/>
            <w:noWrap/>
          </w:tcPr>
          <w:p w14:paraId="6AE30197"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984" w:type="dxa"/>
            <w:gridSpan w:val="2"/>
            <w:tcBorders>
              <w:top w:val="single" w:sz="4" w:space="0" w:color="auto"/>
              <w:bottom w:val="single" w:sz="4" w:space="0" w:color="auto"/>
            </w:tcBorders>
            <w:shd w:val="clear" w:color="auto" w:fill="FFFFFF" w:themeFill="background1"/>
            <w:noWrap/>
          </w:tcPr>
          <w:p w14:paraId="21C0E12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bottom w:val="single" w:sz="4" w:space="0" w:color="auto"/>
            </w:tcBorders>
            <w:shd w:val="clear" w:color="auto" w:fill="FFFFFF" w:themeFill="background1"/>
            <w:noWrap/>
            <w:hideMark/>
          </w:tcPr>
          <w:p w14:paraId="7F89C91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 </w:t>
            </w:r>
          </w:p>
        </w:tc>
      </w:tr>
      <w:tr w:rsidR="00A14107" w:rsidRPr="00A14107" w14:paraId="6B97F793"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hideMark/>
          </w:tcPr>
          <w:p w14:paraId="55006584"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C4</w:t>
            </w:r>
          </w:p>
        </w:tc>
        <w:tc>
          <w:tcPr>
            <w:tcW w:w="1559" w:type="dxa"/>
            <w:tcBorders>
              <w:top w:val="single" w:sz="4" w:space="0" w:color="auto"/>
              <w:bottom w:val="single" w:sz="4" w:space="0" w:color="auto"/>
            </w:tcBorders>
            <w:shd w:val="clear" w:color="auto" w:fill="FFFFFF" w:themeFill="background1"/>
            <w:noWrap/>
            <w:hideMark/>
          </w:tcPr>
          <w:p w14:paraId="0B4355B8"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Report intra-EU sales</w:t>
            </w:r>
          </w:p>
        </w:tc>
        <w:tc>
          <w:tcPr>
            <w:tcW w:w="2089" w:type="dxa"/>
            <w:gridSpan w:val="2"/>
            <w:tcBorders>
              <w:top w:val="single" w:sz="4" w:space="0" w:color="auto"/>
              <w:bottom w:val="single" w:sz="4" w:space="0" w:color="auto"/>
            </w:tcBorders>
            <w:shd w:val="clear" w:color="auto" w:fill="EAF1DD" w:themeFill="accent3" w:themeFillTint="33"/>
            <w:noWrap/>
            <w:hideMark/>
          </w:tcPr>
          <w:p w14:paraId="313C2260"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6AFF8EFE"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Better overview of ODS trade</w:t>
            </w:r>
          </w:p>
        </w:tc>
        <w:tc>
          <w:tcPr>
            <w:tcW w:w="1546" w:type="dxa"/>
            <w:gridSpan w:val="2"/>
            <w:tcBorders>
              <w:top w:val="single" w:sz="4" w:space="0" w:color="auto"/>
              <w:bottom w:val="single" w:sz="4" w:space="0" w:color="auto"/>
            </w:tcBorders>
            <w:shd w:val="clear" w:color="auto" w:fill="F2DBDB" w:themeFill="accent2" w:themeFillTint="33"/>
          </w:tcPr>
          <w:p w14:paraId="691DA978"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31FB62E5"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cstheme="minorHAnsi"/>
                <w:noProof/>
                <w:color w:val="000000" w:themeColor="text1"/>
                <w:sz w:val="16"/>
                <w:szCs w:val="16"/>
              </w:rPr>
              <w:t>€ 13,000</w:t>
            </w:r>
          </w:p>
        </w:tc>
        <w:tc>
          <w:tcPr>
            <w:tcW w:w="1124" w:type="dxa"/>
            <w:gridSpan w:val="2"/>
            <w:tcBorders>
              <w:top w:val="single" w:sz="4" w:space="0" w:color="auto"/>
              <w:bottom w:val="single" w:sz="4" w:space="0" w:color="auto"/>
            </w:tcBorders>
            <w:shd w:val="clear" w:color="auto" w:fill="FFFFFF" w:themeFill="background1"/>
            <w:noWrap/>
          </w:tcPr>
          <w:p w14:paraId="140DC02A"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984" w:type="dxa"/>
            <w:gridSpan w:val="2"/>
            <w:tcBorders>
              <w:top w:val="single" w:sz="4" w:space="0" w:color="auto"/>
              <w:bottom w:val="single" w:sz="4" w:space="0" w:color="auto"/>
            </w:tcBorders>
            <w:shd w:val="clear" w:color="auto" w:fill="FFFFFF" w:themeFill="background1"/>
          </w:tcPr>
          <w:p w14:paraId="6E91BDF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bottom w:val="single" w:sz="4" w:space="0" w:color="auto"/>
            </w:tcBorders>
            <w:shd w:val="clear" w:color="auto" w:fill="FFFFFF" w:themeFill="background1"/>
            <w:noWrap/>
            <w:hideMark/>
          </w:tcPr>
          <w:p w14:paraId="68324543"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68E43B40"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1310"/>
        </w:trPr>
        <w:tc>
          <w:tcPr>
            <w:tcW w:w="444" w:type="dxa"/>
            <w:shd w:val="clear" w:color="auto" w:fill="FFFFFF" w:themeFill="background1"/>
            <w:noWrap/>
            <w:hideMark/>
          </w:tcPr>
          <w:p w14:paraId="4001B33F"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C5</w:t>
            </w:r>
          </w:p>
        </w:tc>
        <w:tc>
          <w:tcPr>
            <w:tcW w:w="1559" w:type="dxa"/>
            <w:tcBorders>
              <w:top w:val="single" w:sz="4" w:space="0" w:color="auto"/>
              <w:bottom w:val="single" w:sz="4" w:space="0" w:color="auto"/>
            </w:tcBorders>
            <w:shd w:val="clear" w:color="auto" w:fill="FFFFFF" w:themeFill="background1"/>
            <w:noWrap/>
            <w:hideMark/>
          </w:tcPr>
          <w:p w14:paraId="1C4640A5"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New Annex II substances</w:t>
            </w:r>
          </w:p>
        </w:tc>
        <w:tc>
          <w:tcPr>
            <w:tcW w:w="2089" w:type="dxa"/>
            <w:gridSpan w:val="2"/>
            <w:tcBorders>
              <w:top w:val="single" w:sz="4" w:space="0" w:color="auto"/>
              <w:bottom w:val="single" w:sz="4" w:space="0" w:color="auto"/>
            </w:tcBorders>
            <w:shd w:val="clear" w:color="auto" w:fill="EAF1DD" w:themeFill="accent3" w:themeFillTint="33"/>
            <w:noWrap/>
            <w:hideMark/>
          </w:tcPr>
          <w:p w14:paraId="4E2ABBBA"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5870BAD7"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Better overview of future risks</w:t>
            </w:r>
          </w:p>
        </w:tc>
        <w:tc>
          <w:tcPr>
            <w:tcW w:w="1546" w:type="dxa"/>
            <w:gridSpan w:val="2"/>
            <w:tcBorders>
              <w:top w:val="single" w:sz="4" w:space="0" w:color="auto"/>
              <w:bottom w:val="single" w:sz="4" w:space="0" w:color="auto"/>
            </w:tcBorders>
            <w:shd w:val="clear" w:color="auto" w:fill="F2DBDB" w:themeFill="accent2" w:themeFillTint="33"/>
          </w:tcPr>
          <w:p w14:paraId="77BCB600"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1D9F0D6C"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€25,000 </w:t>
            </w:r>
          </w:p>
        </w:tc>
        <w:tc>
          <w:tcPr>
            <w:tcW w:w="1124" w:type="dxa"/>
            <w:gridSpan w:val="2"/>
            <w:tcBorders>
              <w:top w:val="single" w:sz="4" w:space="0" w:color="auto"/>
              <w:bottom w:val="single" w:sz="4" w:space="0" w:color="auto"/>
            </w:tcBorders>
            <w:shd w:val="clear" w:color="auto" w:fill="FFFFFF" w:themeFill="background1"/>
          </w:tcPr>
          <w:p w14:paraId="79D29F9A"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53" w:type="dxa"/>
            <w:gridSpan w:val="4"/>
            <w:tcBorders>
              <w:top w:val="single" w:sz="4" w:space="0" w:color="auto"/>
              <w:bottom w:val="single" w:sz="4" w:space="0" w:color="auto"/>
            </w:tcBorders>
            <w:shd w:val="clear" w:color="auto" w:fill="FFFF00"/>
          </w:tcPr>
          <w:p w14:paraId="2041E011" w14:textId="77777777" w:rsidR="00A14107" w:rsidRPr="00A14107" w:rsidRDefault="00A14107" w:rsidP="00A14107">
            <w:pPr>
              <w:spacing w:before="0"/>
              <w:jc w:val="both"/>
              <w:rPr>
                <w:rFonts w:asciiTheme="minorHAnsi" w:hAnsiTheme="minorHAnsi" w:cstheme="minorHAnsi"/>
                <w:b/>
                <w:noProof/>
                <w:color w:val="000000" w:themeColor="text1"/>
                <w:sz w:val="16"/>
                <w:szCs w:val="16"/>
                <w:highlight w:val="yellow"/>
              </w:rPr>
            </w:pPr>
            <w:r w:rsidRPr="00A14107">
              <w:rPr>
                <w:rFonts w:asciiTheme="minorHAnsi" w:hAnsiTheme="minorHAnsi" w:cstheme="minorHAnsi"/>
                <w:b/>
                <w:noProof/>
                <w:color w:val="000000" w:themeColor="text1"/>
                <w:sz w:val="16"/>
                <w:szCs w:val="16"/>
                <w:highlight w:val="yellow"/>
              </w:rPr>
              <w:t>(0/-)</w:t>
            </w:r>
          </w:p>
          <w:p w14:paraId="1A3DAF3D" w14:textId="77777777" w:rsidR="00A14107" w:rsidRPr="00A14107" w:rsidRDefault="00A14107" w:rsidP="00A14107">
            <w:pPr>
              <w:jc w:val="both"/>
              <w:rPr>
                <w:rFonts w:asciiTheme="minorHAnsi" w:hAnsiTheme="minorHAnsi" w:cstheme="minorHAnsi"/>
                <w:b/>
                <w:noProof/>
                <w:color w:val="000000" w:themeColor="text1"/>
                <w:sz w:val="16"/>
                <w:szCs w:val="16"/>
                <w:highlight w:val="yellow"/>
              </w:rPr>
            </w:pPr>
            <w:r w:rsidRPr="00A14107">
              <w:rPr>
                <w:rFonts w:asciiTheme="minorHAnsi" w:hAnsiTheme="minorHAnsi" w:cstheme="minorHAnsi"/>
                <w:noProof/>
                <w:color w:val="000000" w:themeColor="text1"/>
                <w:sz w:val="16"/>
                <w:szCs w:val="16"/>
                <w:highlight w:val="yellow"/>
              </w:rPr>
              <w:t>Update of EEA reporting system</w:t>
            </w:r>
          </w:p>
        </w:tc>
        <w:tc>
          <w:tcPr>
            <w:tcW w:w="993" w:type="dxa"/>
            <w:tcBorders>
              <w:top w:val="single" w:sz="4" w:space="0" w:color="auto"/>
              <w:bottom w:val="single" w:sz="4" w:space="0" w:color="auto"/>
            </w:tcBorders>
            <w:shd w:val="clear" w:color="auto" w:fill="FFFFFF" w:themeFill="background1"/>
            <w:noWrap/>
            <w:hideMark/>
          </w:tcPr>
          <w:p w14:paraId="4B788071"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273FC327"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tcPr>
          <w:p w14:paraId="16C1FC0A" w14:textId="77777777" w:rsidR="00A14107" w:rsidRPr="00A14107" w:rsidRDefault="00A14107" w:rsidP="00A14107">
            <w:pPr>
              <w:spacing w:before="0"/>
              <w:rPr>
                <w:rFonts w:cstheme="minorHAnsi"/>
                <w:noProof/>
                <w:color w:val="000000" w:themeColor="text1"/>
                <w:sz w:val="16"/>
                <w:szCs w:val="16"/>
              </w:rPr>
            </w:pPr>
          </w:p>
        </w:tc>
        <w:tc>
          <w:tcPr>
            <w:tcW w:w="8364" w:type="dxa"/>
            <w:gridSpan w:val="12"/>
            <w:tcBorders>
              <w:top w:val="single" w:sz="4" w:space="0" w:color="auto"/>
              <w:left w:val="single" w:sz="4" w:space="0" w:color="auto"/>
              <w:bottom w:val="single" w:sz="4" w:space="0" w:color="auto"/>
              <w:right w:val="single" w:sz="4" w:space="0" w:color="auto"/>
            </w:tcBorders>
            <w:shd w:val="clear" w:color="auto" w:fill="auto"/>
            <w:noWrap/>
          </w:tcPr>
          <w:p w14:paraId="2AEED3CA" w14:textId="77777777" w:rsidR="00A14107" w:rsidRPr="009B2432" w:rsidRDefault="00A14107" w:rsidP="00A14107">
            <w:pPr>
              <w:spacing w:before="0"/>
              <w:jc w:val="center"/>
              <w:rPr>
                <w:rFonts w:asciiTheme="minorHAnsi" w:hAnsiTheme="minorHAnsi" w:cstheme="minorHAnsi"/>
                <w:b/>
                <w:noProof/>
                <w:color w:val="000000" w:themeColor="text1"/>
                <w:sz w:val="16"/>
                <w:szCs w:val="16"/>
              </w:rPr>
            </w:pPr>
            <w:r w:rsidRPr="009B2432">
              <w:rPr>
                <w:rFonts w:asciiTheme="minorHAnsi" w:hAnsiTheme="minorHAnsi" w:cstheme="minorHAnsi"/>
                <w:b/>
                <w:noProof/>
                <w:color w:val="000000" w:themeColor="text1"/>
                <w:sz w:val="28"/>
                <w:szCs w:val="28"/>
              </w:rPr>
              <w:t>Option 3 (includes also all measures of Options 1 &amp; 2)</w:t>
            </w:r>
          </w:p>
        </w:tc>
      </w:tr>
      <w:tr w:rsidR="00A14107" w:rsidRPr="00A14107" w14:paraId="6E5CA2B7"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542E6FAE"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7F4F1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Feedstock negative list</w:t>
            </w:r>
          </w:p>
        </w:tc>
        <w:tc>
          <w:tcPr>
            <w:tcW w:w="2089" w:type="dxa"/>
            <w:gridSpan w:val="2"/>
            <w:tcBorders>
              <w:top w:val="single" w:sz="4" w:space="0" w:color="auto"/>
              <w:left w:val="single" w:sz="4" w:space="0" w:color="auto"/>
              <w:bottom w:val="single" w:sz="4" w:space="0" w:color="auto"/>
              <w:right w:val="single" w:sz="4" w:space="0" w:color="auto"/>
            </w:tcBorders>
            <w:shd w:val="clear" w:color="auto" w:fill="FFFF00"/>
            <w:noWrap/>
          </w:tcPr>
          <w:p w14:paraId="730ACA66"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0003941C"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(highly uncertain benefits)</w:t>
            </w:r>
          </w:p>
        </w:tc>
        <w:tc>
          <w:tcPr>
            <w:tcW w:w="1546" w:type="dxa"/>
            <w:gridSpan w:val="2"/>
            <w:tcBorders>
              <w:top w:val="single" w:sz="4" w:space="0" w:color="auto"/>
              <w:left w:val="single" w:sz="4" w:space="0" w:color="auto"/>
              <w:bottom w:val="single" w:sz="4" w:space="0" w:color="auto"/>
              <w:right w:val="single" w:sz="4" w:space="0" w:color="auto"/>
            </w:tcBorders>
            <w:shd w:val="clear" w:color="auto" w:fill="FF0000"/>
          </w:tcPr>
          <w:p w14:paraId="24559CC3"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036BAD3A"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Potentially high impact, &gt; €100 million capital investment cost if production facilities displaced</w:t>
            </w:r>
          </w:p>
        </w:tc>
        <w:tc>
          <w:tcPr>
            <w:tcW w:w="112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4E136D7"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F01B11B"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€ 4,000</w:t>
            </w:r>
          </w:p>
        </w:tc>
        <w:tc>
          <w:tcPr>
            <w:tcW w:w="98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F4369E"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9E0351F"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Up to €10,000</w:t>
            </w:r>
          </w:p>
          <w:p w14:paraId="0962CB6B"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for maintenance of negative list</w:t>
            </w:r>
          </w:p>
        </w:tc>
        <w:tc>
          <w:tcPr>
            <w:tcW w:w="106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14:paraId="2E228397"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 xml:space="preserve">(- --) </w:t>
            </w:r>
            <w:r w:rsidRPr="00A14107">
              <w:rPr>
                <w:rFonts w:asciiTheme="minorHAnsi" w:hAnsiTheme="minorHAnsi" w:cstheme="minorHAnsi"/>
                <w:noProof/>
                <w:color w:val="000000" w:themeColor="text1"/>
                <w:sz w:val="16"/>
                <w:szCs w:val="16"/>
              </w:rPr>
              <w:t>Employment: Loss of several 1000 FTEs possible</w:t>
            </w:r>
          </w:p>
          <w:p w14:paraId="7D1F08C6"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 xml:space="preserve">(+/-) </w:t>
            </w:r>
            <w:r w:rsidRPr="00A14107">
              <w:rPr>
                <w:rFonts w:asciiTheme="minorHAnsi" w:hAnsiTheme="minorHAnsi" w:cstheme="minorHAnsi"/>
                <w:noProof/>
                <w:color w:val="000000" w:themeColor="text1"/>
                <w:sz w:val="16"/>
                <w:szCs w:val="16"/>
              </w:rPr>
              <w:t>R&amp;D</w:t>
            </w:r>
          </w:p>
          <w:p w14:paraId="2AA09ABA"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 xml:space="preserve">(0/-) </w:t>
            </w:r>
            <w:r w:rsidRPr="00A14107">
              <w:rPr>
                <w:rFonts w:asciiTheme="minorHAnsi" w:hAnsiTheme="minorHAnsi" w:cstheme="minorHAnsi"/>
                <w:noProof/>
                <w:color w:val="000000" w:themeColor="text1"/>
                <w:sz w:val="16"/>
                <w:szCs w:val="16"/>
              </w:rPr>
              <w:t>Consumer prices</w:t>
            </w:r>
          </w:p>
        </w:tc>
      </w:tr>
      <w:tr w:rsidR="00A14107" w:rsidRPr="00A14107" w14:paraId="63714720" w14:textId="77777777" w:rsidTr="00F3660A">
        <w:trPr>
          <w:gridAfter w:val="1"/>
          <w:cnfStyle w:val="000000010000" w:firstRow="0" w:lastRow="0" w:firstColumn="0" w:lastColumn="0" w:oddVBand="0" w:evenVBand="0" w:oddHBand="0" w:evenHBand="1" w:firstRowFirstColumn="0" w:firstRowLastColumn="0" w:lastRowFirstColumn="0" w:lastRowLastColumn="0"/>
          <w:wAfter w:w="7" w:type="dxa"/>
          <w:trHeight w:val="243"/>
        </w:trPr>
        <w:tc>
          <w:tcPr>
            <w:tcW w:w="444" w:type="dxa"/>
            <w:shd w:val="clear" w:color="auto" w:fill="FFFFFF" w:themeFill="background1"/>
            <w:noWrap/>
          </w:tcPr>
          <w:p w14:paraId="72DB3BD1"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A3</w:t>
            </w:r>
          </w:p>
        </w:tc>
        <w:tc>
          <w:tcPr>
            <w:tcW w:w="1559" w:type="dxa"/>
            <w:tcBorders>
              <w:top w:val="single" w:sz="4" w:space="0" w:color="auto"/>
              <w:left w:val="single" w:sz="4" w:space="0" w:color="auto"/>
              <w:bottom w:val="single" w:sz="4" w:space="0" w:color="auto"/>
              <w:right w:val="single" w:sz="4" w:space="0" w:color="auto"/>
            </w:tcBorders>
            <w:noWrap/>
          </w:tcPr>
          <w:p w14:paraId="5F92AC2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Halons end dates</w:t>
            </w:r>
          </w:p>
        </w:tc>
        <w:tc>
          <w:tcPr>
            <w:tcW w:w="208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18E304F3"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8419B45"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max</w:t>
            </w:r>
          </w:p>
          <w:p w14:paraId="67EE7A5C"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35 tODP or </w:t>
            </w:r>
          </w:p>
          <w:p w14:paraId="42D9028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0,044 MtCO2e p.a.</w:t>
            </w:r>
          </w:p>
        </w:tc>
        <w:tc>
          <w:tcPr>
            <w:tcW w:w="1546" w:type="dxa"/>
            <w:gridSpan w:val="2"/>
            <w:tcBorders>
              <w:top w:val="single" w:sz="4" w:space="0" w:color="auto"/>
              <w:left w:val="single" w:sz="4" w:space="0" w:color="auto"/>
              <w:bottom w:val="single" w:sz="4" w:space="0" w:color="auto"/>
              <w:right w:val="single" w:sz="4" w:space="0" w:color="auto"/>
            </w:tcBorders>
          </w:tcPr>
          <w:p w14:paraId="1A42A620"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124" w:type="dxa"/>
            <w:gridSpan w:val="2"/>
            <w:tcBorders>
              <w:top w:val="single" w:sz="4" w:space="0" w:color="auto"/>
              <w:left w:val="single" w:sz="4" w:space="0" w:color="auto"/>
              <w:bottom w:val="single" w:sz="4" w:space="0" w:color="auto"/>
              <w:right w:val="single" w:sz="4" w:space="0" w:color="auto"/>
            </w:tcBorders>
            <w:shd w:val="clear" w:color="auto" w:fill="FF0000"/>
          </w:tcPr>
          <w:p w14:paraId="09EBCC21"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3602D1CD"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 xml:space="preserve"> &gt; € 10 million</w:t>
            </w:r>
            <w:r w:rsidRPr="00A14107">
              <w:rPr>
                <w:rFonts w:asciiTheme="minorHAnsi" w:hAnsiTheme="minorHAnsi" w:cstheme="minorHAnsi"/>
                <w:noProof/>
                <w:color w:val="000000" w:themeColor="text1"/>
                <w:sz w:val="16"/>
                <w:szCs w:val="16"/>
                <w:vertAlign w:val="superscript"/>
              </w:rPr>
              <w:footnoteReference w:id="89"/>
            </w:r>
            <w:r w:rsidRPr="00A14107">
              <w:rPr>
                <w:rFonts w:asciiTheme="minorHAnsi" w:hAnsiTheme="minorHAnsi" w:cstheme="minorHAnsi"/>
                <w:noProof/>
                <w:color w:val="000000" w:themeColor="text1"/>
                <w:sz w:val="16"/>
                <w:szCs w:val="16"/>
              </w:rPr>
              <w:t xml:space="preserve"> across 2020 - 2035</w:t>
            </w:r>
          </w:p>
        </w:tc>
        <w:tc>
          <w:tcPr>
            <w:tcW w:w="984" w:type="dxa"/>
            <w:gridSpan w:val="2"/>
            <w:tcBorders>
              <w:top w:val="single" w:sz="4" w:space="0" w:color="auto"/>
              <w:left w:val="single" w:sz="4" w:space="0" w:color="auto"/>
              <w:bottom w:val="single" w:sz="4" w:space="0" w:color="auto"/>
              <w:right w:val="single" w:sz="4" w:space="0" w:color="auto"/>
            </w:tcBorders>
          </w:tcPr>
          <w:p w14:paraId="253767B6"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left w:val="single" w:sz="4" w:space="0" w:color="auto"/>
              <w:bottom w:val="single" w:sz="4" w:space="0" w:color="auto"/>
              <w:right w:val="single" w:sz="4" w:space="0" w:color="auto"/>
            </w:tcBorders>
            <w:noWrap/>
          </w:tcPr>
          <w:p w14:paraId="59927A79"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r w:rsidR="00A14107" w:rsidRPr="00A14107" w14:paraId="1740A5B5" w14:textId="77777777" w:rsidTr="00F3660A">
        <w:trPr>
          <w:gridAfter w:val="1"/>
          <w:cnfStyle w:val="000000100000" w:firstRow="0" w:lastRow="0" w:firstColumn="0" w:lastColumn="0" w:oddVBand="0" w:evenVBand="0" w:oddHBand="1" w:evenHBand="0" w:firstRowFirstColumn="0" w:firstRowLastColumn="0" w:lastRowFirstColumn="0" w:lastRowLastColumn="0"/>
          <w:wAfter w:w="7" w:type="dxa"/>
          <w:trHeight w:val="243"/>
        </w:trPr>
        <w:tc>
          <w:tcPr>
            <w:tcW w:w="444" w:type="dxa"/>
            <w:shd w:val="clear" w:color="auto" w:fill="FFFFFF" w:themeFill="background1"/>
            <w:noWrap/>
          </w:tcPr>
          <w:p w14:paraId="0BC2884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A5</w:t>
            </w:r>
          </w:p>
        </w:tc>
        <w:tc>
          <w:tcPr>
            <w:tcW w:w="1559" w:type="dxa"/>
            <w:tcBorders>
              <w:top w:val="single" w:sz="4" w:space="0" w:color="auto"/>
              <w:left w:val="single" w:sz="4" w:space="0" w:color="auto"/>
              <w:bottom w:val="single" w:sz="4" w:space="0" w:color="auto"/>
              <w:right w:val="single" w:sz="4" w:space="0" w:color="auto"/>
            </w:tcBorders>
            <w:noWrap/>
          </w:tcPr>
          <w:p w14:paraId="40F36DC7"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Annex II RACHP</w:t>
            </w:r>
          </w:p>
        </w:tc>
        <w:tc>
          <w:tcPr>
            <w:tcW w:w="2089" w:type="dxa"/>
            <w:gridSpan w:val="2"/>
            <w:tcBorders>
              <w:top w:val="single" w:sz="4" w:space="0" w:color="auto"/>
              <w:left w:val="single" w:sz="4" w:space="0" w:color="auto"/>
              <w:bottom w:val="single" w:sz="4" w:space="0" w:color="auto"/>
              <w:right w:val="single" w:sz="4" w:space="0" w:color="auto"/>
            </w:tcBorders>
            <w:shd w:val="clear" w:color="auto" w:fill="FFFF00"/>
            <w:noWrap/>
          </w:tcPr>
          <w:p w14:paraId="55C73E8A"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57B70667"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(positive for ODP, but uncertain future CO</w:t>
            </w:r>
            <w:r w:rsidRPr="00A14107">
              <w:rPr>
                <w:rFonts w:asciiTheme="minorHAnsi" w:hAnsiTheme="minorHAnsi" w:cstheme="minorHAnsi"/>
                <w:noProof/>
                <w:color w:val="000000" w:themeColor="text1"/>
                <w:sz w:val="16"/>
                <w:szCs w:val="16"/>
                <w:vertAlign w:val="subscript"/>
              </w:rPr>
              <w:t>2</w:t>
            </w:r>
            <w:r w:rsidRPr="00A14107">
              <w:rPr>
                <w:rFonts w:asciiTheme="minorHAnsi" w:hAnsiTheme="minorHAnsi" w:cstheme="minorHAnsi"/>
                <w:noProof/>
                <w:color w:val="000000" w:themeColor="text1"/>
                <w:sz w:val="16"/>
                <w:szCs w:val="16"/>
              </w:rPr>
              <w:t>e emission balance)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37D8831" w14:textId="77777777" w:rsidR="00A14107" w:rsidRPr="00A14107" w:rsidRDefault="00A14107" w:rsidP="00A14107">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21DE936C" w14:textId="77777777" w:rsidR="00A14107" w:rsidRPr="00A14107" w:rsidRDefault="00A14107" w:rsidP="00A14107">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Possibly higher costs for endusers, manufacturers,gas producers</w:t>
            </w:r>
          </w:p>
        </w:tc>
        <w:tc>
          <w:tcPr>
            <w:tcW w:w="1124" w:type="dxa"/>
            <w:gridSpan w:val="2"/>
            <w:tcBorders>
              <w:top w:val="single" w:sz="4" w:space="0" w:color="auto"/>
              <w:left w:val="single" w:sz="4" w:space="0" w:color="auto"/>
              <w:bottom w:val="single" w:sz="4" w:space="0" w:color="auto"/>
              <w:right w:val="single" w:sz="4" w:space="0" w:color="auto"/>
            </w:tcBorders>
          </w:tcPr>
          <w:p w14:paraId="72CA64FB"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984" w:type="dxa"/>
            <w:gridSpan w:val="2"/>
            <w:tcBorders>
              <w:top w:val="single" w:sz="4" w:space="0" w:color="auto"/>
              <w:left w:val="single" w:sz="4" w:space="0" w:color="auto"/>
              <w:bottom w:val="single" w:sz="4" w:space="0" w:color="auto"/>
              <w:right w:val="single" w:sz="4" w:space="0" w:color="auto"/>
            </w:tcBorders>
          </w:tcPr>
          <w:p w14:paraId="5990EDB7"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c>
          <w:tcPr>
            <w:tcW w:w="1062" w:type="dxa"/>
            <w:gridSpan w:val="3"/>
            <w:tcBorders>
              <w:top w:val="single" w:sz="4" w:space="0" w:color="auto"/>
              <w:left w:val="single" w:sz="4" w:space="0" w:color="auto"/>
              <w:bottom w:val="single" w:sz="4" w:space="0" w:color="auto"/>
              <w:right w:val="single" w:sz="4" w:space="0" w:color="auto"/>
            </w:tcBorders>
            <w:noWrap/>
          </w:tcPr>
          <w:p w14:paraId="27FC5B20" w14:textId="77777777" w:rsidR="00A14107" w:rsidRPr="00A14107" w:rsidRDefault="00A14107" w:rsidP="00A14107">
            <w:pPr>
              <w:spacing w:before="0"/>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N/A</w:t>
            </w:r>
          </w:p>
        </w:tc>
      </w:tr>
    </w:tbl>
    <w:p w14:paraId="2621C462" w14:textId="77777777" w:rsidR="00501849" w:rsidRDefault="00A14107" w:rsidP="00A14107">
      <w:pPr>
        <w:spacing w:after="120"/>
        <w:jc w:val="both"/>
        <w:rPr>
          <w:noProof/>
          <w:sz w:val="20"/>
        </w:rPr>
      </w:pPr>
      <w:r w:rsidRPr="00A14107">
        <w:rPr>
          <w:b/>
          <w:noProof/>
          <w:sz w:val="20"/>
          <w:szCs w:val="20"/>
        </w:rPr>
        <w:t>Legend:</w:t>
      </w:r>
      <w:r w:rsidRPr="00A14107">
        <w:rPr>
          <w:noProof/>
          <w:sz w:val="20"/>
          <w:szCs w:val="20"/>
        </w:rPr>
        <w:t xml:space="preserve"> Scale applied is +++,++,+,0,-,--,--- (very high/positive to very low/negative); </w:t>
      </w:r>
      <w:r w:rsidRPr="00A14107">
        <w:rPr>
          <w:noProof/>
          <w:sz w:val="20"/>
        </w:rPr>
        <w:t>Corresponding colour codes are dark/medium/light red, yellow (neutral), light/medium/dark green</w:t>
      </w:r>
    </w:p>
    <w:p w14:paraId="78779CD8" w14:textId="77777777" w:rsidR="000535C5" w:rsidRDefault="000535C5" w:rsidP="00A14107">
      <w:pPr>
        <w:spacing w:after="120"/>
        <w:jc w:val="both"/>
        <w:rPr>
          <w:noProof/>
          <w:sz w:val="20"/>
        </w:rPr>
      </w:pPr>
      <w:r>
        <w:rPr>
          <w:noProof/>
          <w:sz w:val="20"/>
        </w:rPr>
        <w:t>All 3 Options include the measure</w:t>
      </w:r>
      <w:r w:rsidR="000A2CF3">
        <w:rPr>
          <w:noProof/>
          <w:sz w:val="20"/>
        </w:rPr>
        <w:t>s</w:t>
      </w:r>
      <w:r>
        <w:rPr>
          <w:noProof/>
          <w:sz w:val="20"/>
        </w:rPr>
        <w:t xml:space="preserve"> to improve clarity and coherence, </w:t>
      </w:r>
      <w:r w:rsidR="000A2CF3">
        <w:rPr>
          <w:noProof/>
          <w:sz w:val="20"/>
        </w:rPr>
        <w:t>aligning</w:t>
      </w:r>
      <w:r>
        <w:rPr>
          <w:noProof/>
          <w:sz w:val="20"/>
        </w:rPr>
        <w:t xml:space="preserve"> with the Protocol (D1-2), </w:t>
      </w:r>
      <w:r w:rsidR="000A2CF3">
        <w:rPr>
          <w:noProof/>
          <w:sz w:val="20"/>
        </w:rPr>
        <w:t>with comitolo</w:t>
      </w:r>
      <w:r w:rsidR="00CD5A30">
        <w:rPr>
          <w:noProof/>
          <w:sz w:val="20"/>
        </w:rPr>
        <w:t>gy rules (D3), customs law (D4-6</w:t>
      </w:r>
      <w:r w:rsidR="000A2CF3">
        <w:rPr>
          <w:noProof/>
          <w:sz w:val="20"/>
        </w:rPr>
        <w:t>), the en</w:t>
      </w:r>
      <w:r w:rsidR="00CD5A30">
        <w:rPr>
          <w:noProof/>
          <w:sz w:val="20"/>
        </w:rPr>
        <w:t>vironmental crimes directive (D7</w:t>
      </w:r>
      <w:r w:rsidR="000A2CF3">
        <w:rPr>
          <w:noProof/>
          <w:sz w:val="20"/>
        </w:rPr>
        <w:t>), and the F</w:t>
      </w:r>
      <w:r w:rsidR="00BA2B5D">
        <w:rPr>
          <w:noProof/>
          <w:sz w:val="20"/>
        </w:rPr>
        <w:t>-</w:t>
      </w:r>
      <w:r w:rsidR="000A2CF3">
        <w:rPr>
          <w:noProof/>
          <w:sz w:val="20"/>
        </w:rPr>
        <w:t>gas Regulation</w:t>
      </w:r>
      <w:r w:rsidR="00CD5A30">
        <w:rPr>
          <w:noProof/>
          <w:sz w:val="20"/>
        </w:rPr>
        <w:t xml:space="preserve"> (D8)</w:t>
      </w:r>
      <w:r w:rsidR="000A2CF3">
        <w:rPr>
          <w:noProof/>
          <w:sz w:val="20"/>
        </w:rPr>
        <w:t>. As alignment measures</w:t>
      </w:r>
      <w:r w:rsidR="00BA2B5D">
        <w:rPr>
          <w:noProof/>
          <w:sz w:val="20"/>
        </w:rPr>
        <w:t>,</w:t>
      </w:r>
      <w:r w:rsidR="000A2CF3">
        <w:rPr>
          <w:noProof/>
          <w:sz w:val="20"/>
        </w:rPr>
        <w:t xml:space="preserve"> these are not resulting in relevant additional impacts.</w:t>
      </w:r>
    </w:p>
    <w:p w14:paraId="1FC901FB" w14:textId="77777777" w:rsidR="00D13A9E" w:rsidRDefault="00D13A9E" w:rsidP="006C1A6B">
      <w:pPr>
        <w:spacing w:after="0"/>
        <w:jc w:val="both"/>
        <w:rPr>
          <w:rFonts w:ascii="Times New Roman" w:hAnsi="Times New Roman" w:cs="Times New Roman"/>
          <w:noProof/>
          <w:sz w:val="24"/>
          <w:szCs w:val="24"/>
        </w:rPr>
      </w:pPr>
    </w:p>
    <w:p w14:paraId="7D5DC93B"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low-cost option (Option 1) would save a relevant amount of emis</w:t>
      </w:r>
      <w:r w:rsidR="006F4D7E">
        <w:rPr>
          <w:rFonts w:ascii="Times New Roman" w:hAnsi="Times New Roman" w:cs="Times New Roman"/>
          <w:noProof/>
          <w:sz w:val="24"/>
          <w:szCs w:val="24"/>
        </w:rPr>
        <w:t>sions (18,200 tODP or 88</w:t>
      </w:r>
      <w:r w:rsidRPr="00A14107">
        <w:rPr>
          <w:rFonts w:ascii="Times New Roman" w:hAnsi="Times New Roman" w:cs="Times New Roman"/>
          <w:noProof/>
          <w:sz w:val="24"/>
          <w:szCs w:val="24"/>
        </w:rPr>
        <w:t xml:space="preserve"> million tCO2e until 2050) due to the mandatory reclamation and destruction of ODS from sandwich panels (the most cost-efficient type of foam to be recovered). It would achieve costs savings for business and authorities by modernising the licensing system, abolishing quotas and the laboratory registration system as well as allowing more time to eliminate halons in aircraft cargo compartments. Very minor costs linked to reporting (C1) may be incurred.</w:t>
      </w:r>
      <w:r w:rsidRPr="00A14107" w:rsidDel="00EE7597">
        <w:rPr>
          <w:rFonts w:ascii="Times New Roman" w:hAnsi="Times New Roman" w:cs="Times New Roman"/>
          <w:noProof/>
          <w:sz w:val="24"/>
          <w:szCs w:val="24"/>
        </w:rPr>
        <w:t xml:space="preserve"> </w:t>
      </w:r>
      <w:r w:rsidR="000A2CF3">
        <w:rPr>
          <w:rFonts w:ascii="Times New Roman" w:hAnsi="Times New Roman" w:cs="Times New Roman"/>
          <w:noProof/>
          <w:sz w:val="24"/>
          <w:szCs w:val="24"/>
        </w:rPr>
        <w:t xml:space="preserve">Given the fact that it fails to achieve other proportionate emission savings (i.e. measure A1(b)), and does not include a number of efficiency and monitoring measures with environmental benefits at moderate costs, its effectiveness and coherence with the Green Deal is only slightly positive. On the other hand, as it comes at a very low costs, its economic effects are negligible, cost efficiency is good and social effects (employment) are positive due to in particular R&amp;D and job creation in the waste treatment sector. </w:t>
      </w:r>
    </w:p>
    <w:p w14:paraId="11FDCE7A" w14:textId="5B828BB6"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Option 2 </w:t>
      </w:r>
      <w:r w:rsidR="00C653D6" w:rsidRPr="00A14107">
        <w:rPr>
          <w:rFonts w:ascii="Times New Roman" w:hAnsi="Times New Roman" w:cs="Times New Roman"/>
          <w:noProof/>
          <w:sz w:val="24"/>
          <w:szCs w:val="24"/>
        </w:rPr>
        <w:t>w</w:t>
      </w:r>
      <w:r w:rsidR="00C653D6">
        <w:rPr>
          <w:rFonts w:ascii="Times New Roman" w:hAnsi="Times New Roman" w:cs="Times New Roman"/>
          <w:noProof/>
          <w:sz w:val="24"/>
          <w:szCs w:val="24"/>
        </w:rPr>
        <w:t>ould</w:t>
      </w:r>
      <w:r w:rsidR="00C653D6"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almost double the emission saving</w:t>
      </w:r>
      <w:r w:rsidR="006F4D7E">
        <w:rPr>
          <w:rFonts w:ascii="Times New Roman" w:hAnsi="Times New Roman" w:cs="Times New Roman"/>
          <w:noProof/>
          <w:sz w:val="24"/>
          <w:szCs w:val="24"/>
        </w:rPr>
        <w:t>s from foams (32,000 tODP or 179</w:t>
      </w:r>
      <w:r w:rsidRPr="00A14107">
        <w:rPr>
          <w:rFonts w:ascii="Times New Roman" w:hAnsi="Times New Roman" w:cs="Times New Roman"/>
          <w:noProof/>
          <w:sz w:val="24"/>
          <w:szCs w:val="24"/>
        </w:rPr>
        <w:t xml:space="preserve"> Mt CO2e), still at moderate abatement costs, as well as reducing the risk that new production of halons will be needed, </w:t>
      </w:r>
      <w:r w:rsidR="009967B0">
        <w:rPr>
          <w:rFonts w:ascii="Times New Roman" w:hAnsi="Times New Roman" w:cs="Times New Roman"/>
          <w:noProof/>
          <w:sz w:val="24"/>
          <w:szCs w:val="24"/>
        </w:rPr>
        <w:t xml:space="preserve">ensure </w:t>
      </w:r>
      <w:r w:rsidRPr="00A14107">
        <w:rPr>
          <w:rFonts w:ascii="Times New Roman" w:hAnsi="Times New Roman" w:cs="Times New Roman"/>
          <w:noProof/>
          <w:sz w:val="24"/>
          <w:szCs w:val="24"/>
        </w:rPr>
        <w:t xml:space="preserve">that border controls can be improved and that relevant data is available to monitor climate effects, any emerging issues and as yet unmonitored trade flows. Additional costs largely arise from the foam measure (for building owners) but these will be spread over many years and number of persons/entities. </w:t>
      </w:r>
      <w:r w:rsidR="005522F3" w:rsidRPr="00A14107">
        <w:rPr>
          <w:rFonts w:ascii="Times New Roman" w:hAnsi="Times New Roman" w:cs="Times New Roman"/>
          <w:noProof/>
          <w:sz w:val="24"/>
          <w:szCs w:val="24"/>
        </w:rPr>
        <w:t>Finally,</w:t>
      </w:r>
      <w:r w:rsidRPr="00A14107">
        <w:rPr>
          <w:rFonts w:ascii="Times New Roman" w:hAnsi="Times New Roman" w:cs="Times New Roman"/>
          <w:noProof/>
          <w:sz w:val="24"/>
          <w:szCs w:val="24"/>
        </w:rPr>
        <w:t xml:space="preserve"> there are some reporting costs to companies, and some enforcement costs for customs. </w:t>
      </w:r>
      <w:r w:rsidR="000A2CF3">
        <w:rPr>
          <w:rFonts w:ascii="Times New Roman" w:hAnsi="Times New Roman" w:cs="Times New Roman"/>
          <w:noProof/>
          <w:sz w:val="24"/>
          <w:szCs w:val="24"/>
        </w:rPr>
        <w:t>Option 2 is very effective and in line with the Green Deal as it achieves a high amount of emission</w:t>
      </w:r>
      <w:r w:rsidR="00AA2F2D">
        <w:rPr>
          <w:rFonts w:ascii="Times New Roman" w:hAnsi="Times New Roman" w:cs="Times New Roman"/>
          <w:noProof/>
          <w:sz w:val="24"/>
          <w:szCs w:val="24"/>
        </w:rPr>
        <w:t xml:space="preserve"> reduction</w:t>
      </w:r>
      <w:r w:rsidR="000A2CF3">
        <w:rPr>
          <w:rFonts w:ascii="Times New Roman" w:hAnsi="Times New Roman" w:cs="Times New Roman"/>
          <w:noProof/>
          <w:sz w:val="24"/>
          <w:szCs w:val="24"/>
        </w:rPr>
        <w:t xml:space="preserve">s at proportionate costs. While the cost efficiency of the measures is good, there are some additional costs </w:t>
      </w:r>
      <w:r w:rsidR="00F55B51">
        <w:rPr>
          <w:rFonts w:ascii="Times New Roman" w:hAnsi="Times New Roman" w:cs="Times New Roman"/>
          <w:noProof/>
          <w:sz w:val="24"/>
          <w:szCs w:val="24"/>
        </w:rPr>
        <w:t>linked to better control and monitoring. Employment is stimulated in the waste sector.</w:t>
      </w:r>
    </w:p>
    <w:p w14:paraId="50E6E37A"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overall emission savings of Option 3 are only very marginally higher than Option 2. This is because the major </w:t>
      </w:r>
      <w:r w:rsidR="00D70A6E">
        <w:rPr>
          <w:rFonts w:ascii="Times New Roman" w:hAnsi="Times New Roman" w:cs="Times New Roman"/>
          <w:noProof/>
          <w:sz w:val="24"/>
          <w:szCs w:val="24"/>
        </w:rPr>
        <w:t>emission savings potential is linked to the</w:t>
      </w:r>
      <w:r w:rsidRPr="00A14107">
        <w:rPr>
          <w:rFonts w:ascii="Times New Roman" w:hAnsi="Times New Roman" w:cs="Times New Roman"/>
          <w:noProof/>
          <w:sz w:val="24"/>
          <w:szCs w:val="24"/>
        </w:rPr>
        <w:t xml:space="preserve"> recovery of foams, which is the same for both options. Also, some of the small</w:t>
      </w:r>
      <w:r w:rsidR="00D70A6E">
        <w:rPr>
          <w:rFonts w:ascii="Times New Roman" w:hAnsi="Times New Roman" w:cs="Times New Roman"/>
          <w:noProof/>
          <w:sz w:val="24"/>
          <w:szCs w:val="24"/>
        </w:rPr>
        <w:t>er</w:t>
      </w:r>
      <w:r w:rsidRPr="00A14107">
        <w:rPr>
          <w:rFonts w:ascii="Times New Roman" w:hAnsi="Times New Roman" w:cs="Times New Roman"/>
          <w:noProof/>
          <w:sz w:val="24"/>
          <w:szCs w:val="24"/>
        </w:rPr>
        <w:t xml:space="preserve"> additional </w:t>
      </w:r>
      <w:r w:rsidR="00D70A6E" w:rsidRPr="00A14107">
        <w:rPr>
          <w:rFonts w:ascii="Times New Roman" w:hAnsi="Times New Roman" w:cs="Times New Roman"/>
          <w:noProof/>
          <w:sz w:val="24"/>
          <w:szCs w:val="24"/>
        </w:rPr>
        <w:t xml:space="preserve">achievable </w:t>
      </w:r>
      <w:r w:rsidRPr="00A14107">
        <w:rPr>
          <w:rFonts w:ascii="Times New Roman" w:hAnsi="Times New Roman" w:cs="Times New Roman"/>
          <w:noProof/>
          <w:sz w:val="24"/>
          <w:szCs w:val="24"/>
        </w:rPr>
        <w:t>emission savings from Option 3 may cance</w:t>
      </w:r>
      <w:r w:rsidR="00C653D6">
        <w:rPr>
          <w:rFonts w:ascii="Times New Roman" w:hAnsi="Times New Roman" w:cs="Times New Roman"/>
          <w:noProof/>
          <w:sz w:val="24"/>
          <w:szCs w:val="24"/>
        </w:rPr>
        <w:t>l</w:t>
      </w:r>
      <w:r w:rsidRPr="00A14107">
        <w:rPr>
          <w:rFonts w:ascii="Times New Roman" w:hAnsi="Times New Roman" w:cs="Times New Roman"/>
          <w:noProof/>
          <w:sz w:val="24"/>
          <w:szCs w:val="24"/>
        </w:rPr>
        <w:t xml:space="preserve"> out due to negative effects on e.g. energy use and emissions of other greenhouse gases (HFCs). Prohibiting some feedstock uses and anticipating halon end dates would likely lead to very high costs to business and the military and may have considerable detrimental effects on employment</w:t>
      </w:r>
      <w:r w:rsidR="001D2F32">
        <w:rPr>
          <w:rFonts w:ascii="Times New Roman" w:hAnsi="Times New Roman" w:cs="Times New Roman"/>
          <w:noProof/>
          <w:sz w:val="24"/>
          <w:szCs w:val="24"/>
        </w:rPr>
        <w:t xml:space="preserve"> (despite the stimulus in the waste sector)</w:t>
      </w:r>
      <w:r w:rsidRPr="00A14107">
        <w:rPr>
          <w:rFonts w:ascii="Times New Roman" w:hAnsi="Times New Roman" w:cs="Times New Roman"/>
          <w:noProof/>
          <w:sz w:val="24"/>
          <w:szCs w:val="24"/>
        </w:rPr>
        <w:t>.</w:t>
      </w:r>
      <w:r w:rsidR="00F55B51">
        <w:rPr>
          <w:rFonts w:ascii="Times New Roman" w:hAnsi="Times New Roman" w:cs="Times New Roman"/>
          <w:noProof/>
          <w:sz w:val="24"/>
          <w:szCs w:val="24"/>
        </w:rPr>
        <w:t xml:space="preserve"> Given these costs, its coherence with the Green Deal is considered to be </w:t>
      </w:r>
      <w:r w:rsidR="00AA2F2D">
        <w:rPr>
          <w:rFonts w:ascii="Times New Roman" w:hAnsi="Times New Roman" w:cs="Times New Roman"/>
          <w:noProof/>
          <w:sz w:val="24"/>
          <w:szCs w:val="24"/>
        </w:rPr>
        <w:t xml:space="preserve">lower </w:t>
      </w:r>
      <w:r w:rsidR="00F55B51">
        <w:rPr>
          <w:rFonts w:ascii="Times New Roman" w:hAnsi="Times New Roman" w:cs="Times New Roman"/>
          <w:noProof/>
          <w:sz w:val="24"/>
          <w:szCs w:val="24"/>
        </w:rPr>
        <w:t xml:space="preserve">than </w:t>
      </w:r>
      <w:r w:rsidR="00AA2F2D">
        <w:rPr>
          <w:rFonts w:ascii="Times New Roman" w:hAnsi="Times New Roman" w:cs="Times New Roman"/>
          <w:noProof/>
          <w:sz w:val="24"/>
          <w:szCs w:val="24"/>
        </w:rPr>
        <w:t xml:space="preserve">in </w:t>
      </w:r>
      <w:r w:rsidR="00F55B51">
        <w:rPr>
          <w:rFonts w:ascii="Times New Roman" w:hAnsi="Times New Roman" w:cs="Times New Roman"/>
          <w:noProof/>
          <w:sz w:val="24"/>
          <w:szCs w:val="24"/>
        </w:rPr>
        <w:t xml:space="preserve">Option 2, even though a similar amount of emissions is saved. </w:t>
      </w:r>
    </w:p>
    <w:p w14:paraId="44B1B243" w14:textId="77777777" w:rsidR="007E5BD2" w:rsidRDefault="00A14107" w:rsidP="00B1737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coherence options as well as clarifications are included in all three ambition scenarios. By</w:t>
      </w:r>
      <w:r w:rsidRPr="00A14107" w:rsidDel="00462E75">
        <w:rPr>
          <w:rFonts w:ascii="Times New Roman" w:hAnsi="Times New Roman" w:cs="Times New Roman"/>
          <w:noProof/>
          <w:sz w:val="24"/>
          <w:szCs w:val="24"/>
        </w:rPr>
        <w:t xml:space="preserve"> </w:t>
      </w:r>
      <w:r w:rsidRPr="00A14107">
        <w:rPr>
          <w:rFonts w:ascii="Times New Roman" w:hAnsi="Times New Roman" w:cs="Times New Roman"/>
          <w:noProof/>
          <w:sz w:val="24"/>
          <w:szCs w:val="24"/>
        </w:rPr>
        <w:t>design they all constitute improvements, however their im</w:t>
      </w:r>
      <w:r w:rsidR="006C1A6B">
        <w:rPr>
          <w:rFonts w:ascii="Times New Roman" w:hAnsi="Times New Roman" w:cs="Times New Roman"/>
          <w:noProof/>
          <w:sz w:val="24"/>
          <w:szCs w:val="24"/>
        </w:rPr>
        <w:t xml:space="preserve">pacts could not be quantified. </w:t>
      </w:r>
    </w:p>
    <w:p w14:paraId="7010803D" w14:textId="77777777" w:rsidR="007E5BD2" w:rsidRDefault="007E5BD2">
      <w:pPr>
        <w:rPr>
          <w:rFonts w:ascii="Times New Roman" w:hAnsi="Times New Roman" w:cs="Times New Roman"/>
          <w:noProof/>
          <w:sz w:val="24"/>
          <w:szCs w:val="24"/>
        </w:rPr>
      </w:pPr>
      <w:r>
        <w:rPr>
          <w:rFonts w:ascii="Times New Roman" w:hAnsi="Times New Roman" w:cs="Times New Roman"/>
          <w:noProof/>
          <w:sz w:val="24"/>
          <w:szCs w:val="24"/>
        </w:rPr>
        <w:br w:type="page"/>
      </w:r>
    </w:p>
    <w:p w14:paraId="4414A470" w14:textId="77777777" w:rsidR="00A14107" w:rsidRPr="00B17377" w:rsidRDefault="00A14107" w:rsidP="00B17377">
      <w:pPr>
        <w:spacing w:after="120"/>
        <w:jc w:val="both"/>
        <w:rPr>
          <w:rFonts w:ascii="Times New Roman" w:hAnsi="Times New Roman" w:cs="Times New Roman"/>
          <w:noProof/>
          <w:sz w:val="24"/>
          <w:szCs w:val="24"/>
        </w:rPr>
      </w:pPr>
      <w:r w:rsidRPr="00A14107">
        <w:rPr>
          <w:rFonts w:ascii="Calibri" w:hAnsi="Calibri" w:cs="Calibri"/>
          <w:noProof/>
          <w:color w:val="0070C0"/>
          <w:sz w:val="20"/>
          <w:szCs w:val="20"/>
        </w:rPr>
        <w:t xml:space="preserve">Table 4: Comparison of the impacts of the options </w:t>
      </w:r>
    </w:p>
    <w:tbl>
      <w:tblPr>
        <w:tblStyle w:val="TableGrid1212"/>
        <w:tblW w:w="4875" w:type="pct"/>
        <w:tblLayout w:type="fixed"/>
        <w:tblLook w:val="04A0" w:firstRow="1" w:lastRow="0" w:firstColumn="1" w:lastColumn="0" w:noHBand="0" w:noVBand="1"/>
      </w:tblPr>
      <w:tblGrid>
        <w:gridCol w:w="4936"/>
        <w:gridCol w:w="1406"/>
        <w:gridCol w:w="1335"/>
        <w:gridCol w:w="1334"/>
      </w:tblGrid>
      <w:tr w:rsidR="00A14107" w:rsidRPr="00A14107" w14:paraId="12C8658F" w14:textId="77777777" w:rsidTr="00A14107">
        <w:trPr>
          <w:cnfStyle w:val="100000000000" w:firstRow="1" w:lastRow="0" w:firstColumn="0" w:lastColumn="0" w:oddVBand="0" w:evenVBand="0" w:oddHBand="0" w:evenHBand="0" w:firstRowFirstColumn="0" w:firstRowLastColumn="0" w:lastRowFirstColumn="0" w:lastRowLastColumn="0"/>
          <w:trHeight w:val="340"/>
        </w:trPr>
        <w:tc>
          <w:tcPr>
            <w:tcW w:w="2739" w:type="pct"/>
            <w:noWrap/>
            <w:hideMark/>
          </w:tcPr>
          <w:p w14:paraId="66F53553" w14:textId="77777777" w:rsidR="00A14107" w:rsidRPr="00A14107" w:rsidRDefault="00A14107" w:rsidP="00A14107">
            <w:pPr>
              <w:jc w:val="both"/>
              <w:rPr>
                <w:rFonts w:asciiTheme="minorHAnsi" w:hAnsiTheme="minorHAnsi" w:cstheme="minorHAnsi"/>
                <w:b/>
                <w:noProof/>
              </w:rPr>
            </w:pPr>
            <w:r w:rsidRPr="00A14107">
              <w:rPr>
                <w:rFonts w:asciiTheme="minorHAnsi" w:hAnsiTheme="minorHAnsi" w:cstheme="minorHAnsi"/>
                <w:b/>
                <w:noProof/>
                <w:color w:val="0070C0"/>
              </w:rPr>
              <w:t xml:space="preserve">                                                    </w:t>
            </w:r>
            <w:r w:rsidRPr="00A14107">
              <w:rPr>
                <w:rFonts w:asciiTheme="minorHAnsi" w:hAnsiTheme="minorHAnsi" w:cstheme="minorHAnsi"/>
                <w:b/>
                <w:noProof/>
              </w:rPr>
              <w:t>Policy options</w:t>
            </w:r>
          </w:p>
          <w:p w14:paraId="680BACC8" w14:textId="77777777" w:rsidR="00A14107" w:rsidRPr="00A14107" w:rsidRDefault="00A14107" w:rsidP="00A14107">
            <w:pPr>
              <w:jc w:val="both"/>
              <w:rPr>
                <w:rFonts w:asciiTheme="minorHAnsi" w:hAnsiTheme="minorHAnsi" w:cstheme="minorHAnsi"/>
                <w:b/>
                <w:bCs/>
                <w:noProof/>
              </w:rPr>
            </w:pPr>
            <w:r w:rsidRPr="00A14107">
              <w:rPr>
                <w:rFonts w:asciiTheme="minorHAnsi" w:hAnsiTheme="minorHAnsi" w:cstheme="minorHAnsi"/>
                <w:b/>
                <w:noProof/>
              </w:rPr>
              <w:t>Impacts and cost efficiency</w:t>
            </w:r>
          </w:p>
        </w:tc>
        <w:tc>
          <w:tcPr>
            <w:tcW w:w="780" w:type="pct"/>
          </w:tcPr>
          <w:p w14:paraId="22F0699F" w14:textId="77777777" w:rsidR="00A14107" w:rsidRPr="00A14107" w:rsidRDefault="00A14107" w:rsidP="00A14107">
            <w:pPr>
              <w:jc w:val="center"/>
              <w:rPr>
                <w:rFonts w:asciiTheme="minorHAnsi" w:hAnsiTheme="minorHAnsi" w:cstheme="minorHAnsi"/>
                <w:b/>
                <w:noProof/>
                <w:color w:val="FFFFFF" w:themeColor="background1"/>
              </w:rPr>
            </w:pPr>
            <w:r w:rsidRPr="00A14107">
              <w:rPr>
                <w:rFonts w:asciiTheme="minorHAnsi" w:hAnsiTheme="minorHAnsi" w:cstheme="minorHAnsi"/>
                <w:b/>
                <w:noProof/>
                <w:color w:val="FFFFFF" w:themeColor="background1"/>
              </w:rPr>
              <w:t>Option 1</w:t>
            </w:r>
          </w:p>
        </w:tc>
        <w:tc>
          <w:tcPr>
            <w:tcW w:w="741" w:type="pct"/>
          </w:tcPr>
          <w:p w14:paraId="7C10C0FD" w14:textId="77777777" w:rsidR="00A14107" w:rsidRPr="00A14107" w:rsidRDefault="00A14107" w:rsidP="00A14107">
            <w:pPr>
              <w:jc w:val="center"/>
              <w:rPr>
                <w:rFonts w:asciiTheme="minorHAnsi" w:hAnsiTheme="minorHAnsi" w:cstheme="minorHAnsi"/>
                <w:b/>
                <w:noProof/>
                <w:color w:val="FFFFFF" w:themeColor="background1"/>
              </w:rPr>
            </w:pPr>
            <w:r w:rsidRPr="00A14107">
              <w:rPr>
                <w:rFonts w:asciiTheme="minorHAnsi" w:hAnsiTheme="minorHAnsi" w:cstheme="minorHAnsi"/>
                <w:b/>
                <w:noProof/>
                <w:color w:val="FFFFFF" w:themeColor="background1"/>
              </w:rPr>
              <w:t>Option 2</w:t>
            </w:r>
          </w:p>
        </w:tc>
        <w:tc>
          <w:tcPr>
            <w:tcW w:w="740" w:type="pct"/>
          </w:tcPr>
          <w:p w14:paraId="29C8AE03" w14:textId="77777777" w:rsidR="00A14107" w:rsidRPr="00A14107" w:rsidRDefault="00A14107" w:rsidP="00A14107">
            <w:pPr>
              <w:jc w:val="center"/>
              <w:rPr>
                <w:rFonts w:asciiTheme="minorHAnsi" w:hAnsiTheme="minorHAnsi" w:cstheme="minorHAnsi"/>
                <w:b/>
                <w:bCs/>
                <w:noProof/>
              </w:rPr>
            </w:pPr>
            <w:r w:rsidRPr="00A14107">
              <w:rPr>
                <w:rFonts w:asciiTheme="minorHAnsi" w:hAnsiTheme="minorHAnsi" w:cstheme="minorHAnsi"/>
                <w:b/>
                <w:noProof/>
              </w:rPr>
              <w:t>Option 3</w:t>
            </w:r>
          </w:p>
        </w:tc>
      </w:tr>
      <w:tr w:rsidR="00A14107" w:rsidRPr="00A14107" w14:paraId="10518005"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bottom w:val="single" w:sz="4" w:space="0" w:color="auto"/>
            </w:tcBorders>
            <w:hideMark/>
          </w:tcPr>
          <w:p w14:paraId="2CECE8D4" w14:textId="77777777" w:rsidR="00A14107" w:rsidRPr="00A14107" w:rsidRDefault="00A14107" w:rsidP="00A14107">
            <w:pPr>
              <w:jc w:val="both"/>
              <w:rPr>
                <w:rFonts w:asciiTheme="minorHAnsi" w:hAnsiTheme="minorHAnsi" w:cstheme="minorHAnsi"/>
                <w:b/>
                <w:noProof/>
                <w:lang w:val="fr-BE"/>
              </w:rPr>
            </w:pPr>
            <w:r w:rsidRPr="00A14107">
              <w:rPr>
                <w:rFonts w:asciiTheme="minorHAnsi" w:hAnsiTheme="minorHAnsi" w:cstheme="minorHAnsi"/>
                <w:b/>
                <w:noProof/>
                <w:lang w:val="fr-BE"/>
              </w:rPr>
              <w:t>Effectiveness / emission reductions</w:t>
            </w:r>
          </w:p>
        </w:tc>
        <w:tc>
          <w:tcPr>
            <w:tcW w:w="780" w:type="pct"/>
            <w:tcBorders>
              <w:bottom w:val="single" w:sz="4" w:space="0" w:color="auto"/>
            </w:tcBorders>
            <w:shd w:val="clear" w:color="auto" w:fill="FFFFFF" w:themeFill="background1"/>
          </w:tcPr>
          <w:p w14:paraId="17ACEA9B" w14:textId="77777777" w:rsidR="00A14107" w:rsidRPr="00A14107" w:rsidRDefault="00AE25D0" w:rsidP="00A14107">
            <w:pPr>
              <w:jc w:val="center"/>
              <w:rPr>
                <w:rFonts w:asciiTheme="minorHAnsi" w:hAnsiTheme="minorHAnsi" w:cstheme="minorHAnsi"/>
                <w:b/>
                <w:noProof/>
              </w:rPr>
            </w:pPr>
            <w:r>
              <w:rPr>
                <w:rFonts w:asciiTheme="minorHAnsi" w:hAnsiTheme="minorHAnsi" w:cstheme="minorHAnsi"/>
                <w:b/>
                <w:noProof/>
              </w:rPr>
              <w:t>+</w:t>
            </w:r>
          </w:p>
        </w:tc>
        <w:tc>
          <w:tcPr>
            <w:tcW w:w="741" w:type="pct"/>
            <w:tcBorders>
              <w:bottom w:val="single" w:sz="4" w:space="0" w:color="auto"/>
            </w:tcBorders>
            <w:shd w:val="clear" w:color="auto" w:fill="FFFFFF" w:themeFill="background1"/>
          </w:tcPr>
          <w:p w14:paraId="5FB0EAC3" w14:textId="77777777" w:rsidR="00A14107" w:rsidRPr="00A14107" w:rsidDel="00561C7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0" w:type="pct"/>
            <w:tcBorders>
              <w:bottom w:val="single" w:sz="4" w:space="0" w:color="auto"/>
            </w:tcBorders>
            <w:shd w:val="clear" w:color="auto" w:fill="FFFFFF" w:themeFill="background1"/>
          </w:tcPr>
          <w:p w14:paraId="212B2C5C"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r>
      <w:tr w:rsidR="00A14107" w:rsidRPr="00A14107" w14:paraId="3DD89E32"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shd w:val="clear" w:color="auto" w:fill="DEEAF6"/>
          </w:tcPr>
          <w:p w14:paraId="21A8F4F1" w14:textId="77777777" w:rsidR="00A14107" w:rsidRPr="00A14107" w:rsidRDefault="00A14107" w:rsidP="00A14107">
            <w:pPr>
              <w:jc w:val="both"/>
              <w:rPr>
                <w:rFonts w:asciiTheme="minorHAnsi" w:hAnsiTheme="minorHAnsi" w:cstheme="minorHAnsi"/>
                <w:b/>
                <w:noProof/>
              </w:rPr>
            </w:pPr>
            <w:r w:rsidRPr="00A14107">
              <w:rPr>
                <w:rFonts w:asciiTheme="minorHAnsi" w:hAnsiTheme="minorHAnsi" w:cstheme="minorHAnsi"/>
                <w:b/>
                <w:noProof/>
              </w:rPr>
              <w:t>Coherence with the European Green Deal</w:t>
            </w:r>
          </w:p>
        </w:tc>
        <w:tc>
          <w:tcPr>
            <w:tcW w:w="780" w:type="pct"/>
            <w:tcBorders>
              <w:top w:val="single" w:sz="4" w:space="0" w:color="auto"/>
              <w:bottom w:val="single" w:sz="4" w:space="0" w:color="auto"/>
            </w:tcBorders>
            <w:shd w:val="clear" w:color="auto" w:fill="FFFFFF" w:themeFill="background1"/>
          </w:tcPr>
          <w:p w14:paraId="69C99312"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1" w:type="pct"/>
            <w:tcBorders>
              <w:top w:val="single" w:sz="4" w:space="0" w:color="auto"/>
              <w:bottom w:val="single" w:sz="4" w:space="0" w:color="auto"/>
            </w:tcBorders>
            <w:shd w:val="clear" w:color="auto" w:fill="FFFFFF" w:themeFill="background1"/>
          </w:tcPr>
          <w:p w14:paraId="751C0B5A"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0" w:type="pct"/>
            <w:tcBorders>
              <w:top w:val="single" w:sz="4" w:space="0" w:color="auto"/>
              <w:bottom w:val="single" w:sz="4" w:space="0" w:color="auto"/>
            </w:tcBorders>
            <w:shd w:val="clear" w:color="auto" w:fill="FFFFFF" w:themeFill="background1"/>
          </w:tcPr>
          <w:p w14:paraId="4FEC7886" w14:textId="77777777" w:rsidR="00A14107" w:rsidRPr="00A14107" w:rsidRDefault="00F55B51" w:rsidP="00A14107">
            <w:pPr>
              <w:jc w:val="center"/>
              <w:rPr>
                <w:rFonts w:asciiTheme="minorHAnsi" w:hAnsiTheme="minorHAnsi" w:cstheme="minorHAnsi"/>
                <w:b/>
                <w:noProof/>
              </w:rPr>
            </w:pPr>
            <w:r>
              <w:rPr>
                <w:rFonts w:asciiTheme="minorHAnsi" w:hAnsiTheme="minorHAnsi" w:cstheme="minorHAnsi"/>
                <w:b/>
                <w:noProof/>
              </w:rPr>
              <w:t>++</w:t>
            </w:r>
          </w:p>
        </w:tc>
      </w:tr>
      <w:tr w:rsidR="00A14107" w:rsidRPr="00A14107" w14:paraId="333AC092"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shd w:val="clear" w:color="auto" w:fill="DEEAF6"/>
            <w:hideMark/>
          </w:tcPr>
          <w:p w14:paraId="3A39C51F" w14:textId="77777777" w:rsidR="00A14107" w:rsidRPr="00A14107" w:rsidRDefault="00A14107" w:rsidP="00A14107">
            <w:pPr>
              <w:jc w:val="both"/>
              <w:rPr>
                <w:rFonts w:asciiTheme="minorHAnsi" w:hAnsiTheme="minorHAnsi" w:cstheme="minorHAnsi"/>
                <w:noProof/>
              </w:rPr>
            </w:pPr>
            <w:r w:rsidRPr="00A14107">
              <w:rPr>
                <w:rFonts w:asciiTheme="minorHAnsi" w:hAnsiTheme="minorHAnsi" w:cstheme="minorHAnsi"/>
                <w:b/>
                <w:noProof/>
              </w:rPr>
              <w:t>Economic impacts</w:t>
            </w:r>
            <w:r w:rsidRPr="00A14107">
              <w:rPr>
                <w:rFonts w:asciiTheme="minorHAnsi" w:hAnsiTheme="minorHAnsi" w:cstheme="minorHAnsi"/>
                <w:noProof/>
              </w:rPr>
              <w:t xml:space="preserve"> </w:t>
            </w:r>
          </w:p>
        </w:tc>
        <w:tc>
          <w:tcPr>
            <w:tcW w:w="780" w:type="pct"/>
            <w:tcBorders>
              <w:top w:val="single" w:sz="4" w:space="0" w:color="auto"/>
              <w:bottom w:val="single" w:sz="4" w:space="0" w:color="auto"/>
            </w:tcBorders>
            <w:shd w:val="clear" w:color="auto" w:fill="FFFFFF" w:themeFill="background1"/>
          </w:tcPr>
          <w:p w14:paraId="554C11C0"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1" w:type="pct"/>
            <w:tcBorders>
              <w:top w:val="single" w:sz="4" w:space="0" w:color="auto"/>
              <w:bottom w:val="single" w:sz="4" w:space="0" w:color="auto"/>
            </w:tcBorders>
            <w:shd w:val="clear" w:color="auto" w:fill="FFFFFF" w:themeFill="background1"/>
          </w:tcPr>
          <w:p w14:paraId="6251C445"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 xml:space="preserve">- </w:t>
            </w:r>
          </w:p>
        </w:tc>
        <w:tc>
          <w:tcPr>
            <w:tcW w:w="740" w:type="pct"/>
            <w:tcBorders>
              <w:top w:val="single" w:sz="4" w:space="0" w:color="auto"/>
              <w:bottom w:val="single" w:sz="4" w:space="0" w:color="auto"/>
            </w:tcBorders>
            <w:shd w:val="clear" w:color="auto" w:fill="FFFFFF" w:themeFill="background1"/>
          </w:tcPr>
          <w:p w14:paraId="75E37CE1"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 xml:space="preserve">- - </w:t>
            </w:r>
          </w:p>
        </w:tc>
      </w:tr>
      <w:tr w:rsidR="00A14107" w:rsidRPr="00A14107" w14:paraId="014DF6B9" w14:textId="77777777" w:rsidTr="00A14107">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6FFA6C31" w14:textId="77777777" w:rsidR="00A14107" w:rsidRPr="00A14107" w:rsidRDefault="00A14107" w:rsidP="00A14107">
            <w:pPr>
              <w:jc w:val="both"/>
              <w:rPr>
                <w:rFonts w:asciiTheme="minorHAnsi" w:hAnsiTheme="minorHAnsi" w:cstheme="minorHAnsi"/>
                <w:noProof/>
              </w:rPr>
            </w:pPr>
            <w:r w:rsidRPr="00A14107">
              <w:rPr>
                <w:rFonts w:asciiTheme="minorHAnsi" w:hAnsiTheme="minorHAnsi" w:cstheme="minorHAnsi"/>
                <w:b/>
                <w:noProof/>
              </w:rPr>
              <w:t>Cost efficiency</w:t>
            </w:r>
            <w:r w:rsidRPr="00A14107">
              <w:rPr>
                <w:rFonts w:asciiTheme="minorHAnsi" w:hAnsiTheme="minorHAnsi" w:cstheme="minorHAnsi"/>
                <w:noProof/>
              </w:rPr>
              <w:t xml:space="preserve"> </w:t>
            </w:r>
          </w:p>
        </w:tc>
        <w:tc>
          <w:tcPr>
            <w:tcW w:w="780" w:type="pct"/>
            <w:tcBorders>
              <w:top w:val="single" w:sz="4" w:space="0" w:color="auto"/>
              <w:bottom w:val="single" w:sz="4" w:space="0" w:color="auto"/>
            </w:tcBorders>
            <w:shd w:val="clear" w:color="auto" w:fill="FFFFFF" w:themeFill="background1"/>
          </w:tcPr>
          <w:p w14:paraId="751574C1"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1" w:type="pct"/>
            <w:tcBorders>
              <w:top w:val="single" w:sz="4" w:space="0" w:color="auto"/>
              <w:bottom w:val="single" w:sz="4" w:space="0" w:color="auto"/>
            </w:tcBorders>
            <w:shd w:val="clear" w:color="auto" w:fill="FFFFFF" w:themeFill="background1"/>
          </w:tcPr>
          <w:p w14:paraId="532D121D"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0" w:type="pct"/>
            <w:tcBorders>
              <w:top w:val="single" w:sz="4" w:space="0" w:color="auto"/>
              <w:bottom w:val="single" w:sz="4" w:space="0" w:color="auto"/>
            </w:tcBorders>
            <w:shd w:val="clear" w:color="auto" w:fill="FFFFFF" w:themeFill="background1"/>
          </w:tcPr>
          <w:p w14:paraId="031CC213"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r>
      <w:tr w:rsidR="00A14107" w:rsidRPr="00A14107" w14:paraId="13223091" w14:textId="77777777" w:rsidTr="00A14107">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hideMark/>
          </w:tcPr>
          <w:p w14:paraId="26FEC3F2" w14:textId="77777777" w:rsidR="00A14107" w:rsidRPr="00A14107" w:rsidRDefault="00A14107" w:rsidP="00A14107">
            <w:pPr>
              <w:jc w:val="both"/>
              <w:rPr>
                <w:rFonts w:asciiTheme="minorHAnsi" w:hAnsiTheme="minorHAnsi" w:cstheme="minorHAnsi"/>
                <w:noProof/>
              </w:rPr>
            </w:pPr>
            <w:r w:rsidRPr="00A14107">
              <w:rPr>
                <w:rFonts w:asciiTheme="minorHAnsi" w:hAnsiTheme="minorHAnsi" w:cstheme="minorHAnsi"/>
                <w:b/>
                <w:noProof/>
              </w:rPr>
              <w:t>Social impact</w:t>
            </w:r>
          </w:p>
        </w:tc>
        <w:tc>
          <w:tcPr>
            <w:tcW w:w="780" w:type="pct"/>
            <w:tcBorders>
              <w:top w:val="single" w:sz="4" w:space="0" w:color="auto"/>
              <w:bottom w:val="single" w:sz="4" w:space="0" w:color="auto"/>
            </w:tcBorders>
            <w:shd w:val="clear" w:color="auto" w:fill="FFFFFF" w:themeFill="background1"/>
          </w:tcPr>
          <w:p w14:paraId="16AFCFE3"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c>
          <w:tcPr>
            <w:tcW w:w="741" w:type="pct"/>
            <w:tcBorders>
              <w:top w:val="single" w:sz="4" w:space="0" w:color="auto"/>
              <w:bottom w:val="single" w:sz="4" w:space="0" w:color="auto"/>
            </w:tcBorders>
            <w:shd w:val="clear" w:color="auto" w:fill="FFFFFF" w:themeFill="background1"/>
          </w:tcPr>
          <w:p w14:paraId="71C6E7E7"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r w:rsidR="00F55B51">
              <w:rPr>
                <w:rFonts w:asciiTheme="minorHAnsi" w:hAnsiTheme="minorHAnsi" w:cstheme="minorHAnsi"/>
                <w:b/>
                <w:noProof/>
              </w:rPr>
              <w:t>+</w:t>
            </w:r>
          </w:p>
        </w:tc>
        <w:tc>
          <w:tcPr>
            <w:tcW w:w="740" w:type="pct"/>
            <w:tcBorders>
              <w:top w:val="single" w:sz="4" w:space="0" w:color="auto"/>
              <w:bottom w:val="single" w:sz="4" w:space="0" w:color="auto"/>
            </w:tcBorders>
            <w:shd w:val="clear" w:color="auto" w:fill="FFFFFF" w:themeFill="background1"/>
          </w:tcPr>
          <w:p w14:paraId="76BB8675" w14:textId="77777777" w:rsidR="00A14107" w:rsidRPr="00A14107" w:rsidRDefault="00A14107" w:rsidP="00A14107">
            <w:pPr>
              <w:jc w:val="center"/>
              <w:rPr>
                <w:rFonts w:asciiTheme="minorHAnsi" w:hAnsiTheme="minorHAnsi" w:cstheme="minorHAnsi"/>
                <w:b/>
                <w:noProof/>
              </w:rPr>
            </w:pPr>
            <w:r w:rsidRPr="00A14107">
              <w:rPr>
                <w:rFonts w:asciiTheme="minorHAnsi" w:hAnsiTheme="minorHAnsi" w:cstheme="minorHAnsi"/>
                <w:b/>
                <w:noProof/>
              </w:rPr>
              <w:t>--</w:t>
            </w:r>
          </w:p>
        </w:tc>
      </w:tr>
    </w:tbl>
    <w:p w14:paraId="21ADDA1C" w14:textId="77777777" w:rsidR="00A14107" w:rsidRPr="00A14107" w:rsidRDefault="00A14107" w:rsidP="00A14107">
      <w:pPr>
        <w:rPr>
          <w:noProof/>
        </w:rPr>
      </w:pPr>
      <w:r w:rsidRPr="00A14107">
        <w:rPr>
          <w:noProof/>
        </w:rPr>
        <w:t>+</w:t>
      </w:r>
      <w:r w:rsidR="00B17377">
        <w:rPr>
          <w:noProof/>
        </w:rPr>
        <w:t>++</w:t>
      </w:r>
      <w:r w:rsidRPr="00A14107">
        <w:rPr>
          <w:noProof/>
        </w:rPr>
        <w:t>/++/</w:t>
      </w:r>
      <w:r w:rsidR="00B17377">
        <w:rPr>
          <w:noProof/>
        </w:rPr>
        <w:t>+ positive, -/--/--- negative</w:t>
      </w:r>
      <w:r w:rsidRPr="00A14107">
        <w:rPr>
          <w:noProof/>
        </w:rPr>
        <w:t xml:space="preserve"> </w:t>
      </w:r>
    </w:p>
    <w:p w14:paraId="259516D3" w14:textId="235C1A56" w:rsidR="00A14107" w:rsidRPr="006C1A6B" w:rsidRDefault="00896FDA" w:rsidP="00896FDA">
      <w:pPr>
        <w:pStyle w:val="Heading1"/>
        <w:rPr>
          <w:noProof/>
        </w:rPr>
      </w:pPr>
      <w:bookmarkStart w:id="236" w:name="_Toc71559428"/>
      <w:bookmarkStart w:id="237" w:name="_Toc71707057"/>
      <w:bookmarkStart w:id="238" w:name="_Toc71708243"/>
      <w:bookmarkStart w:id="239" w:name="_Toc71710975"/>
      <w:bookmarkStart w:id="240" w:name="_Toc72399385"/>
      <w:bookmarkStart w:id="241" w:name="_Toc93511481"/>
      <w:r w:rsidRPr="00896FDA">
        <w:t>8.</w:t>
      </w:r>
      <w:r w:rsidRPr="00896FDA">
        <w:tab/>
      </w:r>
      <w:r w:rsidR="00A14107" w:rsidRPr="006C1A6B">
        <w:rPr>
          <w:noProof/>
        </w:rPr>
        <w:t>Preferred option</w:t>
      </w:r>
      <w:bookmarkEnd w:id="236"/>
      <w:bookmarkEnd w:id="237"/>
      <w:bookmarkEnd w:id="238"/>
      <w:bookmarkEnd w:id="239"/>
      <w:bookmarkEnd w:id="240"/>
      <w:bookmarkEnd w:id="241"/>
    </w:p>
    <w:p w14:paraId="63996E66"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b/>
          <w:noProof/>
          <w:sz w:val="24"/>
          <w:szCs w:val="24"/>
        </w:rPr>
        <w:t>The preferred option is Option 2.</w:t>
      </w:r>
      <w:r w:rsidRPr="00A14107">
        <w:rPr>
          <w:rFonts w:ascii="Times New Roman" w:hAnsi="Times New Roman" w:cs="Times New Roman"/>
          <w:noProof/>
          <w:sz w:val="24"/>
          <w:szCs w:val="24"/>
        </w:rPr>
        <w:t xml:space="preserve"> It achieves significantly more emission savings than the low cost option and is therefore more coherent with the European Green Deal than Option 1 (See Table 4). </w:t>
      </w:r>
      <w:r w:rsidRPr="00D70A6E">
        <w:rPr>
          <w:rFonts w:ascii="Times New Roman" w:hAnsi="Times New Roman" w:cs="Times New Roman"/>
          <w:b/>
          <w:noProof/>
          <w:sz w:val="24"/>
          <w:szCs w:val="24"/>
        </w:rPr>
        <w:t>Moreover, compared to the forecasted costs in the EU long term strategy needed to reach climate neutrality (€390/tCO2e), the abatement costs for Option 2 are very reasonable</w:t>
      </w:r>
      <w:r w:rsidR="00D70A6E">
        <w:rPr>
          <w:rFonts w:ascii="Times New Roman" w:hAnsi="Times New Roman" w:cs="Times New Roman"/>
          <w:b/>
          <w:noProof/>
          <w:sz w:val="24"/>
          <w:szCs w:val="24"/>
        </w:rPr>
        <w:t xml:space="preserve"> and proportionate to what is asked of other sectors</w:t>
      </w:r>
      <w:r w:rsidRPr="00D70A6E">
        <w:rPr>
          <w:rFonts w:ascii="Times New Roman" w:hAnsi="Times New Roman" w:cs="Times New Roman"/>
          <w:b/>
          <w:noProof/>
          <w:sz w:val="24"/>
          <w:szCs w:val="24"/>
        </w:rPr>
        <w:t xml:space="preserve">. </w:t>
      </w:r>
      <w:r w:rsidRPr="00A14107">
        <w:rPr>
          <w:rFonts w:ascii="Times New Roman" w:hAnsi="Times New Roman" w:cs="Times New Roman"/>
          <w:noProof/>
          <w:sz w:val="24"/>
          <w:szCs w:val="24"/>
        </w:rPr>
        <w:t>On the other hand, Option 3 would add considerable costs at only incremental and possibly doubtful environmental benefit.</w:t>
      </w:r>
    </w:p>
    <w:p w14:paraId="102D1F6A"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The preferred option is characterised as follows:</w:t>
      </w:r>
    </w:p>
    <w:p w14:paraId="2E1AEF9D" w14:textId="77777777" w:rsidR="00A14107" w:rsidRPr="00A14107" w:rsidRDefault="00A14107" w:rsidP="00243A67">
      <w:pPr>
        <w:numPr>
          <w:ilvl w:val="0"/>
          <w:numId w:val="9"/>
        </w:numPr>
        <w:tabs>
          <w:tab w:val="left" w:pos="2302"/>
        </w:tabs>
        <w:spacing w:after="0" w:line="240" w:lineRule="auto"/>
        <w:ind w:left="714" w:hanging="357"/>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The main additional way of avoiding emissions, in climate and ozone terms, is to make explicit requirements on recovering some foams from construction and demolition waste and destroy</w:t>
      </w:r>
      <w:r w:rsidR="00602BDA">
        <w:rPr>
          <w:rFonts w:ascii="Times New Roman" w:eastAsia="Times New Roman" w:hAnsi="Times New Roman" w:cs="Times New Roman"/>
          <w:noProof/>
          <w:sz w:val="24"/>
          <w:szCs w:val="20"/>
        </w:rPr>
        <w:t>ing</w:t>
      </w:r>
      <w:r w:rsidRPr="00A14107">
        <w:rPr>
          <w:rFonts w:ascii="Times New Roman" w:eastAsia="Times New Roman" w:hAnsi="Times New Roman" w:cs="Times New Roman"/>
          <w:noProof/>
          <w:sz w:val="24"/>
          <w:szCs w:val="20"/>
        </w:rPr>
        <w:t xml:space="preserve"> the ODS contained therein;</w:t>
      </w:r>
    </w:p>
    <w:p w14:paraId="5A672629" w14:textId="77777777" w:rsidR="00A14107" w:rsidRPr="00A14107" w:rsidRDefault="00A14107" w:rsidP="00243A67">
      <w:pPr>
        <w:numPr>
          <w:ilvl w:val="0"/>
          <w:numId w:val="9"/>
        </w:numPr>
        <w:tabs>
          <w:tab w:val="left" w:pos="2302"/>
        </w:tabs>
        <w:spacing w:after="0" w:line="240" w:lineRule="auto"/>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It should also be prohibited to destroy halons to preserve stocks for the remaining critical uses until these have all disappeared, to prevent a future need for new production of halons;</w:t>
      </w:r>
    </w:p>
    <w:p w14:paraId="422FE1B7" w14:textId="77777777" w:rsidR="00A14107" w:rsidRPr="00A14107" w:rsidRDefault="00A14107" w:rsidP="00243A67">
      <w:pPr>
        <w:numPr>
          <w:ilvl w:val="0"/>
          <w:numId w:val="9"/>
        </w:numPr>
        <w:tabs>
          <w:tab w:val="left" w:pos="2302"/>
        </w:tabs>
        <w:spacing w:after="0" w:line="240" w:lineRule="auto"/>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All options that are meant to reduce the burden on companies and authorities and/or improving the controls in place are included;</w:t>
      </w:r>
    </w:p>
    <w:p w14:paraId="41F2F5C2" w14:textId="77777777" w:rsidR="00A14107" w:rsidRPr="00A14107" w:rsidRDefault="00A14107" w:rsidP="00243A67">
      <w:pPr>
        <w:numPr>
          <w:ilvl w:val="0"/>
          <w:numId w:val="9"/>
        </w:numPr>
        <w:tabs>
          <w:tab w:val="left" w:pos="2302"/>
        </w:tabs>
        <w:spacing w:after="0" w:line="240" w:lineRule="auto"/>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All options to improve monitoring are included;</w:t>
      </w:r>
    </w:p>
    <w:p w14:paraId="20CAE9DF" w14:textId="77777777" w:rsidR="00A14107" w:rsidRPr="00A14107" w:rsidRDefault="00A14107" w:rsidP="00243A67">
      <w:pPr>
        <w:numPr>
          <w:ilvl w:val="0"/>
          <w:numId w:val="9"/>
        </w:numPr>
        <w:tabs>
          <w:tab w:val="left" w:pos="2302"/>
        </w:tabs>
        <w:spacing w:after="0" w:line="240" w:lineRule="auto"/>
        <w:jc w:val="both"/>
        <w:rPr>
          <w:rFonts w:ascii="Times New Roman" w:eastAsia="Times New Roman" w:hAnsi="Times New Roman" w:cs="Times New Roman"/>
          <w:noProof/>
          <w:sz w:val="24"/>
          <w:szCs w:val="20"/>
        </w:rPr>
      </w:pPr>
      <w:r w:rsidRPr="00A14107">
        <w:rPr>
          <w:rFonts w:ascii="Times New Roman" w:eastAsia="Times New Roman" w:hAnsi="Times New Roman" w:cs="Times New Roman"/>
          <w:noProof/>
          <w:sz w:val="24"/>
          <w:szCs w:val="20"/>
        </w:rPr>
        <w:t>All options to improve coherence and clarifications are included.</w:t>
      </w:r>
    </w:p>
    <w:p w14:paraId="237AD40C" w14:textId="77777777" w:rsidR="00A14107" w:rsidRPr="00A14107" w:rsidRDefault="00A14107" w:rsidP="00A14107">
      <w:pPr>
        <w:tabs>
          <w:tab w:val="left" w:pos="2302"/>
        </w:tabs>
        <w:spacing w:after="0" w:line="240" w:lineRule="auto"/>
        <w:jc w:val="both"/>
        <w:rPr>
          <w:rFonts w:ascii="Times New Roman" w:eastAsia="Times New Roman" w:hAnsi="Times New Roman" w:cs="Times New Roman"/>
          <w:noProof/>
          <w:sz w:val="24"/>
          <w:szCs w:val="20"/>
        </w:rPr>
      </w:pPr>
    </w:p>
    <w:p w14:paraId="3A25A780" w14:textId="49858C17" w:rsidR="00A14107" w:rsidRPr="00A14107" w:rsidRDefault="00896FDA" w:rsidP="00896FDA">
      <w:pPr>
        <w:pStyle w:val="Heading2"/>
        <w:rPr>
          <w:noProof/>
        </w:rPr>
      </w:pPr>
      <w:bookmarkStart w:id="242" w:name="_Toc71559430"/>
      <w:bookmarkStart w:id="243" w:name="_Toc71707059"/>
      <w:bookmarkStart w:id="244" w:name="_Toc71708245"/>
      <w:bookmarkStart w:id="245" w:name="_Toc71710977"/>
      <w:bookmarkStart w:id="246" w:name="_Toc72399386"/>
      <w:bookmarkStart w:id="247" w:name="_Toc93511482"/>
      <w:r w:rsidRPr="00896FDA">
        <w:t>8.1.</w:t>
      </w:r>
      <w:r w:rsidRPr="00896FDA">
        <w:tab/>
      </w:r>
      <w:r w:rsidR="00A14107" w:rsidRPr="00A14107">
        <w:rPr>
          <w:noProof/>
        </w:rPr>
        <w:t>REFIT (simplification and improved efficiency)</w:t>
      </w:r>
      <w:bookmarkEnd w:id="242"/>
      <w:bookmarkEnd w:id="243"/>
      <w:bookmarkEnd w:id="244"/>
      <w:bookmarkEnd w:id="245"/>
      <w:bookmarkEnd w:id="246"/>
      <w:bookmarkEnd w:id="247"/>
    </w:p>
    <w:p w14:paraId="5197BCDB" w14:textId="77777777" w:rsidR="00A14107" w:rsidRPr="00A14107" w:rsidRDefault="00A14107" w:rsidP="00A14107">
      <w:pPr>
        <w:jc w:val="both"/>
        <w:rPr>
          <w:rFonts w:ascii="Times New Roman" w:hAnsi="Times New Roman" w:cs="Times New Roman"/>
          <w:noProof/>
          <w:sz w:val="24"/>
          <w:szCs w:val="24"/>
        </w:rPr>
      </w:pPr>
      <w:r w:rsidRPr="00A14107">
        <w:rPr>
          <w:rFonts w:ascii="Times New Roman" w:hAnsi="Times New Roman" w:cs="Times New Roman"/>
          <w:noProof/>
          <w:sz w:val="24"/>
          <w:szCs w:val="24"/>
        </w:rPr>
        <w:t>A significant focus of this review is on increasing efficiency of the existing measures, rather than creating new ones, given that this is a Regulation that has been evolving over three decades. The cost savings achievable by some of these efficiency measures are outlined in Table 5. In addition, two efficiency measures (B2 and B3) aim at increasing custom</w:t>
      </w:r>
      <w:r w:rsidR="00602BDA">
        <w:rPr>
          <w:rFonts w:ascii="Times New Roman" w:hAnsi="Times New Roman" w:cs="Times New Roman"/>
          <w:noProof/>
          <w:sz w:val="24"/>
          <w:szCs w:val="24"/>
        </w:rPr>
        <w:t>s</w:t>
      </w:r>
      <w:r w:rsidRPr="00A14107">
        <w:rPr>
          <w:rFonts w:ascii="Times New Roman" w:hAnsi="Times New Roman" w:cs="Times New Roman"/>
          <w:noProof/>
          <w:sz w:val="24"/>
          <w:szCs w:val="24"/>
        </w:rPr>
        <w:t xml:space="preserve"> controls in order to control illegal trade more tightly at little extra cost. </w:t>
      </w:r>
    </w:p>
    <w:p w14:paraId="4534F1DA" w14:textId="77777777" w:rsidR="00D13A9E" w:rsidRDefault="00D13A9E">
      <w:pPr>
        <w:rPr>
          <w:noProof/>
          <w:color w:val="0070C0"/>
          <w:sz w:val="20"/>
          <w:szCs w:val="20"/>
        </w:rPr>
      </w:pPr>
      <w:r>
        <w:rPr>
          <w:noProof/>
          <w:color w:val="0070C0"/>
          <w:sz w:val="20"/>
          <w:szCs w:val="20"/>
        </w:rPr>
        <w:br w:type="page"/>
      </w:r>
    </w:p>
    <w:p w14:paraId="1B2F1F4D" w14:textId="77777777" w:rsidR="00A14107" w:rsidRPr="00A14107" w:rsidRDefault="00A14107" w:rsidP="00A14107">
      <w:pPr>
        <w:jc w:val="both"/>
        <w:rPr>
          <w:noProof/>
          <w:color w:val="0070C0"/>
          <w:sz w:val="20"/>
          <w:szCs w:val="20"/>
        </w:rPr>
      </w:pPr>
      <w:r w:rsidRPr="00A14107">
        <w:rPr>
          <w:noProof/>
          <w:color w:val="0070C0"/>
          <w:sz w:val="20"/>
          <w:szCs w:val="20"/>
        </w:rPr>
        <w:t>Table 5. Refit costs savings of the preferred option</w:t>
      </w:r>
    </w:p>
    <w:tbl>
      <w:tblPr>
        <w:tblStyle w:val="CV131"/>
        <w:tblW w:w="8789"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44"/>
        <w:gridCol w:w="2410"/>
        <w:gridCol w:w="2835"/>
      </w:tblGrid>
      <w:tr w:rsidR="00A14107" w:rsidRPr="00A14107" w14:paraId="4E809196" w14:textId="77777777" w:rsidTr="00A14107">
        <w:tc>
          <w:tcPr>
            <w:tcW w:w="8789" w:type="dxa"/>
            <w:gridSpan w:val="3"/>
            <w:tcBorders>
              <w:top w:val="double" w:sz="4" w:space="0" w:color="auto"/>
              <w:bottom w:val="single" w:sz="4" w:space="0" w:color="auto"/>
            </w:tcBorders>
            <w:shd w:val="clear" w:color="auto" w:fill="C6D9F1" w:themeFill="text2" w:themeFillTint="33"/>
          </w:tcPr>
          <w:p w14:paraId="79D07E0C" w14:textId="77777777" w:rsidR="00A14107" w:rsidRPr="00A14107" w:rsidRDefault="00A14107" w:rsidP="00A14107">
            <w:pPr>
              <w:tabs>
                <w:tab w:val="num" w:pos="425"/>
              </w:tabs>
              <w:jc w:val="center"/>
              <w:rPr>
                <w:b/>
                <w:i/>
                <w:noProof/>
              </w:rPr>
            </w:pPr>
            <w:r w:rsidRPr="00A14107">
              <w:rPr>
                <w:b/>
                <w:i/>
                <w:noProof/>
              </w:rPr>
              <w:t>REFIT Cost Savings – Preferred Option(s)</w:t>
            </w:r>
          </w:p>
        </w:tc>
      </w:tr>
      <w:tr w:rsidR="00A14107" w:rsidRPr="00A14107" w14:paraId="03F88D25" w14:textId="77777777" w:rsidTr="00A14107">
        <w:tc>
          <w:tcPr>
            <w:tcW w:w="3544" w:type="dxa"/>
            <w:tcBorders>
              <w:top w:val="single" w:sz="4" w:space="0" w:color="auto"/>
            </w:tcBorders>
            <w:shd w:val="clear" w:color="auto" w:fill="F2F2F2" w:themeFill="background1" w:themeFillShade="F2"/>
          </w:tcPr>
          <w:p w14:paraId="355E11D1" w14:textId="77777777" w:rsidR="00A14107" w:rsidRPr="00A14107" w:rsidRDefault="00A14107" w:rsidP="00A14107">
            <w:pPr>
              <w:tabs>
                <w:tab w:val="num" w:pos="425"/>
              </w:tabs>
              <w:jc w:val="center"/>
              <w:rPr>
                <w:b/>
                <w:i/>
                <w:noProof/>
              </w:rPr>
            </w:pPr>
            <w:r w:rsidRPr="00A14107">
              <w:rPr>
                <w:b/>
                <w:i/>
                <w:noProof/>
              </w:rPr>
              <w:t>Description</w:t>
            </w:r>
          </w:p>
        </w:tc>
        <w:tc>
          <w:tcPr>
            <w:tcW w:w="2410" w:type="dxa"/>
            <w:tcBorders>
              <w:top w:val="single" w:sz="4" w:space="0" w:color="auto"/>
              <w:bottom w:val="double" w:sz="4" w:space="0" w:color="auto"/>
            </w:tcBorders>
            <w:shd w:val="clear" w:color="auto" w:fill="F2F2F2" w:themeFill="background1" w:themeFillShade="F2"/>
          </w:tcPr>
          <w:p w14:paraId="74DE4F19" w14:textId="77777777" w:rsidR="00A14107" w:rsidRPr="00A14107" w:rsidRDefault="00A14107" w:rsidP="00A14107">
            <w:pPr>
              <w:tabs>
                <w:tab w:val="num" w:pos="425"/>
              </w:tabs>
              <w:jc w:val="center"/>
              <w:rPr>
                <w:b/>
                <w:i/>
                <w:noProof/>
              </w:rPr>
            </w:pPr>
            <w:r w:rsidRPr="00A14107">
              <w:rPr>
                <w:b/>
                <w:i/>
                <w:noProof/>
              </w:rPr>
              <w:t xml:space="preserve">Amount </w:t>
            </w:r>
          </w:p>
          <w:p w14:paraId="0F8D5990" w14:textId="77777777" w:rsidR="00A14107" w:rsidRPr="00A14107" w:rsidRDefault="00A14107" w:rsidP="00A14107">
            <w:pPr>
              <w:tabs>
                <w:tab w:val="num" w:pos="425"/>
              </w:tabs>
              <w:jc w:val="center"/>
              <w:rPr>
                <w:b/>
                <w:i/>
                <w:noProof/>
              </w:rPr>
            </w:pPr>
          </w:p>
        </w:tc>
        <w:tc>
          <w:tcPr>
            <w:tcW w:w="2835"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14:paraId="3CB196F2" w14:textId="77777777" w:rsidR="00A14107" w:rsidRPr="00A14107" w:rsidRDefault="00A14107" w:rsidP="00A14107">
            <w:pPr>
              <w:tabs>
                <w:tab w:val="num" w:pos="425"/>
              </w:tabs>
              <w:jc w:val="center"/>
              <w:rPr>
                <w:b/>
                <w:i/>
                <w:noProof/>
              </w:rPr>
            </w:pPr>
            <w:r w:rsidRPr="00A14107">
              <w:rPr>
                <w:b/>
                <w:i/>
                <w:noProof/>
              </w:rPr>
              <w:t>Comments</w:t>
            </w:r>
          </w:p>
        </w:tc>
      </w:tr>
      <w:tr w:rsidR="00A14107" w:rsidRPr="00A14107" w14:paraId="78FCBA44" w14:textId="77777777" w:rsidTr="00A14107">
        <w:tc>
          <w:tcPr>
            <w:tcW w:w="3544" w:type="dxa"/>
            <w:tcBorders>
              <w:top w:val="double" w:sz="4" w:space="0" w:color="auto"/>
              <w:bottom w:val="single" w:sz="4" w:space="0" w:color="auto"/>
            </w:tcBorders>
          </w:tcPr>
          <w:p w14:paraId="714B8600"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Implementation of a trader licence (B1). Businesses apply for trade licences instead of per-shipment licences to reduce administrative costs.</w:t>
            </w:r>
          </w:p>
        </w:tc>
        <w:tc>
          <w:tcPr>
            <w:tcW w:w="2410" w:type="dxa"/>
            <w:tcBorders>
              <w:top w:val="double" w:sz="4" w:space="0" w:color="auto"/>
              <w:bottom w:val="single" w:sz="4" w:space="0" w:color="auto"/>
            </w:tcBorders>
            <w:tcMar>
              <w:top w:w="57" w:type="dxa"/>
              <w:left w:w="57" w:type="dxa"/>
              <w:bottom w:w="57" w:type="dxa"/>
              <w:right w:w="57" w:type="dxa"/>
            </w:tcMar>
          </w:tcPr>
          <w:p w14:paraId="7960ABBA" w14:textId="77777777" w:rsidR="00A14107" w:rsidRPr="00A14107" w:rsidRDefault="00A14107" w:rsidP="00A14107">
            <w:pPr>
              <w:tabs>
                <w:tab w:val="num" w:pos="425"/>
              </w:tabs>
              <w:rPr>
                <w:rFonts w:asciiTheme="minorHAnsi" w:hAnsiTheme="minorHAnsi" w:cstheme="minorHAnsi"/>
                <w:noProof/>
              </w:rPr>
            </w:pPr>
            <w:r w:rsidRPr="00A14107">
              <w:rPr>
                <w:rFonts w:cstheme="minorHAnsi"/>
                <w:noProof/>
                <w:u w:val="single"/>
              </w:rPr>
              <w:t>Undertakings</w:t>
            </w:r>
            <w:r w:rsidRPr="00A14107">
              <w:rPr>
                <w:rFonts w:cstheme="minorHAnsi"/>
                <w:noProof/>
              </w:rPr>
              <w:t>: €49,000-119,000 per year</w:t>
            </w:r>
          </w:p>
          <w:p w14:paraId="0CA8F6FC" w14:textId="77777777" w:rsidR="00A14107" w:rsidRPr="00A14107" w:rsidRDefault="00A14107" w:rsidP="00A14107">
            <w:pPr>
              <w:tabs>
                <w:tab w:val="num" w:pos="425"/>
              </w:tabs>
              <w:rPr>
                <w:rFonts w:asciiTheme="minorHAnsi" w:hAnsiTheme="minorHAnsi" w:cstheme="minorHAnsi"/>
                <w:noProof/>
                <w:highlight w:val="yellow"/>
              </w:rPr>
            </w:pPr>
          </w:p>
          <w:p w14:paraId="4917D120"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u w:val="single"/>
              </w:rPr>
              <w:t>EC</w:t>
            </w:r>
            <w:r w:rsidRPr="00A14107">
              <w:rPr>
                <w:rFonts w:asciiTheme="minorHAnsi" w:hAnsiTheme="minorHAnsi" w:cstheme="minorHAnsi"/>
                <w:noProof/>
              </w:rPr>
              <w:t>: 95 person days per year</w:t>
            </w:r>
          </w:p>
        </w:tc>
        <w:tc>
          <w:tcPr>
            <w:tcW w:w="2835" w:type="dxa"/>
            <w:tcBorders>
              <w:top w:val="double" w:sz="4" w:space="0" w:color="auto"/>
              <w:bottom w:val="single" w:sz="4" w:space="0" w:color="auto"/>
            </w:tcBorders>
            <w:tcMar>
              <w:top w:w="57" w:type="dxa"/>
              <w:left w:w="57" w:type="dxa"/>
              <w:bottom w:w="57" w:type="dxa"/>
              <w:right w:w="57" w:type="dxa"/>
            </w:tcMar>
          </w:tcPr>
          <w:p w14:paraId="31BE9F94"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 xml:space="preserve">Non-aviation </w:t>
            </w:r>
            <w:r w:rsidRPr="00A14107">
              <w:rPr>
                <w:rFonts w:cstheme="minorHAnsi"/>
                <w:noProof/>
              </w:rPr>
              <w:t xml:space="preserve">importers and exporters </w:t>
            </w:r>
            <w:r w:rsidRPr="00A14107">
              <w:rPr>
                <w:rFonts w:asciiTheme="minorHAnsi" w:hAnsiTheme="minorHAnsi" w:cstheme="minorHAnsi"/>
                <w:noProof/>
              </w:rPr>
              <w:t>are the recipient of the recurrent cost saving.</w:t>
            </w:r>
          </w:p>
        </w:tc>
      </w:tr>
      <w:tr w:rsidR="00A14107" w:rsidRPr="00A14107" w14:paraId="57FC1FB6" w14:textId="77777777" w:rsidTr="00A14107">
        <w:tc>
          <w:tcPr>
            <w:tcW w:w="3544" w:type="dxa"/>
            <w:tcBorders>
              <w:top w:val="single" w:sz="4" w:space="0" w:color="auto"/>
              <w:bottom w:val="single" w:sz="4" w:space="0" w:color="auto"/>
            </w:tcBorders>
          </w:tcPr>
          <w:p w14:paraId="1282CA2D"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Abolish the registration requirements in the LabODS Registry (B4). Reduces the administrative burden and IT costs.</w:t>
            </w:r>
          </w:p>
        </w:tc>
        <w:tc>
          <w:tcPr>
            <w:tcW w:w="2410" w:type="dxa"/>
            <w:tcBorders>
              <w:top w:val="single" w:sz="4" w:space="0" w:color="auto"/>
              <w:bottom w:val="single" w:sz="4" w:space="0" w:color="auto"/>
            </w:tcBorders>
            <w:tcMar>
              <w:top w:w="57" w:type="dxa"/>
              <w:left w:w="57" w:type="dxa"/>
              <w:bottom w:w="57" w:type="dxa"/>
              <w:right w:w="57" w:type="dxa"/>
            </w:tcMar>
          </w:tcPr>
          <w:p w14:paraId="3E92E369"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u w:val="single"/>
              </w:rPr>
              <w:t>Undertakings</w:t>
            </w:r>
            <w:r w:rsidRPr="00A14107">
              <w:rPr>
                <w:rFonts w:asciiTheme="minorHAnsi" w:hAnsiTheme="minorHAnsi" w:cstheme="minorHAnsi"/>
                <w:noProof/>
              </w:rPr>
              <w:t>: €50.000 per year;</w:t>
            </w:r>
          </w:p>
          <w:p w14:paraId="242AFC6D"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u w:val="single"/>
              </w:rPr>
              <w:t>EC</w:t>
            </w:r>
            <w:r w:rsidRPr="00A14107">
              <w:rPr>
                <w:rFonts w:asciiTheme="minorHAnsi" w:hAnsiTheme="minorHAnsi" w:cstheme="minorHAnsi"/>
                <w:noProof/>
              </w:rPr>
              <w:t xml:space="preserve">: annual 99 person days + €31.500 IT maintenance and development costs </w:t>
            </w:r>
          </w:p>
        </w:tc>
        <w:tc>
          <w:tcPr>
            <w:tcW w:w="2835" w:type="dxa"/>
            <w:tcBorders>
              <w:top w:val="single" w:sz="4" w:space="0" w:color="auto"/>
              <w:bottom w:val="single" w:sz="4" w:space="0" w:color="auto"/>
            </w:tcBorders>
            <w:tcMar>
              <w:top w:w="57" w:type="dxa"/>
              <w:left w:w="57" w:type="dxa"/>
              <w:bottom w:w="57" w:type="dxa"/>
              <w:right w:w="57" w:type="dxa"/>
            </w:tcMar>
          </w:tcPr>
          <w:p w14:paraId="2022ADCD"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rPr>
              <w:t>Laboratories and other entities (including SMEs)</w:t>
            </w:r>
          </w:p>
          <w:p w14:paraId="6D7260E5"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rPr>
              <w:t xml:space="preserve">EC: annual 72 person days for processing registrations: 27 person days on the IT system; </w:t>
            </w:r>
          </w:p>
        </w:tc>
      </w:tr>
      <w:tr w:rsidR="00A14107" w:rsidRPr="00A14107" w14:paraId="28F269B6" w14:textId="77777777" w:rsidTr="00A14107">
        <w:tc>
          <w:tcPr>
            <w:tcW w:w="3544" w:type="dxa"/>
            <w:tcBorders>
              <w:top w:val="single" w:sz="4" w:space="0" w:color="auto"/>
              <w:bottom w:val="single" w:sz="4" w:space="0" w:color="auto"/>
            </w:tcBorders>
          </w:tcPr>
          <w:p w14:paraId="7E595FF5"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Abolish annual allocation of quota by Commission Decisions (B5). Reduces the administrative burden.</w:t>
            </w:r>
          </w:p>
        </w:tc>
        <w:tc>
          <w:tcPr>
            <w:tcW w:w="2410" w:type="dxa"/>
            <w:tcBorders>
              <w:top w:val="single" w:sz="4" w:space="0" w:color="auto"/>
              <w:bottom w:val="single" w:sz="4" w:space="0" w:color="auto"/>
            </w:tcBorders>
            <w:tcMar>
              <w:top w:w="57" w:type="dxa"/>
              <w:left w:w="57" w:type="dxa"/>
              <w:bottom w:w="57" w:type="dxa"/>
              <w:right w:w="57" w:type="dxa"/>
            </w:tcMar>
          </w:tcPr>
          <w:p w14:paraId="45C327D9"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u w:val="single"/>
              </w:rPr>
              <w:t>Undertakings</w:t>
            </w:r>
            <w:r w:rsidRPr="00A14107">
              <w:rPr>
                <w:rFonts w:asciiTheme="minorHAnsi" w:hAnsiTheme="minorHAnsi" w:cstheme="minorHAnsi"/>
                <w:noProof/>
              </w:rPr>
              <w:t>: €11.000 per year</w:t>
            </w:r>
          </w:p>
          <w:p w14:paraId="6ADC94C2"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u w:val="single"/>
              </w:rPr>
              <w:t>EC</w:t>
            </w:r>
            <w:r w:rsidRPr="00A14107">
              <w:rPr>
                <w:rFonts w:asciiTheme="minorHAnsi" w:hAnsiTheme="minorHAnsi" w:cstheme="minorHAnsi"/>
                <w:noProof/>
              </w:rPr>
              <w:t>: 60 person days per year</w:t>
            </w:r>
          </w:p>
        </w:tc>
        <w:tc>
          <w:tcPr>
            <w:tcW w:w="2835" w:type="dxa"/>
            <w:tcBorders>
              <w:top w:val="single" w:sz="4" w:space="0" w:color="auto"/>
              <w:bottom w:val="single" w:sz="4" w:space="0" w:color="auto"/>
            </w:tcBorders>
            <w:tcMar>
              <w:top w:w="57" w:type="dxa"/>
              <w:left w:w="57" w:type="dxa"/>
              <w:bottom w:w="57" w:type="dxa"/>
              <w:right w:w="57" w:type="dxa"/>
            </w:tcMar>
          </w:tcPr>
          <w:p w14:paraId="2B43CA05"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rPr>
              <w:t>Feedstock, process agent, halon and laboratory users.</w:t>
            </w:r>
          </w:p>
          <w:p w14:paraId="62A9D8E3"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rPr>
              <w:t>Also small savings for Member States by avoiding preparation of Committee meeting</w:t>
            </w:r>
          </w:p>
        </w:tc>
      </w:tr>
      <w:tr w:rsidR="00A14107" w:rsidRPr="00A14107" w14:paraId="16213DDF" w14:textId="77777777" w:rsidTr="00A14107">
        <w:tc>
          <w:tcPr>
            <w:tcW w:w="3544" w:type="dxa"/>
            <w:tcBorders>
              <w:top w:val="single" w:sz="4" w:space="0" w:color="auto"/>
              <w:bottom w:val="double" w:sz="4" w:space="0" w:color="auto"/>
            </w:tcBorders>
          </w:tcPr>
          <w:p w14:paraId="76CE3E82"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Delay a halon cut-off date for newly type approved aircraft to prevent administrative costs for individual derogations requests and Commission Decisions (B6).</w:t>
            </w:r>
          </w:p>
        </w:tc>
        <w:tc>
          <w:tcPr>
            <w:tcW w:w="2410" w:type="dxa"/>
            <w:tcBorders>
              <w:top w:val="single" w:sz="4" w:space="0" w:color="auto"/>
            </w:tcBorders>
            <w:tcMar>
              <w:top w:w="57" w:type="dxa"/>
              <w:left w:w="57" w:type="dxa"/>
              <w:bottom w:w="57" w:type="dxa"/>
              <w:right w:w="57" w:type="dxa"/>
            </w:tcMar>
          </w:tcPr>
          <w:p w14:paraId="614107CC"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u w:val="single"/>
              </w:rPr>
              <w:t>Undertakings</w:t>
            </w:r>
            <w:r w:rsidRPr="00A14107">
              <w:rPr>
                <w:rFonts w:asciiTheme="minorHAnsi" w:hAnsiTheme="minorHAnsi" w:cstheme="minorHAnsi"/>
                <w:noProof/>
              </w:rPr>
              <w:t>: up to €36,000 in total;</w:t>
            </w:r>
          </w:p>
          <w:p w14:paraId="16D4FFA5" w14:textId="77777777" w:rsidR="00A14107" w:rsidRPr="00A14107" w:rsidRDefault="00A14107" w:rsidP="00A14107">
            <w:pPr>
              <w:tabs>
                <w:tab w:val="num" w:pos="425"/>
              </w:tabs>
              <w:rPr>
                <w:rFonts w:asciiTheme="minorHAnsi" w:hAnsiTheme="minorHAnsi" w:cstheme="minorHAnsi"/>
                <w:noProof/>
              </w:rPr>
            </w:pPr>
            <w:r w:rsidRPr="00A14107">
              <w:rPr>
                <w:rFonts w:asciiTheme="minorHAnsi" w:hAnsiTheme="minorHAnsi" w:cstheme="minorHAnsi"/>
                <w:noProof/>
                <w:u w:val="single"/>
              </w:rPr>
              <w:t>Member States</w:t>
            </w:r>
            <w:r w:rsidRPr="00A14107">
              <w:rPr>
                <w:rFonts w:asciiTheme="minorHAnsi" w:hAnsiTheme="minorHAnsi" w:cstheme="minorHAnsi"/>
                <w:noProof/>
              </w:rPr>
              <w:t>: up to 120 person days in total;</w:t>
            </w:r>
          </w:p>
          <w:p w14:paraId="04600AF4"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u w:val="single"/>
              </w:rPr>
              <w:t>EC</w:t>
            </w:r>
            <w:r w:rsidRPr="00A14107">
              <w:rPr>
                <w:rFonts w:asciiTheme="minorHAnsi" w:hAnsiTheme="minorHAnsi" w:cstheme="minorHAnsi"/>
                <w:noProof/>
              </w:rPr>
              <w:t>: up to 320 person days in total</w:t>
            </w:r>
          </w:p>
        </w:tc>
        <w:tc>
          <w:tcPr>
            <w:tcW w:w="2835" w:type="dxa"/>
            <w:tcBorders>
              <w:top w:val="single" w:sz="4" w:space="0" w:color="auto"/>
            </w:tcBorders>
            <w:tcMar>
              <w:top w:w="57" w:type="dxa"/>
              <w:left w:w="57" w:type="dxa"/>
              <w:bottom w:w="57" w:type="dxa"/>
              <w:right w:w="57" w:type="dxa"/>
            </w:tcMar>
          </w:tcPr>
          <w:p w14:paraId="7390D3FB" w14:textId="77777777" w:rsidR="00A14107" w:rsidRPr="00A14107" w:rsidRDefault="00A14107" w:rsidP="00A14107">
            <w:pPr>
              <w:tabs>
                <w:tab w:val="num" w:pos="425"/>
              </w:tabs>
              <w:rPr>
                <w:rFonts w:asciiTheme="minorHAnsi" w:hAnsiTheme="minorHAnsi" w:cstheme="minorHAnsi"/>
                <w:noProof/>
                <w:highlight w:val="yellow"/>
              </w:rPr>
            </w:pPr>
            <w:r w:rsidRPr="00A14107">
              <w:rPr>
                <w:rFonts w:asciiTheme="minorHAnsi" w:hAnsiTheme="minorHAnsi" w:cstheme="minorHAnsi"/>
                <w:noProof/>
              </w:rPr>
              <w:t>Aviation companies</w:t>
            </w:r>
          </w:p>
        </w:tc>
      </w:tr>
    </w:tbl>
    <w:p w14:paraId="144F46E4" w14:textId="77777777" w:rsidR="00A14107" w:rsidRPr="00A14107" w:rsidRDefault="00A14107" w:rsidP="00DC33C8">
      <w:pPr>
        <w:spacing w:after="0"/>
        <w:rPr>
          <w:noProof/>
        </w:rPr>
      </w:pPr>
    </w:p>
    <w:p w14:paraId="405F591E" w14:textId="2530504E" w:rsidR="00A14107" w:rsidRPr="00A14107" w:rsidRDefault="00896FDA" w:rsidP="00896FDA">
      <w:pPr>
        <w:pStyle w:val="Heading1"/>
        <w:rPr>
          <w:noProof/>
        </w:rPr>
      </w:pPr>
      <w:bookmarkStart w:id="248" w:name="_Toc71559431"/>
      <w:bookmarkStart w:id="249" w:name="_Toc71707060"/>
      <w:bookmarkStart w:id="250" w:name="_Toc71708246"/>
      <w:bookmarkStart w:id="251" w:name="_Toc71710978"/>
      <w:bookmarkStart w:id="252" w:name="_Toc72399387"/>
      <w:bookmarkStart w:id="253" w:name="_Toc93511483"/>
      <w:r w:rsidRPr="00896FDA">
        <w:t>9.</w:t>
      </w:r>
      <w:r w:rsidRPr="00896FDA">
        <w:tab/>
      </w:r>
      <w:r w:rsidR="00A14107" w:rsidRPr="00A14107">
        <w:rPr>
          <w:noProof/>
        </w:rPr>
        <w:t>How will actual impacts be monitored and evaluated?</w:t>
      </w:r>
      <w:bookmarkEnd w:id="248"/>
      <w:bookmarkEnd w:id="249"/>
      <w:bookmarkEnd w:id="250"/>
      <w:bookmarkEnd w:id="251"/>
      <w:bookmarkEnd w:id="252"/>
      <w:bookmarkEnd w:id="253"/>
    </w:p>
    <w:p w14:paraId="24EAA7E5"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Future monitoring and evaluation of the Regulation can rely on the Regulation’s company reporting data that is collected and aggregated by the EEA each year. A confidential report on ODS activities within the EU </w:t>
      </w:r>
      <w:r w:rsidR="00602BDA">
        <w:rPr>
          <w:rFonts w:ascii="Times New Roman" w:hAnsi="Times New Roman" w:cs="Times New Roman"/>
          <w:noProof/>
          <w:sz w:val="24"/>
          <w:szCs w:val="24"/>
        </w:rPr>
        <w:t>has been</w:t>
      </w:r>
      <w:r w:rsidR="00602BDA"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 xml:space="preserve">drafted by the EEA for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 representatives and DG CLIMA which includes data on imports, exports, production, destruction, process agent use, feedstock use and consumption, stocks and data on new ODS (Annex II). The evaluation and this document relies heavily on these data for its analysis. The data reported on production, feedstock, destruction, imports and exports are presented to the Ozone Secretariat, to comply with the EU’s annual reporting obligation carried out on this basis. In addition, there is a public version in the form of a web-based ODS indicator published and updated regularly by the EEA. The policy options C1, C2 and C5 would improve the completeness of this monitoring, in particular as regards production, feedstock use and related emissions of both Annex I and II substances as well as three new ODS added.  </w:t>
      </w:r>
    </w:p>
    <w:p w14:paraId="5937C76B" w14:textId="77777777" w:rsidR="00A14107" w:rsidRPr="00A14107" w:rsidRDefault="00A14107" w:rsidP="00A14107">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In addition, Member States reporting pursuant to Art. 26 allows to (i) monitor the availability of halon stocks to satisfy the remaining critical uses, and to (ii) report on illegal trade activities which may give an indication </w:t>
      </w:r>
      <w:r w:rsidR="00602BDA">
        <w:rPr>
          <w:rFonts w:ascii="Times New Roman" w:hAnsi="Times New Roman" w:cs="Times New Roman"/>
          <w:noProof/>
          <w:sz w:val="24"/>
          <w:szCs w:val="24"/>
        </w:rPr>
        <w:t>of</w:t>
      </w:r>
      <w:r w:rsidR="00602BDA" w:rsidRPr="00A14107">
        <w:rPr>
          <w:rFonts w:ascii="Times New Roman" w:hAnsi="Times New Roman" w:cs="Times New Roman"/>
          <w:noProof/>
          <w:sz w:val="24"/>
          <w:szCs w:val="24"/>
        </w:rPr>
        <w:t xml:space="preserve"> </w:t>
      </w:r>
      <w:r w:rsidRPr="00A14107">
        <w:rPr>
          <w:rFonts w:ascii="Times New Roman" w:hAnsi="Times New Roman" w:cs="Times New Roman"/>
          <w:noProof/>
          <w:sz w:val="24"/>
          <w:szCs w:val="24"/>
        </w:rPr>
        <w:t>the success of aligning with custom</w:t>
      </w:r>
      <w:r w:rsidR="00602BDA">
        <w:rPr>
          <w:rFonts w:ascii="Times New Roman" w:hAnsi="Times New Roman" w:cs="Times New Roman"/>
          <w:noProof/>
          <w:sz w:val="24"/>
          <w:szCs w:val="24"/>
        </w:rPr>
        <w:t>s</w:t>
      </w:r>
      <w:r w:rsidRPr="00A14107">
        <w:rPr>
          <w:rFonts w:ascii="Times New Roman" w:hAnsi="Times New Roman" w:cs="Times New Roman"/>
          <w:noProof/>
          <w:sz w:val="24"/>
          <w:szCs w:val="24"/>
        </w:rPr>
        <w:t xml:space="preserve"> rules and improving controls, including through modernising the licensing system. Efficiency improvements will be monitored by the amount of resources still needed on the EC side, as well as the numbers of (traders) licenses that companies would still require. </w:t>
      </w:r>
    </w:p>
    <w:p w14:paraId="4BEA3BCC" w14:textId="77777777" w:rsidR="00D20FD1" w:rsidRDefault="00A14107" w:rsidP="009217B3">
      <w:pPr>
        <w:spacing w:after="120"/>
        <w:jc w:val="both"/>
        <w:rPr>
          <w:rFonts w:ascii="Times New Roman" w:hAnsi="Times New Roman" w:cs="Times New Roman"/>
          <w:noProof/>
          <w:sz w:val="24"/>
          <w:szCs w:val="24"/>
        </w:rPr>
      </w:pPr>
      <w:r w:rsidRPr="00A14107">
        <w:rPr>
          <w:rFonts w:ascii="Times New Roman" w:hAnsi="Times New Roman" w:cs="Times New Roman"/>
          <w:noProof/>
          <w:sz w:val="24"/>
          <w:szCs w:val="24"/>
        </w:rPr>
        <w:t xml:space="preserve">The enforcement of the recovery of foam banks would be in the hands of the competent </w:t>
      </w:r>
      <w:r w:rsidR="00E02447">
        <w:rPr>
          <w:rFonts w:ascii="Times New Roman" w:hAnsi="Times New Roman" w:cs="Times New Roman"/>
          <w:noProof/>
          <w:sz w:val="24"/>
          <w:szCs w:val="24"/>
        </w:rPr>
        <w:t>Member State</w:t>
      </w:r>
      <w:r w:rsidRPr="00A14107">
        <w:rPr>
          <w:rFonts w:ascii="Times New Roman" w:hAnsi="Times New Roman" w:cs="Times New Roman"/>
          <w:noProof/>
          <w:sz w:val="24"/>
          <w:szCs w:val="24"/>
        </w:rPr>
        <w:t xml:space="preserve"> authorities. There are synergies with national waste regulations that may already monitor the presence of hazardous substances such as ODS in demolition wastes, that would allow to better ensure that ODS are indeed recovered for destruction. Given the distributed nature of the source (i.e. insulation foams in millions of old buildings everywhere, as well as in landfills), regular monitoring of the </w:t>
      </w:r>
      <w:r w:rsidR="009967B0">
        <w:rPr>
          <w:rFonts w:ascii="Times New Roman" w:hAnsi="Times New Roman" w:cs="Times New Roman"/>
          <w:noProof/>
          <w:sz w:val="24"/>
          <w:szCs w:val="24"/>
        </w:rPr>
        <w:t xml:space="preserve">ODS </w:t>
      </w:r>
      <w:r w:rsidRPr="00A14107">
        <w:rPr>
          <w:rFonts w:ascii="Times New Roman" w:hAnsi="Times New Roman" w:cs="Times New Roman"/>
          <w:noProof/>
          <w:sz w:val="24"/>
          <w:szCs w:val="24"/>
        </w:rPr>
        <w:t>bank</w:t>
      </w:r>
      <w:r w:rsidR="009967B0">
        <w:rPr>
          <w:rFonts w:ascii="Times New Roman" w:hAnsi="Times New Roman" w:cs="Times New Roman"/>
          <w:noProof/>
          <w:sz w:val="24"/>
          <w:szCs w:val="24"/>
        </w:rPr>
        <w:t>s</w:t>
      </w:r>
      <w:r w:rsidRPr="00A14107">
        <w:rPr>
          <w:rFonts w:ascii="Times New Roman" w:hAnsi="Times New Roman" w:cs="Times New Roman"/>
          <w:noProof/>
          <w:sz w:val="24"/>
          <w:szCs w:val="24"/>
        </w:rPr>
        <w:t xml:space="preserve"> seems difficult to achieve (see discarded options). </w:t>
      </w:r>
      <w:bookmarkStart w:id="254" w:name="_Ref69277848"/>
      <w:bookmarkStart w:id="255" w:name="_Ref65138018"/>
      <w:bookmarkStart w:id="256" w:name="_Toc59023370"/>
      <w:bookmarkStart w:id="257" w:name="_Toc59023741"/>
      <w:bookmarkEnd w:id="254"/>
      <w:bookmarkEnd w:id="255"/>
      <w:bookmarkEnd w:id="256"/>
      <w:bookmarkEnd w:id="257"/>
    </w:p>
    <w:p w14:paraId="7404D879" w14:textId="77777777" w:rsidR="001D2F32" w:rsidRDefault="001D2F32" w:rsidP="009217B3">
      <w:pPr>
        <w:spacing w:after="120"/>
        <w:jc w:val="both"/>
        <w:rPr>
          <w:rFonts w:ascii="Times New Roman" w:hAnsi="Times New Roman" w:cs="Times New Roman"/>
          <w:noProof/>
          <w:sz w:val="24"/>
          <w:szCs w:val="24"/>
        </w:rPr>
      </w:pPr>
      <w:r>
        <w:rPr>
          <w:rFonts w:ascii="Times New Roman" w:hAnsi="Times New Roman" w:cs="Times New Roman"/>
          <w:noProof/>
          <w:sz w:val="24"/>
          <w:szCs w:val="24"/>
        </w:rPr>
        <w:t>An evaluation of the Regulation should be carried out by 203</w:t>
      </w:r>
      <w:r w:rsidR="00173E94">
        <w:rPr>
          <w:rFonts w:ascii="Times New Roman" w:hAnsi="Times New Roman" w:cs="Times New Roman"/>
          <w:noProof/>
          <w:sz w:val="24"/>
          <w:szCs w:val="24"/>
        </w:rPr>
        <w:t>3</w:t>
      </w:r>
      <w:r>
        <w:rPr>
          <w:rFonts w:ascii="Times New Roman" w:hAnsi="Times New Roman" w:cs="Times New Roman"/>
          <w:noProof/>
          <w:sz w:val="24"/>
          <w:szCs w:val="24"/>
        </w:rPr>
        <w:t>.</w:t>
      </w:r>
      <w:r w:rsidRPr="001D2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In this context, </w:t>
      </w:r>
      <w:r w:rsidRPr="00A14107">
        <w:rPr>
          <w:rFonts w:ascii="Times New Roman" w:hAnsi="Times New Roman" w:cs="Times New Roman"/>
          <w:noProof/>
          <w:sz w:val="24"/>
          <w:szCs w:val="24"/>
        </w:rPr>
        <w:t>a study similar to</w:t>
      </w:r>
      <w:r w:rsidRPr="00A14107">
        <w:rPr>
          <w:rFonts w:ascii="Times New Roman" w:hAnsi="Times New Roman" w:cs="Times New Roman"/>
          <w:i/>
          <w:noProof/>
          <w:sz w:val="24"/>
          <w:szCs w:val="24"/>
        </w:rPr>
        <w:t xml:space="preserve"> </w:t>
      </w:r>
      <w:r w:rsidRPr="00A14107">
        <w:rPr>
          <w:rFonts w:ascii="Times New Roman" w:hAnsi="Times New Roman" w:cs="Times New Roman"/>
          <w:noProof/>
          <w:sz w:val="24"/>
          <w:szCs w:val="24"/>
        </w:rPr>
        <w:t>SKM Enviros (2012) would be needed to estimate the progress</w:t>
      </w:r>
      <w:r>
        <w:rPr>
          <w:rFonts w:ascii="Times New Roman" w:hAnsi="Times New Roman" w:cs="Times New Roman"/>
          <w:noProof/>
          <w:sz w:val="24"/>
          <w:szCs w:val="24"/>
        </w:rPr>
        <w:t xml:space="preserve"> on foam banks</w:t>
      </w:r>
      <w:r w:rsidRPr="00A14107">
        <w:rPr>
          <w:rFonts w:ascii="Times New Roman" w:hAnsi="Times New Roman" w:cs="Times New Roman"/>
          <w:noProof/>
          <w:sz w:val="24"/>
          <w:szCs w:val="24"/>
        </w:rPr>
        <w:t>.</w:t>
      </w:r>
      <w:r>
        <w:rPr>
          <w:rFonts w:ascii="Times New Roman" w:hAnsi="Times New Roman" w:cs="Times New Roman"/>
          <w:noProof/>
          <w:sz w:val="24"/>
          <w:szCs w:val="24"/>
        </w:rPr>
        <w:t xml:space="preserve"> The evaluation should </w:t>
      </w:r>
      <w:r w:rsidR="00AB07DF">
        <w:rPr>
          <w:rFonts w:ascii="Times New Roman" w:hAnsi="Times New Roman" w:cs="Times New Roman"/>
          <w:noProof/>
          <w:sz w:val="24"/>
          <w:szCs w:val="24"/>
        </w:rPr>
        <w:t>also examine the developments in</w:t>
      </w:r>
      <w:r>
        <w:rPr>
          <w:rFonts w:ascii="Times New Roman" w:hAnsi="Times New Roman" w:cs="Times New Roman"/>
          <w:noProof/>
          <w:sz w:val="24"/>
          <w:szCs w:val="24"/>
        </w:rPr>
        <w:t xml:space="preserve"> administrative costs.</w:t>
      </w:r>
    </w:p>
    <w:p w14:paraId="78F19237" w14:textId="77777777" w:rsidR="004D45F1" w:rsidRDefault="004D45F1">
      <w:pPr>
        <w:rPr>
          <w:rFonts w:ascii="Times New Roman" w:hAnsi="Times New Roman" w:cs="Times New Roman"/>
          <w:noProof/>
          <w:sz w:val="24"/>
          <w:szCs w:val="24"/>
        </w:rPr>
      </w:pPr>
      <w:r>
        <w:rPr>
          <w:rFonts w:ascii="Times New Roman" w:hAnsi="Times New Roman" w:cs="Times New Roman"/>
          <w:noProof/>
          <w:sz w:val="24"/>
          <w:szCs w:val="24"/>
        </w:rPr>
        <w:br w:type="page"/>
      </w:r>
    </w:p>
    <w:p w14:paraId="66833659" w14:textId="77777777" w:rsidR="004D45F1" w:rsidRDefault="004D45F1" w:rsidP="004D45F1">
      <w:pPr>
        <w:pStyle w:val="AnnexTitle"/>
        <w:rPr>
          <w:noProof/>
        </w:rPr>
      </w:pPr>
      <w:bookmarkStart w:id="258" w:name="_Toc71561869"/>
      <w:bookmarkStart w:id="259" w:name="_Toc71559432"/>
      <w:bookmarkStart w:id="260" w:name="_Toc93511484"/>
      <w:r>
        <w:rPr>
          <w:noProof/>
        </w:rPr>
        <w:t>Annex 1: Procedural information</w:t>
      </w:r>
      <w:bookmarkEnd w:id="258"/>
      <w:bookmarkEnd w:id="259"/>
      <w:bookmarkEnd w:id="260"/>
    </w:p>
    <w:p w14:paraId="52C8E39A" w14:textId="77777777" w:rsidR="004D45F1" w:rsidRDefault="004D45F1" w:rsidP="00AD73CF">
      <w:pPr>
        <w:keepNext/>
        <w:numPr>
          <w:ilvl w:val="0"/>
          <w:numId w:val="22"/>
        </w:numPr>
        <w:spacing w:before="240" w:after="240" w:line="240" w:lineRule="auto"/>
        <w:jc w:val="both"/>
        <w:outlineLvl w:val="0"/>
        <w:rPr>
          <w:rFonts w:ascii="Times New Roman" w:eastAsia="Times New Roman" w:hAnsi="Times New Roman" w:cs="Times New Roman"/>
          <w:b/>
          <w:smallCaps/>
          <w:noProof/>
          <w:sz w:val="24"/>
          <w:szCs w:val="20"/>
        </w:rPr>
      </w:pPr>
      <w:bookmarkStart w:id="261" w:name="_Toc71561870"/>
      <w:bookmarkStart w:id="262" w:name="_Toc71559433"/>
      <w:bookmarkStart w:id="263" w:name="_Toc471997754"/>
      <w:r>
        <w:rPr>
          <w:rFonts w:ascii="Times New Roman" w:eastAsia="Times New Roman" w:hAnsi="Times New Roman" w:cs="Times New Roman"/>
          <w:b/>
          <w:smallCaps/>
          <w:noProof/>
          <w:sz w:val="24"/>
          <w:szCs w:val="20"/>
        </w:rPr>
        <w:t>Lead DG, D</w:t>
      </w:r>
      <w:r>
        <w:rPr>
          <w:rFonts w:ascii="Times New Roman" w:eastAsia="Times New Roman" w:hAnsi="Times New Roman" w:cs="Times New Roman"/>
          <w:i/>
          <w:noProof/>
          <w:sz w:val="24"/>
          <w:szCs w:val="20"/>
        </w:rPr>
        <w:t>e</w:t>
      </w:r>
      <w:r>
        <w:rPr>
          <w:rFonts w:ascii="Times New Roman" w:eastAsia="Times New Roman" w:hAnsi="Times New Roman" w:cs="Times New Roman"/>
          <w:b/>
          <w:smallCaps/>
          <w:noProof/>
          <w:sz w:val="24"/>
          <w:szCs w:val="20"/>
        </w:rPr>
        <w:t>cide Planning/CWP references</w:t>
      </w:r>
      <w:bookmarkEnd w:id="261"/>
      <w:bookmarkEnd w:id="262"/>
      <w:bookmarkEnd w:id="263"/>
    </w:p>
    <w:p w14:paraId="7FD05AAA" w14:textId="77777777" w:rsidR="004D45F1" w:rsidRDefault="004D45F1" w:rsidP="00AD73CF">
      <w:pPr>
        <w:numPr>
          <w:ilvl w:val="0"/>
          <w:numId w:val="23"/>
        </w:numPr>
        <w:ind w:left="426" w:hanging="42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Lead Directorate-General (DG) of the European Commission: DG Climate Action (DG CLIMA). </w:t>
      </w:r>
    </w:p>
    <w:p w14:paraId="77333626" w14:textId="77777777" w:rsidR="004D45F1" w:rsidRDefault="004D45F1" w:rsidP="00AD73CF">
      <w:pPr>
        <w:numPr>
          <w:ilvl w:val="0"/>
          <w:numId w:val="23"/>
        </w:numPr>
        <w:ind w:left="426" w:hanging="42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ODS Regulation was selected for the REFIT programme.  The preceding evaluation has been carried out by Unit A2 - Climate Finance, Mainstreaming, Montreal Protocol. The result can be found here: </w:t>
      </w:r>
      <w:hyperlink r:id="rId26" w:history="1">
        <w:r>
          <w:rPr>
            <w:rStyle w:val="Hyperlink"/>
            <w:rFonts w:eastAsia="Calibri"/>
            <w:noProof/>
            <w:color w:val="0000FF"/>
            <w:szCs w:val="24"/>
          </w:rPr>
          <w:t>https://ec.europa.eu/clima/sites/default/files/ozone/docs/swd_2019_406_en.pdf</w:t>
        </w:r>
      </w:hyperlink>
      <w:r>
        <w:rPr>
          <w:rFonts w:ascii="Times New Roman" w:eastAsia="Calibri" w:hAnsi="Times New Roman" w:cs="Times New Roman"/>
          <w:noProof/>
          <w:sz w:val="20"/>
          <w:szCs w:val="20"/>
        </w:rPr>
        <w:t xml:space="preserve"> </w:t>
      </w:r>
    </w:p>
    <w:p w14:paraId="02B13C88" w14:textId="77777777" w:rsidR="004D45F1" w:rsidRDefault="004D45F1" w:rsidP="00AD73CF">
      <w:pPr>
        <w:numPr>
          <w:ilvl w:val="0"/>
          <w:numId w:val="23"/>
        </w:numPr>
        <w:ind w:left="426" w:hanging="42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Decide Planning reference: PLAN/2019/927 “Impact Assessment of the Ozone Regulation”.</w:t>
      </w:r>
    </w:p>
    <w:p w14:paraId="646BD019" w14:textId="77777777" w:rsidR="004D45F1" w:rsidRDefault="004D45F1" w:rsidP="00AD73CF">
      <w:pPr>
        <w:pStyle w:val="ListParagraph"/>
        <w:keepNext/>
        <w:numPr>
          <w:ilvl w:val="0"/>
          <w:numId w:val="24"/>
        </w:numPr>
        <w:spacing w:before="240" w:after="240" w:line="240" w:lineRule="auto"/>
        <w:jc w:val="both"/>
        <w:outlineLvl w:val="0"/>
        <w:rPr>
          <w:rFonts w:ascii="Times New Roman" w:eastAsia="Times New Roman" w:hAnsi="Times New Roman" w:cs="Times New Roman"/>
          <w:b/>
          <w:smallCaps/>
          <w:noProof/>
          <w:sz w:val="24"/>
          <w:szCs w:val="20"/>
        </w:rPr>
      </w:pPr>
      <w:bookmarkStart w:id="264" w:name="_Toc71561871"/>
      <w:bookmarkStart w:id="265" w:name="_Toc71559434"/>
      <w:bookmarkStart w:id="266" w:name="_Toc471997755"/>
      <w:r>
        <w:rPr>
          <w:rFonts w:ascii="Times New Roman" w:eastAsia="Times New Roman" w:hAnsi="Times New Roman" w:cs="Times New Roman"/>
          <w:b/>
          <w:smallCaps/>
          <w:noProof/>
          <w:sz w:val="24"/>
          <w:szCs w:val="20"/>
        </w:rPr>
        <w:t>Organisation and timing</w:t>
      </w:r>
      <w:bookmarkEnd w:id="264"/>
      <w:bookmarkEnd w:id="265"/>
      <w:bookmarkEnd w:id="266"/>
    </w:p>
    <w:p w14:paraId="171B2CBF"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per the Better Regulation Guidelines, an </w:t>
      </w:r>
      <w:r>
        <w:rPr>
          <w:rFonts w:ascii="Times New Roman" w:eastAsia="Calibri" w:hAnsi="Times New Roman" w:cs="Times New Roman"/>
          <w:b/>
          <w:noProof/>
          <w:sz w:val="24"/>
          <w:szCs w:val="24"/>
        </w:rPr>
        <w:t>Interservice Group</w:t>
      </w:r>
      <w:r>
        <w:rPr>
          <w:rFonts w:ascii="Times New Roman" w:eastAsia="Calibri" w:hAnsi="Times New Roman" w:cs="Times New Roman"/>
          <w:noProof/>
          <w:sz w:val="24"/>
          <w:szCs w:val="24"/>
        </w:rPr>
        <w:t xml:space="preserve"> (ISG) was set up in March 2020 on the basis of the ISG for the evaluation to follow up and steer the assessment process. The ISG ensured coherence and comprehensiveness with the Commission’s overall responsibilities and activities in related policy areas, such as environment, economic growth and customs.</w:t>
      </w:r>
    </w:p>
    <w:p w14:paraId="089067D1"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ISG for this </w:t>
      </w:r>
      <w:r w:rsidR="00CA6023">
        <w:rPr>
          <w:rFonts w:ascii="Times New Roman" w:eastAsia="Calibri" w:hAnsi="Times New Roman" w:cs="Times New Roman"/>
          <w:noProof/>
          <w:sz w:val="24"/>
          <w:szCs w:val="24"/>
        </w:rPr>
        <w:t xml:space="preserve">impact assessment </w:t>
      </w:r>
      <w:r>
        <w:rPr>
          <w:rFonts w:ascii="Times New Roman" w:eastAsia="Calibri" w:hAnsi="Times New Roman" w:cs="Times New Roman"/>
          <w:noProof/>
          <w:sz w:val="24"/>
          <w:szCs w:val="24"/>
        </w:rPr>
        <w:t>involved staff from the following Commission’s departments in addition to DG Climate Action: DG ENER, DG ENV, DG GROW, DG TAXUD, Legal Service, and Secretariat-General. Also invited to all meetings and receiving the background information, but not attending, were DG MOVE and DG TRADE.</w:t>
      </w:r>
    </w:p>
    <w:p w14:paraId="26EB7AE5"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ISG met three times (per videoconference): 23 April 2020, 18 November 2020, and 23 March 2021.  Through these meetings and several written exchanges, the ISG participated in the whole impact assessment process leading to the finalisation of the external study and this Staff Working Document. A written consultation was made on a draft of the final Impact Assessment on 17 May and subsequently bilateral meetings were held on 27 May with the Services that provided comments.  </w:t>
      </w:r>
    </w:p>
    <w:p w14:paraId="32D65EFC"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Commission signed a contract for a </w:t>
      </w:r>
      <w:r>
        <w:rPr>
          <w:rFonts w:ascii="Times New Roman" w:eastAsia="Calibri" w:hAnsi="Times New Roman" w:cs="Times New Roman"/>
          <w:b/>
          <w:noProof/>
          <w:sz w:val="24"/>
          <w:szCs w:val="24"/>
        </w:rPr>
        <w:t>support study</w:t>
      </w:r>
      <w:r>
        <w:rPr>
          <w:rFonts w:ascii="Times New Roman" w:eastAsia="Calibri" w:hAnsi="Times New Roman" w:cs="Times New Roman"/>
          <w:noProof/>
          <w:sz w:val="24"/>
          <w:szCs w:val="24"/>
        </w:rPr>
        <w:t xml:space="preserve"> on the impact assessment (contract ref.</w:t>
      </w:r>
      <w:r>
        <w:rPr>
          <w:rFonts w:ascii="Times New Roman" w:eastAsia="Calibri" w:hAnsi="Times New Roman" w:cs="Times New Roman"/>
          <w:noProof/>
        </w:rPr>
        <w:t xml:space="preserve"> </w:t>
      </w:r>
      <w:r>
        <w:rPr>
          <w:rFonts w:ascii="Times New Roman" w:eastAsia="Calibri" w:hAnsi="Times New Roman" w:cs="Times New Roman"/>
          <w:noProof/>
          <w:sz w:val="24"/>
          <w:szCs w:val="24"/>
        </w:rPr>
        <w:t>340201/2019/815261/ETU/CLIMA.A.2) on 27 November 2019. The final report of the support study was approved on 2 June 2021.</w:t>
      </w:r>
    </w:p>
    <w:p w14:paraId="6506C170"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An </w:t>
      </w:r>
      <w:r>
        <w:rPr>
          <w:rFonts w:ascii="Times New Roman" w:eastAsia="Calibri" w:hAnsi="Times New Roman" w:cs="Times New Roman"/>
          <w:b/>
          <w:noProof/>
          <w:sz w:val="24"/>
          <w:szCs w:val="24"/>
        </w:rPr>
        <w:t>inception impact assessment</w:t>
      </w:r>
      <w:r>
        <w:rPr>
          <w:rFonts w:ascii="Times New Roman" w:eastAsia="Calibri" w:hAnsi="Times New Roman" w:cs="Times New Roman"/>
          <w:noProof/>
          <w:sz w:val="24"/>
          <w:szCs w:val="24"/>
        </w:rPr>
        <w:t xml:space="preserve"> was published on 26 March 2020 on the Commission's Europa web site</w:t>
      </w:r>
      <w:r>
        <w:rPr>
          <w:rFonts w:ascii="Times New Roman" w:eastAsia="Calibri" w:hAnsi="Times New Roman" w:cs="Times New Roman"/>
          <w:noProof/>
          <w:sz w:val="24"/>
          <w:szCs w:val="24"/>
          <w:vertAlign w:val="superscript"/>
        </w:rPr>
        <w:footnoteReference w:id="90"/>
      </w:r>
      <w:r>
        <w:rPr>
          <w:rFonts w:ascii="Times New Roman" w:eastAsia="Calibri" w:hAnsi="Times New Roman" w:cs="Times New Roman"/>
          <w:noProof/>
          <w:sz w:val="24"/>
          <w:szCs w:val="24"/>
        </w:rPr>
        <w:t>. The feedback period was open until 23 April 2020.</w:t>
      </w:r>
    </w:p>
    <w:p w14:paraId="4F37C200" w14:textId="77777777" w:rsidR="004D45F1" w:rsidRDefault="004D45F1" w:rsidP="00AD73CF">
      <w:pPr>
        <w:numPr>
          <w:ilvl w:val="0"/>
          <w:numId w:val="25"/>
        </w:numPr>
        <w:ind w:left="426" w:hanging="426"/>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w:t>
      </w:r>
      <w:r>
        <w:rPr>
          <w:rFonts w:ascii="Times New Roman" w:eastAsia="Calibri" w:hAnsi="Times New Roman" w:cs="Times New Roman"/>
          <w:b/>
          <w:noProof/>
          <w:sz w:val="24"/>
          <w:szCs w:val="24"/>
        </w:rPr>
        <w:t xml:space="preserve"> public consultation</w:t>
      </w:r>
      <w:r>
        <w:rPr>
          <w:rFonts w:ascii="Times New Roman" w:eastAsia="Calibri" w:hAnsi="Times New Roman" w:cs="Times New Roman"/>
          <w:noProof/>
          <w:sz w:val="24"/>
          <w:szCs w:val="24"/>
        </w:rPr>
        <w:t xml:space="preserve"> ran from 13 July 2020 to 9 November 2020 (17 weeks, extended because of summer period and pandemic). The results have been published online.</w:t>
      </w:r>
      <w:r>
        <w:rPr>
          <w:rFonts w:ascii="Times New Roman" w:eastAsia="Calibri" w:hAnsi="Times New Roman" w:cs="Times New Roman"/>
          <w:noProof/>
          <w:sz w:val="24"/>
          <w:szCs w:val="24"/>
          <w:vertAlign w:val="superscript"/>
        </w:rPr>
        <w:footnoteReference w:id="91"/>
      </w:r>
    </w:p>
    <w:p w14:paraId="291A4B73" w14:textId="77777777" w:rsidR="004D45F1" w:rsidRDefault="004D45F1" w:rsidP="004D45F1">
      <w:pPr>
        <w:ind w:left="426"/>
        <w:contextualSpacing/>
        <w:rPr>
          <w:rFonts w:ascii="Calibri" w:eastAsia="Calibri" w:hAnsi="Calibri" w:cs="Times New Roman"/>
          <w:noProof/>
          <w:sz w:val="24"/>
          <w:szCs w:val="24"/>
        </w:rPr>
      </w:pPr>
    </w:p>
    <w:p w14:paraId="70CD3F42" w14:textId="77777777" w:rsidR="004D45F1" w:rsidRDefault="004D45F1" w:rsidP="00AD73CF">
      <w:pPr>
        <w:pStyle w:val="ListParagraph"/>
        <w:keepNext/>
        <w:numPr>
          <w:ilvl w:val="0"/>
          <w:numId w:val="24"/>
        </w:numPr>
        <w:tabs>
          <w:tab w:val="num" w:pos="480"/>
        </w:tabs>
        <w:spacing w:before="240" w:after="240" w:line="240" w:lineRule="auto"/>
        <w:jc w:val="both"/>
        <w:outlineLvl w:val="0"/>
        <w:rPr>
          <w:rFonts w:ascii="Times New Roman" w:eastAsia="Times New Roman" w:hAnsi="Times New Roman" w:cs="Times New Roman"/>
          <w:b/>
          <w:smallCaps/>
          <w:noProof/>
          <w:sz w:val="24"/>
          <w:szCs w:val="20"/>
        </w:rPr>
      </w:pPr>
      <w:bookmarkStart w:id="267" w:name="_Toc71561872"/>
      <w:bookmarkStart w:id="268" w:name="_Toc71559435"/>
      <w:bookmarkStart w:id="269" w:name="_Toc471997757"/>
      <w:r>
        <w:rPr>
          <w:rFonts w:ascii="Times New Roman" w:eastAsia="Times New Roman" w:hAnsi="Times New Roman" w:cs="Times New Roman"/>
          <w:b/>
          <w:smallCaps/>
          <w:noProof/>
          <w:sz w:val="24"/>
          <w:szCs w:val="20"/>
        </w:rPr>
        <w:t>Consultation of the RSB</w:t>
      </w:r>
      <w:bookmarkEnd w:id="267"/>
      <w:bookmarkEnd w:id="268"/>
      <w:bookmarkEnd w:id="269"/>
    </w:p>
    <w:p w14:paraId="0D00C7EE" w14:textId="77777777" w:rsidR="004D45F1" w:rsidRDefault="004D45F1" w:rsidP="004D45F1">
      <w:pPr>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draft impact assessment</w:t>
      </w:r>
      <w:r>
        <w:rPr>
          <w:rFonts w:ascii="Times New Roman" w:eastAsia="Calibri" w:hAnsi="Times New Roman" w:cs="Times New Roman"/>
          <w:noProof/>
          <w:sz w:val="24"/>
          <w:szCs w:val="24"/>
        </w:rPr>
        <w:t xml:space="preserve"> was submitted to the Board on 2 June 2021. </w:t>
      </w:r>
    </w:p>
    <w:p w14:paraId="7202C029" w14:textId="77777777" w:rsidR="004D45F1" w:rsidRDefault="004D45F1" w:rsidP="004D45F1">
      <w:pPr>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meeting with the </w:t>
      </w:r>
      <w:r>
        <w:rPr>
          <w:rFonts w:ascii="Times New Roman" w:eastAsia="Calibri" w:hAnsi="Times New Roman" w:cs="Times New Roman"/>
          <w:b/>
          <w:noProof/>
          <w:sz w:val="24"/>
          <w:szCs w:val="24"/>
        </w:rPr>
        <w:t>Regulatory Scrutiny Board</w:t>
      </w:r>
      <w:r>
        <w:rPr>
          <w:rFonts w:ascii="Times New Roman" w:eastAsia="Calibri" w:hAnsi="Times New Roman" w:cs="Times New Roman"/>
          <w:noProof/>
          <w:sz w:val="24"/>
          <w:szCs w:val="24"/>
        </w:rPr>
        <w:t xml:space="preserve"> (RSB) took place on 30 June 2021.</w:t>
      </w:r>
    </w:p>
    <w:p w14:paraId="6E92E8C4" w14:textId="77777777" w:rsidR="004D45F1" w:rsidRDefault="0068528D" w:rsidP="004D45F1">
      <w:pPr>
        <w:autoSpaceDE w:val="0"/>
        <w:autoSpaceDN w:val="0"/>
        <w:adjustRightInd w:val="0"/>
        <w:spacing w:after="0"/>
        <w:jc w:val="both"/>
        <w:rPr>
          <w:rFonts w:ascii="Times New Roman" w:hAnsi="Times New Roman" w:cs="CIDFont+F1"/>
          <w:noProof/>
          <w:sz w:val="24"/>
          <w:szCs w:val="24"/>
        </w:rPr>
      </w:pPr>
      <w:r w:rsidDel="0068528D">
        <w:rPr>
          <w:rFonts w:ascii="Times New Roman" w:eastAsia="Calibri" w:hAnsi="Times New Roman" w:cs="Times New Roman"/>
          <w:noProof/>
          <w:sz w:val="24"/>
          <w:szCs w:val="24"/>
        </w:rPr>
        <w:t xml:space="preserve"> </w:t>
      </w:r>
    </w:p>
    <w:p w14:paraId="14F89B6B" w14:textId="77777777" w:rsidR="009C3DE1" w:rsidRPr="009C3DE1" w:rsidRDefault="004D45F1" w:rsidP="009C3DE1">
      <w:pPr>
        <w:autoSpaceDE w:val="0"/>
        <w:autoSpaceDN w:val="0"/>
        <w:adjustRightInd w:val="0"/>
        <w:spacing w:after="0"/>
        <w:jc w:val="both"/>
        <w:rPr>
          <w:rFonts w:ascii="Times New Roman" w:hAnsi="Times New Roman" w:cs="CIDFont+F3"/>
          <w:noProof/>
          <w:sz w:val="24"/>
          <w:szCs w:val="24"/>
        </w:rPr>
      </w:pPr>
      <w:r w:rsidRPr="00984FEA">
        <w:rPr>
          <w:rFonts w:ascii="Times New Roman" w:hAnsi="Times New Roman" w:cs="CIDFont+F3"/>
          <w:noProof/>
          <w:sz w:val="24"/>
          <w:szCs w:val="24"/>
        </w:rPr>
        <w:t>The Board g</w:t>
      </w:r>
      <w:r w:rsidR="00777784" w:rsidRPr="009C3DE1">
        <w:rPr>
          <w:rFonts w:ascii="Times New Roman" w:hAnsi="Times New Roman" w:cs="CIDFont+F3"/>
          <w:noProof/>
          <w:sz w:val="24"/>
          <w:szCs w:val="24"/>
        </w:rPr>
        <w:t>ave</w:t>
      </w:r>
      <w:r w:rsidRPr="00984FEA">
        <w:rPr>
          <w:rFonts w:ascii="Times New Roman" w:hAnsi="Times New Roman" w:cs="CIDFont+F3"/>
          <w:noProof/>
          <w:sz w:val="24"/>
          <w:szCs w:val="24"/>
        </w:rPr>
        <w:t xml:space="preserve"> a positive opinion</w:t>
      </w:r>
      <w:r w:rsidR="00777784" w:rsidRPr="009C3DE1">
        <w:rPr>
          <w:rFonts w:ascii="Times New Roman" w:hAnsi="Times New Roman" w:cs="CIDFont+F3"/>
          <w:noProof/>
          <w:sz w:val="24"/>
          <w:szCs w:val="24"/>
        </w:rPr>
        <w:t xml:space="preserve"> but</w:t>
      </w:r>
      <w:r w:rsidRPr="00984FEA">
        <w:rPr>
          <w:rFonts w:ascii="Times New Roman" w:hAnsi="Times New Roman" w:cs="CIDFont+F3"/>
          <w:noProof/>
          <w:sz w:val="24"/>
          <w:szCs w:val="24"/>
        </w:rPr>
        <w:t xml:space="preserve"> also consider</w:t>
      </w:r>
      <w:r w:rsidR="00777784" w:rsidRPr="009C3DE1">
        <w:rPr>
          <w:rFonts w:ascii="Times New Roman" w:hAnsi="Times New Roman" w:cs="CIDFont+F3"/>
          <w:noProof/>
          <w:sz w:val="24"/>
          <w:szCs w:val="24"/>
        </w:rPr>
        <w:t>ed</w:t>
      </w:r>
      <w:r w:rsidRPr="00984FEA">
        <w:rPr>
          <w:rFonts w:ascii="Times New Roman" w:hAnsi="Times New Roman" w:cs="CIDFont+F3"/>
          <w:noProof/>
          <w:sz w:val="24"/>
          <w:szCs w:val="24"/>
        </w:rPr>
        <w:t xml:space="preserve"> that the report should fur</w:t>
      </w:r>
      <w:r w:rsidRPr="00943137">
        <w:rPr>
          <w:rFonts w:ascii="Times New Roman" w:hAnsi="Times New Roman" w:cs="CIDFont+F3"/>
          <w:noProof/>
          <w:sz w:val="24"/>
          <w:szCs w:val="24"/>
        </w:rPr>
        <w:t xml:space="preserve">ther improve with respect to the </w:t>
      </w:r>
      <w:r w:rsidRPr="00984FEA">
        <w:rPr>
          <w:rFonts w:ascii="Times New Roman" w:hAnsi="Times New Roman" w:cs="CIDFont+F3"/>
          <w:noProof/>
          <w:sz w:val="24"/>
          <w:szCs w:val="24"/>
        </w:rPr>
        <w:t xml:space="preserve">description of some measures and options </w:t>
      </w:r>
      <w:r w:rsidR="0068528D">
        <w:rPr>
          <w:rFonts w:ascii="Times New Roman" w:hAnsi="Times New Roman" w:cs="CIDFont+F3"/>
          <w:noProof/>
          <w:sz w:val="24"/>
          <w:szCs w:val="24"/>
        </w:rPr>
        <w:t xml:space="preserve">as well as </w:t>
      </w:r>
      <w:r w:rsidR="0068528D" w:rsidRPr="009C3DE1">
        <w:rPr>
          <w:rFonts w:ascii="Times New Roman" w:hAnsi="Times New Roman" w:cs="CIDFont+F3"/>
          <w:noProof/>
          <w:sz w:val="24"/>
          <w:szCs w:val="24"/>
        </w:rPr>
        <w:t>t</w:t>
      </w:r>
      <w:r w:rsidRPr="009C3DE1">
        <w:rPr>
          <w:rFonts w:ascii="Times New Roman" w:hAnsi="Times New Roman" w:cs="CIDFont+F3"/>
          <w:noProof/>
          <w:sz w:val="24"/>
          <w:szCs w:val="24"/>
        </w:rPr>
        <w:t xml:space="preserve">he impact analysis of a number of measures </w:t>
      </w:r>
    </w:p>
    <w:p w14:paraId="206F2739" w14:textId="77777777" w:rsidR="009C3DE1" w:rsidRPr="009C3DE1" w:rsidRDefault="009C3DE1" w:rsidP="009C3DE1">
      <w:pPr>
        <w:autoSpaceDE w:val="0"/>
        <w:autoSpaceDN w:val="0"/>
        <w:adjustRightInd w:val="0"/>
        <w:spacing w:after="0"/>
        <w:jc w:val="both"/>
        <w:rPr>
          <w:rFonts w:ascii="Times New Roman" w:hAnsi="Times New Roman" w:cs="CIDFont+F3"/>
          <w:noProof/>
          <w:sz w:val="24"/>
          <w:szCs w:val="24"/>
        </w:rPr>
      </w:pPr>
      <w:r w:rsidRPr="009C3DE1">
        <w:rPr>
          <w:rFonts w:ascii="Times New Roman" w:hAnsi="Times New Roman" w:cs="CIDFont+F3"/>
          <w:noProof/>
          <w:sz w:val="24"/>
          <w:szCs w:val="24"/>
        </w:rPr>
        <w:t>Th</w:t>
      </w:r>
      <w:r w:rsidR="0068528D" w:rsidRPr="009C3DE1">
        <w:rPr>
          <w:rFonts w:ascii="Times New Roman" w:hAnsi="Times New Roman" w:cs="CIDFont+F3"/>
          <w:noProof/>
          <w:sz w:val="24"/>
          <w:szCs w:val="24"/>
        </w:rPr>
        <w:t>e Board asked to improve the following:</w:t>
      </w:r>
    </w:p>
    <w:p w14:paraId="634076E5" w14:textId="77777777" w:rsidR="004D45F1" w:rsidRPr="009C3DE1" w:rsidRDefault="004D45F1" w:rsidP="009C3DE1">
      <w:pPr>
        <w:pStyle w:val="ListParagraph"/>
        <w:numPr>
          <w:ilvl w:val="0"/>
          <w:numId w:val="53"/>
        </w:numPr>
        <w:autoSpaceDE w:val="0"/>
        <w:autoSpaceDN w:val="0"/>
        <w:adjustRightInd w:val="0"/>
        <w:spacing w:after="0"/>
        <w:jc w:val="both"/>
        <w:rPr>
          <w:rFonts w:ascii="Times New Roman" w:hAnsi="Times New Roman" w:cs="CIDFont+F1"/>
          <w:noProof/>
          <w:sz w:val="24"/>
          <w:szCs w:val="24"/>
        </w:rPr>
      </w:pPr>
      <w:r w:rsidRPr="009C3DE1">
        <w:rPr>
          <w:rFonts w:ascii="Times New Roman" w:hAnsi="Times New Roman" w:cs="CIDFont+F1"/>
          <w:noProof/>
          <w:sz w:val="24"/>
          <w:szCs w:val="24"/>
        </w:rPr>
        <w:t xml:space="preserve">The report should present more clearly the measures and policy options. It should explain how the individual measures were selected. As regards the measures to reduce emissions, the report should justify the focus on obligations and prohibitions, and explain </w:t>
      </w:r>
      <w:r w:rsidRPr="009C3DE1">
        <w:rPr>
          <w:rFonts w:ascii="Times New Roman" w:hAnsi="Times New Roman" w:cs="CIDFont+F1"/>
          <w:noProof/>
          <w:sz w:val="24"/>
          <w:szCs w:val="24"/>
          <w:lang w:val="en-US"/>
        </w:rPr>
        <w:t xml:space="preserve">why other measures such as economic incentives are not considered. </w:t>
      </w:r>
      <w:r w:rsidRPr="009C3DE1">
        <w:rPr>
          <w:rFonts w:ascii="Times New Roman" w:hAnsi="Times New Roman" w:cs="CIDFont+F1"/>
          <w:noProof/>
          <w:sz w:val="24"/>
          <w:szCs w:val="24"/>
        </w:rPr>
        <w:t>It should clarify which types of foam banks are covered by the different options on their recovery and destruction and why.</w:t>
      </w:r>
    </w:p>
    <w:p w14:paraId="3B1E0A14" w14:textId="77777777" w:rsidR="00777784" w:rsidRPr="009C3DE1" w:rsidRDefault="0068528D" w:rsidP="009C3DE1">
      <w:pPr>
        <w:autoSpaceDE w:val="0"/>
        <w:autoSpaceDN w:val="0"/>
        <w:adjustRightInd w:val="0"/>
        <w:spacing w:after="0"/>
        <w:ind w:left="709"/>
        <w:jc w:val="both"/>
        <w:rPr>
          <w:rFonts w:ascii="Times New Roman" w:hAnsi="Times New Roman" w:cs="CIDFont+F1"/>
          <w:i/>
          <w:noProof/>
          <w:sz w:val="24"/>
          <w:szCs w:val="24"/>
        </w:rPr>
      </w:pPr>
      <w:r>
        <w:rPr>
          <w:rFonts w:ascii="Times New Roman" w:hAnsi="Times New Roman" w:cs="CIDFont+F1"/>
          <w:i/>
          <w:noProof/>
          <w:sz w:val="24"/>
          <w:szCs w:val="24"/>
        </w:rPr>
        <w:t xml:space="preserve">In response, </w:t>
      </w:r>
      <w:r w:rsidRPr="0068528D">
        <w:rPr>
          <w:rFonts w:ascii="Times New Roman" w:hAnsi="Times New Roman" w:cs="CIDFont+F1"/>
          <w:i/>
          <w:noProof/>
          <w:sz w:val="24"/>
          <w:szCs w:val="24"/>
        </w:rPr>
        <w:t>t</w:t>
      </w:r>
      <w:r w:rsidR="00984FEA" w:rsidRPr="009C3DE1">
        <w:rPr>
          <w:rFonts w:ascii="Times New Roman" w:hAnsi="Times New Roman" w:cs="CIDFont+F1"/>
          <w:i/>
          <w:noProof/>
          <w:sz w:val="24"/>
          <w:szCs w:val="24"/>
        </w:rPr>
        <w:t>he</w:t>
      </w:r>
      <w:r w:rsidR="0075213D">
        <w:rPr>
          <w:rFonts w:ascii="Times New Roman" w:hAnsi="Times New Roman" w:cs="CIDFont+F1"/>
          <w:i/>
          <w:noProof/>
          <w:sz w:val="24"/>
          <w:szCs w:val="24"/>
        </w:rPr>
        <w:t xml:space="preserve"> description of</w:t>
      </w:r>
      <w:r w:rsidR="00984FEA" w:rsidRPr="009C3DE1">
        <w:rPr>
          <w:rFonts w:ascii="Times New Roman" w:hAnsi="Times New Roman" w:cs="CIDFont+F1"/>
          <w:i/>
          <w:noProof/>
          <w:sz w:val="24"/>
          <w:szCs w:val="24"/>
        </w:rPr>
        <w:t xml:space="preserve"> measures and policy options, including their selection</w:t>
      </w:r>
      <w:r w:rsidR="0075213D">
        <w:rPr>
          <w:rFonts w:ascii="Times New Roman" w:hAnsi="Times New Roman" w:cs="CIDFont+F1"/>
          <w:i/>
          <w:noProof/>
          <w:sz w:val="24"/>
          <w:szCs w:val="24"/>
        </w:rPr>
        <w:t>,</w:t>
      </w:r>
      <w:r w:rsidR="00984FEA" w:rsidRPr="009C3DE1">
        <w:rPr>
          <w:rFonts w:ascii="Times New Roman" w:hAnsi="Times New Roman" w:cs="CIDFont+F1"/>
          <w:i/>
          <w:noProof/>
          <w:sz w:val="24"/>
          <w:szCs w:val="24"/>
        </w:rPr>
        <w:t xml:space="preserve"> was </w:t>
      </w:r>
      <w:r w:rsidR="0075213D">
        <w:rPr>
          <w:rFonts w:ascii="Times New Roman" w:hAnsi="Times New Roman" w:cs="CIDFont+F1"/>
          <w:i/>
          <w:noProof/>
          <w:sz w:val="24"/>
          <w:szCs w:val="24"/>
        </w:rPr>
        <w:t>significantly improved</w:t>
      </w:r>
      <w:r w:rsidR="00984FEA" w:rsidRPr="009C3DE1">
        <w:rPr>
          <w:rFonts w:ascii="Times New Roman" w:hAnsi="Times New Roman" w:cs="CIDFont+F1"/>
          <w:i/>
          <w:noProof/>
          <w:sz w:val="24"/>
          <w:szCs w:val="24"/>
        </w:rPr>
        <w:t xml:space="preserve"> in section 5.2. More detail on foams</w:t>
      </w:r>
      <w:r w:rsidR="00FD3DB5" w:rsidRPr="009C3DE1">
        <w:rPr>
          <w:rFonts w:ascii="Times New Roman" w:hAnsi="Times New Roman" w:cs="CIDFont+F1"/>
          <w:i/>
          <w:noProof/>
          <w:sz w:val="24"/>
          <w:szCs w:val="24"/>
        </w:rPr>
        <w:t>, including</w:t>
      </w:r>
      <w:r w:rsidR="00984FEA" w:rsidRPr="009C3DE1">
        <w:rPr>
          <w:rFonts w:ascii="Times New Roman" w:hAnsi="Times New Roman" w:cs="CIDFont+F1"/>
          <w:i/>
          <w:noProof/>
          <w:sz w:val="24"/>
          <w:szCs w:val="24"/>
        </w:rPr>
        <w:t xml:space="preserve"> </w:t>
      </w:r>
      <w:r w:rsidR="00FD3DB5" w:rsidRPr="009C3DE1">
        <w:rPr>
          <w:rFonts w:ascii="Times New Roman" w:hAnsi="Times New Roman" w:cs="CIDFont+F1"/>
          <w:i/>
          <w:noProof/>
          <w:sz w:val="24"/>
          <w:szCs w:val="24"/>
        </w:rPr>
        <w:t xml:space="preserve">a reference to economic incentives, </w:t>
      </w:r>
      <w:r w:rsidR="00984FEA" w:rsidRPr="009C3DE1">
        <w:rPr>
          <w:rFonts w:ascii="Times New Roman" w:hAnsi="Times New Roman" w:cs="CIDFont+F1"/>
          <w:i/>
          <w:noProof/>
          <w:sz w:val="24"/>
          <w:szCs w:val="24"/>
        </w:rPr>
        <w:t xml:space="preserve">is given in </w:t>
      </w:r>
      <w:r w:rsidR="00FD3DB5" w:rsidRPr="009C3DE1">
        <w:rPr>
          <w:rFonts w:ascii="Times New Roman" w:hAnsi="Times New Roman" w:cs="CIDFont+F1"/>
          <w:i/>
          <w:noProof/>
          <w:sz w:val="24"/>
          <w:szCs w:val="24"/>
        </w:rPr>
        <w:t xml:space="preserve">5.2.1 and Annex 6. </w:t>
      </w:r>
    </w:p>
    <w:p w14:paraId="0A7587C5" w14:textId="77777777" w:rsidR="004D45F1" w:rsidRPr="009C3DE1" w:rsidRDefault="004D45F1" w:rsidP="00AD73CF">
      <w:pPr>
        <w:pStyle w:val="ListParagraph"/>
        <w:numPr>
          <w:ilvl w:val="0"/>
          <w:numId w:val="27"/>
        </w:numPr>
        <w:autoSpaceDE w:val="0"/>
        <w:autoSpaceDN w:val="0"/>
        <w:adjustRightInd w:val="0"/>
        <w:spacing w:after="0"/>
        <w:jc w:val="both"/>
        <w:rPr>
          <w:rFonts w:ascii="Times New Roman" w:hAnsi="Times New Roman" w:cs="CIDFont+F1"/>
          <w:noProof/>
          <w:sz w:val="24"/>
          <w:szCs w:val="24"/>
        </w:rPr>
      </w:pPr>
      <w:r w:rsidRPr="0068528D">
        <w:rPr>
          <w:rFonts w:ascii="Times New Roman" w:hAnsi="Times New Roman" w:cs="CIDFont+F1"/>
          <w:noProof/>
          <w:sz w:val="24"/>
          <w:szCs w:val="24"/>
        </w:rPr>
        <w:t>The report should strengthen the impact analysis. It should increase the robustness of the evidence by including information from more countries on the feasibility and costs of the mandatory destruction of some types of foam banks. It should clarify the level of additional costs for the monitoring of illegal goods. For the measure that introduces a negative list for chemical production processes, it should expand on how this measure will lead to very significant economic costs for the limited emission reductions. The report should strengthen the analysis on the impacts on renovation costs, consumer prices and affordability for vulnerable consumers.</w:t>
      </w:r>
    </w:p>
    <w:p w14:paraId="59E656A0" w14:textId="77777777" w:rsidR="00FD3DB5" w:rsidRPr="009C3DE1" w:rsidRDefault="0075213D" w:rsidP="009C3DE1">
      <w:pPr>
        <w:pStyle w:val="ListParagraph"/>
        <w:autoSpaceDE w:val="0"/>
        <w:autoSpaceDN w:val="0"/>
        <w:adjustRightInd w:val="0"/>
        <w:spacing w:after="0"/>
        <w:jc w:val="both"/>
        <w:rPr>
          <w:rFonts w:ascii="Times New Roman" w:hAnsi="Times New Roman" w:cs="CIDFont+F1"/>
          <w:i/>
          <w:noProof/>
          <w:sz w:val="24"/>
          <w:szCs w:val="24"/>
        </w:rPr>
      </w:pPr>
      <w:r w:rsidRPr="0075213D">
        <w:rPr>
          <w:rFonts w:ascii="Times New Roman" w:hAnsi="Times New Roman" w:cs="CIDFont+F1"/>
          <w:i/>
          <w:noProof/>
          <w:sz w:val="24"/>
          <w:szCs w:val="24"/>
        </w:rPr>
        <w:t>In response</w:t>
      </w:r>
      <w:r w:rsidR="0068528D" w:rsidRPr="009C3DE1">
        <w:rPr>
          <w:rFonts w:ascii="Times New Roman" w:hAnsi="Times New Roman" w:cs="CIDFont+F1"/>
          <w:i/>
          <w:noProof/>
          <w:sz w:val="24"/>
          <w:szCs w:val="24"/>
        </w:rPr>
        <w:t xml:space="preserve">, </w:t>
      </w:r>
      <w:r>
        <w:rPr>
          <w:rFonts w:ascii="Times New Roman" w:hAnsi="Times New Roman" w:cs="CIDFont+F1"/>
          <w:i/>
          <w:noProof/>
          <w:sz w:val="24"/>
          <w:szCs w:val="24"/>
        </w:rPr>
        <w:t xml:space="preserve">the sections on measure A1 was significantly improved (5.2.1 and 6.2.1). In particular, </w:t>
      </w:r>
      <w:r w:rsidR="0068528D" w:rsidRPr="009C3DE1">
        <w:rPr>
          <w:rFonts w:ascii="Times New Roman" w:hAnsi="Times New Roman" w:cs="CIDFont+F1"/>
          <w:i/>
          <w:noProof/>
          <w:sz w:val="24"/>
          <w:szCs w:val="24"/>
        </w:rPr>
        <w:t>a</w:t>
      </w:r>
      <w:r w:rsidR="00FD3DB5" w:rsidRPr="009C3DE1">
        <w:rPr>
          <w:rFonts w:ascii="Times New Roman" w:hAnsi="Times New Roman" w:cs="CIDFont+F1"/>
          <w:i/>
          <w:noProof/>
          <w:sz w:val="24"/>
          <w:szCs w:val="24"/>
        </w:rPr>
        <w:t xml:space="preserve"> number of fur</w:t>
      </w:r>
      <w:r w:rsidR="0068528D" w:rsidRPr="009C3DE1">
        <w:rPr>
          <w:rFonts w:ascii="Times New Roman" w:hAnsi="Times New Roman" w:cs="CIDFont+F1"/>
          <w:i/>
          <w:noProof/>
          <w:sz w:val="24"/>
          <w:szCs w:val="24"/>
        </w:rPr>
        <w:t>ther countries were examined as regards the feasibility of foam recovery and destruction</w:t>
      </w:r>
      <w:r w:rsidR="00FD3DB5" w:rsidRPr="009C3DE1">
        <w:rPr>
          <w:rFonts w:ascii="Times New Roman" w:hAnsi="Times New Roman" w:cs="CIDFont+F1"/>
          <w:i/>
          <w:noProof/>
          <w:sz w:val="24"/>
          <w:szCs w:val="24"/>
        </w:rPr>
        <w:t>. As additional quantitative cost data was difficult to obtain, a</w:t>
      </w:r>
      <w:r w:rsidR="0068528D" w:rsidRPr="009C3DE1">
        <w:rPr>
          <w:rFonts w:ascii="Times New Roman" w:hAnsi="Times New Roman" w:cs="CIDFont+F1"/>
          <w:i/>
          <w:noProof/>
          <w:sz w:val="24"/>
          <w:szCs w:val="24"/>
        </w:rPr>
        <w:t>s a proxy a</w:t>
      </w:r>
      <w:r w:rsidR="00FD3DB5" w:rsidRPr="009C3DE1">
        <w:rPr>
          <w:rFonts w:ascii="Times New Roman" w:hAnsi="Times New Roman" w:cs="CIDFont+F1"/>
          <w:i/>
          <w:noProof/>
          <w:sz w:val="24"/>
          <w:szCs w:val="24"/>
        </w:rPr>
        <w:t xml:space="preserve"> worst-case approximation using asbest</w:t>
      </w:r>
      <w:r w:rsidR="0068528D" w:rsidRPr="009C3DE1">
        <w:rPr>
          <w:rFonts w:ascii="Times New Roman" w:hAnsi="Times New Roman" w:cs="CIDFont+F1"/>
          <w:i/>
          <w:noProof/>
          <w:sz w:val="24"/>
          <w:szCs w:val="24"/>
        </w:rPr>
        <w:t>os removal was carried out for which</w:t>
      </w:r>
      <w:r w:rsidR="00FD3DB5" w:rsidRPr="009C3DE1">
        <w:rPr>
          <w:rFonts w:ascii="Times New Roman" w:hAnsi="Times New Roman" w:cs="CIDFont+F1"/>
          <w:i/>
          <w:noProof/>
          <w:sz w:val="24"/>
          <w:szCs w:val="24"/>
        </w:rPr>
        <w:t xml:space="preserve"> cost data was available (this was added to section 6.</w:t>
      </w:r>
      <w:r>
        <w:rPr>
          <w:rFonts w:ascii="Times New Roman" w:hAnsi="Times New Roman" w:cs="CIDFont+F1"/>
          <w:i/>
          <w:noProof/>
          <w:sz w:val="24"/>
          <w:szCs w:val="24"/>
        </w:rPr>
        <w:t>2.</w:t>
      </w:r>
      <w:r w:rsidR="00FD3DB5" w:rsidRPr="009C3DE1">
        <w:rPr>
          <w:rFonts w:ascii="Times New Roman" w:hAnsi="Times New Roman" w:cs="CIDFont+F1"/>
          <w:i/>
          <w:noProof/>
          <w:sz w:val="24"/>
          <w:szCs w:val="24"/>
        </w:rPr>
        <w:t>1 and Annex 6). Further details was also provided on renovation costs, consumer prices and vulne</w:t>
      </w:r>
      <w:r w:rsidR="0068528D" w:rsidRPr="009C3DE1">
        <w:rPr>
          <w:rFonts w:ascii="Times New Roman" w:hAnsi="Times New Roman" w:cs="CIDFont+F1"/>
          <w:i/>
          <w:noProof/>
          <w:sz w:val="24"/>
          <w:szCs w:val="24"/>
        </w:rPr>
        <w:t>rable consumers</w:t>
      </w:r>
      <w:r w:rsidR="00FD3DB5" w:rsidRPr="009C3DE1">
        <w:rPr>
          <w:rFonts w:ascii="Times New Roman" w:hAnsi="Times New Roman" w:cs="CIDFont+F1"/>
          <w:i/>
          <w:noProof/>
          <w:sz w:val="24"/>
          <w:szCs w:val="24"/>
        </w:rPr>
        <w:t xml:space="preserve">. The sections on illegal goods and chemical production were strengthened. </w:t>
      </w:r>
    </w:p>
    <w:p w14:paraId="74960B98" w14:textId="77777777" w:rsidR="004D45F1" w:rsidRPr="009C3DE1" w:rsidRDefault="004D45F1" w:rsidP="00AD73CF">
      <w:pPr>
        <w:pStyle w:val="ListParagraph"/>
        <w:numPr>
          <w:ilvl w:val="0"/>
          <w:numId w:val="27"/>
        </w:numPr>
        <w:autoSpaceDE w:val="0"/>
        <w:autoSpaceDN w:val="0"/>
        <w:adjustRightInd w:val="0"/>
        <w:spacing w:after="0"/>
        <w:jc w:val="both"/>
        <w:rPr>
          <w:rFonts w:ascii="Times New Roman" w:hAnsi="Times New Roman" w:cs="CIDFont+F1"/>
          <w:noProof/>
          <w:sz w:val="24"/>
          <w:szCs w:val="24"/>
        </w:rPr>
      </w:pPr>
      <w:r w:rsidRPr="0068528D">
        <w:rPr>
          <w:rFonts w:ascii="Times New Roman" w:hAnsi="Times New Roman" w:cs="CIDFont+F1"/>
          <w:noProof/>
          <w:sz w:val="24"/>
          <w:szCs w:val="24"/>
        </w:rPr>
        <w:t>The report should elaborate on differences across Member States as regards their contribution to remaining emissions. It should explain to what extent impacts are expected to differ across Member States, possibly depending on the geographical concentration of the most affected s</w:t>
      </w:r>
      <w:r w:rsidRPr="0075213D">
        <w:rPr>
          <w:rFonts w:ascii="Times New Roman" w:hAnsi="Times New Roman" w:cs="CIDFont+F1"/>
          <w:noProof/>
          <w:sz w:val="24"/>
          <w:szCs w:val="24"/>
        </w:rPr>
        <w:t>ectors, the historic use of products containing ODS and existing policies on waste management, including enforcement.</w:t>
      </w:r>
    </w:p>
    <w:p w14:paraId="3B47AD65" w14:textId="77777777" w:rsidR="00FD3DB5" w:rsidRPr="009C3DE1" w:rsidRDefault="00943137" w:rsidP="009C3DE1">
      <w:pPr>
        <w:pStyle w:val="ListParagraph"/>
        <w:autoSpaceDE w:val="0"/>
        <w:autoSpaceDN w:val="0"/>
        <w:adjustRightInd w:val="0"/>
        <w:spacing w:after="0"/>
        <w:jc w:val="both"/>
        <w:rPr>
          <w:rFonts w:ascii="Times New Roman" w:hAnsi="Times New Roman" w:cs="CIDFont+F1"/>
          <w:i/>
          <w:noProof/>
          <w:sz w:val="24"/>
          <w:szCs w:val="24"/>
        </w:rPr>
      </w:pPr>
      <w:r w:rsidRPr="009C3DE1">
        <w:rPr>
          <w:rFonts w:ascii="Times New Roman" w:hAnsi="Times New Roman" w:cs="CIDFont+F1"/>
          <w:i/>
          <w:noProof/>
          <w:sz w:val="24"/>
          <w:szCs w:val="24"/>
        </w:rPr>
        <w:t xml:space="preserve">More information is provided with regards to foams where this is </w:t>
      </w:r>
      <w:r w:rsidR="0068528D">
        <w:rPr>
          <w:rFonts w:ascii="Times New Roman" w:hAnsi="Times New Roman" w:cs="CIDFont+F1"/>
          <w:i/>
          <w:noProof/>
          <w:sz w:val="24"/>
          <w:szCs w:val="24"/>
        </w:rPr>
        <w:t xml:space="preserve">most </w:t>
      </w:r>
      <w:r w:rsidR="0068528D" w:rsidRPr="0068528D">
        <w:rPr>
          <w:rFonts w:ascii="Times New Roman" w:hAnsi="Times New Roman" w:cs="CIDFont+F1"/>
          <w:i/>
          <w:noProof/>
          <w:sz w:val="24"/>
          <w:szCs w:val="24"/>
        </w:rPr>
        <w:t>relev</w:t>
      </w:r>
      <w:r w:rsidRPr="009C3DE1">
        <w:rPr>
          <w:rFonts w:ascii="Times New Roman" w:hAnsi="Times New Roman" w:cs="CIDFont+F1"/>
          <w:i/>
          <w:noProof/>
          <w:sz w:val="24"/>
          <w:szCs w:val="24"/>
        </w:rPr>
        <w:t>ant in the Annex 6 and the impacts of measure A1 in section 6.1.</w:t>
      </w:r>
    </w:p>
    <w:p w14:paraId="47D3DA2D" w14:textId="77777777" w:rsidR="004D45F1" w:rsidRPr="009C3DE1" w:rsidRDefault="004D45F1" w:rsidP="00AD73CF">
      <w:pPr>
        <w:pStyle w:val="ListParagraph"/>
        <w:numPr>
          <w:ilvl w:val="0"/>
          <w:numId w:val="27"/>
        </w:numPr>
        <w:autoSpaceDE w:val="0"/>
        <w:autoSpaceDN w:val="0"/>
        <w:adjustRightInd w:val="0"/>
        <w:spacing w:after="0"/>
        <w:jc w:val="both"/>
        <w:rPr>
          <w:rFonts w:ascii="Times New Roman" w:hAnsi="Times New Roman" w:cs="CIDFont+F1"/>
          <w:noProof/>
          <w:sz w:val="24"/>
          <w:szCs w:val="24"/>
        </w:rPr>
      </w:pPr>
      <w:r w:rsidRPr="0068528D">
        <w:rPr>
          <w:rFonts w:ascii="Times New Roman" w:hAnsi="Times New Roman" w:cs="CIDFont+F1"/>
          <w:noProof/>
          <w:sz w:val="24"/>
          <w:szCs w:val="24"/>
        </w:rPr>
        <w:t>The report should improve the comparison of options. It should be consistent on the scores allocated to each measure.</w:t>
      </w:r>
    </w:p>
    <w:p w14:paraId="2565CC10" w14:textId="77777777" w:rsidR="0068528D" w:rsidRDefault="00943137" w:rsidP="009C3DE1">
      <w:pPr>
        <w:autoSpaceDE w:val="0"/>
        <w:autoSpaceDN w:val="0"/>
        <w:adjustRightInd w:val="0"/>
        <w:spacing w:after="0"/>
        <w:ind w:left="709"/>
        <w:jc w:val="both"/>
        <w:rPr>
          <w:rFonts w:ascii="Times New Roman" w:hAnsi="Times New Roman" w:cs="CIDFont+F1"/>
          <w:i/>
          <w:noProof/>
          <w:sz w:val="24"/>
          <w:szCs w:val="24"/>
        </w:rPr>
      </w:pPr>
      <w:r w:rsidRPr="009C3DE1">
        <w:rPr>
          <w:rFonts w:ascii="Times New Roman" w:hAnsi="Times New Roman" w:cs="CIDFont+F1"/>
          <w:i/>
          <w:noProof/>
          <w:sz w:val="24"/>
          <w:szCs w:val="24"/>
        </w:rPr>
        <w:t>This section was improved and inconsistencies avoided</w:t>
      </w:r>
      <w:r w:rsidR="00F23E55">
        <w:rPr>
          <w:rFonts w:ascii="Times New Roman" w:hAnsi="Times New Roman" w:cs="CIDFont+F1"/>
          <w:i/>
          <w:noProof/>
          <w:sz w:val="24"/>
          <w:szCs w:val="24"/>
        </w:rPr>
        <w:t>, in particular in overview tables 3 and 4</w:t>
      </w:r>
      <w:r w:rsidRPr="009C3DE1">
        <w:rPr>
          <w:rFonts w:ascii="Times New Roman" w:hAnsi="Times New Roman" w:cs="CIDFont+F1"/>
          <w:i/>
          <w:noProof/>
          <w:sz w:val="24"/>
          <w:szCs w:val="24"/>
        </w:rPr>
        <w:t>. Annex 10 was updated to clearly illustrate which measures belong to the three options.</w:t>
      </w:r>
      <w:r w:rsidR="00F23E55">
        <w:rPr>
          <w:rFonts w:ascii="Times New Roman" w:hAnsi="Times New Roman" w:cs="CIDFont+F1"/>
          <w:i/>
          <w:noProof/>
          <w:sz w:val="24"/>
          <w:szCs w:val="24"/>
        </w:rPr>
        <w:t xml:space="preserve"> The selection of the preferred Option 2 was better justified.</w:t>
      </w:r>
    </w:p>
    <w:p w14:paraId="4D5241E0" w14:textId="77777777" w:rsidR="0068528D" w:rsidRDefault="0068528D" w:rsidP="009C3DE1">
      <w:pPr>
        <w:autoSpaceDE w:val="0"/>
        <w:autoSpaceDN w:val="0"/>
        <w:adjustRightInd w:val="0"/>
        <w:spacing w:after="0"/>
        <w:ind w:left="709"/>
        <w:jc w:val="both"/>
        <w:rPr>
          <w:rFonts w:ascii="Times New Roman" w:hAnsi="Times New Roman" w:cs="CIDFont+F1"/>
          <w:i/>
          <w:noProof/>
          <w:sz w:val="24"/>
          <w:szCs w:val="24"/>
        </w:rPr>
      </w:pPr>
    </w:p>
    <w:p w14:paraId="67B613D3" w14:textId="77777777" w:rsidR="004D45F1" w:rsidRPr="009C3DE1" w:rsidRDefault="0068528D" w:rsidP="009C3DE1">
      <w:pPr>
        <w:autoSpaceDE w:val="0"/>
        <w:autoSpaceDN w:val="0"/>
        <w:adjustRightInd w:val="0"/>
        <w:spacing w:after="0"/>
        <w:ind w:left="709"/>
        <w:jc w:val="both"/>
        <w:rPr>
          <w:rFonts w:ascii="Times New Roman" w:hAnsi="Times New Roman" w:cs="CIDFont+F1"/>
          <w:i/>
          <w:noProof/>
          <w:sz w:val="24"/>
          <w:szCs w:val="24"/>
        </w:rPr>
      </w:pPr>
      <w:r>
        <w:rPr>
          <w:rFonts w:ascii="Times New Roman" w:hAnsi="Times New Roman" w:cs="CIDFont+F1"/>
          <w:i/>
          <w:noProof/>
          <w:sz w:val="24"/>
          <w:szCs w:val="24"/>
        </w:rPr>
        <w:t xml:space="preserve">A number of additional improvements were </w:t>
      </w:r>
      <w:r w:rsidR="0075213D">
        <w:rPr>
          <w:rFonts w:ascii="Times New Roman" w:hAnsi="Times New Roman" w:cs="CIDFont+F1"/>
          <w:i/>
          <w:noProof/>
          <w:sz w:val="24"/>
          <w:szCs w:val="24"/>
        </w:rPr>
        <w:t>made taking into account the technical comments received from the Board, including on how the Regulation link</w:t>
      </w:r>
      <w:r>
        <w:rPr>
          <w:rFonts w:ascii="Times New Roman" w:hAnsi="Times New Roman" w:cs="CIDFont+F1"/>
          <w:i/>
          <w:noProof/>
          <w:sz w:val="24"/>
          <w:szCs w:val="24"/>
        </w:rPr>
        <w:t xml:space="preserve">s to other EU legislation, </w:t>
      </w:r>
      <w:r w:rsidR="0075213D">
        <w:rPr>
          <w:rFonts w:ascii="Times New Roman" w:hAnsi="Times New Roman" w:cs="CIDFont+F1"/>
          <w:i/>
          <w:noProof/>
          <w:sz w:val="24"/>
          <w:szCs w:val="24"/>
        </w:rPr>
        <w:t xml:space="preserve">a better description of the envisaged future customs controls and the issue of illegal trade under the problems section (2.1.3), more information on the baseline of other impacts, </w:t>
      </w:r>
    </w:p>
    <w:p w14:paraId="4F23839B" w14:textId="77777777" w:rsidR="004D45F1" w:rsidRDefault="004D45F1" w:rsidP="00AD73CF">
      <w:pPr>
        <w:pStyle w:val="ListParagraph"/>
        <w:keepNext/>
        <w:numPr>
          <w:ilvl w:val="0"/>
          <w:numId w:val="24"/>
        </w:numPr>
        <w:tabs>
          <w:tab w:val="num" w:pos="480"/>
        </w:tabs>
        <w:spacing w:before="240" w:after="240" w:line="240" w:lineRule="auto"/>
        <w:jc w:val="both"/>
        <w:outlineLvl w:val="0"/>
        <w:rPr>
          <w:rFonts w:ascii="Times New Roman" w:eastAsia="Times New Roman" w:hAnsi="Times New Roman" w:cs="Times New Roman"/>
          <w:b/>
          <w:smallCaps/>
          <w:noProof/>
          <w:sz w:val="24"/>
          <w:szCs w:val="20"/>
        </w:rPr>
      </w:pPr>
      <w:bookmarkStart w:id="270" w:name="_Toc71561873"/>
      <w:bookmarkStart w:id="271" w:name="_Toc71559436"/>
      <w:bookmarkStart w:id="272" w:name="_Toc471997758"/>
      <w:r>
        <w:rPr>
          <w:rFonts w:ascii="Times New Roman" w:eastAsia="Times New Roman" w:hAnsi="Times New Roman" w:cs="Times New Roman"/>
          <w:b/>
          <w:smallCaps/>
          <w:noProof/>
          <w:sz w:val="24"/>
          <w:szCs w:val="20"/>
        </w:rPr>
        <w:t>Evidence, sources and quality</w:t>
      </w:r>
      <w:bookmarkEnd w:id="270"/>
      <w:bookmarkEnd w:id="271"/>
      <w:bookmarkEnd w:id="272"/>
    </w:p>
    <w:p w14:paraId="207CB81D"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impact assessment draws on a support study carried out by an external consultant including an extensive consultation of the relevant stakeholders and experts as well as on the internal expertise of the Commission.</w:t>
      </w:r>
    </w:p>
    <w:p w14:paraId="6BAFEC1A"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evidence used for the</w:t>
      </w:r>
      <w:r w:rsidR="00777784">
        <w:rPr>
          <w:rFonts w:ascii="Times New Roman" w:eastAsia="Calibri" w:hAnsi="Times New Roman" w:cs="Times New Roman"/>
          <w:noProof/>
          <w:sz w:val="24"/>
          <w:szCs w:val="24"/>
        </w:rPr>
        <w:t xml:space="preserve"> impact assessment</w:t>
      </w:r>
      <w:r>
        <w:rPr>
          <w:rFonts w:ascii="Times New Roman" w:eastAsia="Calibri" w:hAnsi="Times New Roman" w:cs="Times New Roman"/>
          <w:noProof/>
          <w:sz w:val="24"/>
          <w:szCs w:val="24"/>
        </w:rPr>
        <w:t xml:space="preserve"> comes from several data sources, in particular the annual reports on ozone-depleting substances by the European Environment Agency and the consultation with stakeholders, including Member States authorities and undertakings. More information is provided in the Annex on methodology below. The support study is the source for data in cases where no particular external source is mentioned. </w:t>
      </w:r>
    </w:p>
    <w:p w14:paraId="57018ACB" w14:textId="77777777" w:rsidR="004D45F1" w:rsidRDefault="004D45F1" w:rsidP="004D45F1">
      <w:pPr>
        <w:rPr>
          <w:rFonts w:ascii="Times New Roman" w:eastAsia="Times New Roman" w:hAnsi="Times New Roman" w:cs="Times New Roman"/>
          <w:noProof/>
          <w:sz w:val="24"/>
          <w:szCs w:val="20"/>
        </w:rPr>
      </w:pPr>
      <w:r>
        <w:rPr>
          <w:rFonts w:ascii="Calibri" w:eastAsia="Calibri" w:hAnsi="Calibri" w:cs="Times New Roman"/>
          <w:noProof/>
        </w:rPr>
        <w:br w:type="page"/>
      </w:r>
    </w:p>
    <w:p w14:paraId="71367691" w14:textId="77777777" w:rsidR="004D45F1" w:rsidRDefault="004D45F1" w:rsidP="004D45F1">
      <w:pPr>
        <w:pStyle w:val="AnnexTitle"/>
        <w:rPr>
          <w:noProof/>
        </w:rPr>
      </w:pPr>
      <w:bookmarkStart w:id="273" w:name="_Toc71561874"/>
      <w:bookmarkStart w:id="274" w:name="_Toc71559437"/>
      <w:bookmarkStart w:id="275" w:name="_Toc93511485"/>
      <w:r>
        <w:rPr>
          <w:noProof/>
        </w:rPr>
        <w:t>Annex 2: Synopsis report of stakeholder consultations</w:t>
      </w:r>
      <w:bookmarkEnd w:id="273"/>
      <w:bookmarkEnd w:id="274"/>
      <w:bookmarkEnd w:id="275"/>
      <w:r>
        <w:rPr>
          <w:noProof/>
        </w:rPr>
        <w:t xml:space="preserve"> </w:t>
      </w:r>
      <w:bookmarkStart w:id="276" w:name="_Toc66731762"/>
      <w:bookmarkStart w:id="277" w:name="_Toc66779568"/>
      <w:bookmarkStart w:id="278" w:name="_Toc66731763"/>
      <w:bookmarkStart w:id="279" w:name="_Toc66779569"/>
      <w:bookmarkStart w:id="280" w:name="_Toc66731764"/>
      <w:bookmarkStart w:id="281" w:name="_Toc66779570"/>
      <w:bookmarkStart w:id="282" w:name="_Toc66731765"/>
      <w:bookmarkStart w:id="283" w:name="_Toc66779571"/>
      <w:bookmarkStart w:id="284" w:name="_Toc66731766"/>
      <w:bookmarkStart w:id="285" w:name="_Toc66779572"/>
      <w:bookmarkStart w:id="286" w:name="_Toc66731767"/>
      <w:bookmarkStart w:id="287" w:name="_Toc66779573"/>
      <w:bookmarkStart w:id="288" w:name="_Toc66731768"/>
      <w:bookmarkStart w:id="289" w:name="_Toc66779574"/>
      <w:bookmarkStart w:id="290" w:name="_Toc66731769"/>
      <w:bookmarkStart w:id="291" w:name="_Toc66779575"/>
      <w:bookmarkStart w:id="292" w:name="_Toc66731770"/>
      <w:bookmarkStart w:id="293" w:name="_Toc66779576"/>
      <w:bookmarkStart w:id="294" w:name="_Toc66731787"/>
      <w:bookmarkStart w:id="295" w:name="_Toc66779593"/>
      <w:bookmarkStart w:id="296" w:name="_Toc66731788"/>
      <w:bookmarkStart w:id="297" w:name="_Toc66779594"/>
      <w:bookmarkStart w:id="298" w:name="_Toc66731789"/>
      <w:bookmarkStart w:id="299" w:name="_Toc66779595"/>
      <w:bookmarkStart w:id="300" w:name="_Toc66731790"/>
      <w:bookmarkStart w:id="301" w:name="_Toc66779596"/>
      <w:bookmarkStart w:id="302" w:name="_Toc66731791"/>
      <w:bookmarkStart w:id="303" w:name="_Toc66779597"/>
      <w:bookmarkStart w:id="304" w:name="_Toc66731792"/>
      <w:bookmarkStart w:id="305" w:name="_Toc66779598"/>
      <w:bookmarkStart w:id="306" w:name="_Toc66731793"/>
      <w:bookmarkStart w:id="307" w:name="_Toc66779599"/>
      <w:bookmarkStart w:id="308" w:name="_Toc66731794"/>
      <w:bookmarkStart w:id="309" w:name="_Toc66779600"/>
      <w:bookmarkStart w:id="310" w:name="_Toc66731795"/>
      <w:bookmarkStart w:id="311" w:name="_Toc66779601"/>
      <w:bookmarkStart w:id="312" w:name="_Toc66731796"/>
      <w:bookmarkStart w:id="313" w:name="_Toc66779602"/>
      <w:bookmarkStart w:id="314" w:name="_Toc66731797"/>
      <w:bookmarkStart w:id="315" w:name="_Toc66779603"/>
      <w:bookmarkStart w:id="316" w:name="_Toc66731798"/>
      <w:bookmarkStart w:id="317" w:name="_Toc66779604"/>
      <w:bookmarkStart w:id="318" w:name="_Toc66731799"/>
      <w:bookmarkStart w:id="319" w:name="_Toc66779605"/>
      <w:bookmarkStart w:id="320" w:name="_Toc66731800"/>
      <w:bookmarkStart w:id="321" w:name="_Toc66779606"/>
      <w:bookmarkStart w:id="322" w:name="_Toc66731801"/>
      <w:bookmarkStart w:id="323" w:name="_Toc66779607"/>
      <w:bookmarkStart w:id="324" w:name="_Toc66731802"/>
      <w:bookmarkStart w:id="325" w:name="_Toc66779608"/>
      <w:bookmarkStart w:id="326" w:name="_Toc66731803"/>
      <w:bookmarkStart w:id="327" w:name="_Toc66779609"/>
      <w:bookmarkStart w:id="328" w:name="_Toc66731804"/>
      <w:bookmarkStart w:id="329" w:name="_Toc66779610"/>
      <w:bookmarkStart w:id="330" w:name="_Toc66731805"/>
      <w:bookmarkStart w:id="331" w:name="_Toc66779611"/>
      <w:bookmarkStart w:id="332" w:name="_Toc66731806"/>
      <w:bookmarkStart w:id="333" w:name="_Toc66779612"/>
      <w:bookmarkStart w:id="334" w:name="_Toc66731807"/>
      <w:bookmarkStart w:id="335" w:name="_Toc66779613"/>
      <w:bookmarkStart w:id="336" w:name="_Toc66731808"/>
      <w:bookmarkStart w:id="337" w:name="_Toc66779614"/>
      <w:bookmarkStart w:id="338" w:name="_Toc66731809"/>
      <w:bookmarkStart w:id="339" w:name="_Toc66779615"/>
      <w:bookmarkStart w:id="340" w:name="_Toc66731810"/>
      <w:bookmarkStart w:id="341" w:name="_Toc66779616"/>
      <w:bookmarkStart w:id="342" w:name="_Toc66731811"/>
      <w:bookmarkStart w:id="343" w:name="_Toc66779617"/>
      <w:bookmarkStart w:id="344" w:name="_Toc66731812"/>
      <w:bookmarkStart w:id="345" w:name="_Toc66779618"/>
      <w:bookmarkStart w:id="346" w:name="_Toc66731813"/>
      <w:bookmarkStart w:id="347" w:name="_Toc66779619"/>
      <w:bookmarkStart w:id="348" w:name="_Toc66731854"/>
      <w:bookmarkStart w:id="349" w:name="_Toc66779660"/>
      <w:bookmarkStart w:id="350" w:name="_Toc66731855"/>
      <w:bookmarkStart w:id="351" w:name="_Toc66779661"/>
      <w:bookmarkStart w:id="352" w:name="_Toc66731856"/>
      <w:bookmarkStart w:id="353" w:name="_Toc66779662"/>
      <w:bookmarkStart w:id="354" w:name="_Toc66731857"/>
      <w:bookmarkStart w:id="355" w:name="_Toc66779663"/>
      <w:bookmarkStart w:id="356" w:name="_Toc66731858"/>
      <w:bookmarkStart w:id="357" w:name="_Toc66779664"/>
      <w:bookmarkStart w:id="358" w:name="_Toc66731859"/>
      <w:bookmarkStart w:id="359" w:name="_Toc66779665"/>
      <w:bookmarkStart w:id="360" w:name="_Toc70433297"/>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noProof/>
        </w:rPr>
        <w:t xml:space="preserve"> </w:t>
      </w:r>
    </w:p>
    <w:p w14:paraId="516F9D4C" w14:textId="77777777" w:rsidR="004D45F1" w:rsidRPr="00FB196E" w:rsidRDefault="004D45F1" w:rsidP="00FB196E">
      <w:pPr>
        <w:keepNext/>
        <w:numPr>
          <w:ilvl w:val="0"/>
          <w:numId w:val="50"/>
        </w:numPr>
        <w:spacing w:before="240" w:after="240" w:line="240" w:lineRule="auto"/>
        <w:jc w:val="both"/>
        <w:outlineLvl w:val="0"/>
        <w:rPr>
          <w:rFonts w:ascii="Times New Roman" w:eastAsia="Times New Roman" w:hAnsi="Times New Roman" w:cs="Times New Roman"/>
          <w:b/>
          <w:smallCaps/>
          <w:noProof/>
          <w:sz w:val="24"/>
          <w:szCs w:val="20"/>
        </w:rPr>
      </w:pPr>
      <w:r w:rsidRPr="00FB196E">
        <w:rPr>
          <w:rFonts w:ascii="Times New Roman" w:eastAsia="Times New Roman" w:hAnsi="Times New Roman" w:cs="Times New Roman"/>
          <w:b/>
          <w:smallCaps/>
          <w:noProof/>
          <w:sz w:val="24"/>
          <w:szCs w:val="20"/>
        </w:rPr>
        <w:t>Introduction</w:t>
      </w:r>
    </w:p>
    <w:p w14:paraId="41F259EE"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report summarises the results of the consultation activities carried out for the Impact Assessment for amending Regulation (EC) No 1005/2009 on substances that deplete the ozone layer (ODS Regulation). </w:t>
      </w:r>
    </w:p>
    <w:p w14:paraId="0970D9D4" w14:textId="77777777" w:rsidR="004D45F1" w:rsidRDefault="004D45F1" w:rsidP="004D45F1">
      <w:pPr>
        <w:spacing w:after="120"/>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 consultation aimed to capture feedback from industry, public authorities and civil society through:</w:t>
      </w:r>
    </w:p>
    <w:p w14:paraId="49614FBD" w14:textId="77777777" w:rsidR="004D45F1" w:rsidRDefault="004D45F1" w:rsidP="00AD73CF">
      <w:pPr>
        <w:numPr>
          <w:ilvl w:val="0"/>
          <w:numId w:val="29"/>
        </w:numPr>
        <w:contextualSpacing/>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An inception impact assessment</w:t>
      </w:r>
      <w:r>
        <w:rPr>
          <w:noProof/>
          <w:vertAlign w:val="superscript"/>
        </w:rPr>
        <w:footnoteReference w:id="92"/>
      </w:r>
      <w:r>
        <w:rPr>
          <w:rFonts w:ascii="Times New Roman" w:eastAsia="Calibri" w:hAnsi="Times New Roman" w:cs="Times New Roman"/>
          <w:b/>
          <w:noProof/>
          <w:sz w:val="24"/>
          <w:szCs w:val="24"/>
        </w:rPr>
        <w:t xml:space="preserve"> (IIA)</w:t>
      </w:r>
      <w:r>
        <w:rPr>
          <w:rFonts w:ascii="Times New Roman" w:eastAsia="Calibri" w:hAnsi="Times New Roman" w:cs="Times New Roman"/>
          <w:noProof/>
          <w:sz w:val="24"/>
          <w:szCs w:val="24"/>
        </w:rPr>
        <w:t>, for which the feedback period ran in March - April 2020. 4 responses were received.</w:t>
      </w:r>
    </w:p>
    <w:p w14:paraId="353CE891" w14:textId="77777777" w:rsidR="004D45F1" w:rsidRDefault="004D45F1" w:rsidP="00AD73CF">
      <w:pPr>
        <w:numPr>
          <w:ilvl w:val="0"/>
          <w:numId w:val="29"/>
        </w:numPr>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w:t>
      </w:r>
      <w:r>
        <w:rPr>
          <w:rFonts w:ascii="Times New Roman" w:eastAsia="Calibri" w:hAnsi="Times New Roman" w:cs="Times New Roman"/>
          <w:b/>
          <w:bCs/>
          <w:noProof/>
          <w:sz w:val="24"/>
          <w:szCs w:val="24"/>
        </w:rPr>
        <w:t xml:space="preserve"> public consultation</w:t>
      </w:r>
      <w:r>
        <w:rPr>
          <w:noProof/>
          <w:vertAlign w:val="superscript"/>
        </w:rPr>
        <w:footnoteReference w:id="93"/>
      </w:r>
      <w:r>
        <w:rPr>
          <w:rFonts w:ascii="Times New Roman" w:eastAsia="Calibri" w:hAnsi="Times New Roman" w:cs="Times New Roman"/>
          <w:b/>
          <w:bCs/>
          <w:noProof/>
          <w:sz w:val="24"/>
          <w:szCs w:val="24"/>
        </w:rPr>
        <w:t xml:space="preserve"> (OPC) </w:t>
      </w:r>
      <w:r>
        <w:rPr>
          <w:rFonts w:ascii="Times New Roman" w:eastAsia="Calibri" w:hAnsi="Times New Roman" w:cs="Times New Roman"/>
          <w:noProof/>
          <w:sz w:val="24"/>
          <w:szCs w:val="24"/>
        </w:rPr>
        <w:t>that ran in July - November 2020. 34 respondents replied.</w:t>
      </w:r>
    </w:p>
    <w:p w14:paraId="7CB2D385" w14:textId="77777777" w:rsidR="004D45F1" w:rsidRDefault="004D45F1" w:rsidP="00AD73CF">
      <w:pPr>
        <w:numPr>
          <w:ilvl w:val="0"/>
          <w:numId w:val="29"/>
        </w:numPr>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 </w:t>
      </w:r>
      <w:r>
        <w:rPr>
          <w:rFonts w:ascii="Times New Roman" w:eastAsia="Calibri" w:hAnsi="Times New Roman" w:cs="Times New Roman"/>
          <w:b/>
          <w:bCs/>
          <w:noProof/>
          <w:sz w:val="24"/>
          <w:szCs w:val="24"/>
        </w:rPr>
        <w:t>targeted stakeholder consultation (TSC)</w:t>
      </w:r>
      <w:r>
        <w:rPr>
          <w:rFonts w:ascii="Times New Roman" w:eastAsia="Calibri" w:hAnsi="Times New Roman" w:cs="Times New Roman"/>
          <w:noProof/>
          <w:sz w:val="24"/>
          <w:szCs w:val="24"/>
        </w:rPr>
        <w:t xml:space="preserve"> that was tailored to ODS businesses, NGOs and public authorities and involved 42 stakeholders.</w:t>
      </w:r>
    </w:p>
    <w:p w14:paraId="73699524" w14:textId="77777777" w:rsidR="004D45F1" w:rsidRDefault="004D45F1" w:rsidP="00AD73CF">
      <w:pPr>
        <w:numPr>
          <w:ilvl w:val="0"/>
          <w:numId w:val="29"/>
        </w:numPr>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An online </w:t>
      </w:r>
      <w:r>
        <w:rPr>
          <w:rFonts w:ascii="Times New Roman" w:eastAsia="Calibri" w:hAnsi="Times New Roman" w:cs="Times New Roman"/>
          <w:b/>
          <w:bCs/>
          <w:noProof/>
          <w:sz w:val="24"/>
          <w:szCs w:val="24"/>
        </w:rPr>
        <w:t>stakeholder workshop</w:t>
      </w:r>
      <w:r>
        <w:rPr>
          <w:rFonts w:ascii="Times New Roman" w:eastAsia="Calibri" w:hAnsi="Times New Roman" w:cs="Times New Roman"/>
          <w:noProof/>
          <w:sz w:val="24"/>
          <w:szCs w:val="24"/>
        </w:rPr>
        <w:t xml:space="preserve"> held on 26 February 2021 to present preliminary results of the impact assessment and ask for stakeholder input on existing data gaps. 66 stakeholders participated. 12 organisations provided written feedback after the event.</w:t>
      </w:r>
    </w:p>
    <w:p w14:paraId="348B81C9" w14:textId="77777777" w:rsidR="004D45F1" w:rsidRDefault="004D45F1" w:rsidP="004D45F1">
      <w:pPr>
        <w:spacing w:after="120"/>
        <w:rPr>
          <w:rFonts w:ascii="Times New Roman" w:eastAsia="Calibri" w:hAnsi="Times New Roman" w:cs="Times New Roman"/>
          <w:noProof/>
          <w:sz w:val="24"/>
          <w:szCs w:val="24"/>
          <w:lang w:eastAsia="en-GB"/>
        </w:rPr>
      </w:pPr>
    </w:p>
    <w:p w14:paraId="66FED1A9" w14:textId="77777777" w:rsidR="004D45F1" w:rsidRDefault="004D45F1" w:rsidP="004D45F1">
      <w:p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Key stakeholders in the processes were: </w:t>
      </w:r>
    </w:p>
    <w:tbl>
      <w:tblPr>
        <w:tblStyle w:val="Tabellengitternetz11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4D45F1" w14:paraId="14BD4EA5" w14:textId="77777777" w:rsidTr="004D45F1">
        <w:trPr>
          <w:cnfStyle w:val="100000000000" w:firstRow="1" w:lastRow="0" w:firstColumn="0" w:lastColumn="0" w:oddVBand="0" w:evenVBand="0" w:oddHBand="0" w:evenHBand="0" w:firstRowFirstColumn="0" w:firstRowLastColumn="0" w:lastRowFirstColumn="0" w:lastRowLastColumn="0"/>
        </w:trPr>
        <w:tc>
          <w:tcPr>
            <w:tcW w:w="3256" w:type="dxa"/>
            <w:tcBorders>
              <w:top w:val="single" w:sz="4" w:space="0" w:color="auto"/>
              <w:right w:val="single" w:sz="4" w:space="0" w:color="auto"/>
            </w:tcBorders>
            <w:hideMark/>
          </w:tcPr>
          <w:p w14:paraId="58BE31D6" w14:textId="77777777" w:rsidR="004D45F1" w:rsidRDefault="004D45F1" w:rsidP="00AD73CF">
            <w:pPr>
              <w:numPr>
                <w:ilvl w:val="0"/>
                <w:numId w:val="30"/>
              </w:numPr>
              <w:spacing w:after="60"/>
              <w:ind w:left="306" w:hanging="306"/>
              <w:rPr>
                <w:rFonts w:ascii="Times New Roman" w:hAnsi="Times New Roman"/>
                <w:noProof/>
                <w:color w:val="000000" w:themeColor="text1"/>
                <w:sz w:val="24"/>
                <w:szCs w:val="24"/>
                <w:lang w:val="en-GB" w:eastAsia="en-GB"/>
              </w:rPr>
            </w:pPr>
            <w:r>
              <w:rPr>
                <w:rFonts w:ascii="Times New Roman" w:hAnsi="Times New Roman"/>
                <w:noProof/>
                <w:color w:val="000000" w:themeColor="text1"/>
                <w:sz w:val="24"/>
                <w:szCs w:val="24"/>
                <w:lang w:val="en-GB" w:eastAsia="en-GB"/>
              </w:rPr>
              <w:t>Authority</w:t>
            </w:r>
          </w:p>
        </w:tc>
        <w:tc>
          <w:tcPr>
            <w:tcW w:w="5760" w:type="dxa"/>
            <w:tcBorders>
              <w:top w:val="single" w:sz="4" w:space="0" w:color="auto"/>
              <w:left w:val="single" w:sz="4" w:space="0" w:color="auto"/>
            </w:tcBorders>
            <w:hideMark/>
          </w:tcPr>
          <w:p w14:paraId="138AB8BC" w14:textId="77777777" w:rsidR="004D45F1" w:rsidRDefault="004D45F1" w:rsidP="00AD73CF">
            <w:pPr>
              <w:numPr>
                <w:ilvl w:val="0"/>
                <w:numId w:val="31"/>
              </w:numPr>
              <w:spacing w:after="60"/>
              <w:rPr>
                <w:rFonts w:ascii="Times New Roman" w:hAnsi="Times New Roman"/>
                <w:noProof/>
                <w:color w:val="000000" w:themeColor="text1"/>
                <w:sz w:val="24"/>
                <w:szCs w:val="24"/>
                <w:lang w:val="en-GB" w:eastAsia="en-GB"/>
              </w:rPr>
            </w:pPr>
            <w:r>
              <w:rPr>
                <w:rFonts w:ascii="Times New Roman" w:hAnsi="Times New Roman"/>
                <w:noProof/>
                <w:color w:val="000000" w:themeColor="text1"/>
                <w:sz w:val="24"/>
                <w:szCs w:val="24"/>
                <w:lang w:val="en-GB" w:eastAsia="en-GB"/>
              </w:rPr>
              <w:t>MS Authorities</w:t>
            </w:r>
          </w:p>
          <w:p w14:paraId="4BDDBD8B" w14:textId="77777777" w:rsidR="004D45F1" w:rsidRDefault="004D45F1" w:rsidP="00AD73CF">
            <w:pPr>
              <w:numPr>
                <w:ilvl w:val="0"/>
                <w:numId w:val="31"/>
              </w:numPr>
              <w:spacing w:after="60"/>
              <w:rPr>
                <w:rFonts w:ascii="Times New Roman" w:hAnsi="Times New Roman"/>
                <w:noProof/>
                <w:color w:val="000000" w:themeColor="text1"/>
                <w:sz w:val="24"/>
                <w:szCs w:val="24"/>
                <w:lang w:val="en-GB" w:eastAsia="en-GB"/>
              </w:rPr>
            </w:pPr>
            <w:r>
              <w:rPr>
                <w:rFonts w:ascii="Times New Roman" w:hAnsi="Times New Roman"/>
                <w:noProof/>
                <w:color w:val="000000" w:themeColor="text1"/>
                <w:sz w:val="24"/>
                <w:szCs w:val="24"/>
                <w:lang w:val="en-GB" w:eastAsia="en-GB"/>
              </w:rPr>
              <w:t>Customs Authorities</w:t>
            </w:r>
          </w:p>
        </w:tc>
      </w:tr>
      <w:tr w:rsidR="004D45F1" w14:paraId="2B8D5DBB" w14:textId="77777777" w:rsidTr="004D45F1">
        <w:trPr>
          <w:cnfStyle w:val="000000100000" w:firstRow="0" w:lastRow="0" w:firstColumn="0" w:lastColumn="0" w:oddVBand="0" w:evenVBand="0" w:oddHBand="1" w:evenHBand="0"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hideMark/>
          </w:tcPr>
          <w:p w14:paraId="3D7EDEEB" w14:textId="77777777" w:rsidR="004D45F1" w:rsidRDefault="004D45F1" w:rsidP="00AD73CF">
            <w:pPr>
              <w:numPr>
                <w:ilvl w:val="0"/>
                <w:numId w:val="30"/>
              </w:numPr>
              <w:spacing w:after="60"/>
              <w:ind w:left="306" w:hanging="306"/>
              <w:rPr>
                <w:rFonts w:ascii="Times New Roman" w:hAnsi="Times New Roman"/>
                <w:noProof/>
                <w:sz w:val="24"/>
                <w:szCs w:val="24"/>
                <w:lang w:val="en-GB" w:eastAsia="en-GB"/>
              </w:rPr>
            </w:pPr>
            <w:r>
              <w:rPr>
                <w:rFonts w:ascii="Times New Roman" w:hAnsi="Times New Roman"/>
                <w:noProof/>
                <w:sz w:val="24"/>
                <w:szCs w:val="24"/>
                <w:lang w:val="en-GB" w:eastAsia="en-GB"/>
              </w:rPr>
              <w:t>Business</w:t>
            </w:r>
          </w:p>
        </w:tc>
        <w:tc>
          <w:tcPr>
            <w:tcW w:w="5760" w:type="dxa"/>
            <w:tcBorders>
              <w:top w:val="single" w:sz="4" w:space="0" w:color="auto"/>
              <w:left w:val="single" w:sz="4" w:space="0" w:color="auto"/>
              <w:bottom w:val="single" w:sz="4" w:space="0" w:color="auto"/>
              <w:right w:val="single" w:sz="4" w:space="0" w:color="auto"/>
            </w:tcBorders>
            <w:hideMark/>
          </w:tcPr>
          <w:p w14:paraId="473AA215" w14:textId="77777777" w:rsidR="004D45F1" w:rsidRDefault="004D45F1" w:rsidP="00AD73CF">
            <w:pPr>
              <w:numPr>
                <w:ilvl w:val="0"/>
                <w:numId w:val="32"/>
              </w:numPr>
              <w:spacing w:after="60"/>
              <w:contextualSpacing/>
              <w:rPr>
                <w:rFonts w:ascii="Times New Roman" w:hAnsi="Times New Roman"/>
                <w:noProof/>
                <w:sz w:val="24"/>
                <w:szCs w:val="24"/>
                <w:lang w:val="en-GB" w:eastAsia="en-GB"/>
              </w:rPr>
            </w:pPr>
            <w:r>
              <w:rPr>
                <w:rFonts w:ascii="Times New Roman" w:hAnsi="Times New Roman"/>
                <w:noProof/>
                <w:sz w:val="24"/>
                <w:szCs w:val="24"/>
                <w:lang w:val="en-GB" w:eastAsia="en-GB"/>
              </w:rPr>
              <w:t>Chemical industry including importers/exporters</w:t>
            </w:r>
          </w:p>
          <w:p w14:paraId="2F68C8C3" w14:textId="77777777" w:rsidR="004D45F1" w:rsidRDefault="004D45F1" w:rsidP="00AD73CF">
            <w:pPr>
              <w:numPr>
                <w:ilvl w:val="0"/>
                <w:numId w:val="32"/>
              </w:numPr>
              <w:spacing w:after="60"/>
              <w:contextualSpacing/>
              <w:rPr>
                <w:rFonts w:ascii="Times New Roman" w:hAnsi="Times New Roman"/>
                <w:noProof/>
                <w:sz w:val="24"/>
                <w:szCs w:val="24"/>
                <w:lang w:val="en-GB" w:eastAsia="en-GB"/>
              </w:rPr>
            </w:pPr>
            <w:r>
              <w:rPr>
                <w:rFonts w:ascii="Times New Roman" w:hAnsi="Times New Roman"/>
                <w:noProof/>
                <w:sz w:val="24"/>
                <w:szCs w:val="24"/>
                <w:lang w:val="en-GB" w:eastAsia="en-GB"/>
              </w:rPr>
              <w:t>Laboratories</w:t>
            </w:r>
          </w:p>
          <w:p w14:paraId="61EA9F1A" w14:textId="77777777" w:rsidR="004D45F1" w:rsidRDefault="004D45F1" w:rsidP="00AD73CF">
            <w:pPr>
              <w:numPr>
                <w:ilvl w:val="0"/>
                <w:numId w:val="32"/>
              </w:numPr>
              <w:spacing w:after="60"/>
              <w:contextualSpacing/>
              <w:rPr>
                <w:rFonts w:ascii="Times New Roman" w:hAnsi="Times New Roman"/>
                <w:noProof/>
                <w:sz w:val="24"/>
                <w:szCs w:val="24"/>
                <w:lang w:val="en-GB" w:eastAsia="en-GB"/>
              </w:rPr>
            </w:pPr>
            <w:r>
              <w:rPr>
                <w:rFonts w:ascii="Times New Roman" w:hAnsi="Times New Roman"/>
                <w:noProof/>
                <w:sz w:val="24"/>
                <w:szCs w:val="24"/>
                <w:lang w:val="en-GB" w:eastAsia="en-GB"/>
              </w:rPr>
              <w:t>Aerospace industry (halon users)</w:t>
            </w:r>
          </w:p>
          <w:p w14:paraId="00E6A67B" w14:textId="77777777" w:rsidR="004D45F1" w:rsidRDefault="004D45F1" w:rsidP="00AD73CF">
            <w:pPr>
              <w:numPr>
                <w:ilvl w:val="0"/>
                <w:numId w:val="32"/>
              </w:numPr>
              <w:spacing w:after="60"/>
              <w:contextualSpacing/>
              <w:rPr>
                <w:rFonts w:ascii="Times New Roman" w:hAnsi="Times New Roman"/>
                <w:noProof/>
                <w:sz w:val="24"/>
                <w:szCs w:val="24"/>
                <w:lang w:val="en-GB" w:eastAsia="en-GB"/>
              </w:rPr>
            </w:pPr>
            <w:r>
              <w:rPr>
                <w:rFonts w:ascii="Times New Roman" w:hAnsi="Times New Roman"/>
                <w:noProof/>
                <w:sz w:val="24"/>
                <w:szCs w:val="24"/>
                <w:lang w:val="en-GB" w:eastAsia="en-GB"/>
              </w:rPr>
              <w:t>Reclamation/Recycling/Incineration companies</w:t>
            </w:r>
          </w:p>
        </w:tc>
      </w:tr>
      <w:tr w:rsidR="004D45F1" w14:paraId="1AC4C547" w14:textId="77777777" w:rsidTr="004D45F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auto"/>
              <w:left w:val="single" w:sz="4" w:space="0" w:color="auto"/>
              <w:bottom w:val="single" w:sz="4" w:space="0" w:color="auto"/>
            </w:tcBorders>
            <w:hideMark/>
          </w:tcPr>
          <w:p w14:paraId="69518661" w14:textId="77777777" w:rsidR="004D45F1" w:rsidRDefault="004D45F1" w:rsidP="00AD73CF">
            <w:pPr>
              <w:numPr>
                <w:ilvl w:val="0"/>
                <w:numId w:val="30"/>
              </w:numPr>
              <w:spacing w:after="60"/>
              <w:ind w:left="306" w:hanging="306"/>
              <w:rPr>
                <w:rFonts w:ascii="Times New Roman" w:hAnsi="Times New Roman"/>
                <w:noProof/>
                <w:sz w:val="24"/>
                <w:szCs w:val="24"/>
                <w:lang w:val="en-GB" w:eastAsia="en-GB"/>
              </w:rPr>
            </w:pPr>
            <w:r>
              <w:rPr>
                <w:rFonts w:ascii="Times New Roman" w:hAnsi="Times New Roman"/>
                <w:noProof/>
                <w:sz w:val="24"/>
                <w:szCs w:val="24"/>
                <w:lang w:val="en-GB" w:eastAsia="en-GB"/>
              </w:rPr>
              <w:t>Other</w:t>
            </w:r>
          </w:p>
        </w:tc>
        <w:tc>
          <w:tcPr>
            <w:tcW w:w="5760" w:type="dxa"/>
            <w:tcBorders>
              <w:top w:val="single" w:sz="4" w:space="0" w:color="auto"/>
              <w:bottom w:val="single" w:sz="4" w:space="0" w:color="auto"/>
              <w:right w:val="single" w:sz="4" w:space="0" w:color="auto"/>
            </w:tcBorders>
            <w:hideMark/>
          </w:tcPr>
          <w:p w14:paraId="779D2C76" w14:textId="77777777" w:rsidR="004D45F1" w:rsidRDefault="004D45F1" w:rsidP="00AD73CF">
            <w:pPr>
              <w:numPr>
                <w:ilvl w:val="0"/>
                <w:numId w:val="33"/>
              </w:numPr>
              <w:spacing w:after="60"/>
              <w:rPr>
                <w:rFonts w:ascii="Times New Roman" w:hAnsi="Times New Roman"/>
                <w:noProof/>
                <w:sz w:val="24"/>
                <w:szCs w:val="24"/>
                <w:lang w:val="en-GB" w:eastAsia="en-GB"/>
              </w:rPr>
            </w:pPr>
            <w:r>
              <w:rPr>
                <w:rFonts w:ascii="Times New Roman" w:hAnsi="Times New Roman"/>
                <w:noProof/>
                <w:sz w:val="24"/>
                <w:szCs w:val="24"/>
                <w:lang w:val="en-GB" w:eastAsia="en-GB"/>
              </w:rPr>
              <w:t>EU bodies (e.g. European Aviation Safety Agency)</w:t>
            </w:r>
          </w:p>
          <w:p w14:paraId="63BF9EB4" w14:textId="77777777" w:rsidR="004D45F1" w:rsidRDefault="004D45F1" w:rsidP="00AD73CF">
            <w:pPr>
              <w:numPr>
                <w:ilvl w:val="0"/>
                <w:numId w:val="33"/>
              </w:numPr>
              <w:spacing w:after="60"/>
              <w:rPr>
                <w:rFonts w:ascii="Times New Roman" w:hAnsi="Times New Roman"/>
                <w:noProof/>
                <w:sz w:val="24"/>
                <w:szCs w:val="24"/>
                <w:lang w:val="en-GB" w:eastAsia="en-GB"/>
              </w:rPr>
            </w:pPr>
            <w:r>
              <w:rPr>
                <w:rFonts w:ascii="Times New Roman" w:hAnsi="Times New Roman"/>
                <w:noProof/>
                <w:sz w:val="24"/>
                <w:szCs w:val="24"/>
                <w:lang w:val="en-GB" w:eastAsia="en-GB"/>
              </w:rPr>
              <w:t>EU citizens</w:t>
            </w:r>
          </w:p>
          <w:p w14:paraId="493858B3" w14:textId="77777777" w:rsidR="004D45F1" w:rsidRDefault="004D45F1" w:rsidP="00AD73CF">
            <w:pPr>
              <w:numPr>
                <w:ilvl w:val="0"/>
                <w:numId w:val="33"/>
              </w:numPr>
              <w:spacing w:after="60"/>
              <w:rPr>
                <w:rFonts w:ascii="Times New Roman" w:hAnsi="Times New Roman"/>
                <w:noProof/>
                <w:sz w:val="24"/>
                <w:szCs w:val="24"/>
                <w:lang w:val="en-GB" w:eastAsia="en-GB"/>
              </w:rPr>
            </w:pPr>
            <w:r>
              <w:rPr>
                <w:rFonts w:ascii="Times New Roman" w:hAnsi="Times New Roman"/>
                <w:noProof/>
                <w:sz w:val="24"/>
                <w:szCs w:val="24"/>
                <w:lang w:val="en-GB" w:eastAsia="en-GB"/>
              </w:rPr>
              <w:t>Non-Governmental Organisations (NGOs)</w:t>
            </w:r>
          </w:p>
          <w:p w14:paraId="11AFA7CB" w14:textId="77777777" w:rsidR="004D45F1" w:rsidRDefault="004D45F1" w:rsidP="00AD73CF">
            <w:pPr>
              <w:numPr>
                <w:ilvl w:val="0"/>
                <w:numId w:val="33"/>
              </w:numPr>
              <w:spacing w:after="60"/>
              <w:rPr>
                <w:rFonts w:ascii="Times New Roman" w:hAnsi="Times New Roman"/>
                <w:noProof/>
                <w:sz w:val="24"/>
                <w:szCs w:val="24"/>
                <w:lang w:val="en-GB" w:eastAsia="en-GB"/>
              </w:rPr>
            </w:pPr>
            <w:r>
              <w:rPr>
                <w:rFonts w:ascii="Times New Roman" w:hAnsi="Times New Roman"/>
                <w:noProof/>
                <w:sz w:val="24"/>
                <w:szCs w:val="24"/>
                <w:lang w:val="en-GB" w:eastAsia="en-GB"/>
              </w:rPr>
              <w:t>International organisations including technical panels of the Montreal Protocol</w:t>
            </w:r>
          </w:p>
        </w:tc>
      </w:tr>
    </w:tbl>
    <w:p w14:paraId="09D106EB" w14:textId="77777777" w:rsidR="004D45F1" w:rsidRPr="00FB196E" w:rsidRDefault="004D45F1" w:rsidP="00FB196E">
      <w:pPr>
        <w:keepNext/>
        <w:numPr>
          <w:ilvl w:val="0"/>
          <w:numId w:val="50"/>
        </w:numPr>
        <w:spacing w:before="240" w:after="240" w:line="240" w:lineRule="auto"/>
        <w:jc w:val="both"/>
        <w:outlineLvl w:val="0"/>
        <w:rPr>
          <w:rFonts w:ascii="Times New Roman" w:eastAsia="Times New Roman" w:hAnsi="Times New Roman" w:cs="Times New Roman"/>
          <w:b/>
          <w:smallCaps/>
          <w:noProof/>
          <w:sz w:val="24"/>
          <w:szCs w:val="20"/>
        </w:rPr>
      </w:pPr>
      <w:r w:rsidRPr="00FB196E">
        <w:rPr>
          <w:rFonts w:ascii="Times New Roman" w:eastAsia="Times New Roman" w:hAnsi="Times New Roman" w:cs="Times New Roman"/>
          <w:b/>
          <w:smallCaps/>
          <w:noProof/>
          <w:sz w:val="24"/>
          <w:szCs w:val="20"/>
        </w:rPr>
        <w:t xml:space="preserve">Results of the consultation activities </w:t>
      </w:r>
    </w:p>
    <w:p w14:paraId="33031BD8" w14:textId="77777777" w:rsidR="004D45F1" w:rsidRDefault="004D45F1" w:rsidP="004D45F1">
      <w:pPr>
        <w:pStyle w:val="aoua-titreannexes1"/>
        <w:spacing w:after="120" w:line="276" w:lineRule="auto"/>
        <w:rPr>
          <w:rFonts w:ascii="Times New Roman" w:hAnsi="Times New Roman"/>
          <w:noProof/>
          <w:color w:val="auto"/>
          <w:sz w:val="24"/>
          <w:szCs w:val="24"/>
        </w:rPr>
      </w:pPr>
      <w:r>
        <w:rPr>
          <w:rFonts w:ascii="Times New Roman" w:hAnsi="Times New Roman"/>
          <w:noProof/>
          <w:color w:val="auto"/>
          <w:sz w:val="24"/>
          <w:szCs w:val="24"/>
        </w:rPr>
        <w:t>Achieving a higher level of emission reductions</w:t>
      </w:r>
    </w:p>
    <w:p w14:paraId="19500955"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were asked about the importance of achieving a higher level of emission reductions through the revision of the ODS Regulation and potential impacts of the related policy options. Across all consultation activities, all respondents agreed on the importance of safeguarding the progress made and most respondents also welcomed maintaining global leadership and a higher level of ambition. On the latter, while Authorities and ‘Other’ stakeholders were mostly in favour of additional ambition, Businesses were divided in their views. A Business representative mentioned that the options to achieve a higher level of emission reductions should be combined with new reporting obligations on emissions to better monitor the progress made. </w:t>
      </w:r>
    </w:p>
    <w:p w14:paraId="2E82CFE1" w14:textId="77777777" w:rsidR="004D45F1" w:rsidRDefault="004D45F1" w:rsidP="004D45F1">
      <w:pPr>
        <w:pStyle w:val="aoua-titreannexes1"/>
        <w:spacing w:after="120" w:line="276" w:lineRule="auto"/>
        <w:rPr>
          <w:rFonts w:ascii="Times New Roman" w:hAnsi="Times New Roman"/>
          <w:noProof/>
          <w:color w:val="auto"/>
          <w:sz w:val="24"/>
          <w:szCs w:val="24"/>
        </w:rPr>
      </w:pPr>
      <w:r>
        <w:rPr>
          <w:rFonts w:ascii="Times New Roman" w:hAnsi="Times New Roman"/>
          <w:noProof/>
          <w:color w:val="auto"/>
          <w:sz w:val="24"/>
          <w:szCs w:val="24"/>
        </w:rPr>
        <w:t xml:space="preserve">Limiting the exempted uses further in line with technological progress </w:t>
      </w:r>
    </w:p>
    <w:p w14:paraId="6B6DC7F2"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option to </w:t>
      </w:r>
      <w:r>
        <w:rPr>
          <w:rFonts w:ascii="Times New Roman" w:eastAsia="Calibri" w:hAnsi="Times New Roman" w:cs="Times New Roman"/>
          <w:b/>
          <w:noProof/>
          <w:sz w:val="24"/>
          <w:szCs w:val="24"/>
        </w:rPr>
        <w:t>prohibit the use of ODS in two chemical production processes</w:t>
      </w:r>
      <w:r>
        <w:rPr>
          <w:rFonts w:ascii="Times New Roman" w:eastAsia="Calibri" w:hAnsi="Times New Roman" w:cs="Times New Roman"/>
          <w:noProof/>
          <w:sz w:val="24"/>
          <w:szCs w:val="24"/>
        </w:rPr>
        <w:t xml:space="preserve"> where alternatives apparently exist, Businesses expressed strong concerns on the technical and economic feasibility of the alternatives, e.g. regarding the level of investment, and the achievable environmental effects. They flagged that the prohibition may lead to a larger amount of ODS to be incinerated and create higher energy use. A Business mentioned that the ODS would still exist as by-product from other processes. Hence if its use were prohibited, it would need to be destroyed and therefore there would still be an environmental impact. A Business indicated that the overall GHG footprint of the alternative production pathway is higher than for the current process. However, a few Authorities supported the option as they wanted a faster reduction of such uses.</w:t>
      </w:r>
    </w:p>
    <w:p w14:paraId="6D9C8D9E"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option to </w:t>
      </w:r>
      <w:r>
        <w:rPr>
          <w:rFonts w:ascii="Times New Roman" w:eastAsia="Calibri" w:hAnsi="Times New Roman" w:cs="Times New Roman"/>
          <w:b/>
          <w:noProof/>
          <w:sz w:val="24"/>
          <w:szCs w:val="24"/>
        </w:rPr>
        <w:t>anticipate some prohibition dates for fire-fighting equipment containing or relying on halons</w:t>
      </w:r>
      <w:r>
        <w:rPr>
          <w:rFonts w:ascii="Times New Roman" w:eastAsia="Calibri" w:hAnsi="Times New Roman" w:cs="Times New Roman"/>
          <w:noProof/>
          <w:sz w:val="24"/>
          <w:szCs w:val="24"/>
        </w:rPr>
        <w:t xml:space="preserve">, Authorities and Businesses acknowledged the potential for a positive environmental impact, but at the same time stated that the ODS quantities and related emissions are low. ‘Other’ stakeholders considered it would not be feasible to review prohibitions dates for military applications due to technical limitations. Authorities quoted the potentially high costs and highlighted the importance of halons for defence applications. </w:t>
      </w:r>
    </w:p>
    <w:p w14:paraId="29F1C63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option to </w:t>
      </w:r>
      <w:r>
        <w:rPr>
          <w:rFonts w:ascii="Times New Roman" w:eastAsia="Calibri" w:hAnsi="Times New Roman" w:cs="Times New Roman"/>
          <w:b/>
          <w:noProof/>
          <w:sz w:val="24"/>
          <w:szCs w:val="24"/>
        </w:rPr>
        <w:t>prohibit the destruction of halons</w:t>
      </w:r>
      <w:r>
        <w:rPr>
          <w:rFonts w:ascii="Times New Roman" w:eastAsia="Calibri" w:hAnsi="Times New Roman" w:cs="Times New Roman"/>
          <w:noProof/>
          <w:sz w:val="24"/>
          <w:szCs w:val="24"/>
        </w:rPr>
        <w:t xml:space="preserve">, as their production is not anymore allowed and stocks are decreasing, most businesses indicated that no significant economic impacts would be incurred. However a Business mentioned that halons can be contaminated in some cases and therefore cannot be recycled. Another Business stated that the prohibition to destroy halons should exempt cases of complex mixtures of chemicals with similar boiling points, because the reclamation is not feasible. Authorities mentioned a potential increase of their costs due to a need for additional enforcement and checks. Every group indicated positive environmental impacts, if the implementation avoids the need for halon production to be permitted under the Montreal Protocol. On the other hand, stakeholders also pointed to potential adverse environmental impacts if undertakings would release the halons to the atmosphere instead of shipping it to a country where demand for halons exists. An Authority also noted that prohibition itself may not ensure recycling, due to hazardous waste / waste shipment regulation barriers and the lack of demand for recycled halons in some Member States. </w:t>
      </w:r>
    </w:p>
    <w:p w14:paraId="3B4EAB90" w14:textId="77777777" w:rsidR="004D45F1" w:rsidRDefault="004D45F1" w:rsidP="004D45F1">
      <w:pPr>
        <w:pStyle w:val="aoua-titreannexes1"/>
        <w:spacing w:after="120" w:line="276" w:lineRule="auto"/>
        <w:rPr>
          <w:rFonts w:ascii="Times New Roman" w:eastAsia="Calibri" w:hAnsi="Times New Roman"/>
          <w:noProof/>
          <w:color w:val="auto"/>
          <w:sz w:val="24"/>
          <w:szCs w:val="24"/>
        </w:rPr>
      </w:pPr>
      <w:r>
        <w:rPr>
          <w:rFonts w:ascii="Times New Roman" w:eastAsia="Calibri" w:hAnsi="Times New Roman"/>
          <w:noProof/>
          <w:color w:val="auto"/>
          <w:sz w:val="24"/>
          <w:szCs w:val="24"/>
        </w:rPr>
        <w:t>Other options for achieving a higher level of emission reductions</w:t>
      </w:r>
    </w:p>
    <w:p w14:paraId="54187CE4"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Stakeholders from each group stated that </w:t>
      </w:r>
      <w:r>
        <w:rPr>
          <w:rFonts w:ascii="Times New Roman" w:eastAsia="Calibri" w:hAnsi="Times New Roman" w:cs="Times New Roman"/>
          <w:b/>
          <w:noProof/>
          <w:sz w:val="24"/>
          <w:szCs w:val="24"/>
        </w:rPr>
        <w:t>mandating recovery and destruction of foam banks</w:t>
      </w:r>
      <w:r>
        <w:rPr>
          <w:rFonts w:ascii="Times New Roman" w:eastAsia="Calibri" w:hAnsi="Times New Roman" w:cs="Times New Roman"/>
          <w:noProof/>
          <w:sz w:val="24"/>
          <w:szCs w:val="24"/>
        </w:rPr>
        <w:t xml:space="preserve"> is feasible for some cases, e.g. metal-faced panels. Some Authorities raised concerns regarding the costs for the proper treatment of the waste. Businesses indicated that a large fraction of the costs depends on the level of disaggregation of waste during waste management. Additional costs for the separate collection of foam material are likely to vary considerably among EU MS, depending on national regulations. Regarding the environmental impacts, Authorities and Businesses confirmed that the policy option would have a considerable positive environmental impacts in saving emissions. </w:t>
      </w:r>
    </w:p>
    <w:p w14:paraId="4A7C1EE7"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Regarding </w:t>
      </w:r>
      <w:r>
        <w:rPr>
          <w:rFonts w:ascii="Times New Roman" w:eastAsia="Calibri" w:hAnsi="Times New Roman" w:cs="Times New Roman"/>
          <w:b/>
          <w:noProof/>
          <w:sz w:val="24"/>
          <w:szCs w:val="24"/>
        </w:rPr>
        <w:t>prohibiting the use of new ODS (listed in Annex II) in cooling systems</w:t>
      </w:r>
      <w:r>
        <w:rPr>
          <w:rFonts w:ascii="Times New Roman" w:eastAsia="Calibri" w:hAnsi="Times New Roman" w:cs="Times New Roman"/>
          <w:noProof/>
          <w:sz w:val="24"/>
          <w:szCs w:val="24"/>
        </w:rPr>
        <w:t>, stakeholders from each group stressed that these chemicals replace HFCs, which are substances with much higher GWP. All stakeholder groups expected negative economic impacts for companies which already invested in using ODS additives to make their HFC alternatives marketable and safe. Businesses stated that environmental gain is likely to be low, due to the relatively low ODP and atmospheric lifetimes of the new ODS that would be prohibited. One Authority indicated that other alternatives for cooling equipment are available, which is why the use of an ODS should be prohibited.</w:t>
      </w:r>
    </w:p>
    <w:p w14:paraId="16BA6939" w14:textId="77777777" w:rsidR="004D45F1" w:rsidRDefault="004D45F1" w:rsidP="004D45F1">
      <w:pPr>
        <w:pStyle w:val="aoua-titreannexes1"/>
        <w:spacing w:after="120" w:line="276" w:lineRule="auto"/>
        <w:ind w:left="0" w:firstLine="0"/>
        <w:rPr>
          <w:rFonts w:ascii="Times New Roman" w:hAnsi="Times New Roman"/>
          <w:noProof/>
          <w:color w:val="auto"/>
          <w:sz w:val="24"/>
          <w:szCs w:val="24"/>
        </w:rPr>
      </w:pPr>
      <w:r>
        <w:rPr>
          <w:rFonts w:ascii="Times New Roman" w:hAnsi="Times New Roman"/>
          <w:noProof/>
          <w:color w:val="auto"/>
          <w:sz w:val="24"/>
          <w:szCs w:val="24"/>
        </w:rPr>
        <w:t>Improving the efficiency of the Regulation while preserving effective prevention of illegal activities</w:t>
      </w:r>
    </w:p>
    <w:p w14:paraId="0863795E"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regards the option to </w:t>
      </w:r>
      <w:r>
        <w:rPr>
          <w:rFonts w:ascii="Times New Roman" w:eastAsia="Calibri" w:hAnsi="Times New Roman" w:cs="Times New Roman"/>
          <w:b/>
          <w:noProof/>
          <w:sz w:val="24"/>
          <w:szCs w:val="24"/>
        </w:rPr>
        <w:t>replace per-shipment licences with multi-shipment licences</w:t>
      </w:r>
      <w:r>
        <w:rPr>
          <w:rFonts w:ascii="Times New Roman" w:eastAsia="Calibri" w:hAnsi="Times New Roman" w:cs="Times New Roman"/>
          <w:noProof/>
          <w:sz w:val="24"/>
          <w:szCs w:val="24"/>
        </w:rPr>
        <w:t xml:space="preserve"> (so-called “trader licenses”) for bulk substances and products or equipment with ODS, once the Single Window environment for customs</w:t>
      </w:r>
      <w:r>
        <w:rPr>
          <w:noProof/>
          <w:vertAlign w:val="superscript"/>
        </w:rPr>
        <w:footnoteReference w:id="94"/>
      </w:r>
      <w:r>
        <w:rPr>
          <w:rFonts w:ascii="Times New Roman" w:eastAsia="Calibri" w:hAnsi="Times New Roman" w:cs="Times New Roman"/>
          <w:noProof/>
          <w:sz w:val="24"/>
          <w:szCs w:val="24"/>
        </w:rPr>
        <w:t xml:space="preserve"> is in place, Businesses suggested that recurring licensing costs for bulk substances could decrease by up to 80%. Several authorities indicated the introduction of trader licenses would not lead to significant changes in their costs, but one respondent expected a 50-60% reduction in the number of licences the European Commission would be required to process. Only a few Authorities indicated significant positive environmental impacts, i.e. a further reduction of illegal trade, from the policy option because the current licensing system is considered to work well. Two Authorities mentioned that the current ODS Regulation has already successfully introduced multi-shipment licenses for aviation equipment. Two Authorities were sceptical about the timeline for the introduction of the Single Window Environment.</w:t>
      </w:r>
    </w:p>
    <w:p w14:paraId="6B33AD77"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All stakeholders supported </w:t>
      </w:r>
      <w:r>
        <w:rPr>
          <w:rFonts w:ascii="Times New Roman" w:eastAsia="Calibri" w:hAnsi="Times New Roman" w:cs="Times New Roman"/>
          <w:b/>
          <w:noProof/>
          <w:sz w:val="24"/>
          <w:szCs w:val="24"/>
        </w:rPr>
        <w:t>aligning with customs legislation and including all customs procedures</w:t>
      </w:r>
      <w:r>
        <w:rPr>
          <w:rFonts w:ascii="Times New Roman" w:eastAsia="Calibri" w:hAnsi="Times New Roman" w:cs="Times New Roman"/>
          <w:noProof/>
          <w:sz w:val="24"/>
          <w:szCs w:val="24"/>
        </w:rPr>
        <w:t xml:space="preserve"> in the licensing system, including controlling special customs procedures for ODS (such as transit, storage, specific use and processing). Three Authorities considered that including customs procedures could increase the administrative burden. No respondent was able to provide evidence on environmental impacts. However, it was indicated that the policy option might enhance monitoring of shipments to some extent and therefore decrease illegal trade. A business welcomed possible improvements envisaged by enabling better custom controls, but mentioned the need to ensure consistency between the Regulation on fluorinated greenhouse gases (F-gas Regulation) and the ODS Regulation.</w:t>
      </w:r>
    </w:p>
    <w:p w14:paraId="38928F6A"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Authorities envisaged that cost savings could be achieved by </w:t>
      </w:r>
      <w:r>
        <w:rPr>
          <w:rFonts w:ascii="Times New Roman" w:eastAsia="Calibri" w:hAnsi="Times New Roman" w:cs="Times New Roman"/>
          <w:b/>
          <w:noProof/>
          <w:sz w:val="24"/>
          <w:szCs w:val="24"/>
        </w:rPr>
        <w:t>abolishing the registration process for laboratories</w:t>
      </w:r>
      <w:r>
        <w:rPr>
          <w:rFonts w:ascii="Times New Roman" w:eastAsia="Calibri" w:hAnsi="Times New Roman" w:cs="Times New Roman"/>
          <w:noProof/>
          <w:sz w:val="24"/>
          <w:szCs w:val="24"/>
        </w:rPr>
        <w:t xml:space="preserve">. One Business was able to indicate the economic impact of the abolishment of the registration requirement as a reduction of 25.6 hours per year. The concerned laboratories welcomed the proposal as it would decrease their administrative costs. However, some other Businesses expected that some of the administrative burden currently incurred by laboratories could be shifted to ODS suppliers and Authorities for tracking and spot-checking the necessary records. Some Businesses and Authorities also feared that some oversight and control of this ODS use might be lost. </w:t>
      </w:r>
      <w:r>
        <w:rPr>
          <w:rFonts w:ascii="Times New Roman" w:eastAsia="Times New Roman" w:hAnsi="Times New Roman" w:cs="Times New Roman"/>
          <w:bCs/>
          <w:noProof/>
          <w:sz w:val="24"/>
          <w:szCs w:val="24"/>
          <w:lang w:eastAsia="de-DE"/>
        </w:rPr>
        <w:t>One Business indicated that the EU’s registry is one of few sources of information on the availability of alternatives to ODS in laboratory or analytical uses that informs respective bodies under the Montreal Protocol.</w:t>
      </w:r>
      <w:r>
        <w:rPr>
          <w:rFonts w:ascii="Times New Roman" w:eastAsia="Calibri" w:hAnsi="Times New Roman" w:cs="Times New Roman"/>
          <w:noProof/>
          <w:sz w:val="24"/>
          <w:szCs w:val="24"/>
        </w:rPr>
        <w:t xml:space="preserve"> </w:t>
      </w:r>
    </w:p>
    <w:p w14:paraId="69949F9C" w14:textId="77777777" w:rsidR="004D45F1" w:rsidRDefault="004D45F1" w:rsidP="004D45F1">
      <w:pPr>
        <w:spacing w:after="120"/>
        <w:jc w:val="both"/>
        <w:rPr>
          <w:rFonts w:ascii="Times New Roman" w:eastAsia="Calibri" w:hAnsi="Times New Roman" w:cs="Times New Roman"/>
          <w:b/>
          <w:noProof/>
          <w:sz w:val="24"/>
          <w:szCs w:val="24"/>
        </w:rPr>
      </w:pPr>
      <w:r>
        <w:rPr>
          <w:rFonts w:ascii="Times New Roman" w:eastAsia="Calibri" w:hAnsi="Times New Roman" w:cs="Times New Roman"/>
          <w:noProof/>
          <w:sz w:val="24"/>
          <w:szCs w:val="24"/>
        </w:rPr>
        <w:t xml:space="preserve">Businesses generally favoured </w:t>
      </w:r>
      <w:r>
        <w:rPr>
          <w:rFonts w:ascii="Times New Roman" w:eastAsia="Calibri" w:hAnsi="Times New Roman" w:cs="Times New Roman"/>
          <w:b/>
          <w:noProof/>
          <w:sz w:val="24"/>
          <w:szCs w:val="24"/>
        </w:rPr>
        <w:t>abolishing the</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 xml:space="preserve">annual allocation of quota for import and production of ODS. </w:t>
      </w:r>
      <w:r>
        <w:rPr>
          <w:rFonts w:ascii="Times New Roman" w:eastAsia="Calibri" w:hAnsi="Times New Roman" w:cs="Times New Roman"/>
          <w:noProof/>
          <w:sz w:val="24"/>
          <w:szCs w:val="24"/>
        </w:rPr>
        <w:t>A Business indicated likely positive economic impacts due to EU companies being able to import ODS at short notice (without having applied for quota at least half a year in advance). Authorities had mixed views, and although they agreed with all other stakeholders that the option would result in a reduction in administrative costs, some Authorities were concerned about the possible effect on the controls of ODS quantities and uses.</w:t>
      </w:r>
    </w:p>
    <w:p w14:paraId="05BC162B"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option to </w:t>
      </w:r>
      <w:r>
        <w:rPr>
          <w:rFonts w:ascii="Times New Roman" w:eastAsia="Calibri" w:hAnsi="Times New Roman" w:cs="Times New Roman"/>
          <w:b/>
          <w:noProof/>
          <w:sz w:val="24"/>
          <w:szCs w:val="24"/>
        </w:rPr>
        <w:t>delay one prohibition concerning the use of halon-based fire protection equipment aboard aircraft</w:t>
      </w:r>
      <w:r>
        <w:rPr>
          <w:rFonts w:ascii="Times New Roman" w:eastAsia="Calibri" w:hAnsi="Times New Roman" w:cs="Times New Roman"/>
          <w:noProof/>
          <w:sz w:val="24"/>
          <w:szCs w:val="24"/>
        </w:rPr>
        <w:t xml:space="preserve"> to 2024, Authorities acknowledged that this cut-off date was hard to meet by the aviation industry. Some Businesses mentioned that even the postponed date could be hard to comply with. Both Authorities and Businesses highlighted positive economic impacts from removing the need to request corresponding derogations from the cut-off date. Businesses considered the environmental impacts to be minor.</w:t>
      </w:r>
    </w:p>
    <w:p w14:paraId="1BAB11B7" w14:textId="77777777" w:rsidR="004D45F1" w:rsidRDefault="004D45F1" w:rsidP="004D45F1">
      <w:pPr>
        <w:pStyle w:val="aoua-titreannexes1"/>
        <w:spacing w:after="120" w:line="276" w:lineRule="auto"/>
        <w:rPr>
          <w:rFonts w:ascii="Times New Roman" w:hAnsi="Times New Roman"/>
          <w:noProof/>
          <w:color w:val="auto"/>
          <w:sz w:val="24"/>
          <w:szCs w:val="24"/>
        </w:rPr>
      </w:pPr>
      <w:r>
        <w:rPr>
          <w:rFonts w:ascii="Times New Roman" w:hAnsi="Times New Roman"/>
          <w:noProof/>
          <w:color w:val="auto"/>
          <w:sz w:val="24"/>
          <w:szCs w:val="24"/>
        </w:rPr>
        <w:t>Ensuring more comprehensive monitoring</w:t>
      </w:r>
    </w:p>
    <w:p w14:paraId="0CD365C3"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were asked about the objective to ensure more comprehensive monitoring of the Regulation, while preserving effective prevention of illegal activities, and potential impacts of related policy options. Across consultation activities, Authorities and ‘Other’ stakeholders placed high importance on additional reporting measures, whereas Businesses were divided on this issue. </w:t>
      </w:r>
    </w:p>
    <w:p w14:paraId="24F399DF" w14:textId="77777777" w:rsidR="004D45F1" w:rsidRDefault="004D45F1" w:rsidP="004D45F1">
      <w:pPr>
        <w:spacing w:after="120"/>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An option considered was aligning Businesses and Authorities considered that their costs would not increase if </w:t>
      </w:r>
      <w:r>
        <w:rPr>
          <w:rFonts w:ascii="Times New Roman" w:eastAsia="Calibri" w:hAnsi="Times New Roman" w:cs="Times New Roman"/>
          <w:b/>
          <w:noProof/>
          <w:sz w:val="24"/>
          <w:szCs w:val="24"/>
        </w:rPr>
        <w:t>reporting obligations for new ODS (listed in Annex II) were aligned to those of ODS listed Annex I</w:t>
      </w:r>
      <w:r>
        <w:rPr>
          <w:rFonts w:ascii="Times New Roman" w:eastAsia="Calibri" w:hAnsi="Times New Roman" w:cs="Times New Roman"/>
          <w:noProof/>
          <w:sz w:val="24"/>
          <w:szCs w:val="24"/>
        </w:rPr>
        <w:t xml:space="preserve">. A Business highlighted that the required data for new ODS was already collected by them and available for reporting or already reported. Some Authorities indicated minor positive environmental effects as a result of better oversight, particularly with regard to completeness of emissions data from feedstock. </w:t>
      </w:r>
    </w:p>
    <w:p w14:paraId="3062C40C" w14:textId="77777777" w:rsidR="004D45F1" w:rsidRDefault="004D45F1" w:rsidP="004D45F1">
      <w:pPr>
        <w:spacing w:after="120"/>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Authorities and Businesses also indicated that economic impacts of a new reporting obligation </w:t>
      </w:r>
      <w:r>
        <w:rPr>
          <w:rFonts w:ascii="Times New Roman" w:eastAsia="Calibri" w:hAnsi="Times New Roman" w:cs="Times New Roman"/>
          <w:b/>
          <w:noProof/>
          <w:sz w:val="24"/>
          <w:szCs w:val="24"/>
        </w:rPr>
        <w:t xml:space="preserve">requiring reporting on emissions for ODS production and destruction </w:t>
      </w:r>
      <w:r>
        <w:rPr>
          <w:rFonts w:ascii="Times New Roman" w:eastAsia="Calibri" w:hAnsi="Times New Roman" w:cs="Times New Roman"/>
          <w:noProof/>
          <w:sz w:val="24"/>
          <w:szCs w:val="24"/>
        </w:rPr>
        <w:t>would be at most minor. However some Businesses mentioned that this option would introduce double regulation due to existing reporting obligations under the Industrial Emissions Directive (IED) and European Pollutant Release and Transfer Register (E-PRTR). One Business estimated no increase in costs, whereas two Businesses indicated higher costs corresponding to 1-2 and 1-5 additional working days per year. Environmental benefits were indicated by Authorities due to improved oversight.</w:t>
      </w:r>
    </w:p>
    <w:p w14:paraId="5807D780" w14:textId="77777777" w:rsidR="004D45F1" w:rsidRDefault="004D45F1" w:rsidP="004D45F1">
      <w:pPr>
        <w:spacing w:after="120"/>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Although a slight majority of the Authorities supported to </w:t>
      </w:r>
      <w:r>
        <w:rPr>
          <w:rFonts w:ascii="Times New Roman" w:eastAsia="Calibri" w:hAnsi="Times New Roman" w:cs="Times New Roman"/>
          <w:b/>
          <w:noProof/>
          <w:sz w:val="24"/>
          <w:szCs w:val="24"/>
        </w:rPr>
        <w:t>add GWP values to substances listed in Annexes I and II of the ODS Regulation</w:t>
      </w:r>
      <w:r>
        <w:rPr>
          <w:rFonts w:ascii="Times New Roman" w:eastAsia="Calibri" w:hAnsi="Times New Roman" w:cs="Times New Roman"/>
          <w:noProof/>
          <w:sz w:val="24"/>
          <w:szCs w:val="24"/>
        </w:rPr>
        <w:t xml:space="preserve"> as a way to increase awareness of the climate impact, some questions were raised on added value and environmental benefits. Both Authorities and Businesses indicated no additional costs related to this policy option. Businesses assessed this policy option as not beneficial to the environment as the remaining use of ODS is mostly feedstock, where ODS are not emitted in significant quantities. </w:t>
      </w:r>
    </w:p>
    <w:p w14:paraId="3FE32CDB" w14:textId="77777777" w:rsidR="004D45F1" w:rsidRDefault="004D45F1" w:rsidP="004D45F1">
      <w:pPr>
        <w:spacing w:after="120"/>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Authorities and Businesses considered the option to require some ODS users to </w:t>
      </w:r>
      <w:r>
        <w:rPr>
          <w:rFonts w:ascii="Times New Roman" w:eastAsia="Calibri" w:hAnsi="Times New Roman" w:cs="Times New Roman"/>
          <w:b/>
          <w:noProof/>
          <w:sz w:val="24"/>
          <w:szCs w:val="24"/>
        </w:rPr>
        <w:t>report on ODS sales to/purchases</w:t>
      </w:r>
      <w:r>
        <w:rPr>
          <w:rFonts w:ascii="Times New Roman" w:eastAsia="Calibri" w:hAnsi="Times New Roman" w:cs="Times New Roman"/>
          <w:noProof/>
          <w:sz w:val="24"/>
          <w:szCs w:val="24"/>
        </w:rPr>
        <w:t xml:space="preserve"> from other EU undertakings as feasible, since many of these undertakings already report on their suppliers and recipients. As the relevant data for reporting is basically already collected, Businesses indicated additional costs to be 0-3 working days. No environmental benefits were considered likely by stakeholders. </w:t>
      </w:r>
    </w:p>
    <w:p w14:paraId="093CA1DB" w14:textId="77777777" w:rsidR="004D45F1" w:rsidRDefault="004D45F1" w:rsidP="004D45F1">
      <w:pPr>
        <w:spacing w:after="120"/>
        <w:ind w:right="-2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Most Authorities indicated that the policy option to </w:t>
      </w:r>
      <w:r>
        <w:rPr>
          <w:rFonts w:ascii="Times New Roman" w:eastAsia="Calibri" w:hAnsi="Times New Roman" w:cs="Times New Roman"/>
          <w:b/>
          <w:noProof/>
          <w:sz w:val="24"/>
          <w:szCs w:val="24"/>
        </w:rPr>
        <w:t>add additional substances</w:t>
      </w:r>
      <w:r>
        <w:rPr>
          <w:noProof/>
          <w:vertAlign w:val="superscript"/>
        </w:rPr>
        <w:footnoteReference w:id="95"/>
      </w:r>
      <w:r>
        <w:rPr>
          <w:rFonts w:ascii="Times New Roman" w:eastAsia="Calibri" w:hAnsi="Times New Roman" w:cs="Times New Roman"/>
          <w:b/>
          <w:noProof/>
          <w:sz w:val="24"/>
          <w:szCs w:val="24"/>
        </w:rPr>
        <w:t xml:space="preserve"> to the list of new ODS </w:t>
      </w:r>
      <w:r>
        <w:rPr>
          <w:rFonts w:ascii="Times New Roman" w:eastAsia="Calibri" w:hAnsi="Times New Roman" w:cs="Times New Roman"/>
          <w:noProof/>
          <w:sz w:val="24"/>
          <w:szCs w:val="24"/>
        </w:rPr>
        <w:t>in Annex II, so that they would need to be reported in the future, would not lead to increases in implementation and enforcement costs. Many Authorities referred to potential future positive environmental impacts, as this option would allow for informed decisions on these new chemicals. On the other hand, Businesses considered environmental impacts of these two substances as low, since they are Very Short-Lived Substances (VSLS). A Business estimated additional costs for a laboratory supplier needing to report on the production of a new ODS as 0.625 days per year.</w:t>
      </w:r>
    </w:p>
    <w:p w14:paraId="761A0F4B" w14:textId="77777777" w:rsidR="004D45F1" w:rsidRDefault="004D45F1" w:rsidP="004D45F1">
      <w:pPr>
        <w:pStyle w:val="aoua-titreannexes1"/>
        <w:spacing w:after="120" w:line="276" w:lineRule="auto"/>
        <w:rPr>
          <w:rFonts w:ascii="Times New Roman" w:hAnsi="Times New Roman"/>
          <w:noProof/>
          <w:color w:val="auto"/>
          <w:sz w:val="24"/>
          <w:szCs w:val="24"/>
        </w:rPr>
      </w:pPr>
      <w:r>
        <w:rPr>
          <w:rFonts w:ascii="Times New Roman" w:hAnsi="Times New Roman"/>
          <w:noProof/>
          <w:color w:val="auto"/>
          <w:sz w:val="24"/>
          <w:szCs w:val="24"/>
        </w:rPr>
        <w:t>Improving coherence of the Regulation</w:t>
      </w:r>
    </w:p>
    <w:p w14:paraId="60C9AE0D"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were asked about the objective that aims to improve internal coherence of the Ozone Regulation. The policy options aligned provisions with other policies, addressed inconsistencies within the Ozone Regulation and streamlined legal text of the legislation. </w:t>
      </w:r>
    </w:p>
    <w:p w14:paraId="342701AA" w14:textId="77777777" w:rsidR="004D45F1" w:rsidRDefault="004D45F1" w:rsidP="004D45F1">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rPr>
        <w:t>For all stakeholders, aligning provisions with other EU policies were considered important. All stakeholders generally agreed that it is important to have a clearer and more accessible legal text of the Regulation. Policy options that improve the coherence of the ODS regulation are expected by most Authorities and Citizens to reduce administrative costs, whereas most Businesses expect no change in administrative costs. A customs representative stated that the alignment of the ODS Regulation with customs regulation is a must and that having an alignment with F-Gas licensing would increase effectiveness of controls and level of compliance.</w:t>
      </w:r>
    </w:p>
    <w:bookmarkEnd w:id="360"/>
    <w:p w14:paraId="5777A189"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14:paraId="237CE940" w14:textId="77777777" w:rsidR="004D45F1" w:rsidRDefault="004D45F1" w:rsidP="004D45F1">
      <w:pPr>
        <w:pStyle w:val="AnnexTitle"/>
        <w:rPr>
          <w:noProof/>
        </w:rPr>
      </w:pPr>
      <w:bookmarkStart w:id="361" w:name="_Toc71561875"/>
      <w:bookmarkStart w:id="362" w:name="_Toc71559438"/>
      <w:bookmarkStart w:id="363" w:name="_Toc93511486"/>
      <w:r w:rsidRPr="004D45F1">
        <w:rPr>
          <w:rStyle w:val="AnnexTitleChar"/>
          <w:b/>
          <w:noProof/>
        </w:rPr>
        <w:t>Annex</w:t>
      </w:r>
      <w:r w:rsidRPr="004D45F1">
        <w:rPr>
          <w:b w:val="0"/>
          <w:noProof/>
        </w:rPr>
        <w:t xml:space="preserve"> </w:t>
      </w:r>
      <w:r>
        <w:rPr>
          <w:noProof/>
        </w:rPr>
        <w:t>3: Who is affected and how?</w:t>
      </w:r>
      <w:bookmarkEnd w:id="361"/>
      <w:bookmarkEnd w:id="362"/>
      <w:bookmarkEnd w:id="363"/>
    </w:p>
    <w:p w14:paraId="0A0D05FC" w14:textId="77777777" w:rsidR="004D45F1" w:rsidRDefault="004D45F1" w:rsidP="00AD73CF">
      <w:pPr>
        <w:keepNext/>
        <w:numPr>
          <w:ilvl w:val="0"/>
          <w:numId w:val="35"/>
        </w:numPr>
        <w:spacing w:before="240" w:after="240" w:line="240" w:lineRule="auto"/>
        <w:jc w:val="both"/>
        <w:outlineLvl w:val="0"/>
        <w:rPr>
          <w:rFonts w:ascii="Times New Roman" w:eastAsia="Times New Roman" w:hAnsi="Times New Roman" w:cs="Times New Roman"/>
          <w:b/>
          <w:smallCaps/>
          <w:noProof/>
          <w:sz w:val="24"/>
          <w:szCs w:val="20"/>
        </w:rPr>
      </w:pPr>
      <w:bookmarkStart w:id="364" w:name="_Toc71561876"/>
      <w:bookmarkStart w:id="365" w:name="_Toc71559439"/>
      <w:r>
        <w:rPr>
          <w:rFonts w:ascii="Times New Roman" w:eastAsia="Times New Roman" w:hAnsi="Times New Roman" w:cs="Times New Roman"/>
          <w:b/>
          <w:smallCaps/>
          <w:noProof/>
          <w:sz w:val="24"/>
          <w:szCs w:val="20"/>
        </w:rPr>
        <w:t>Practical implications of the initiative</w:t>
      </w:r>
      <w:bookmarkEnd w:id="364"/>
      <w:bookmarkEnd w:id="365"/>
    </w:p>
    <w:p w14:paraId="30AB3DD5"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Due to the accomplished phase-out of most ODS, the number of stakeholders is now greatly reduced from the beginnings of this policy in the 1980s and 90s. It is now limited to a few entities in a number of discrete sectors. The five main business types that are affected by the initiative: </w:t>
      </w:r>
    </w:p>
    <w:p w14:paraId="346FF171" w14:textId="77777777" w:rsidR="004D45F1" w:rsidRDefault="004D45F1" w:rsidP="00AD73CF">
      <w:pPr>
        <w:numPr>
          <w:ilvl w:val="0"/>
          <w:numId w:val="36"/>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(Large) industrial chemical producers as well as incineration companies;</w:t>
      </w:r>
    </w:p>
    <w:p w14:paraId="458E4674" w14:textId="77777777" w:rsidR="004D45F1" w:rsidRDefault="004D45F1" w:rsidP="00AD73CF">
      <w:pPr>
        <w:numPr>
          <w:ilvl w:val="0"/>
          <w:numId w:val="36"/>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Importers and exporters of ODS;</w:t>
      </w:r>
    </w:p>
    <w:p w14:paraId="7E31B823" w14:textId="77777777" w:rsidR="004D45F1" w:rsidRDefault="004D45F1" w:rsidP="00AD73CF">
      <w:pPr>
        <w:numPr>
          <w:ilvl w:val="0"/>
          <w:numId w:val="36"/>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Halon equipment owners, e.g. in aviation and the military;</w:t>
      </w:r>
    </w:p>
    <w:p w14:paraId="54721B69" w14:textId="77777777" w:rsidR="004D45F1" w:rsidRDefault="004D45F1" w:rsidP="00AD73CF">
      <w:pPr>
        <w:numPr>
          <w:ilvl w:val="0"/>
          <w:numId w:val="36"/>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Laboratories, either public or private, who use ODS as solvents for experimental use;</w:t>
      </w:r>
    </w:p>
    <w:p w14:paraId="38927F5C" w14:textId="77777777" w:rsidR="004D45F1" w:rsidRDefault="004D45F1" w:rsidP="00AD73CF">
      <w:pPr>
        <w:numPr>
          <w:ilvl w:val="0"/>
          <w:numId w:val="36"/>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Building owners, recycling and demolition companies.</w:t>
      </w:r>
    </w:p>
    <w:p w14:paraId="672CBBB2" w14:textId="77777777" w:rsidR="004D45F1" w:rsidRDefault="004D45F1" w:rsidP="004D45F1">
      <w:pPr>
        <w:jc w:val="both"/>
        <w:rPr>
          <w:rFonts w:ascii="Times New Roman" w:eastAsia="Calibri" w:hAnsi="Times New Roman" w:cs="Times New Roman"/>
          <w:b/>
          <w:bCs/>
          <w:noProof/>
          <w:sz w:val="24"/>
          <w:szCs w:val="24"/>
        </w:rPr>
      </w:pPr>
      <w:r>
        <w:rPr>
          <w:rFonts w:ascii="Times New Roman" w:eastAsia="Calibri" w:hAnsi="Times New Roman" w:cs="Times New Roman"/>
          <w:noProof/>
          <w:sz w:val="24"/>
          <w:szCs w:val="24"/>
        </w:rPr>
        <w:t>Given that the HCFC phase-out has now also been accomplished,</w:t>
      </w:r>
      <w:r>
        <w:rPr>
          <w:rFonts w:ascii="Times New Roman" w:eastAsia="Calibri" w:hAnsi="Times New Roman" w:cs="Times New Roman"/>
          <w:b/>
          <w:noProof/>
          <w:sz w:val="24"/>
          <w:szCs w:val="24"/>
        </w:rPr>
        <w:t xml:space="preserve"> a new Regulation will cover less entities than the current Regulation did from its outset. </w:t>
      </w:r>
      <w:r>
        <w:rPr>
          <w:rFonts w:ascii="Times New Roman" w:eastAsia="Calibri" w:hAnsi="Times New Roman" w:cs="Times New Roman"/>
          <w:bCs/>
          <w:noProof/>
          <w:sz w:val="24"/>
          <w:szCs w:val="24"/>
        </w:rPr>
        <w:t xml:space="preserve">Many measures discussed set out small changes to an already well-established system of regulating ODS and therefore the corresponding </w:t>
      </w:r>
      <w:r>
        <w:rPr>
          <w:rFonts w:ascii="Times New Roman" w:eastAsia="Calibri" w:hAnsi="Times New Roman" w:cs="Times New Roman"/>
          <w:b/>
          <w:bCs/>
          <w:noProof/>
          <w:sz w:val="24"/>
          <w:szCs w:val="24"/>
        </w:rPr>
        <w:t xml:space="preserve">changes to the costs (savings) are expected to be small. The main impact in terms of environmental benefits and abatement costs relates to insulation foams.  </w:t>
      </w:r>
    </w:p>
    <w:p w14:paraId="3A297C3F"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Some of the efficiency measures (removal of obligatory laboratory registration and quota requirements) will reduce the number of companies directly affected further. Adding a few additional measures on monitoring will not add many new entities and the additional effort for the ones already affected is modest. The changes proposed to the ODS regulation do not signify a significant change in the way of working for most companies (but may provide a boost to the recycling sector). A number of policy options are aimed at reducing administrative burden (B1, B5, B6, streamlining of trade via trade licences, abolishing the ODS quota applications and delaying the halon cut-off date for aircraft compartments), but others may slightly increase the burden to achieve better oversight and control (options B2, B3, C1, C2, C4, C5 on additional monitoring and reporting). </w:t>
      </w:r>
    </w:p>
    <w:p w14:paraId="64905BE5"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Overall, it is not expected that category 1 businesses would not experience a noticeable increase in administrative cost.</w:t>
      </w:r>
    </w:p>
    <w:p w14:paraId="11224652"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category 2, there are significant savings from B1 and B5, which should more than compensate costs linked to better controls (B2, B3).</w:t>
      </w:r>
    </w:p>
    <w:p w14:paraId="6AF0815E"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category 3, A4 may result in some costs depending on the circumstances, while </w:t>
      </w:r>
      <w:r>
        <w:rPr>
          <w:rFonts w:ascii="Times New Roman" w:eastAsia="Calibri" w:hAnsi="Times New Roman" w:cs="Times New Roman"/>
          <w:noProof/>
          <w:sz w:val="24"/>
          <w:szCs w:val="24"/>
        </w:rPr>
        <w:br/>
        <w:t xml:space="preserve">B6 should result in savings for aviation companies. </w:t>
      </w:r>
    </w:p>
    <w:p w14:paraId="279FDB3A"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category 4 on laboratories, the suggested policy changes (B4, B5) in particular would represent a reduction in administrative burden. </w:t>
      </w:r>
    </w:p>
    <w:p w14:paraId="3AA9FF16"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category 5, the policy option A1 (foams) would represent some compliance costs for the owners, though the extent depends on the national regulatory background (i.e. waste legislation), will be shared by a large number of building owners, over several decades, and is considered small compared to overall demolition, renovation or re-development costs. Moreover, these small increases are likely to affect business owners and citizens that own and develop real estate, i.e. that are relatively well off as opposed to vulnerable citizens.</w:t>
      </w:r>
    </w:p>
    <w:p w14:paraId="26ABBF9E"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burden for the authorities at European level (European Commission, EEA) will be significantly reduced, in line with a shift of focus from reducing gas uses further to ascertaining the general use prohibition for ODS and avoiding emissions from historic uses. Better controls will be possible at less resources due to fully exploiting the combination of EU-wide electronic systems consisting of the ODS Licensing System and the EU Single Window Environment for Customs. </w:t>
      </w:r>
    </w:p>
    <w:p w14:paraId="25E2D4F6"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burden for national authorities will remain low and is mostly related to limited annual reporting, border controls and inspections, the latter in synergy with other legislation such as the Industrial Emissions Directive.</w:t>
      </w:r>
    </w:p>
    <w:p w14:paraId="0A109C90"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Citizens benefit from the health benefits of avoiding dangerous radiation from the ozone hole, as well as lessening the impacts of a changing climate by keeping highly warming gases out of the atmosphere. </w:t>
      </w:r>
    </w:p>
    <w:p w14:paraId="3A5306D2" w14:textId="77777777" w:rsidR="004D45F1" w:rsidRDefault="004D45F1" w:rsidP="00AD73CF">
      <w:pPr>
        <w:keepNext/>
        <w:numPr>
          <w:ilvl w:val="0"/>
          <w:numId w:val="35"/>
        </w:numPr>
        <w:spacing w:before="240" w:after="240" w:line="240" w:lineRule="auto"/>
        <w:jc w:val="both"/>
        <w:outlineLvl w:val="0"/>
        <w:rPr>
          <w:rFonts w:ascii="Times New Roman" w:eastAsia="Times New Roman" w:hAnsi="Times New Roman" w:cs="Times New Roman"/>
          <w:b/>
          <w:smallCaps/>
          <w:noProof/>
          <w:sz w:val="24"/>
          <w:szCs w:val="20"/>
        </w:rPr>
      </w:pPr>
      <w:bookmarkStart w:id="366" w:name="_Toc71561877"/>
      <w:bookmarkStart w:id="367" w:name="_Toc71559440"/>
      <w:r>
        <w:rPr>
          <w:rFonts w:ascii="Times New Roman" w:eastAsia="Times New Roman" w:hAnsi="Times New Roman" w:cs="Times New Roman"/>
          <w:b/>
          <w:smallCaps/>
          <w:noProof/>
          <w:sz w:val="24"/>
          <w:szCs w:val="20"/>
        </w:rPr>
        <w:t>Summary of costs and benefits</w:t>
      </w:r>
      <w:bookmarkEnd w:id="366"/>
      <w:bookmarkEnd w:id="367"/>
    </w:p>
    <w:tbl>
      <w:tblPr>
        <w:tblStyle w:val="CV12"/>
        <w:tblW w:w="0"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4D45F1" w14:paraId="1E8528B5" w14:textId="77777777" w:rsidTr="004D45F1">
        <w:tc>
          <w:tcPr>
            <w:tcW w:w="10377" w:type="dxa"/>
            <w:gridSpan w:val="3"/>
            <w:tcBorders>
              <w:top w:val="double" w:sz="4" w:space="0" w:color="auto"/>
              <w:left w:val="double" w:sz="4" w:space="0" w:color="auto"/>
              <w:bottom w:val="single" w:sz="4" w:space="0" w:color="auto"/>
              <w:right w:val="double" w:sz="4" w:space="0" w:color="auto"/>
            </w:tcBorders>
            <w:shd w:val="clear" w:color="auto" w:fill="C6D9F1"/>
            <w:hideMark/>
          </w:tcPr>
          <w:p w14:paraId="1E397D35" w14:textId="77777777" w:rsidR="004D45F1" w:rsidRDefault="004D45F1">
            <w:pPr>
              <w:tabs>
                <w:tab w:val="num" w:pos="425"/>
              </w:tabs>
              <w:jc w:val="center"/>
              <w:rPr>
                <w:b/>
                <w:i/>
                <w:noProof/>
              </w:rPr>
            </w:pPr>
            <w:r>
              <w:rPr>
                <w:b/>
                <w:i/>
                <w:noProof/>
              </w:rPr>
              <w:t>I. Overview of Benefits (total for all provisions) – Preferred Option</w:t>
            </w:r>
          </w:p>
        </w:tc>
      </w:tr>
      <w:tr w:rsidR="004D45F1" w14:paraId="028C7E27" w14:textId="77777777" w:rsidTr="004D45F1">
        <w:tc>
          <w:tcPr>
            <w:tcW w:w="2552" w:type="dxa"/>
            <w:tcBorders>
              <w:top w:val="single" w:sz="4" w:space="0" w:color="auto"/>
              <w:left w:val="double" w:sz="4" w:space="0" w:color="auto"/>
              <w:bottom w:val="single" w:sz="4" w:space="0" w:color="auto"/>
              <w:right w:val="single" w:sz="4" w:space="0" w:color="auto"/>
            </w:tcBorders>
            <w:shd w:val="clear" w:color="auto" w:fill="C6D9F1"/>
            <w:hideMark/>
          </w:tcPr>
          <w:p w14:paraId="7577620C" w14:textId="77777777" w:rsidR="004D45F1" w:rsidRDefault="004D45F1">
            <w:pPr>
              <w:tabs>
                <w:tab w:val="num" w:pos="425"/>
              </w:tabs>
              <w:jc w:val="center"/>
              <w:rPr>
                <w:b/>
                <w:i/>
                <w:noProof/>
              </w:rPr>
            </w:pPr>
            <w:r>
              <w:rPr>
                <w:b/>
                <w:i/>
                <w:noProof/>
              </w:rPr>
              <w:t>Description</w:t>
            </w:r>
          </w:p>
        </w:tc>
        <w:tc>
          <w:tcPr>
            <w:tcW w:w="4111" w:type="dxa"/>
            <w:tcBorders>
              <w:top w:val="single" w:sz="4" w:space="0" w:color="auto"/>
              <w:left w:val="single" w:sz="4" w:space="0" w:color="auto"/>
              <w:bottom w:val="single" w:sz="4" w:space="0" w:color="auto"/>
              <w:right w:val="single" w:sz="4" w:space="0" w:color="auto"/>
            </w:tcBorders>
            <w:shd w:val="clear" w:color="auto" w:fill="C6D9F1"/>
            <w:hideMark/>
          </w:tcPr>
          <w:p w14:paraId="7FF94C55" w14:textId="77777777" w:rsidR="004D45F1" w:rsidRDefault="004D45F1">
            <w:pPr>
              <w:tabs>
                <w:tab w:val="num" w:pos="425"/>
              </w:tabs>
              <w:jc w:val="center"/>
              <w:rPr>
                <w:b/>
                <w:i/>
                <w:noProof/>
              </w:rPr>
            </w:pPr>
            <w:r>
              <w:rPr>
                <w:b/>
                <w:i/>
                <w:noProof/>
              </w:rPr>
              <w:t>Amount</w:t>
            </w:r>
          </w:p>
        </w:tc>
        <w:tc>
          <w:tcPr>
            <w:tcW w:w="3714" w:type="dxa"/>
            <w:tcBorders>
              <w:top w:val="single" w:sz="4" w:space="0" w:color="auto"/>
              <w:left w:val="single" w:sz="4" w:space="0" w:color="auto"/>
              <w:bottom w:val="single" w:sz="4" w:space="0" w:color="auto"/>
              <w:right w:val="double" w:sz="4" w:space="0" w:color="auto"/>
            </w:tcBorders>
            <w:shd w:val="clear" w:color="auto" w:fill="C6D9F1"/>
            <w:tcMar>
              <w:top w:w="57" w:type="dxa"/>
              <w:left w:w="57" w:type="dxa"/>
              <w:bottom w:w="57" w:type="dxa"/>
              <w:right w:w="57" w:type="dxa"/>
            </w:tcMar>
            <w:hideMark/>
          </w:tcPr>
          <w:p w14:paraId="19F26153" w14:textId="77777777" w:rsidR="004D45F1" w:rsidRDefault="004D45F1">
            <w:pPr>
              <w:tabs>
                <w:tab w:val="num" w:pos="425"/>
              </w:tabs>
              <w:jc w:val="center"/>
              <w:rPr>
                <w:b/>
                <w:i/>
                <w:noProof/>
              </w:rPr>
            </w:pPr>
            <w:r>
              <w:rPr>
                <w:b/>
                <w:i/>
                <w:noProof/>
              </w:rPr>
              <w:t>Comments</w:t>
            </w:r>
          </w:p>
        </w:tc>
      </w:tr>
      <w:tr w:rsidR="004D45F1" w14:paraId="6EE14134" w14:textId="77777777" w:rsidTr="004D45F1">
        <w:tc>
          <w:tcPr>
            <w:tcW w:w="10377" w:type="dxa"/>
            <w:gridSpan w:val="3"/>
            <w:tcBorders>
              <w:top w:val="double" w:sz="4" w:space="0" w:color="auto"/>
              <w:left w:val="double" w:sz="4" w:space="0" w:color="auto"/>
              <w:bottom w:val="single" w:sz="4" w:space="0" w:color="auto"/>
              <w:right w:val="double" w:sz="4" w:space="0" w:color="auto"/>
            </w:tcBorders>
            <w:shd w:val="clear" w:color="auto" w:fill="F2F2F2"/>
            <w:hideMark/>
          </w:tcPr>
          <w:p w14:paraId="62D05F34" w14:textId="77777777" w:rsidR="004D45F1" w:rsidRDefault="004D45F1">
            <w:pPr>
              <w:tabs>
                <w:tab w:val="num" w:pos="425"/>
              </w:tabs>
              <w:jc w:val="center"/>
              <w:rPr>
                <w:b/>
                <w:i/>
                <w:noProof/>
              </w:rPr>
            </w:pPr>
            <w:r>
              <w:rPr>
                <w:b/>
                <w:i/>
                <w:noProof/>
              </w:rPr>
              <w:t>Direct benefits</w:t>
            </w:r>
          </w:p>
        </w:tc>
      </w:tr>
      <w:tr w:rsidR="004D45F1" w14:paraId="51458100" w14:textId="77777777" w:rsidTr="004D45F1">
        <w:tc>
          <w:tcPr>
            <w:tcW w:w="2552" w:type="dxa"/>
            <w:tcBorders>
              <w:top w:val="double" w:sz="4" w:space="0" w:color="auto"/>
              <w:left w:val="double" w:sz="4" w:space="0" w:color="auto"/>
              <w:bottom w:val="single" w:sz="4" w:space="0" w:color="auto"/>
              <w:right w:val="single" w:sz="4" w:space="0" w:color="auto"/>
            </w:tcBorders>
            <w:hideMark/>
          </w:tcPr>
          <w:p w14:paraId="528F6DA3" w14:textId="77777777" w:rsidR="004D45F1" w:rsidRDefault="004D45F1">
            <w:pPr>
              <w:tabs>
                <w:tab w:val="num" w:pos="425"/>
              </w:tabs>
              <w:rPr>
                <w:noProof/>
              </w:rPr>
            </w:pPr>
            <w:r>
              <w:rPr>
                <w:noProof/>
              </w:rPr>
              <w:t>Reduced ozone- and climate-relevant emissions</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6DE8E5" w14:textId="77777777" w:rsidR="004D45F1" w:rsidRDefault="004D45F1">
            <w:pPr>
              <w:tabs>
                <w:tab w:val="num" w:pos="425"/>
              </w:tabs>
              <w:rPr>
                <w:bCs/>
                <w:iCs/>
                <w:noProof/>
              </w:rPr>
            </w:pPr>
            <w:r>
              <w:rPr>
                <w:bCs/>
                <w:iCs/>
                <w:noProof/>
              </w:rPr>
              <w:t xml:space="preserve">Emission saving: </w:t>
            </w:r>
          </w:p>
          <w:p w14:paraId="0A8C7B80" w14:textId="77777777" w:rsidR="004D45F1" w:rsidRDefault="004D45F1">
            <w:pPr>
              <w:tabs>
                <w:tab w:val="num" w:pos="425"/>
              </w:tabs>
              <w:rPr>
                <w:bCs/>
                <w:iCs/>
                <w:noProof/>
              </w:rPr>
            </w:pPr>
            <w:r>
              <w:rPr>
                <w:bCs/>
                <w:iCs/>
                <w:noProof/>
              </w:rPr>
              <w:t>32,000 tODP for 2021-2050</w:t>
            </w:r>
          </w:p>
          <w:p w14:paraId="4A6A9CF7" w14:textId="77777777" w:rsidR="004D45F1" w:rsidRDefault="004D45F1">
            <w:pPr>
              <w:tabs>
                <w:tab w:val="num" w:pos="425"/>
              </w:tabs>
              <w:rPr>
                <w:bCs/>
                <w:iCs/>
                <w:noProof/>
                <w:color w:val="000000" w:themeColor="text1"/>
              </w:rPr>
            </w:pPr>
            <w:r>
              <w:rPr>
                <w:bCs/>
                <w:iCs/>
                <w:noProof/>
              </w:rPr>
              <w:t>179 million tCO2e for 2021-2050</w:t>
            </w: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771483CC" w14:textId="77777777" w:rsidR="004D45F1" w:rsidRDefault="004D45F1">
            <w:pPr>
              <w:tabs>
                <w:tab w:val="num" w:pos="425"/>
              </w:tabs>
              <w:rPr>
                <w:noProof/>
              </w:rPr>
            </w:pPr>
            <w:r>
              <w:rPr>
                <w:noProof/>
              </w:rPr>
              <w:t xml:space="preserve">Almost exclusively from action on foams (option A1), </w:t>
            </w:r>
          </w:p>
          <w:p w14:paraId="691121AB" w14:textId="77777777" w:rsidR="004D45F1" w:rsidRDefault="004D45F1">
            <w:pPr>
              <w:tabs>
                <w:tab w:val="num" w:pos="425"/>
              </w:tabs>
              <w:rPr>
                <w:noProof/>
              </w:rPr>
            </w:pPr>
            <w:r>
              <w:rPr>
                <w:noProof/>
              </w:rPr>
              <w:t>in addition some contributions from better controls and monitoring (options B1, B2, B3, C1, C2, C4) and prohibiting halon destruction (A4)</w:t>
            </w:r>
          </w:p>
        </w:tc>
      </w:tr>
      <w:tr w:rsidR="004D45F1" w14:paraId="43092E1A" w14:textId="77777777" w:rsidTr="004D45F1">
        <w:tc>
          <w:tcPr>
            <w:tcW w:w="2552" w:type="dxa"/>
            <w:tcBorders>
              <w:top w:val="double" w:sz="4" w:space="0" w:color="auto"/>
              <w:left w:val="double" w:sz="4" w:space="0" w:color="auto"/>
              <w:bottom w:val="single" w:sz="4" w:space="0" w:color="auto"/>
              <w:right w:val="single" w:sz="4" w:space="0" w:color="auto"/>
            </w:tcBorders>
            <w:hideMark/>
          </w:tcPr>
          <w:p w14:paraId="7272BBB5" w14:textId="77777777" w:rsidR="004D45F1" w:rsidRDefault="004D45F1">
            <w:pPr>
              <w:tabs>
                <w:tab w:val="num" w:pos="425"/>
              </w:tabs>
              <w:rPr>
                <w:noProof/>
              </w:rPr>
            </w:pPr>
            <w:r>
              <w:rPr>
                <w:noProof/>
              </w:rPr>
              <w:t>Administrative cost reductions for business</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697FF5F" w14:textId="77777777" w:rsidR="004D45F1" w:rsidRDefault="004D45F1">
            <w:pPr>
              <w:tabs>
                <w:tab w:val="num" w:pos="425"/>
              </w:tabs>
              <w:rPr>
                <w:bCs/>
                <w:iCs/>
                <w:noProof/>
                <w:color w:val="000000" w:themeColor="text1"/>
              </w:rPr>
            </w:pPr>
            <w:r>
              <w:rPr>
                <w:bCs/>
                <w:iCs/>
                <w:noProof/>
                <w:color w:val="000000" w:themeColor="text1"/>
              </w:rPr>
              <w:t>Annual savings up to  €216,000</w:t>
            </w: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002CB9A8" w14:textId="77777777" w:rsidR="004D45F1" w:rsidRDefault="004D45F1">
            <w:pPr>
              <w:tabs>
                <w:tab w:val="num" w:pos="425"/>
              </w:tabs>
              <w:rPr>
                <w:noProof/>
              </w:rPr>
            </w:pPr>
            <w:r>
              <w:rPr>
                <w:noProof/>
              </w:rPr>
              <w:t xml:space="preserve">For business, mostly from efficiency options </w:t>
            </w:r>
          </w:p>
          <w:p w14:paraId="4EDB02D9" w14:textId="77777777" w:rsidR="004D45F1" w:rsidRDefault="004D45F1">
            <w:pPr>
              <w:tabs>
                <w:tab w:val="num" w:pos="425"/>
              </w:tabs>
              <w:rPr>
                <w:noProof/>
              </w:rPr>
            </w:pPr>
            <w:r>
              <w:rPr>
                <w:noProof/>
              </w:rPr>
              <w:t>Affects importers/exporters (B1, B5), laboratories and other entities doing analysis (B4), chemical industry (B1, B5) and aviation companies (B6)</w:t>
            </w:r>
          </w:p>
        </w:tc>
      </w:tr>
      <w:tr w:rsidR="004D45F1" w14:paraId="01D449D1" w14:textId="77777777" w:rsidTr="004D45F1">
        <w:tc>
          <w:tcPr>
            <w:tcW w:w="2552" w:type="dxa"/>
            <w:tcBorders>
              <w:top w:val="single" w:sz="4" w:space="0" w:color="auto"/>
              <w:left w:val="double" w:sz="4" w:space="0" w:color="auto"/>
              <w:bottom w:val="double" w:sz="4" w:space="0" w:color="auto"/>
              <w:right w:val="single" w:sz="4" w:space="0" w:color="auto"/>
            </w:tcBorders>
            <w:hideMark/>
          </w:tcPr>
          <w:p w14:paraId="523A798E" w14:textId="77777777" w:rsidR="004D45F1" w:rsidRDefault="004D45F1">
            <w:pPr>
              <w:tabs>
                <w:tab w:val="num" w:pos="425"/>
              </w:tabs>
              <w:rPr>
                <w:noProof/>
              </w:rPr>
            </w:pPr>
            <w:r>
              <w:rPr>
                <w:noProof/>
              </w:rPr>
              <w:t>Administrative cost reductions for authorities</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28561BD2" w14:textId="77777777" w:rsidR="004D45F1" w:rsidRDefault="004D45F1">
            <w:pPr>
              <w:tabs>
                <w:tab w:val="num" w:pos="425"/>
              </w:tabs>
              <w:rPr>
                <w:bCs/>
                <w:iCs/>
                <w:noProof/>
              </w:rPr>
            </w:pPr>
            <w:r>
              <w:rPr>
                <w:bCs/>
                <w:iCs/>
                <w:noProof/>
              </w:rPr>
              <w:t>Savings:</w:t>
            </w:r>
          </w:p>
          <w:p w14:paraId="0A761BF6" w14:textId="77777777" w:rsidR="004D45F1" w:rsidRDefault="004D45F1">
            <w:pPr>
              <w:tabs>
                <w:tab w:val="num" w:pos="425"/>
              </w:tabs>
              <w:rPr>
                <w:bCs/>
                <w:iCs/>
                <w:noProof/>
              </w:rPr>
            </w:pPr>
            <w:r>
              <w:rPr>
                <w:bCs/>
                <w:iCs/>
                <w:noProof/>
              </w:rPr>
              <w:t>694 person days/a up until 2024, 254 person days/a from 2024 onwards;</w:t>
            </w:r>
          </w:p>
          <w:p w14:paraId="701B6995" w14:textId="77777777" w:rsidR="004D45F1" w:rsidRDefault="004D45F1">
            <w:pPr>
              <w:tabs>
                <w:tab w:val="num" w:pos="425"/>
              </w:tabs>
              <w:rPr>
                <w:bCs/>
                <w:iCs/>
                <w:noProof/>
              </w:rPr>
            </w:pPr>
            <w:r>
              <w:rPr>
                <w:bCs/>
                <w:iCs/>
                <w:noProof/>
              </w:rPr>
              <w:t>Annual IT costs of €31,500</w:t>
            </w:r>
          </w:p>
        </w:tc>
        <w:tc>
          <w:tcPr>
            <w:tcW w:w="3714"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14:paraId="66AE6254" w14:textId="77777777" w:rsidR="004D45F1" w:rsidRDefault="004D45F1">
            <w:pPr>
              <w:tabs>
                <w:tab w:val="num" w:pos="425"/>
              </w:tabs>
              <w:rPr>
                <w:noProof/>
              </w:rPr>
            </w:pPr>
            <w:r>
              <w:rPr>
                <w:noProof/>
              </w:rPr>
              <w:t>EC: 574 person days/a until 2024, 254 person days/a thereafter,</w:t>
            </w:r>
          </w:p>
          <w:p w14:paraId="4AFF0B41" w14:textId="77777777" w:rsidR="004D45F1" w:rsidRDefault="004D45F1">
            <w:pPr>
              <w:tabs>
                <w:tab w:val="num" w:pos="425"/>
              </w:tabs>
              <w:rPr>
                <w:noProof/>
              </w:rPr>
            </w:pPr>
            <w:r>
              <w:rPr>
                <w:noProof/>
              </w:rPr>
              <w:t xml:space="preserve">plus annual </w:t>
            </w:r>
            <w:r>
              <w:rPr>
                <w:bCs/>
                <w:iCs/>
                <w:noProof/>
              </w:rPr>
              <w:t>IT costs of €31,500</w:t>
            </w:r>
          </w:p>
          <w:p w14:paraId="355F952E" w14:textId="77777777" w:rsidR="004D45F1" w:rsidRDefault="004D45F1">
            <w:pPr>
              <w:tabs>
                <w:tab w:val="num" w:pos="425"/>
              </w:tabs>
              <w:rPr>
                <w:noProof/>
              </w:rPr>
            </w:pPr>
            <w:r>
              <w:rPr>
                <w:noProof/>
              </w:rPr>
              <w:t>Member States: 120 person days until 2024</w:t>
            </w:r>
          </w:p>
          <w:p w14:paraId="2EEAD403" w14:textId="77777777" w:rsidR="004D45F1" w:rsidRDefault="004D45F1">
            <w:pPr>
              <w:tabs>
                <w:tab w:val="num" w:pos="425"/>
              </w:tabs>
              <w:rPr>
                <w:noProof/>
              </w:rPr>
            </w:pPr>
          </w:p>
        </w:tc>
      </w:tr>
      <w:tr w:rsidR="004D45F1" w14:paraId="20B88222" w14:textId="77777777" w:rsidTr="004D45F1">
        <w:tc>
          <w:tcPr>
            <w:tcW w:w="10377" w:type="dxa"/>
            <w:gridSpan w:val="3"/>
            <w:tcBorders>
              <w:top w:val="single" w:sz="4" w:space="0" w:color="auto"/>
              <w:left w:val="double" w:sz="4" w:space="0" w:color="auto"/>
              <w:bottom w:val="single" w:sz="4" w:space="0" w:color="auto"/>
              <w:right w:val="double" w:sz="4" w:space="0" w:color="auto"/>
            </w:tcBorders>
            <w:shd w:val="clear" w:color="auto" w:fill="F2F2F2"/>
            <w:hideMark/>
          </w:tcPr>
          <w:p w14:paraId="4820786B" w14:textId="77777777" w:rsidR="004D45F1" w:rsidRDefault="004D45F1">
            <w:pPr>
              <w:tabs>
                <w:tab w:val="num" w:pos="425"/>
              </w:tabs>
              <w:jc w:val="center"/>
              <w:rPr>
                <w:b/>
                <w:i/>
                <w:noProof/>
              </w:rPr>
            </w:pPr>
            <w:r>
              <w:rPr>
                <w:b/>
                <w:i/>
                <w:noProof/>
              </w:rPr>
              <w:t>Indirect benefits</w:t>
            </w:r>
          </w:p>
        </w:tc>
      </w:tr>
      <w:tr w:rsidR="004D45F1" w14:paraId="56C72F36" w14:textId="77777777" w:rsidTr="004D45F1">
        <w:tc>
          <w:tcPr>
            <w:tcW w:w="2552" w:type="dxa"/>
            <w:tcBorders>
              <w:top w:val="double" w:sz="4" w:space="0" w:color="auto"/>
              <w:left w:val="double" w:sz="4" w:space="0" w:color="auto"/>
              <w:bottom w:val="single" w:sz="4" w:space="0" w:color="auto"/>
              <w:right w:val="single" w:sz="4" w:space="0" w:color="auto"/>
            </w:tcBorders>
            <w:hideMark/>
          </w:tcPr>
          <w:p w14:paraId="616513FD" w14:textId="77777777" w:rsidR="004D45F1" w:rsidRDefault="004D45F1">
            <w:pPr>
              <w:tabs>
                <w:tab w:val="num" w:pos="425"/>
              </w:tabs>
              <w:rPr>
                <w:noProof/>
              </w:rPr>
            </w:pPr>
            <w:r>
              <w:rPr>
                <w:noProof/>
              </w:rPr>
              <w:t>Job creation</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DBCAF3E" w14:textId="77777777" w:rsidR="004D45F1" w:rsidRDefault="004D45F1">
            <w:pPr>
              <w:tabs>
                <w:tab w:val="num" w:pos="425"/>
              </w:tabs>
              <w:rPr>
                <w:noProof/>
              </w:rPr>
            </w:pPr>
            <w:r>
              <w:rPr>
                <w:noProof/>
              </w:rPr>
              <w:t>Up to 2400 FTEs</w:t>
            </w: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4A9BD1A9" w14:textId="77777777" w:rsidR="004D45F1" w:rsidRDefault="004D45F1">
            <w:pPr>
              <w:tabs>
                <w:tab w:val="num" w:pos="425"/>
              </w:tabs>
              <w:rPr>
                <w:noProof/>
              </w:rPr>
            </w:pPr>
            <w:r>
              <w:rPr>
                <w:noProof/>
              </w:rPr>
              <w:t xml:space="preserve">Recycling, reclamation and incineration entities </w:t>
            </w:r>
          </w:p>
        </w:tc>
      </w:tr>
      <w:tr w:rsidR="004D45F1" w14:paraId="2B947C5B" w14:textId="77777777" w:rsidTr="004D45F1">
        <w:tc>
          <w:tcPr>
            <w:tcW w:w="2552" w:type="dxa"/>
            <w:tcBorders>
              <w:top w:val="single" w:sz="4" w:space="0" w:color="auto"/>
              <w:left w:val="double" w:sz="4" w:space="0" w:color="auto"/>
              <w:bottom w:val="double" w:sz="4" w:space="0" w:color="auto"/>
              <w:right w:val="single" w:sz="4" w:space="0" w:color="auto"/>
            </w:tcBorders>
            <w:hideMark/>
          </w:tcPr>
          <w:p w14:paraId="326B1D42" w14:textId="77777777" w:rsidR="004D45F1" w:rsidRDefault="004D45F1">
            <w:pPr>
              <w:tabs>
                <w:tab w:val="num" w:pos="425"/>
              </w:tabs>
              <w:rPr>
                <w:noProof/>
              </w:rPr>
            </w:pPr>
            <w:r>
              <w:rPr>
                <w:noProof/>
              </w:rPr>
              <w:t>R&amp;D</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524E435E" w14:textId="77777777" w:rsidR="004D45F1" w:rsidRDefault="004D45F1">
            <w:pPr>
              <w:tabs>
                <w:tab w:val="num" w:pos="425"/>
              </w:tabs>
              <w:rPr>
                <w:noProof/>
              </w:rPr>
            </w:pPr>
            <w:r>
              <w:rPr>
                <w:noProof/>
              </w:rPr>
              <w:t>Innovation on demolition and treatment processes for foams</w:t>
            </w:r>
          </w:p>
          <w:p w14:paraId="1F7B578D" w14:textId="77777777" w:rsidR="004D45F1" w:rsidRDefault="004D45F1">
            <w:pPr>
              <w:tabs>
                <w:tab w:val="num" w:pos="425"/>
              </w:tabs>
              <w:rPr>
                <w:noProof/>
              </w:rPr>
            </w:pPr>
            <w:r>
              <w:rPr>
                <w:noProof/>
              </w:rPr>
              <w:t>Knock-on effects on refrigerators recycling</w:t>
            </w:r>
          </w:p>
        </w:tc>
        <w:tc>
          <w:tcPr>
            <w:tcW w:w="3714"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59DA6D00" w14:textId="77777777" w:rsidR="004D45F1" w:rsidRDefault="004D45F1">
            <w:pPr>
              <w:tabs>
                <w:tab w:val="num" w:pos="425"/>
              </w:tabs>
              <w:rPr>
                <w:noProof/>
              </w:rPr>
            </w:pPr>
            <w:r>
              <w:rPr>
                <w:noProof/>
              </w:rPr>
              <w:t>Recycling, reclamation and incineration entities</w:t>
            </w:r>
          </w:p>
        </w:tc>
      </w:tr>
    </w:tbl>
    <w:p w14:paraId="7A73835A" w14:textId="77777777" w:rsidR="004D45F1" w:rsidRDefault="004D45F1" w:rsidP="004D45F1">
      <w:pPr>
        <w:rPr>
          <w:rFonts w:ascii="Calibri" w:eastAsia="Calibri" w:hAnsi="Calibri" w:cs="Times New Roman"/>
          <w:noProof/>
        </w:rPr>
      </w:pPr>
    </w:p>
    <w:tbl>
      <w:tblPr>
        <w:tblStyle w:val="CV11"/>
        <w:tblW w:w="0"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650"/>
        <w:gridCol w:w="930"/>
        <w:gridCol w:w="1418"/>
        <w:gridCol w:w="1417"/>
        <w:gridCol w:w="1054"/>
        <w:gridCol w:w="1356"/>
      </w:tblGrid>
      <w:tr w:rsidR="004D45F1" w14:paraId="07DC3B8E" w14:textId="77777777" w:rsidTr="004D45F1">
        <w:tc>
          <w:tcPr>
            <w:tcW w:w="10428" w:type="dxa"/>
            <w:gridSpan w:val="8"/>
            <w:tcBorders>
              <w:top w:val="double" w:sz="4" w:space="0" w:color="auto"/>
              <w:left w:val="double" w:sz="4" w:space="0" w:color="auto"/>
              <w:bottom w:val="single" w:sz="4" w:space="0" w:color="auto"/>
              <w:right w:val="double" w:sz="4" w:space="0" w:color="auto"/>
            </w:tcBorders>
            <w:shd w:val="clear" w:color="auto" w:fill="C6D9F1"/>
            <w:tcMar>
              <w:top w:w="57" w:type="dxa"/>
              <w:left w:w="57" w:type="dxa"/>
              <w:bottom w:w="57" w:type="dxa"/>
              <w:right w:w="57" w:type="dxa"/>
            </w:tcMar>
            <w:hideMark/>
          </w:tcPr>
          <w:p w14:paraId="3C82FACC" w14:textId="77777777" w:rsidR="004D45F1" w:rsidRDefault="004D45F1">
            <w:pPr>
              <w:tabs>
                <w:tab w:val="num" w:pos="425"/>
              </w:tabs>
              <w:jc w:val="center"/>
              <w:rPr>
                <w:b/>
                <w:i/>
                <w:noProof/>
                <w:highlight w:val="yellow"/>
              </w:rPr>
            </w:pPr>
            <w:r>
              <w:rPr>
                <w:b/>
                <w:i/>
                <w:noProof/>
              </w:rPr>
              <w:t>II. Overview of costs – Preferred option</w:t>
            </w:r>
          </w:p>
        </w:tc>
      </w:tr>
      <w:tr w:rsidR="004D45F1" w14:paraId="232165F7" w14:textId="77777777" w:rsidTr="004D45F1">
        <w:tc>
          <w:tcPr>
            <w:tcW w:w="2603" w:type="dxa"/>
            <w:gridSpan w:val="2"/>
            <w:vMerge w:val="restart"/>
            <w:tcBorders>
              <w:top w:val="double" w:sz="4" w:space="0" w:color="auto"/>
              <w:left w:val="double" w:sz="4" w:space="0" w:color="auto"/>
              <w:bottom w:val="double" w:sz="4" w:space="0" w:color="auto"/>
              <w:right w:val="double" w:sz="4" w:space="0" w:color="auto"/>
              <w:tl2br w:val="double" w:sz="4" w:space="0" w:color="auto"/>
            </w:tcBorders>
            <w:tcMar>
              <w:top w:w="57" w:type="dxa"/>
              <w:left w:w="57" w:type="dxa"/>
              <w:bottom w:w="57" w:type="dxa"/>
              <w:right w:w="57" w:type="dxa"/>
            </w:tcMar>
          </w:tcPr>
          <w:p w14:paraId="26E56917" w14:textId="77777777" w:rsidR="004D45F1" w:rsidRDefault="004D45F1">
            <w:pPr>
              <w:tabs>
                <w:tab w:val="num" w:pos="425"/>
              </w:tabs>
              <w:rPr>
                <w:noProof/>
              </w:rPr>
            </w:pPr>
          </w:p>
        </w:tc>
        <w:tc>
          <w:tcPr>
            <w:tcW w:w="2580"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49FD5B2A" w14:textId="77777777" w:rsidR="004D45F1" w:rsidRDefault="004D45F1">
            <w:pPr>
              <w:tabs>
                <w:tab w:val="num" w:pos="425"/>
              </w:tabs>
              <w:jc w:val="center"/>
              <w:rPr>
                <w:noProof/>
              </w:rPr>
            </w:pPr>
            <w:r>
              <w:rPr>
                <w:noProof/>
              </w:rPr>
              <w:t xml:space="preserve">Citizens/Consumers </w:t>
            </w:r>
          </w:p>
        </w:tc>
        <w:tc>
          <w:tcPr>
            <w:tcW w:w="283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79F42DC" w14:textId="77777777" w:rsidR="004D45F1" w:rsidRDefault="004D45F1">
            <w:pPr>
              <w:tabs>
                <w:tab w:val="num" w:pos="425"/>
              </w:tabs>
              <w:jc w:val="center"/>
              <w:rPr>
                <w:noProof/>
              </w:rPr>
            </w:pPr>
            <w:r>
              <w:rPr>
                <w:noProof/>
              </w:rPr>
              <w:t>Businesses</w:t>
            </w:r>
          </w:p>
        </w:tc>
        <w:tc>
          <w:tcPr>
            <w:tcW w:w="2410"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53D4BB47" w14:textId="77777777" w:rsidR="004D45F1" w:rsidRDefault="004D45F1">
            <w:pPr>
              <w:tabs>
                <w:tab w:val="num" w:pos="425"/>
              </w:tabs>
              <w:jc w:val="center"/>
              <w:rPr>
                <w:noProof/>
              </w:rPr>
            </w:pPr>
            <w:r>
              <w:rPr>
                <w:noProof/>
              </w:rPr>
              <w:t>Administrations</w:t>
            </w:r>
          </w:p>
        </w:tc>
      </w:tr>
      <w:tr w:rsidR="004D45F1" w14:paraId="2A5FB9AC" w14:textId="77777777" w:rsidTr="004D45F1">
        <w:tc>
          <w:tcPr>
            <w:tcW w:w="12038" w:type="dxa"/>
            <w:gridSpan w:val="2"/>
            <w:vMerge/>
            <w:tcBorders>
              <w:top w:val="double" w:sz="4" w:space="0" w:color="auto"/>
              <w:left w:val="double" w:sz="4" w:space="0" w:color="auto"/>
              <w:bottom w:val="double" w:sz="4" w:space="0" w:color="auto"/>
              <w:right w:val="double" w:sz="4" w:space="0" w:color="auto"/>
            </w:tcBorders>
            <w:vAlign w:val="center"/>
            <w:hideMark/>
          </w:tcPr>
          <w:p w14:paraId="53518008" w14:textId="77777777" w:rsidR="004D45F1" w:rsidRDefault="004D45F1">
            <w:pPr>
              <w:rPr>
                <w:noProof/>
              </w:rPr>
            </w:pP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14:paraId="78A9A1CC" w14:textId="77777777" w:rsidR="004D45F1" w:rsidRDefault="004D45F1">
            <w:pPr>
              <w:tabs>
                <w:tab w:val="num" w:pos="425"/>
              </w:tabs>
              <w:jc w:val="center"/>
              <w:rPr>
                <w:noProof/>
              </w:rPr>
            </w:pPr>
            <w:r>
              <w:rPr>
                <w:noProof/>
              </w:rPr>
              <w:t>One-off</w:t>
            </w: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1EB108B8" w14:textId="77777777" w:rsidR="004D45F1" w:rsidRDefault="004D45F1">
            <w:pPr>
              <w:tabs>
                <w:tab w:val="num" w:pos="425"/>
              </w:tabs>
              <w:jc w:val="center"/>
              <w:rPr>
                <w:noProof/>
              </w:rPr>
            </w:pPr>
            <w:r>
              <w:rPr>
                <w:noProof/>
              </w:rPr>
              <w:t>Recurrent</w:t>
            </w: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08A84D32" w14:textId="77777777" w:rsidR="004D45F1" w:rsidRDefault="004D45F1">
            <w:pPr>
              <w:tabs>
                <w:tab w:val="num" w:pos="425"/>
              </w:tabs>
              <w:jc w:val="center"/>
              <w:rPr>
                <w:noProof/>
              </w:rPr>
            </w:pPr>
            <w:r>
              <w:rPr>
                <w:noProof/>
              </w:rPr>
              <w:t>One-off</w:t>
            </w: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3BA61C2E" w14:textId="77777777" w:rsidR="004D45F1" w:rsidRDefault="004D45F1">
            <w:pPr>
              <w:tabs>
                <w:tab w:val="num" w:pos="425"/>
              </w:tabs>
              <w:jc w:val="center"/>
              <w:rPr>
                <w:noProof/>
              </w:rPr>
            </w:pPr>
            <w:r>
              <w:rPr>
                <w:noProof/>
              </w:rPr>
              <w:t>Recurrent</w:t>
            </w: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6E93E035" w14:textId="77777777" w:rsidR="004D45F1" w:rsidRDefault="004D45F1">
            <w:pPr>
              <w:tabs>
                <w:tab w:val="num" w:pos="425"/>
              </w:tabs>
              <w:jc w:val="center"/>
              <w:rPr>
                <w:noProof/>
              </w:rPr>
            </w:pPr>
            <w:r>
              <w:rPr>
                <w:noProof/>
              </w:rPr>
              <w:t>One-off</w:t>
            </w: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3A0D46BE" w14:textId="77777777" w:rsidR="004D45F1" w:rsidRDefault="004D45F1">
            <w:pPr>
              <w:tabs>
                <w:tab w:val="num" w:pos="425"/>
              </w:tabs>
              <w:jc w:val="center"/>
              <w:rPr>
                <w:noProof/>
              </w:rPr>
            </w:pPr>
            <w:r>
              <w:rPr>
                <w:noProof/>
              </w:rPr>
              <w:t>Recurrent</w:t>
            </w:r>
          </w:p>
        </w:tc>
      </w:tr>
      <w:tr w:rsidR="004D45F1" w14:paraId="0B3CEA96" w14:textId="77777777" w:rsidTr="004D45F1">
        <w:trPr>
          <w:trHeight w:val="307"/>
        </w:trPr>
        <w:tc>
          <w:tcPr>
            <w:tcW w:w="993" w:type="dxa"/>
            <w:vMerge w:val="restart"/>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14:paraId="3562BC60" w14:textId="77777777" w:rsidR="004D45F1" w:rsidRDefault="004D45F1">
            <w:pPr>
              <w:tabs>
                <w:tab w:val="num" w:pos="425"/>
              </w:tabs>
              <w:rPr>
                <w:noProof/>
              </w:rPr>
            </w:pPr>
            <w:r>
              <w:rPr>
                <w:b/>
                <w:noProof/>
              </w:rPr>
              <w:t xml:space="preserve">Action A1  </w:t>
            </w:r>
          </w:p>
        </w:tc>
        <w:tc>
          <w:tcPr>
            <w:tcW w:w="1610"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27E16DE4" w14:textId="77777777" w:rsidR="004D45F1" w:rsidRDefault="004D45F1">
            <w:pPr>
              <w:tabs>
                <w:tab w:val="num" w:pos="425"/>
              </w:tabs>
              <w:rPr>
                <w:noProof/>
              </w:rPr>
            </w:pPr>
            <w:r>
              <w:rPr>
                <w:noProof/>
              </w:rPr>
              <w:t>Direct costs</w:t>
            </w:r>
          </w:p>
        </w:tc>
        <w:tc>
          <w:tcPr>
            <w:tcW w:w="1650"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0E419474" w14:textId="77777777" w:rsidR="004D45F1" w:rsidRDefault="004D45F1">
            <w:pPr>
              <w:tabs>
                <w:tab w:val="num" w:pos="425"/>
              </w:tabs>
              <w:rPr>
                <w:noProof/>
              </w:rPr>
            </w:pPr>
            <w:r>
              <w:rPr>
                <w:i/>
                <w:noProof/>
              </w:rPr>
              <w:t>Compliance costs</w:t>
            </w:r>
            <w:r>
              <w:rPr>
                <w:noProof/>
              </w:rPr>
              <w:t>:</w:t>
            </w:r>
          </w:p>
          <w:p w14:paraId="04E8EAB4" w14:textId="77777777" w:rsidR="004D45F1" w:rsidRDefault="004D45F1">
            <w:pPr>
              <w:tabs>
                <w:tab w:val="num" w:pos="425"/>
              </w:tabs>
              <w:rPr>
                <w:noProof/>
              </w:rPr>
            </w:pPr>
            <w:r>
              <w:rPr>
                <w:noProof/>
              </w:rPr>
              <w:t>Higher costs to building owners.</w:t>
            </w:r>
          </w:p>
          <w:p w14:paraId="7680B695" w14:textId="77777777" w:rsidR="004D45F1" w:rsidRDefault="004D45F1">
            <w:pPr>
              <w:tabs>
                <w:tab w:val="num" w:pos="425"/>
              </w:tabs>
              <w:rPr>
                <w:noProof/>
              </w:rPr>
            </w:pPr>
            <w:r>
              <w:rPr>
                <w:noProof/>
              </w:rPr>
              <w:t xml:space="preserve">Costs include: </w:t>
            </w:r>
          </w:p>
          <w:p w14:paraId="42E95F00" w14:textId="77777777" w:rsidR="004D45F1" w:rsidRDefault="004D45F1">
            <w:pPr>
              <w:tabs>
                <w:tab w:val="num" w:pos="425"/>
              </w:tabs>
              <w:rPr>
                <w:noProof/>
              </w:rPr>
            </w:pPr>
            <w:r>
              <w:rPr>
                <w:noProof/>
              </w:rPr>
              <w:t xml:space="preserve">Recovery: ca. € 1050-1200/t; </w:t>
            </w:r>
          </w:p>
          <w:p w14:paraId="0DEE59FF" w14:textId="77777777" w:rsidR="004D45F1" w:rsidRDefault="004D45F1">
            <w:pPr>
              <w:tabs>
                <w:tab w:val="num" w:pos="425"/>
              </w:tabs>
              <w:rPr>
                <w:noProof/>
              </w:rPr>
            </w:pPr>
            <w:r>
              <w:rPr>
                <w:noProof/>
              </w:rPr>
              <w:t>incineration €2500-3500/t;</w:t>
            </w:r>
          </w:p>
          <w:p w14:paraId="0BFF3AB2" w14:textId="77777777" w:rsidR="004D45F1" w:rsidRDefault="004D45F1">
            <w:pPr>
              <w:tabs>
                <w:tab w:val="num" w:pos="425"/>
              </w:tabs>
              <w:rPr>
                <w:noProof/>
              </w:rPr>
            </w:pPr>
            <w:r>
              <w:rPr>
                <w:noProof/>
              </w:rPr>
              <w:t>Total costs: 1.98 billion € distributed over a high number of owners;</w:t>
            </w:r>
          </w:p>
          <w:p w14:paraId="597B74D6" w14:textId="77777777" w:rsidR="004D45F1" w:rsidRDefault="004D45F1">
            <w:pPr>
              <w:tabs>
                <w:tab w:val="num" w:pos="425"/>
              </w:tabs>
              <w:rPr>
                <w:noProof/>
              </w:rPr>
            </w:pPr>
            <w:r>
              <w:rPr>
                <w:noProof/>
              </w:rPr>
              <w:t>Abatement costs:   €25,000–132,000 / tODP or</w:t>
            </w:r>
          </w:p>
          <w:p w14:paraId="703E1C17" w14:textId="77777777" w:rsidR="004D45F1" w:rsidRDefault="004D45F1">
            <w:pPr>
              <w:tabs>
                <w:tab w:val="num" w:pos="425"/>
              </w:tabs>
              <w:rPr>
                <w:noProof/>
              </w:rPr>
            </w:pPr>
            <w:r>
              <w:rPr>
                <w:noProof/>
              </w:rPr>
              <w:t>5.1-18.4 tCO2e</w:t>
            </w:r>
          </w:p>
        </w:tc>
        <w:tc>
          <w:tcPr>
            <w:tcW w:w="93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9C8A335" w14:textId="77777777" w:rsidR="004D45F1" w:rsidRDefault="004D45F1">
            <w:pPr>
              <w:tabs>
                <w:tab w:val="num" w:pos="425"/>
              </w:tabs>
              <w:rPr>
                <w:noProof/>
              </w:rPr>
            </w:pPr>
          </w:p>
        </w:tc>
        <w:tc>
          <w:tcPr>
            <w:tcW w:w="141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129DDAE" w14:textId="77777777" w:rsidR="004D45F1" w:rsidRDefault="004D45F1">
            <w:pPr>
              <w:tabs>
                <w:tab w:val="num" w:pos="425"/>
              </w:tabs>
              <w:rPr>
                <w:noProof/>
              </w:rPr>
            </w:pPr>
            <w:r>
              <w:rPr>
                <w:i/>
                <w:noProof/>
              </w:rPr>
              <w:t>Compliance costs</w:t>
            </w:r>
            <w:r>
              <w:rPr>
                <w:noProof/>
              </w:rPr>
              <w:t>:</w:t>
            </w:r>
          </w:p>
          <w:p w14:paraId="7E2A233D" w14:textId="77777777" w:rsidR="004D45F1" w:rsidRDefault="004D45F1">
            <w:pPr>
              <w:tabs>
                <w:tab w:val="num" w:pos="425"/>
              </w:tabs>
              <w:rPr>
                <w:noProof/>
              </w:rPr>
            </w:pPr>
            <w:r>
              <w:rPr>
                <w:noProof/>
              </w:rPr>
              <w:t>Same as citizens if commercial building owner</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96E2DB" w14:textId="77777777" w:rsidR="004D45F1" w:rsidRDefault="004D45F1">
            <w:pPr>
              <w:tabs>
                <w:tab w:val="num" w:pos="425"/>
              </w:tabs>
              <w:rPr>
                <w:noProof/>
              </w:rPr>
            </w:pPr>
          </w:p>
        </w:tc>
        <w:tc>
          <w:tcPr>
            <w:tcW w:w="105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89C39A" w14:textId="77777777" w:rsidR="004D45F1" w:rsidRDefault="004D45F1">
            <w:pPr>
              <w:tabs>
                <w:tab w:val="num" w:pos="425"/>
              </w:tabs>
              <w:rPr>
                <w:noProof/>
              </w:rPr>
            </w:pPr>
          </w:p>
        </w:tc>
        <w:tc>
          <w:tcPr>
            <w:tcW w:w="1356"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tcPr>
          <w:p w14:paraId="3421AED5" w14:textId="77777777" w:rsidR="004D45F1" w:rsidRDefault="004D45F1">
            <w:pPr>
              <w:tabs>
                <w:tab w:val="num" w:pos="425"/>
              </w:tabs>
              <w:rPr>
                <w:noProof/>
              </w:rPr>
            </w:pPr>
          </w:p>
        </w:tc>
      </w:tr>
      <w:tr w:rsidR="004D45F1" w14:paraId="74DAED7A" w14:textId="77777777" w:rsidTr="004D45F1">
        <w:tc>
          <w:tcPr>
            <w:tcW w:w="10428" w:type="dxa"/>
            <w:vMerge/>
            <w:tcBorders>
              <w:top w:val="single" w:sz="4" w:space="0" w:color="auto"/>
              <w:left w:val="double" w:sz="4" w:space="0" w:color="auto"/>
              <w:bottom w:val="single" w:sz="4" w:space="0" w:color="auto"/>
              <w:right w:val="single" w:sz="4" w:space="0" w:color="auto"/>
            </w:tcBorders>
            <w:vAlign w:val="center"/>
            <w:hideMark/>
          </w:tcPr>
          <w:p w14:paraId="3B0041BA" w14:textId="77777777" w:rsidR="004D45F1" w:rsidRDefault="004D45F1">
            <w:pPr>
              <w:rPr>
                <w:noProof/>
              </w:rPr>
            </w:pPr>
          </w:p>
        </w:tc>
        <w:tc>
          <w:tcPr>
            <w:tcW w:w="1610"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13E6501E"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14:paraId="059C56AF" w14:textId="77777777" w:rsidR="004D45F1" w:rsidRDefault="004D45F1">
            <w:pPr>
              <w:tabs>
                <w:tab w:val="num" w:pos="425"/>
              </w:tabs>
              <w:rPr>
                <w:noProof/>
              </w:rPr>
            </w:pPr>
          </w:p>
        </w:tc>
        <w:tc>
          <w:tcPr>
            <w:tcW w:w="93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9B62B80" w14:textId="77777777" w:rsidR="004D45F1" w:rsidRDefault="004D45F1">
            <w:pPr>
              <w:tabs>
                <w:tab w:val="num" w:pos="425"/>
              </w:tabs>
              <w:rPr>
                <w:noProof/>
              </w:rPr>
            </w:pPr>
          </w:p>
        </w:tc>
        <w:tc>
          <w:tcPr>
            <w:tcW w:w="141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AFA29E" w14:textId="77777777" w:rsidR="004D45F1" w:rsidRDefault="004D45F1">
            <w:pPr>
              <w:tabs>
                <w:tab w:val="num" w:pos="425"/>
              </w:tabs>
              <w:rPr>
                <w:noProof/>
              </w:rPr>
            </w:pP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FE6E6D" w14:textId="77777777" w:rsidR="004D45F1" w:rsidRDefault="004D45F1">
            <w:pPr>
              <w:tabs>
                <w:tab w:val="num" w:pos="425"/>
              </w:tabs>
              <w:rPr>
                <w:noProof/>
              </w:rPr>
            </w:pPr>
          </w:p>
        </w:tc>
        <w:tc>
          <w:tcPr>
            <w:tcW w:w="105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DF1C13" w14:textId="77777777" w:rsidR="004D45F1" w:rsidRDefault="004D45F1">
            <w:pPr>
              <w:tabs>
                <w:tab w:val="num" w:pos="425"/>
              </w:tabs>
              <w:rPr>
                <w:noProof/>
              </w:rPr>
            </w:pPr>
          </w:p>
        </w:tc>
        <w:tc>
          <w:tcPr>
            <w:tcW w:w="1356"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7144BB86" w14:textId="77777777" w:rsidR="004D45F1" w:rsidRDefault="004D45F1">
            <w:pPr>
              <w:tabs>
                <w:tab w:val="num" w:pos="425"/>
              </w:tabs>
              <w:rPr>
                <w:noProof/>
              </w:rPr>
            </w:pPr>
            <w:r>
              <w:rPr>
                <w:noProof/>
              </w:rPr>
              <w:t>Enforcement costs for Member States; synergies with waste and circular economy policies</w:t>
            </w:r>
          </w:p>
        </w:tc>
      </w:tr>
      <w:tr w:rsidR="004D45F1" w14:paraId="21E1B5B3" w14:textId="77777777" w:rsidTr="004D45F1">
        <w:tc>
          <w:tcPr>
            <w:tcW w:w="993" w:type="dxa"/>
            <w:vMerge w:val="restart"/>
            <w:tcBorders>
              <w:top w:val="doub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14:paraId="0DD54D72" w14:textId="77777777" w:rsidR="004D45F1" w:rsidRDefault="004D45F1">
            <w:pPr>
              <w:tabs>
                <w:tab w:val="num" w:pos="425"/>
              </w:tabs>
              <w:rPr>
                <w:b/>
                <w:noProof/>
              </w:rPr>
            </w:pPr>
            <w:r>
              <w:rPr>
                <w:b/>
                <w:noProof/>
              </w:rPr>
              <w:t xml:space="preserve">Action A4  </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14:paraId="4B08C616"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2AA41242"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5D46C4"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C70B068" w14:textId="77777777" w:rsidR="004D45F1" w:rsidRDefault="004D45F1">
            <w:pPr>
              <w:tabs>
                <w:tab w:val="num" w:pos="425"/>
              </w:tabs>
              <w:rPr>
                <w:bCs/>
                <w:i/>
                <w:noProof/>
              </w:rPr>
            </w:pPr>
            <w:r>
              <w:rPr>
                <w:bCs/>
                <w:i/>
                <w:noProof/>
              </w:rPr>
              <w:t>Compliance costs:</w:t>
            </w:r>
          </w:p>
          <w:p w14:paraId="6A2C7280" w14:textId="77777777" w:rsidR="004D45F1" w:rsidRDefault="004D45F1">
            <w:pPr>
              <w:tabs>
                <w:tab w:val="num" w:pos="425"/>
              </w:tabs>
              <w:rPr>
                <w:bCs/>
                <w:noProof/>
              </w:rPr>
            </w:pPr>
            <w:r>
              <w:rPr>
                <w:bCs/>
                <w:noProof/>
              </w:rPr>
              <w:t>Halon equipment owner (e.g. aviation company, military etc.)</w:t>
            </w:r>
          </w:p>
          <w:p w14:paraId="463187D8" w14:textId="77777777" w:rsidR="004D45F1" w:rsidRDefault="004D45F1">
            <w:pPr>
              <w:tabs>
                <w:tab w:val="num" w:pos="425"/>
              </w:tabs>
              <w:rPr>
                <w:bCs/>
                <w:noProof/>
              </w:rPr>
            </w:pPr>
            <w:r>
              <w:rPr>
                <w:bCs/>
                <w:noProof/>
              </w:rPr>
              <w:t>Costs may arise if transport, reclamation and sale is higher than destruction</w:t>
            </w: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354028" w14:textId="77777777" w:rsidR="004D45F1" w:rsidRDefault="004D45F1">
            <w:pPr>
              <w:tabs>
                <w:tab w:val="num" w:pos="425"/>
              </w:tabs>
              <w:rPr>
                <w:i/>
                <w:noProof/>
              </w:rPr>
            </w:pPr>
            <w:r>
              <w:rPr>
                <w:i/>
                <w:noProof/>
              </w:rPr>
              <w:t>Administrative costs:</w:t>
            </w:r>
          </w:p>
          <w:p w14:paraId="16EB44CE" w14:textId="77777777" w:rsidR="004D45F1" w:rsidRDefault="004D45F1">
            <w:pPr>
              <w:tabs>
                <w:tab w:val="num" w:pos="425"/>
              </w:tabs>
              <w:rPr>
                <w:noProof/>
              </w:rPr>
            </w:pPr>
            <w:r>
              <w:rPr>
                <w:noProof/>
              </w:rPr>
              <w:t>Keeping of records for 5 years</w:t>
            </w: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BB597E"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60651BA0" w14:textId="77777777" w:rsidR="004D45F1" w:rsidRDefault="004D45F1">
            <w:pPr>
              <w:tabs>
                <w:tab w:val="num" w:pos="425"/>
              </w:tabs>
              <w:rPr>
                <w:noProof/>
              </w:rPr>
            </w:pPr>
          </w:p>
        </w:tc>
      </w:tr>
      <w:tr w:rsidR="004D45F1" w14:paraId="6AA5154A" w14:textId="77777777" w:rsidTr="004D45F1">
        <w:tc>
          <w:tcPr>
            <w:tcW w:w="10428" w:type="dxa"/>
            <w:vMerge/>
            <w:tcBorders>
              <w:top w:val="double" w:sz="4" w:space="0" w:color="auto"/>
              <w:left w:val="double" w:sz="4" w:space="0" w:color="auto"/>
              <w:bottom w:val="double" w:sz="4" w:space="0" w:color="auto"/>
              <w:right w:val="single" w:sz="4" w:space="0" w:color="auto"/>
            </w:tcBorders>
            <w:vAlign w:val="center"/>
            <w:hideMark/>
          </w:tcPr>
          <w:p w14:paraId="6B044F12" w14:textId="77777777" w:rsidR="004D45F1" w:rsidRDefault="004D45F1">
            <w:pPr>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1F5A447A"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6501B530"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0D90ED79"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0BF2F82D"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03279930"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12C7AD1"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42705621" w14:textId="77777777" w:rsidR="004D45F1" w:rsidRDefault="004D45F1">
            <w:pPr>
              <w:tabs>
                <w:tab w:val="num" w:pos="425"/>
              </w:tabs>
              <w:rPr>
                <w:noProof/>
              </w:rPr>
            </w:pPr>
            <w:r>
              <w:rPr>
                <w:noProof/>
              </w:rPr>
              <w:t>Enforcement costs for Member States</w:t>
            </w:r>
          </w:p>
        </w:tc>
      </w:tr>
      <w:tr w:rsidR="004D45F1" w14:paraId="2C0335EE"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5A2EA7E6" w14:textId="77777777" w:rsidR="004D45F1" w:rsidRDefault="004D45F1">
            <w:pPr>
              <w:tabs>
                <w:tab w:val="num" w:pos="425"/>
              </w:tabs>
              <w:rPr>
                <w:b/>
                <w:noProof/>
              </w:rPr>
            </w:pPr>
            <w:r>
              <w:rPr>
                <w:b/>
                <w:noProof/>
              </w:rPr>
              <w:t>Action B1</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4AEC1199"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5D6BFBC3"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A6583C"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93BAF5"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781595" w14:textId="77777777" w:rsidR="004D45F1" w:rsidRDefault="004D45F1">
            <w:pPr>
              <w:tabs>
                <w:tab w:val="num" w:pos="425"/>
              </w:tabs>
              <w:rPr>
                <w:noProof/>
              </w:rPr>
            </w:pP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E0C108"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665A29D1" w14:textId="77777777" w:rsidR="004D45F1" w:rsidRDefault="004D45F1">
            <w:pPr>
              <w:tabs>
                <w:tab w:val="num" w:pos="425"/>
              </w:tabs>
              <w:rPr>
                <w:noProof/>
              </w:rPr>
            </w:pPr>
          </w:p>
        </w:tc>
      </w:tr>
      <w:tr w:rsidR="004D45F1" w14:paraId="70C737C0" w14:textId="77777777" w:rsidTr="004D45F1">
        <w:tc>
          <w:tcPr>
            <w:tcW w:w="993"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14:paraId="1238C0BC" w14:textId="77777777" w:rsidR="004D45F1" w:rsidRDefault="004D45F1">
            <w:pPr>
              <w:tabs>
                <w:tab w:val="num" w:pos="425"/>
              </w:tabs>
              <w:rPr>
                <w:b/>
                <w:noProof/>
              </w:rPr>
            </w:pPr>
          </w:p>
        </w:tc>
        <w:tc>
          <w:tcPr>
            <w:tcW w:w="1610"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26469489"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14:paraId="7CBD13FF" w14:textId="77777777" w:rsidR="004D45F1" w:rsidRDefault="004D45F1">
            <w:pPr>
              <w:tabs>
                <w:tab w:val="num" w:pos="425"/>
              </w:tabs>
              <w:rPr>
                <w:noProof/>
              </w:rPr>
            </w:pPr>
          </w:p>
        </w:tc>
        <w:tc>
          <w:tcPr>
            <w:tcW w:w="93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B521BB" w14:textId="77777777" w:rsidR="004D45F1" w:rsidRDefault="004D45F1">
            <w:pPr>
              <w:tabs>
                <w:tab w:val="num" w:pos="425"/>
              </w:tabs>
              <w:rPr>
                <w:noProof/>
              </w:rPr>
            </w:pPr>
          </w:p>
        </w:tc>
        <w:tc>
          <w:tcPr>
            <w:tcW w:w="141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DC0C20" w14:textId="77777777" w:rsidR="004D45F1" w:rsidRDefault="004D45F1">
            <w:pPr>
              <w:tabs>
                <w:tab w:val="num" w:pos="425"/>
              </w:tabs>
              <w:rPr>
                <w:noProof/>
              </w:rPr>
            </w:pP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CA17F1" w14:textId="77777777" w:rsidR="004D45F1" w:rsidRDefault="004D45F1">
            <w:pPr>
              <w:tabs>
                <w:tab w:val="num" w:pos="425"/>
              </w:tabs>
              <w:rPr>
                <w:noProof/>
              </w:rPr>
            </w:pPr>
          </w:p>
        </w:tc>
        <w:tc>
          <w:tcPr>
            <w:tcW w:w="105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B055D1C" w14:textId="77777777" w:rsidR="004D45F1" w:rsidRDefault="004D45F1">
            <w:pPr>
              <w:tabs>
                <w:tab w:val="num" w:pos="425"/>
              </w:tabs>
              <w:rPr>
                <w:noProof/>
              </w:rPr>
            </w:pPr>
            <w:r>
              <w:rPr>
                <w:noProof/>
              </w:rPr>
              <w:t>Changes to IT system for EC</w:t>
            </w:r>
          </w:p>
        </w:tc>
        <w:tc>
          <w:tcPr>
            <w:tcW w:w="1356"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tcPr>
          <w:p w14:paraId="67D1A581" w14:textId="77777777" w:rsidR="004D45F1" w:rsidRDefault="004D45F1">
            <w:pPr>
              <w:tabs>
                <w:tab w:val="num" w:pos="425"/>
              </w:tabs>
              <w:rPr>
                <w:noProof/>
              </w:rPr>
            </w:pPr>
          </w:p>
        </w:tc>
      </w:tr>
      <w:tr w:rsidR="004D45F1" w14:paraId="6006A86F"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25B2C48D" w14:textId="77777777" w:rsidR="004D45F1" w:rsidRDefault="004D45F1">
            <w:pPr>
              <w:tabs>
                <w:tab w:val="num" w:pos="425"/>
              </w:tabs>
              <w:rPr>
                <w:b/>
                <w:noProof/>
              </w:rPr>
            </w:pPr>
            <w:r>
              <w:rPr>
                <w:b/>
                <w:noProof/>
              </w:rPr>
              <w:t>Action B2</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562B1C2E"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4EE4EB13"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1B13FD"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CDAB3D2" w14:textId="77777777" w:rsidR="004D45F1" w:rsidRDefault="004D45F1">
            <w:pPr>
              <w:tabs>
                <w:tab w:val="num" w:pos="425"/>
              </w:tabs>
              <w:rPr>
                <w:i/>
                <w:noProof/>
              </w:rPr>
            </w:pPr>
            <w:r>
              <w:rPr>
                <w:i/>
                <w:noProof/>
              </w:rPr>
              <w:t>Administrative costs:</w:t>
            </w:r>
          </w:p>
          <w:p w14:paraId="3D3129C6" w14:textId="77777777" w:rsidR="004D45F1" w:rsidRDefault="004D45F1">
            <w:pPr>
              <w:tabs>
                <w:tab w:val="num" w:pos="425"/>
              </w:tabs>
              <w:rPr>
                <w:noProof/>
              </w:rPr>
            </w:pPr>
            <w:r>
              <w:rPr>
                <w:noProof/>
              </w:rPr>
              <w:t xml:space="preserve">Minimal higher cost to importers  </w:t>
            </w: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1C6A65" w14:textId="77777777" w:rsidR="004D45F1" w:rsidRDefault="004D45F1">
            <w:pPr>
              <w:tabs>
                <w:tab w:val="num" w:pos="425"/>
              </w:tabs>
              <w:rPr>
                <w:noProof/>
              </w:rPr>
            </w:pP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2A79E3"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7392C118" w14:textId="77777777" w:rsidR="004D45F1" w:rsidRDefault="004D45F1">
            <w:pPr>
              <w:tabs>
                <w:tab w:val="num" w:pos="425"/>
              </w:tabs>
              <w:rPr>
                <w:noProof/>
              </w:rPr>
            </w:pPr>
          </w:p>
        </w:tc>
      </w:tr>
      <w:tr w:rsidR="004D45F1" w14:paraId="7BEE2C59"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7A7887C2"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7CFD0AB8"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12912EC1"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66BB69F8"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3EDD305A"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4694BDB1"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533E16B3"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0FF9C458" w14:textId="77777777" w:rsidR="004D45F1" w:rsidRDefault="004D45F1">
            <w:pPr>
              <w:tabs>
                <w:tab w:val="num" w:pos="425"/>
              </w:tabs>
              <w:rPr>
                <w:noProof/>
              </w:rPr>
            </w:pPr>
            <w:r>
              <w:rPr>
                <w:noProof/>
              </w:rPr>
              <w:t>Enforcement costs for Member States</w:t>
            </w:r>
          </w:p>
        </w:tc>
      </w:tr>
      <w:tr w:rsidR="004D45F1" w14:paraId="63649CED"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7B283E00" w14:textId="77777777" w:rsidR="004D45F1" w:rsidRDefault="004D45F1">
            <w:pPr>
              <w:tabs>
                <w:tab w:val="num" w:pos="425"/>
              </w:tabs>
              <w:rPr>
                <w:b/>
                <w:noProof/>
              </w:rPr>
            </w:pPr>
            <w:r>
              <w:rPr>
                <w:b/>
                <w:noProof/>
              </w:rPr>
              <w:t>Action B3</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51DF86F3"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07490959"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F8527B"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810689"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E4850B" w14:textId="77777777" w:rsidR="004D45F1" w:rsidRDefault="004D45F1">
            <w:pPr>
              <w:tabs>
                <w:tab w:val="num" w:pos="425"/>
              </w:tabs>
              <w:rPr>
                <w:noProof/>
              </w:rPr>
            </w:pP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0D795"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07EB27DA" w14:textId="77777777" w:rsidR="004D45F1" w:rsidRDefault="004D45F1">
            <w:pPr>
              <w:tabs>
                <w:tab w:val="num" w:pos="425"/>
              </w:tabs>
              <w:rPr>
                <w:noProof/>
              </w:rPr>
            </w:pPr>
          </w:p>
        </w:tc>
      </w:tr>
      <w:tr w:rsidR="004D45F1" w14:paraId="1C3A60F7"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25E51BEC"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616CEED2"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2B12D012"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0BC51DF5"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41AE432" w14:textId="77777777" w:rsidR="004D45F1" w:rsidRDefault="004D45F1">
            <w:pPr>
              <w:tabs>
                <w:tab w:val="num" w:pos="425"/>
              </w:tabs>
              <w:rPr>
                <w:bCs/>
                <w:noProof/>
              </w:rPr>
            </w:pPr>
            <w:r>
              <w:rPr>
                <w:bCs/>
                <w:i/>
                <w:noProof/>
              </w:rPr>
              <w:t xml:space="preserve">Administrative costs: </w:t>
            </w:r>
            <w:r>
              <w:rPr>
                <w:bCs/>
                <w:noProof/>
              </w:rPr>
              <w:t>Cost to acquire authorised trader status for importers</w:t>
            </w:r>
          </w:p>
          <w:p w14:paraId="36B121BD" w14:textId="77777777" w:rsidR="004D45F1" w:rsidRDefault="004D45F1">
            <w:pPr>
              <w:tabs>
                <w:tab w:val="num" w:pos="425"/>
              </w:tabs>
              <w:rPr>
                <w:bCs/>
                <w:i/>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446825C1" w14:textId="77777777" w:rsidR="004D45F1" w:rsidRDefault="004D45F1">
            <w:pPr>
              <w:tabs>
                <w:tab w:val="num" w:pos="425"/>
              </w:tabs>
              <w:rPr>
                <w:noProof/>
              </w:rPr>
            </w:pPr>
            <w:r>
              <w:rPr>
                <w:bCs/>
                <w:i/>
                <w:noProof/>
              </w:rPr>
              <w:t xml:space="preserve">Compliance costs: </w:t>
            </w:r>
            <w:r>
              <w:rPr>
                <w:noProof/>
              </w:rPr>
              <w:t>Less flexibility on logistics for importers</w:t>
            </w: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6A7D2BA3"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5EFFF3D7" w14:textId="77777777" w:rsidR="004D45F1" w:rsidRDefault="004D45F1">
            <w:pPr>
              <w:tabs>
                <w:tab w:val="num" w:pos="425"/>
              </w:tabs>
              <w:rPr>
                <w:noProof/>
              </w:rPr>
            </w:pPr>
            <w:r>
              <w:rPr>
                <w:noProof/>
              </w:rPr>
              <w:t>Enforcement costs for Member States</w:t>
            </w:r>
          </w:p>
        </w:tc>
      </w:tr>
      <w:tr w:rsidR="004D45F1" w14:paraId="3FE30932"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06A69FC0" w14:textId="77777777" w:rsidR="004D45F1" w:rsidRDefault="004D45F1">
            <w:pPr>
              <w:tabs>
                <w:tab w:val="num" w:pos="425"/>
              </w:tabs>
              <w:rPr>
                <w:b/>
                <w:noProof/>
              </w:rPr>
            </w:pPr>
            <w:r>
              <w:rPr>
                <w:b/>
                <w:noProof/>
              </w:rPr>
              <w:t>Action C1</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414B4F2F"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01298E07"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3A4EC0"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EBFC0A"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30B3E8" w14:textId="77777777" w:rsidR="004D45F1" w:rsidRDefault="004D45F1">
            <w:pPr>
              <w:tabs>
                <w:tab w:val="num" w:pos="425"/>
              </w:tabs>
              <w:rPr>
                <w:noProof/>
              </w:rPr>
            </w:pPr>
            <w:r>
              <w:rPr>
                <w:bCs/>
                <w:i/>
                <w:noProof/>
              </w:rPr>
              <w:t>Administrative costs</w:t>
            </w:r>
            <w:r>
              <w:rPr>
                <w:bCs/>
                <w:noProof/>
              </w:rPr>
              <w:t xml:space="preserve"> for reporting companies*: total </w:t>
            </w:r>
            <w:r>
              <w:rPr>
                <w:bCs/>
                <w:iCs/>
                <w:noProof/>
              </w:rPr>
              <w:t>€</w:t>
            </w:r>
            <w:r>
              <w:rPr>
                <w:bCs/>
                <w:noProof/>
              </w:rPr>
              <w:t>5,500 p/a</w:t>
            </w: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72AA2E"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71F7862B" w14:textId="77777777" w:rsidR="004D45F1" w:rsidRDefault="004D45F1">
            <w:pPr>
              <w:tabs>
                <w:tab w:val="num" w:pos="425"/>
              </w:tabs>
              <w:rPr>
                <w:noProof/>
              </w:rPr>
            </w:pPr>
          </w:p>
        </w:tc>
      </w:tr>
      <w:tr w:rsidR="004D45F1" w14:paraId="05B317D6"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03E49A76"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7406456E"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2FA27F61"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07FD6DCE"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06A28D7"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3AD9201"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54C6F84B"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14:paraId="70303D78" w14:textId="77777777" w:rsidR="004D45F1" w:rsidRDefault="004D45F1">
            <w:pPr>
              <w:tabs>
                <w:tab w:val="num" w:pos="425"/>
              </w:tabs>
              <w:rPr>
                <w:noProof/>
              </w:rPr>
            </w:pPr>
          </w:p>
        </w:tc>
      </w:tr>
      <w:tr w:rsidR="004D45F1" w14:paraId="1C75740A"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42A62E4E" w14:textId="77777777" w:rsidR="004D45F1" w:rsidRDefault="004D45F1">
            <w:pPr>
              <w:tabs>
                <w:tab w:val="num" w:pos="425"/>
              </w:tabs>
              <w:rPr>
                <w:b/>
                <w:noProof/>
              </w:rPr>
            </w:pPr>
            <w:r>
              <w:rPr>
                <w:b/>
                <w:noProof/>
              </w:rPr>
              <w:t>Action C2</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7C4B3DB3"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6D8AF449"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CA82E5"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0C2DBC"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8435505" w14:textId="77777777" w:rsidR="004D45F1" w:rsidRDefault="004D45F1">
            <w:pPr>
              <w:tabs>
                <w:tab w:val="num" w:pos="425"/>
              </w:tabs>
              <w:rPr>
                <w:bCs/>
                <w:noProof/>
              </w:rPr>
            </w:pPr>
            <w:r>
              <w:rPr>
                <w:bCs/>
                <w:i/>
                <w:noProof/>
              </w:rPr>
              <w:t>Administrative costs</w:t>
            </w:r>
            <w:r>
              <w:rPr>
                <w:bCs/>
                <w:noProof/>
              </w:rPr>
              <w:t xml:space="preserve"> for producers/</w:t>
            </w:r>
          </w:p>
          <w:p w14:paraId="5A2184D8" w14:textId="77777777" w:rsidR="004D45F1" w:rsidRDefault="004D45F1">
            <w:pPr>
              <w:tabs>
                <w:tab w:val="num" w:pos="425"/>
              </w:tabs>
              <w:rPr>
                <w:bCs/>
                <w:noProof/>
              </w:rPr>
            </w:pPr>
            <w:r>
              <w:rPr>
                <w:bCs/>
                <w:noProof/>
              </w:rPr>
              <w:t>destruction companies/</w:t>
            </w:r>
          </w:p>
          <w:p w14:paraId="52F23F1D" w14:textId="77777777" w:rsidR="004D45F1" w:rsidRDefault="004D45F1">
            <w:pPr>
              <w:tabs>
                <w:tab w:val="num" w:pos="425"/>
              </w:tabs>
              <w:rPr>
                <w:noProof/>
              </w:rPr>
            </w:pPr>
            <w:r>
              <w:rPr>
                <w:bCs/>
                <w:noProof/>
              </w:rPr>
              <w:t xml:space="preserve">feedstock users: total </w:t>
            </w:r>
            <w:r>
              <w:rPr>
                <w:bCs/>
                <w:iCs/>
                <w:noProof/>
              </w:rPr>
              <w:t>€</w:t>
            </w:r>
            <w:r>
              <w:rPr>
                <w:bCs/>
                <w:noProof/>
              </w:rPr>
              <w:t>20,000 p/a</w:t>
            </w: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6C23E9"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79AA7C74" w14:textId="77777777" w:rsidR="004D45F1" w:rsidRDefault="004D45F1">
            <w:pPr>
              <w:tabs>
                <w:tab w:val="num" w:pos="425"/>
              </w:tabs>
              <w:rPr>
                <w:noProof/>
              </w:rPr>
            </w:pPr>
          </w:p>
        </w:tc>
      </w:tr>
      <w:tr w:rsidR="004D45F1" w14:paraId="225F0F93"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60F16DE3"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29117788"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1E235C9F"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4DA50CCA"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4FE870BB"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3399D7D"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745B78EF"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14:paraId="743B4F53" w14:textId="77777777" w:rsidR="004D45F1" w:rsidRDefault="004D45F1">
            <w:pPr>
              <w:tabs>
                <w:tab w:val="num" w:pos="425"/>
              </w:tabs>
              <w:rPr>
                <w:noProof/>
              </w:rPr>
            </w:pPr>
          </w:p>
        </w:tc>
      </w:tr>
      <w:tr w:rsidR="004D45F1" w14:paraId="25D7AB0C"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33E54DF3" w14:textId="77777777" w:rsidR="004D45F1" w:rsidRDefault="004D45F1">
            <w:pPr>
              <w:tabs>
                <w:tab w:val="num" w:pos="425"/>
              </w:tabs>
              <w:rPr>
                <w:b/>
                <w:noProof/>
              </w:rPr>
            </w:pPr>
            <w:r>
              <w:rPr>
                <w:b/>
                <w:noProof/>
              </w:rPr>
              <w:t>Action C4</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7EEC2B0E"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453CB8BD"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87FFDB"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6F3C32"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F64F026" w14:textId="77777777" w:rsidR="004D45F1" w:rsidRDefault="004D45F1">
            <w:pPr>
              <w:tabs>
                <w:tab w:val="num" w:pos="425"/>
              </w:tabs>
              <w:rPr>
                <w:noProof/>
              </w:rPr>
            </w:pPr>
            <w:r>
              <w:rPr>
                <w:bCs/>
                <w:i/>
                <w:noProof/>
              </w:rPr>
              <w:t>Administrative costs</w:t>
            </w:r>
            <w:r>
              <w:rPr>
                <w:bCs/>
                <w:noProof/>
              </w:rPr>
              <w:t xml:space="preserve"> for reporting companies*: total </w:t>
            </w:r>
            <w:r>
              <w:rPr>
                <w:bCs/>
                <w:iCs/>
                <w:noProof/>
              </w:rPr>
              <w:t>€</w:t>
            </w:r>
            <w:r>
              <w:rPr>
                <w:bCs/>
                <w:noProof/>
              </w:rPr>
              <w:t>13,000 p/a</w:t>
            </w: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5DE587"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533B5278" w14:textId="77777777" w:rsidR="004D45F1" w:rsidRDefault="004D45F1">
            <w:pPr>
              <w:tabs>
                <w:tab w:val="num" w:pos="425"/>
              </w:tabs>
              <w:rPr>
                <w:noProof/>
              </w:rPr>
            </w:pPr>
          </w:p>
        </w:tc>
      </w:tr>
      <w:tr w:rsidR="004D45F1" w14:paraId="092AE3B8"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5DC9C2F3"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2048CB15"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23A3A033"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57458783"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16C9544"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5DA72206"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6FD13597"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14:paraId="4801D3E5" w14:textId="77777777" w:rsidR="004D45F1" w:rsidRDefault="004D45F1">
            <w:pPr>
              <w:tabs>
                <w:tab w:val="num" w:pos="425"/>
              </w:tabs>
              <w:rPr>
                <w:noProof/>
              </w:rPr>
            </w:pPr>
          </w:p>
        </w:tc>
      </w:tr>
      <w:tr w:rsidR="004D45F1" w14:paraId="23AE2FD8" w14:textId="77777777" w:rsidTr="004D45F1">
        <w:tc>
          <w:tcPr>
            <w:tcW w:w="993"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14:paraId="4D6EB00F" w14:textId="77777777" w:rsidR="004D45F1" w:rsidRDefault="004D45F1">
            <w:pPr>
              <w:tabs>
                <w:tab w:val="num" w:pos="425"/>
              </w:tabs>
              <w:rPr>
                <w:b/>
                <w:noProof/>
              </w:rPr>
            </w:pPr>
            <w:r>
              <w:rPr>
                <w:b/>
                <w:noProof/>
              </w:rPr>
              <w:t>Action C5</w:t>
            </w:r>
          </w:p>
        </w:tc>
        <w:tc>
          <w:tcPr>
            <w:tcW w:w="1610"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14:paraId="2A64FB5A" w14:textId="77777777" w:rsidR="004D45F1" w:rsidRDefault="004D45F1">
            <w:pPr>
              <w:tabs>
                <w:tab w:val="num" w:pos="425"/>
              </w:tabs>
              <w:rPr>
                <w:noProof/>
              </w:rPr>
            </w:pPr>
            <w:r>
              <w:rPr>
                <w:noProof/>
              </w:rPr>
              <w:t>Direct costs</w:t>
            </w:r>
          </w:p>
        </w:tc>
        <w:tc>
          <w:tcPr>
            <w:tcW w:w="1650" w:type="dxa"/>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14:paraId="7F0B859B" w14:textId="77777777" w:rsidR="004D45F1" w:rsidRDefault="004D45F1">
            <w:pPr>
              <w:tabs>
                <w:tab w:val="num" w:pos="425"/>
              </w:tabs>
              <w:rPr>
                <w:noProof/>
              </w:rPr>
            </w:pPr>
          </w:p>
        </w:tc>
        <w:tc>
          <w:tcPr>
            <w:tcW w:w="930"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118A4F" w14:textId="77777777" w:rsidR="004D45F1" w:rsidRDefault="004D45F1">
            <w:pPr>
              <w:tabs>
                <w:tab w:val="num" w:pos="425"/>
              </w:tabs>
              <w:rPr>
                <w:noProof/>
              </w:rPr>
            </w:pPr>
          </w:p>
        </w:tc>
        <w:tc>
          <w:tcPr>
            <w:tcW w:w="1418"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F3F468" w14:textId="77777777" w:rsidR="004D45F1" w:rsidRDefault="004D45F1">
            <w:pPr>
              <w:tabs>
                <w:tab w:val="num" w:pos="425"/>
              </w:tabs>
              <w:rPr>
                <w:noProof/>
              </w:rPr>
            </w:pPr>
          </w:p>
        </w:tc>
        <w:tc>
          <w:tcPr>
            <w:tcW w:w="1417"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F40F6C" w14:textId="77777777" w:rsidR="004D45F1" w:rsidRDefault="004D45F1">
            <w:pPr>
              <w:tabs>
                <w:tab w:val="num" w:pos="425"/>
              </w:tabs>
              <w:rPr>
                <w:noProof/>
              </w:rPr>
            </w:pPr>
            <w:r>
              <w:rPr>
                <w:bCs/>
                <w:i/>
                <w:noProof/>
              </w:rPr>
              <w:t>Administrative costs</w:t>
            </w:r>
            <w:r>
              <w:rPr>
                <w:bCs/>
                <w:noProof/>
              </w:rPr>
              <w:t xml:space="preserve"> for reporting companies*: €25,000 p/a </w:t>
            </w:r>
          </w:p>
          <w:p w14:paraId="3E0093AD" w14:textId="77777777" w:rsidR="004D45F1" w:rsidRDefault="004D45F1">
            <w:pPr>
              <w:tabs>
                <w:tab w:val="num" w:pos="425"/>
              </w:tabs>
              <w:rPr>
                <w:noProof/>
              </w:rPr>
            </w:pPr>
          </w:p>
        </w:tc>
        <w:tc>
          <w:tcPr>
            <w:tcW w:w="1054"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2E2DD6" w14:textId="77777777" w:rsidR="004D45F1" w:rsidRDefault="004D45F1">
            <w:pPr>
              <w:tabs>
                <w:tab w:val="num" w:pos="425"/>
              </w:tabs>
              <w:rPr>
                <w:noProof/>
              </w:rPr>
            </w:pPr>
          </w:p>
        </w:tc>
        <w:tc>
          <w:tcPr>
            <w:tcW w:w="1356"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tcPr>
          <w:p w14:paraId="01A14A5B" w14:textId="77777777" w:rsidR="004D45F1" w:rsidRDefault="004D45F1">
            <w:pPr>
              <w:tabs>
                <w:tab w:val="num" w:pos="425"/>
              </w:tabs>
              <w:rPr>
                <w:noProof/>
              </w:rPr>
            </w:pPr>
          </w:p>
        </w:tc>
      </w:tr>
      <w:tr w:rsidR="004D45F1" w14:paraId="1C50F05A" w14:textId="77777777" w:rsidTr="004D45F1">
        <w:tc>
          <w:tcPr>
            <w:tcW w:w="993"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6C6E4071" w14:textId="77777777" w:rsidR="004D45F1" w:rsidRDefault="004D45F1">
            <w:pPr>
              <w:tabs>
                <w:tab w:val="num" w:pos="425"/>
              </w:tabs>
              <w:rPr>
                <w:b/>
                <w:noProof/>
              </w:rPr>
            </w:pPr>
          </w:p>
        </w:tc>
        <w:tc>
          <w:tcPr>
            <w:tcW w:w="1610"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14:paraId="5CAB25A0" w14:textId="77777777" w:rsidR="004D45F1" w:rsidRDefault="004D45F1">
            <w:pPr>
              <w:tabs>
                <w:tab w:val="num" w:pos="425"/>
              </w:tabs>
              <w:rPr>
                <w:noProof/>
              </w:rPr>
            </w:pPr>
            <w:r>
              <w:rPr>
                <w:noProof/>
              </w:rPr>
              <w:t>Indirect costs</w:t>
            </w:r>
          </w:p>
        </w:tc>
        <w:tc>
          <w:tcPr>
            <w:tcW w:w="1650"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14:paraId="2CCF4304" w14:textId="77777777" w:rsidR="004D45F1" w:rsidRDefault="004D45F1">
            <w:pPr>
              <w:tabs>
                <w:tab w:val="num" w:pos="425"/>
              </w:tabs>
              <w:rPr>
                <w:noProof/>
              </w:rPr>
            </w:pPr>
          </w:p>
        </w:tc>
        <w:tc>
          <w:tcPr>
            <w:tcW w:w="930"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264ACCC4" w14:textId="77777777" w:rsidR="004D45F1" w:rsidRDefault="004D45F1">
            <w:pPr>
              <w:tabs>
                <w:tab w:val="num" w:pos="425"/>
              </w:tabs>
              <w:rPr>
                <w:noProof/>
              </w:rPr>
            </w:pPr>
          </w:p>
        </w:tc>
        <w:tc>
          <w:tcPr>
            <w:tcW w:w="1418"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1E9E4CA7" w14:textId="77777777" w:rsidR="004D45F1" w:rsidRDefault="004D45F1">
            <w:pPr>
              <w:tabs>
                <w:tab w:val="num" w:pos="425"/>
              </w:tabs>
              <w:rPr>
                <w:noProof/>
              </w:rPr>
            </w:pPr>
          </w:p>
        </w:tc>
        <w:tc>
          <w:tcPr>
            <w:tcW w:w="1417"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39EF6727" w14:textId="77777777" w:rsidR="004D45F1" w:rsidRDefault="004D45F1">
            <w:pPr>
              <w:tabs>
                <w:tab w:val="num" w:pos="425"/>
              </w:tabs>
              <w:rPr>
                <w:noProof/>
              </w:rPr>
            </w:pPr>
          </w:p>
        </w:tc>
        <w:tc>
          <w:tcPr>
            <w:tcW w:w="1054"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14:paraId="30551DC2" w14:textId="77777777" w:rsidR="004D45F1" w:rsidRDefault="004D45F1">
            <w:pPr>
              <w:tabs>
                <w:tab w:val="num" w:pos="425"/>
              </w:tabs>
              <w:rPr>
                <w:noProof/>
              </w:rPr>
            </w:pPr>
          </w:p>
        </w:tc>
        <w:tc>
          <w:tcPr>
            <w:tcW w:w="1356"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14:paraId="4C63661B" w14:textId="77777777" w:rsidR="004D45F1" w:rsidRDefault="004D45F1">
            <w:pPr>
              <w:tabs>
                <w:tab w:val="num" w:pos="425"/>
              </w:tabs>
              <w:rPr>
                <w:noProof/>
              </w:rPr>
            </w:pPr>
          </w:p>
        </w:tc>
      </w:tr>
    </w:tbl>
    <w:p w14:paraId="68217EAA" w14:textId="77777777" w:rsidR="004D45F1" w:rsidRDefault="004D45F1" w:rsidP="004D45F1">
      <w:pPr>
        <w:ind w:left="-624" w:right="-964"/>
        <w:rPr>
          <w:rFonts w:ascii="Calibri" w:eastAsia="Calibri" w:hAnsi="Calibri" w:cs="Times New Roman"/>
          <w:i/>
          <w:noProof/>
          <w:sz w:val="20"/>
          <w:szCs w:val="20"/>
        </w:rPr>
      </w:pPr>
      <w:r>
        <w:rPr>
          <w:rFonts w:ascii="Calibri" w:eastAsia="Calibri" w:hAnsi="Calibri" w:cs="Times New Roman"/>
          <w:i/>
          <w:noProof/>
          <w:sz w:val="20"/>
          <w:szCs w:val="20"/>
        </w:rPr>
        <w:t>* Reporting companies include ODS importers, exporters, producers, feedstock/process agent users and destruction companies</w:t>
      </w:r>
    </w:p>
    <w:p w14:paraId="68053505" w14:textId="77777777" w:rsidR="004D45F1" w:rsidRDefault="004D45F1" w:rsidP="004D45F1">
      <w:pPr>
        <w:ind w:left="-624" w:right="-964"/>
        <w:rPr>
          <w:rFonts w:ascii="Calibri" w:eastAsia="Calibri" w:hAnsi="Calibri" w:cs="Times New Roman"/>
          <w:i/>
          <w:noProof/>
          <w:sz w:val="20"/>
          <w:szCs w:val="20"/>
        </w:rPr>
      </w:pPr>
    </w:p>
    <w:p w14:paraId="2ACFE4EC" w14:textId="77777777" w:rsidR="004D45F1" w:rsidRDefault="004D45F1" w:rsidP="004D45F1">
      <w:pPr>
        <w:rPr>
          <w:rStyle w:val="AnnexTitleChar"/>
          <w:rFonts w:eastAsiaTheme="minorHAnsi"/>
          <w:b w:val="0"/>
          <w:noProof/>
        </w:rPr>
      </w:pPr>
      <w:r>
        <w:rPr>
          <w:rStyle w:val="AnnexTitleChar"/>
          <w:rFonts w:eastAsiaTheme="minorHAnsi"/>
          <w:noProof/>
        </w:rPr>
        <w:br w:type="page"/>
      </w:r>
      <w:bookmarkStart w:id="368" w:name="_Toc71561878"/>
      <w:bookmarkStart w:id="369" w:name="_Toc71559441"/>
      <w:bookmarkStart w:id="370" w:name="_Toc66811009"/>
      <w:bookmarkStart w:id="371" w:name="_Ref65168860"/>
    </w:p>
    <w:p w14:paraId="048DFEFD" w14:textId="77777777" w:rsidR="004D45F1" w:rsidRDefault="004D45F1" w:rsidP="004D45F1">
      <w:pPr>
        <w:pStyle w:val="AnnexTitle"/>
        <w:rPr>
          <w:noProof/>
        </w:rPr>
      </w:pPr>
      <w:bookmarkStart w:id="372" w:name="_Toc93511487"/>
      <w:r w:rsidRPr="004D45F1">
        <w:rPr>
          <w:rStyle w:val="AnnexTitleChar"/>
          <w:b/>
          <w:noProof/>
        </w:rPr>
        <w:t>Annex</w:t>
      </w:r>
      <w:r>
        <w:rPr>
          <w:noProof/>
        </w:rPr>
        <w:t xml:space="preserve"> 4: Analytical methods</w:t>
      </w:r>
      <w:bookmarkEnd w:id="368"/>
      <w:bookmarkEnd w:id="369"/>
      <w:bookmarkEnd w:id="372"/>
    </w:p>
    <w:p w14:paraId="567BEDCD" w14:textId="77777777" w:rsidR="004D45F1" w:rsidRDefault="004D45F1" w:rsidP="00AD73CF">
      <w:pPr>
        <w:pStyle w:val="ListParagraph"/>
        <w:keepNext/>
        <w:numPr>
          <w:ilvl w:val="0"/>
          <w:numId w:val="37"/>
        </w:numPr>
        <w:spacing w:after="240" w:line="240" w:lineRule="auto"/>
        <w:jc w:val="both"/>
        <w:outlineLvl w:val="1"/>
        <w:rPr>
          <w:rFonts w:ascii="Times New Roman" w:eastAsia="Times New Roman" w:hAnsi="Times New Roman" w:cs="Times New Roman"/>
          <w:b/>
          <w:i/>
          <w:noProof/>
          <w:sz w:val="24"/>
          <w:szCs w:val="20"/>
        </w:rPr>
      </w:pPr>
      <w:bookmarkStart w:id="373" w:name="_Toc71561880"/>
      <w:bookmarkStart w:id="374" w:name="_Toc71559443"/>
      <w:r>
        <w:rPr>
          <w:rFonts w:ascii="Times New Roman" w:eastAsia="Times New Roman" w:hAnsi="Times New Roman" w:cs="Times New Roman"/>
          <w:b/>
          <w:i/>
          <w:noProof/>
          <w:sz w:val="24"/>
          <w:szCs w:val="20"/>
        </w:rPr>
        <w:t>Data sources</w:t>
      </w:r>
      <w:bookmarkEnd w:id="373"/>
      <w:bookmarkEnd w:id="374"/>
    </w:p>
    <w:p w14:paraId="6B5EACA8"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input data for modelling future developments of the baseline and the policy options relies on recent data on relevant parameters at substance level for the years 2010-2019. It was developed using data from: </w:t>
      </w:r>
    </w:p>
    <w:p w14:paraId="2A12AB68" w14:textId="77777777" w:rsidR="004D45F1" w:rsidRDefault="004D45F1" w:rsidP="004D45F1">
      <w:pPr>
        <w:spacing w:after="120"/>
        <w:ind w:left="709"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The European Environment Agency (EEA) annual report on ODS  based on company reporting under this Regulation (production, import, exports feedstock uses and process agents uses);</w:t>
      </w:r>
    </w:p>
    <w:p w14:paraId="294690B8" w14:textId="77777777" w:rsidR="004D45F1" w:rsidRDefault="004D45F1" w:rsidP="004D45F1">
      <w:pPr>
        <w:spacing w:after="120"/>
        <w:ind w:left="709"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 xml:space="preserve">Commission’s ODS Licencing/Registration System, for laboratory use and imports and exports; </w:t>
      </w:r>
    </w:p>
    <w:p w14:paraId="132AB7D1" w14:textId="77777777" w:rsidR="004D45F1" w:rsidRDefault="004D45F1" w:rsidP="004D45F1">
      <w:pPr>
        <w:spacing w:after="120"/>
        <w:ind w:firstLine="426"/>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 xml:space="preserve">Member States reporting Art. 26(1)(b) for critical use of halons (2015-2019); </w:t>
      </w:r>
    </w:p>
    <w:p w14:paraId="68DA7FA6" w14:textId="77777777" w:rsidR="004D45F1" w:rsidRDefault="004D45F1" w:rsidP="004D45F1">
      <w:pPr>
        <w:spacing w:after="120"/>
        <w:ind w:left="709"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 xml:space="preserve">Research on existing and future ODS emissions sources (Evaluation, Ramboll (2019); </w:t>
      </w:r>
    </w:p>
    <w:p w14:paraId="21600263" w14:textId="77777777" w:rsidR="004D45F1" w:rsidRDefault="004D45F1" w:rsidP="004D45F1">
      <w:pPr>
        <w:spacing w:after="120"/>
        <w:ind w:firstLine="426"/>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Data on insulation foam banks from SKM Enviros (2012) and ICF (2018);</w:t>
      </w:r>
    </w:p>
    <w:p w14:paraId="7B4845D6" w14:textId="77777777" w:rsidR="004D45F1" w:rsidRDefault="004D45F1" w:rsidP="00AD73CF">
      <w:pPr>
        <w:pStyle w:val="ListParagraph"/>
        <w:numPr>
          <w:ilvl w:val="0"/>
          <w:numId w:val="38"/>
        </w:numPr>
        <w:spacing w:after="120"/>
        <w:ind w:left="709"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Stakeholder input collected through the consultation process.</w:t>
      </w:r>
    </w:p>
    <w:p w14:paraId="1EAC1396"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also collected data based on an online open public consultation, a consultation of targeted stakeholders by an external consultant and an open stakeholder conference, see the consultation synopsis report in Annex 2.</w:t>
      </w:r>
    </w:p>
    <w:p w14:paraId="4A782A3F" w14:textId="77777777" w:rsidR="004D45F1" w:rsidRDefault="004D45F1" w:rsidP="004D45F1">
      <w:pPr>
        <w:spacing w:after="120"/>
        <w:jc w:val="both"/>
        <w:rPr>
          <w:rFonts w:ascii="Times New Roman" w:eastAsia="Calibri" w:hAnsi="Times New Roman" w:cs="Times New Roman"/>
          <w:noProof/>
          <w:sz w:val="24"/>
          <w:szCs w:val="24"/>
        </w:rPr>
      </w:pPr>
    </w:p>
    <w:p w14:paraId="7EF99B09" w14:textId="77777777" w:rsidR="004D45F1" w:rsidRDefault="004D45F1" w:rsidP="00AD73CF">
      <w:pPr>
        <w:pStyle w:val="ListParagraph"/>
        <w:keepNext/>
        <w:numPr>
          <w:ilvl w:val="0"/>
          <w:numId w:val="37"/>
        </w:numPr>
        <w:spacing w:after="240" w:line="240" w:lineRule="auto"/>
        <w:jc w:val="both"/>
        <w:outlineLvl w:val="1"/>
        <w:rPr>
          <w:rFonts w:ascii="Times New Roman" w:eastAsia="Calibri" w:hAnsi="Times New Roman" w:cs="Times New Roman"/>
          <w:b/>
          <w:i/>
          <w:noProof/>
          <w:sz w:val="24"/>
          <w:szCs w:val="20"/>
        </w:rPr>
      </w:pPr>
      <w:bookmarkStart w:id="375" w:name="_Toc71561881"/>
      <w:bookmarkStart w:id="376" w:name="_Toc71559444"/>
      <w:r>
        <w:rPr>
          <w:rFonts w:ascii="Times New Roman" w:eastAsia="Calibri" w:hAnsi="Times New Roman" w:cs="Times New Roman"/>
          <w:b/>
          <w:i/>
          <w:noProof/>
          <w:sz w:val="24"/>
          <w:szCs w:val="20"/>
        </w:rPr>
        <w:t>General overview of modelling approach for baseline</w:t>
      </w:r>
      <w:bookmarkEnd w:id="375"/>
      <w:bookmarkEnd w:id="376"/>
    </w:p>
    <w:p w14:paraId="48BD948A" w14:textId="77777777" w:rsidR="004D45F1" w:rsidRDefault="004D45F1" w:rsidP="004D45F1">
      <w:pPr>
        <w:tabs>
          <w:tab w:val="left" w:pos="2302"/>
        </w:tabs>
        <w:spacing w:after="24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The modelling of impacts relies on understanding the historic trends across environmental, economic and social variables. This data is used to define a baseline scenario across relevant environmental, economic and, where relevant, other impacts.</w:t>
      </w:r>
    </w:p>
    <w:p w14:paraId="2BF85E1B" w14:textId="77777777" w:rsidR="004D45F1" w:rsidRDefault="004D45F1" w:rsidP="004D45F1">
      <w:pPr>
        <w:tabs>
          <w:tab w:val="left" w:pos="2302"/>
        </w:tabs>
        <w:spacing w:after="24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Figure A4.1 shows a schematic overview of the approach to the impact assessment. Environmental and economic impacts are the main relevant impact categories, with social impacts treated as a follow-on effect (“other impacts” in the figure) of any economic changes experienced by stakeholders.</w:t>
      </w:r>
    </w:p>
    <w:p w14:paraId="723F01D4" w14:textId="77777777" w:rsidR="004D45F1" w:rsidRDefault="004D45F1" w:rsidP="004D45F1">
      <w:pPr>
        <w:keepNext/>
        <w:spacing w:after="120" w:line="240" w:lineRule="auto"/>
        <w:rPr>
          <w:rFonts w:ascii="Calibri" w:eastAsia="Calibri" w:hAnsi="Calibri" w:cs="Calibri"/>
          <w:iCs/>
          <w:noProof/>
          <w:color w:val="4BACC6" w:themeColor="accent5"/>
          <w:sz w:val="20"/>
          <w:szCs w:val="18"/>
        </w:rPr>
      </w:pPr>
      <w:bookmarkStart w:id="377" w:name="_Ref66776946"/>
      <w:r>
        <w:rPr>
          <w:rFonts w:ascii="Calibri" w:eastAsia="Calibri" w:hAnsi="Calibri" w:cs="Calibri"/>
          <w:iCs/>
          <w:noProof/>
          <w:color w:val="4BACC6" w:themeColor="accent5"/>
          <w:sz w:val="20"/>
          <w:szCs w:val="18"/>
        </w:rPr>
        <w:t>Figure A4.1 Overview of the impact assessment model</w:t>
      </w:r>
      <w:bookmarkEnd w:id="377"/>
    </w:p>
    <w:p w14:paraId="763621EA" w14:textId="77777777" w:rsidR="004D45F1" w:rsidRDefault="004D45F1" w:rsidP="004D45F1">
      <w:pPr>
        <w:tabs>
          <w:tab w:val="left" w:pos="2302"/>
        </w:tabs>
        <w:spacing w:after="240" w:line="240" w:lineRule="auto"/>
        <w:jc w:val="both"/>
        <w:rPr>
          <w:rFonts w:ascii="Times New Roman" w:eastAsia="Calibri" w:hAnsi="Times New Roman" w:cs="Times New Roman"/>
          <w:noProof/>
          <w:sz w:val="24"/>
          <w:szCs w:val="20"/>
        </w:rPr>
      </w:pPr>
      <w:r>
        <w:rPr>
          <w:rFonts w:ascii="Arial" w:eastAsia="Calibri" w:hAnsi="Arial" w:cs="Arial"/>
          <w:noProof/>
          <w:sz w:val="20"/>
          <w:lang w:eastAsia="en-GB"/>
        </w:rPr>
        <w:drawing>
          <wp:inline distT="0" distB="0" distL="0" distR="0" wp14:anchorId="5061B145" wp14:editId="4EDA95A8">
            <wp:extent cx="5478145" cy="32004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8145" cy="3200400"/>
                    </a:xfrm>
                    <a:prstGeom prst="rect">
                      <a:avLst/>
                    </a:prstGeom>
                    <a:noFill/>
                    <a:ln>
                      <a:noFill/>
                    </a:ln>
                  </pic:spPr>
                </pic:pic>
              </a:graphicData>
            </a:graphic>
          </wp:inline>
        </w:drawing>
      </w:r>
    </w:p>
    <w:p w14:paraId="15C0109C" w14:textId="77777777" w:rsidR="004D45F1" w:rsidRDefault="004D45F1" w:rsidP="004D45F1">
      <w:pPr>
        <w:spacing w:after="12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 xml:space="preserve">Historical data and relevant drivers define the future development of the relevant environmental variables that the Ozone Regulation is targeting. </w:t>
      </w:r>
      <w:r>
        <w:rPr>
          <w:rFonts w:ascii="Times New Roman" w:eastAsia="Calibri" w:hAnsi="Times New Roman" w:cs="Times New Roman"/>
          <w:noProof/>
          <w:sz w:val="24"/>
          <w:szCs w:val="24"/>
        </w:rPr>
        <w:t xml:space="preserve">The basis for estimating future emissions is the estimated developments of production, trade, uses and stocks/banks of ODS, from which emissions can occur, in addition to the relevant emission factors. </w:t>
      </w:r>
      <w:r>
        <w:rPr>
          <w:rFonts w:ascii="Times New Roman" w:eastAsia="Calibri" w:hAnsi="Times New Roman" w:cs="Times New Roman"/>
          <w:noProof/>
          <w:sz w:val="24"/>
          <w:szCs w:val="20"/>
        </w:rPr>
        <w:t xml:space="preserve">The environmental module includes the flows of raw material (production, use, export, import etc.) and the associated emissions, for both ODS (Annex I) and new (Annex II) substances. </w:t>
      </w:r>
    </w:p>
    <w:p w14:paraId="0449FB3B"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0"/>
        </w:rPr>
        <w:t xml:space="preserve">The economic module then takes into account these drivers and adds costs for the relevant stakeholders reflecting the Regulation, which are limited largely to administrative costs. The administrative costs are identified at the level of the relevant individual measures of the Regulation. Where possible, these administrative costs (such as the cost of licences) are projected into the future using known information about the policy they are supporting. Drivers from the environmental module are used to project administrative costs where there is no such information available, and where the assumption of constant costs into the future is not considered reasonable. </w:t>
      </w:r>
    </w:p>
    <w:p w14:paraId="2537AFA5" w14:textId="77777777" w:rsidR="004D45F1" w:rsidRDefault="004D45F1" w:rsidP="004D45F1">
      <w:pPr>
        <w:spacing w:after="120"/>
        <w:jc w:val="both"/>
        <w:rPr>
          <w:rFonts w:ascii="Times New Roman" w:eastAsia="Calibri" w:hAnsi="Times New Roman" w:cs="Times New Roman"/>
          <w:noProof/>
          <w:sz w:val="24"/>
          <w:szCs w:val="24"/>
          <w:highlight w:val="yellow"/>
        </w:rPr>
      </w:pPr>
    </w:p>
    <w:p w14:paraId="645A2308" w14:textId="77777777" w:rsidR="004D45F1" w:rsidRDefault="004D45F1" w:rsidP="00AD73CF">
      <w:pPr>
        <w:pStyle w:val="ListParagraph"/>
        <w:keepNext/>
        <w:numPr>
          <w:ilvl w:val="0"/>
          <w:numId w:val="37"/>
        </w:numPr>
        <w:spacing w:after="240" w:line="240" w:lineRule="auto"/>
        <w:jc w:val="both"/>
        <w:outlineLvl w:val="1"/>
        <w:rPr>
          <w:rFonts w:ascii="Times New Roman" w:eastAsia="Times New Roman" w:hAnsi="Times New Roman" w:cs="Times New Roman"/>
          <w:b/>
          <w:i/>
          <w:noProof/>
          <w:sz w:val="24"/>
          <w:szCs w:val="20"/>
        </w:rPr>
      </w:pPr>
      <w:bookmarkStart w:id="378" w:name="_Toc71561882"/>
      <w:bookmarkStart w:id="379" w:name="_Toc71559445"/>
      <w:r>
        <w:rPr>
          <w:rFonts w:ascii="Times New Roman" w:eastAsia="Times New Roman" w:hAnsi="Times New Roman" w:cs="Times New Roman"/>
          <w:b/>
          <w:i/>
          <w:noProof/>
          <w:sz w:val="24"/>
          <w:szCs w:val="20"/>
        </w:rPr>
        <w:t>Development of relevant parameters</w:t>
      </w:r>
      <w:bookmarkEnd w:id="378"/>
      <w:bookmarkEnd w:id="379"/>
      <w:r>
        <w:rPr>
          <w:rFonts w:ascii="Times New Roman" w:eastAsia="Times New Roman" w:hAnsi="Times New Roman" w:cs="Times New Roman"/>
          <w:b/>
          <w:i/>
          <w:noProof/>
          <w:sz w:val="24"/>
          <w:szCs w:val="20"/>
        </w:rPr>
        <w:t xml:space="preserve"> for the baseline</w:t>
      </w:r>
    </w:p>
    <w:p w14:paraId="70FEDECB" w14:textId="77777777" w:rsidR="004D45F1" w:rsidRDefault="004D45F1" w:rsidP="004D45F1">
      <w:pPr>
        <w:spacing w:after="12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production, use of, and storage of ODS releases emissions into the atmosphere, which can cause harmful effects due to their ozone depleting potential (ODP) and greenhouse warming potential (GWP). As a result, the environmental impacts associated with the emissions of ODS are twofold:</w:t>
      </w:r>
    </w:p>
    <w:p w14:paraId="7CB5F95E" w14:textId="77777777" w:rsidR="004D45F1" w:rsidRDefault="004D45F1" w:rsidP="00AD73CF">
      <w:pPr>
        <w:numPr>
          <w:ilvl w:val="0"/>
          <w:numId w:val="39"/>
        </w:numPr>
        <w:spacing w:after="120"/>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Destruction of ozone</w:t>
      </w:r>
      <w:r>
        <w:rPr>
          <w:rFonts w:ascii="Times New Roman" w:eastAsia="Calibri" w:hAnsi="Times New Roman" w:cs="Times New Roman"/>
          <w:bCs/>
          <w:noProof/>
          <w:sz w:val="24"/>
          <w:szCs w:val="24"/>
        </w:rPr>
        <w:t xml:space="preserve"> according to the ODP of a substance, which ranges from 0.005 to 10 for controlled substances, with a median of around 0.1. </w:t>
      </w:r>
    </w:p>
    <w:p w14:paraId="6C2C9371" w14:textId="77777777" w:rsidR="004D45F1" w:rsidRDefault="004D45F1" w:rsidP="00AD73CF">
      <w:pPr>
        <w:numPr>
          <w:ilvl w:val="0"/>
          <w:numId w:val="39"/>
        </w:numPr>
        <w:spacing w:after="120"/>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Contributing to climate change</w:t>
      </w:r>
      <w:r>
        <w:rPr>
          <w:rFonts w:ascii="Times New Roman" w:eastAsia="Calibri" w:hAnsi="Times New Roman" w:cs="Times New Roman"/>
          <w:bCs/>
          <w:noProof/>
          <w:sz w:val="24"/>
          <w:szCs w:val="24"/>
        </w:rPr>
        <w:t xml:space="preserve"> due to some ODS also having high GWP and long atmospheric lifetimes.</w:t>
      </w:r>
    </w:p>
    <w:p w14:paraId="05213F7B" w14:textId="77777777" w:rsidR="004D45F1" w:rsidRDefault="004D45F1" w:rsidP="004D45F1">
      <w:pPr>
        <w:spacing w:after="12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Both of these environmental impacts are within the remit of the Regulation, which states that action has to be taken to reduce emissions of the emitted gases “to protect human health and the environment against adverse effects resulting from such emissions and to avoid risking further delay in the recovery of the ozone layer.” </w:t>
      </w:r>
    </w:p>
    <w:p w14:paraId="678CF4AC" w14:textId="77777777" w:rsidR="004D45F1" w:rsidRDefault="004D45F1" w:rsidP="004D45F1">
      <w:pPr>
        <w:spacing w:after="120"/>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w:t>
      </w:r>
      <w:r>
        <w:rPr>
          <w:rFonts w:ascii="Times New Roman" w:eastAsia="Calibri" w:hAnsi="Times New Roman" w:cs="Times New Roman"/>
          <w:noProof/>
          <w:sz w:val="24"/>
          <w:szCs w:val="24"/>
        </w:rPr>
        <w:t xml:space="preserve"> data on relevant parameters from recent years is used to derive the relationships between ODS uses/banks and emissions and the underlying drivers. The following parameters are considered:</w:t>
      </w:r>
    </w:p>
    <w:p w14:paraId="25936405" w14:textId="77777777" w:rsidR="004D45F1" w:rsidRDefault="004D45F1" w:rsidP="00AD73CF">
      <w:pPr>
        <w:numPr>
          <w:ilvl w:val="0"/>
          <w:numId w:val="40"/>
        </w:numPr>
        <w:spacing w:after="120"/>
        <w:contextualSpacing/>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ODS production, imports, exports, and uses</w:t>
      </w:r>
      <w:r>
        <w:rPr>
          <w:rFonts w:ascii="Times New Roman" w:eastAsia="Calibri" w:hAnsi="Times New Roman" w:cs="Times New Roman"/>
          <w:noProof/>
          <w:sz w:val="24"/>
          <w:szCs w:val="24"/>
        </w:rPr>
        <w:t>, distinguishing between uses for feedstock, process agents, laboratories, foam banks and critical halons applications.  The data is summarised in Table A5.1 below, which gives the flow of these parameters as a time series.</w:t>
      </w:r>
    </w:p>
    <w:p w14:paraId="2270DF1F" w14:textId="77777777" w:rsidR="004D45F1" w:rsidRDefault="004D45F1" w:rsidP="00AD73CF">
      <w:pPr>
        <w:numPr>
          <w:ilvl w:val="0"/>
          <w:numId w:val="40"/>
        </w:numPr>
        <w:spacing w:after="120"/>
        <w:ind w:left="714" w:hanging="357"/>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Emission rates</w:t>
      </w:r>
      <w:r>
        <w:rPr>
          <w:rFonts w:ascii="Times New Roman" w:eastAsia="Calibri" w:hAnsi="Times New Roman" w:cs="Times New Roman"/>
          <w:noProof/>
          <w:sz w:val="24"/>
          <w:szCs w:val="24"/>
        </w:rPr>
        <w:t xml:space="preserve"> include emissions from production and use of ODS, distinguishing between emissions associated to the use for feedstock, process agent, laboratory use, foam banks and halon banks. Recent emission trends are shown in Table A5.2 below.</w:t>
      </w:r>
    </w:p>
    <w:p w14:paraId="5F2C70CA"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Recent trends in the background data over the 2010 to 2019 period are used to make a prediction, in combination with expert judgement about what is likely to happen with the sector going forward, to produce the baseline up until 2050 for each ODS emissions source. The discussion below illustrates how this was done in detail. For emissions linked to uses of non-listed ODS and other uses of Annex II substances (e.g. solvent use), there is no reliant baseline information due to the lack of current systematic monitoring.</w:t>
      </w:r>
    </w:p>
    <w:p w14:paraId="46EFEEFE"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Table A4.1 shows the recent trends observed for the relevant parameters.</w:t>
      </w:r>
    </w:p>
    <w:p w14:paraId="7DB0588B" w14:textId="77777777" w:rsidR="004D45F1" w:rsidRDefault="004D45F1" w:rsidP="004D45F1">
      <w:pPr>
        <w:keepNext/>
        <w:keepLines/>
        <w:spacing w:after="120" w:line="240" w:lineRule="auto"/>
        <w:jc w:val="both"/>
        <w:rPr>
          <w:rFonts w:ascii="Calibri" w:eastAsia="Calibri" w:hAnsi="Calibri" w:cs="Calibri"/>
          <w:iCs/>
          <w:noProof/>
          <w:color w:val="4BACC6" w:themeColor="accent5"/>
          <w:sz w:val="20"/>
          <w:szCs w:val="18"/>
        </w:rPr>
      </w:pPr>
      <w:r>
        <w:rPr>
          <w:rFonts w:ascii="Calibri" w:eastAsia="Calibri" w:hAnsi="Calibri" w:cs="Calibri"/>
          <w:iCs/>
          <w:noProof/>
          <w:color w:val="4BACC6" w:themeColor="accent5"/>
          <w:sz w:val="20"/>
          <w:szCs w:val="18"/>
        </w:rPr>
        <w:t>Table A4.1 Recent trends on flows of ODS (2010 to 2019 unless otherwise specified)</w:t>
      </w:r>
    </w:p>
    <w:tbl>
      <w:tblPr>
        <w:tblStyle w:val="Mainbidtables1"/>
        <w:tblW w:w="0" w:type="dxa"/>
        <w:tblLayout w:type="fixed"/>
        <w:tblLook w:val="04A0" w:firstRow="1" w:lastRow="0" w:firstColumn="1" w:lastColumn="0" w:noHBand="0" w:noVBand="1"/>
      </w:tblPr>
      <w:tblGrid>
        <w:gridCol w:w="967"/>
        <w:gridCol w:w="1659"/>
        <w:gridCol w:w="1338"/>
        <w:gridCol w:w="2835"/>
        <w:gridCol w:w="964"/>
        <w:gridCol w:w="1163"/>
      </w:tblGrid>
      <w:tr w:rsidR="004D45F1" w14:paraId="522A9BDC" w14:textId="77777777" w:rsidTr="004D45F1">
        <w:trPr>
          <w:cnfStyle w:val="100000000000" w:firstRow="1" w:lastRow="0" w:firstColumn="0" w:lastColumn="0" w:oddVBand="0" w:evenVBand="0" w:oddHBand="0" w:evenHBand="0" w:firstRowFirstColumn="0" w:firstRowLastColumn="0" w:lastRowFirstColumn="0" w:lastRowLastColumn="0"/>
          <w:tblHeader/>
        </w:trPr>
        <w:tc>
          <w:tcPr>
            <w:tcW w:w="967" w:type="dxa"/>
            <w:hideMark/>
          </w:tcPr>
          <w:p w14:paraId="7141B744" w14:textId="77777777" w:rsidR="004D45F1" w:rsidRDefault="004D45F1">
            <w:pPr>
              <w:keepNext/>
              <w:keepLines/>
              <w:jc w:val="both"/>
              <w:rPr>
                <w:rFonts w:cs="Arial"/>
                <w:noProof/>
                <w:sz w:val="18"/>
                <w:szCs w:val="18"/>
              </w:rPr>
            </w:pPr>
            <w:r>
              <w:rPr>
                <w:rFonts w:cs="Arial"/>
                <w:noProof/>
                <w:sz w:val="18"/>
                <w:szCs w:val="18"/>
              </w:rPr>
              <w:t>Flow/ Stock</w:t>
            </w:r>
          </w:p>
        </w:tc>
        <w:tc>
          <w:tcPr>
            <w:tcW w:w="1659" w:type="dxa"/>
            <w:hideMark/>
          </w:tcPr>
          <w:p w14:paraId="0120A5C4" w14:textId="77777777" w:rsidR="004D45F1" w:rsidRDefault="004D45F1">
            <w:pPr>
              <w:keepNext/>
              <w:keepLines/>
              <w:jc w:val="both"/>
              <w:rPr>
                <w:rFonts w:cs="Arial"/>
                <w:noProof/>
                <w:sz w:val="18"/>
                <w:szCs w:val="18"/>
              </w:rPr>
            </w:pPr>
            <w:r>
              <w:rPr>
                <w:rFonts w:cs="Arial"/>
                <w:noProof/>
                <w:sz w:val="18"/>
                <w:szCs w:val="18"/>
              </w:rPr>
              <w:t>ODS source</w:t>
            </w:r>
          </w:p>
        </w:tc>
        <w:tc>
          <w:tcPr>
            <w:tcW w:w="5137" w:type="dxa"/>
            <w:gridSpan w:val="3"/>
            <w:hideMark/>
          </w:tcPr>
          <w:p w14:paraId="5C83FFA2" w14:textId="77777777" w:rsidR="004D45F1" w:rsidRDefault="004D45F1">
            <w:pPr>
              <w:keepNext/>
              <w:keepLines/>
              <w:jc w:val="center"/>
              <w:rPr>
                <w:rFonts w:cs="Arial"/>
                <w:noProof/>
                <w:sz w:val="18"/>
                <w:szCs w:val="18"/>
              </w:rPr>
            </w:pPr>
            <w:r>
              <w:rPr>
                <w:rFonts w:cs="Arial"/>
                <w:noProof/>
                <w:sz w:val="18"/>
                <w:szCs w:val="18"/>
              </w:rPr>
              <w:t>2010 – 2019 trends (annual or stock tODP)</w:t>
            </w:r>
          </w:p>
        </w:tc>
        <w:tc>
          <w:tcPr>
            <w:tcW w:w="1163" w:type="dxa"/>
            <w:hideMark/>
          </w:tcPr>
          <w:p w14:paraId="4EF2C2DE" w14:textId="77777777" w:rsidR="004D45F1" w:rsidRDefault="004D45F1">
            <w:pPr>
              <w:keepNext/>
              <w:keepLines/>
              <w:jc w:val="both"/>
              <w:rPr>
                <w:rFonts w:cs="Arial"/>
                <w:noProof/>
                <w:sz w:val="18"/>
                <w:szCs w:val="18"/>
              </w:rPr>
            </w:pPr>
            <w:r>
              <w:rPr>
                <w:rFonts w:cs="Arial"/>
                <w:noProof/>
                <w:sz w:val="18"/>
                <w:szCs w:val="18"/>
              </w:rPr>
              <w:t>Data source</w:t>
            </w:r>
          </w:p>
        </w:tc>
      </w:tr>
      <w:tr w:rsidR="004D45F1" w14:paraId="45784367" w14:textId="77777777" w:rsidTr="004D45F1">
        <w:trPr>
          <w:cnfStyle w:val="000000100000" w:firstRow="0" w:lastRow="0" w:firstColumn="0" w:lastColumn="0" w:oddVBand="0" w:evenVBand="0" w:oddHBand="1" w:evenHBand="0" w:firstRowFirstColumn="0" w:firstRowLastColumn="0" w:lastRowFirstColumn="0" w:lastRowLastColumn="0"/>
          <w:trHeight w:val="614"/>
        </w:trPr>
        <w:tc>
          <w:tcPr>
            <w:tcW w:w="2626" w:type="dxa"/>
            <w:gridSpan w:val="2"/>
            <w:tcBorders>
              <w:top w:val="nil"/>
              <w:left w:val="single" w:sz="4" w:space="0" w:color="0055A0"/>
              <w:bottom w:val="single" w:sz="4" w:space="0" w:color="auto"/>
              <w:right w:val="single" w:sz="4" w:space="0" w:color="0055A0"/>
            </w:tcBorders>
          </w:tcPr>
          <w:p w14:paraId="47AA1F43" w14:textId="77777777" w:rsidR="004D45F1" w:rsidRDefault="004D45F1">
            <w:pPr>
              <w:keepNext/>
              <w:keepLines/>
              <w:jc w:val="both"/>
              <w:rPr>
                <w:rFonts w:cs="Arial"/>
                <w:noProof/>
                <w:sz w:val="18"/>
                <w:szCs w:val="18"/>
              </w:rPr>
            </w:pPr>
          </w:p>
        </w:tc>
        <w:tc>
          <w:tcPr>
            <w:tcW w:w="1338" w:type="dxa"/>
            <w:tcBorders>
              <w:top w:val="nil"/>
              <w:left w:val="single" w:sz="4" w:space="0" w:color="0055A0"/>
              <w:bottom w:val="single" w:sz="4" w:space="0" w:color="auto"/>
              <w:right w:val="single" w:sz="4" w:space="0" w:color="0055A0"/>
            </w:tcBorders>
            <w:hideMark/>
          </w:tcPr>
          <w:p w14:paraId="647E2D19" w14:textId="77777777" w:rsidR="004D45F1" w:rsidRDefault="004D45F1">
            <w:pPr>
              <w:keepNext/>
              <w:keepLines/>
              <w:jc w:val="center"/>
              <w:rPr>
                <w:rFonts w:cs="Arial"/>
                <w:b/>
                <w:i/>
                <w:noProof/>
                <w:sz w:val="18"/>
                <w:szCs w:val="18"/>
              </w:rPr>
            </w:pPr>
            <w:r>
              <w:rPr>
                <w:rFonts w:cs="Arial"/>
                <w:b/>
                <w:i/>
                <w:noProof/>
                <w:sz w:val="18"/>
                <w:szCs w:val="18"/>
              </w:rPr>
              <w:t>2010</w:t>
            </w:r>
          </w:p>
        </w:tc>
        <w:tc>
          <w:tcPr>
            <w:tcW w:w="2835" w:type="dxa"/>
            <w:tcBorders>
              <w:top w:val="nil"/>
              <w:left w:val="single" w:sz="4" w:space="0" w:color="0055A0"/>
              <w:bottom w:val="single" w:sz="4" w:space="0" w:color="auto"/>
              <w:right w:val="single" w:sz="4" w:space="0" w:color="0055A0"/>
            </w:tcBorders>
            <w:hideMark/>
          </w:tcPr>
          <w:p w14:paraId="5794F72A" w14:textId="77777777" w:rsidR="004D45F1" w:rsidRDefault="004D45F1">
            <w:pPr>
              <w:keepNext/>
              <w:keepLines/>
              <w:jc w:val="center"/>
              <w:rPr>
                <w:rFonts w:cs="Arial"/>
                <w:b/>
                <w:i/>
                <w:noProof/>
                <w:sz w:val="18"/>
                <w:szCs w:val="18"/>
              </w:rPr>
            </w:pPr>
            <w:r>
              <w:rPr>
                <w:rFonts w:cs="Arial"/>
                <w:b/>
                <w:i/>
                <w:noProof/>
                <w:sz w:val="18"/>
                <w:szCs w:val="18"/>
              </w:rPr>
              <w:t>Trendline</w:t>
            </w:r>
          </w:p>
        </w:tc>
        <w:tc>
          <w:tcPr>
            <w:tcW w:w="964" w:type="dxa"/>
            <w:tcBorders>
              <w:top w:val="nil"/>
              <w:left w:val="single" w:sz="4" w:space="0" w:color="0055A0"/>
              <w:bottom w:val="single" w:sz="4" w:space="0" w:color="auto"/>
              <w:right w:val="single" w:sz="4" w:space="0" w:color="auto"/>
            </w:tcBorders>
            <w:hideMark/>
          </w:tcPr>
          <w:p w14:paraId="08DAF35B" w14:textId="77777777" w:rsidR="004D45F1" w:rsidRDefault="004D45F1">
            <w:pPr>
              <w:keepNext/>
              <w:keepLines/>
              <w:jc w:val="center"/>
              <w:rPr>
                <w:rFonts w:cs="Arial"/>
                <w:b/>
                <w:i/>
                <w:noProof/>
                <w:color w:val="000000"/>
                <w:sz w:val="18"/>
                <w:szCs w:val="18"/>
              </w:rPr>
            </w:pPr>
            <w:r>
              <w:rPr>
                <w:rFonts w:cs="Arial"/>
                <w:b/>
                <w:i/>
                <w:noProof/>
                <w:color w:val="000000"/>
                <w:sz w:val="18"/>
                <w:szCs w:val="18"/>
              </w:rPr>
              <w:t>2019</w:t>
            </w:r>
          </w:p>
        </w:tc>
        <w:tc>
          <w:tcPr>
            <w:tcW w:w="1163" w:type="dxa"/>
            <w:tcBorders>
              <w:top w:val="nil"/>
              <w:left w:val="single" w:sz="4" w:space="0" w:color="0055A0"/>
              <w:bottom w:val="single" w:sz="4" w:space="0" w:color="auto"/>
              <w:right w:val="single" w:sz="4" w:space="0" w:color="auto"/>
            </w:tcBorders>
          </w:tcPr>
          <w:p w14:paraId="52B6AF84" w14:textId="77777777" w:rsidR="004D45F1" w:rsidRDefault="004D45F1">
            <w:pPr>
              <w:keepNext/>
              <w:keepLines/>
              <w:jc w:val="both"/>
              <w:rPr>
                <w:rFonts w:cs="Arial"/>
                <w:noProof/>
                <w:sz w:val="18"/>
                <w:szCs w:val="18"/>
              </w:rPr>
            </w:pPr>
          </w:p>
        </w:tc>
      </w:tr>
      <w:tr w:rsidR="004D45F1" w14:paraId="3DD42F44" w14:textId="77777777" w:rsidTr="004D45F1">
        <w:trPr>
          <w:cnfStyle w:val="000000010000" w:firstRow="0" w:lastRow="0" w:firstColumn="0" w:lastColumn="0" w:oddVBand="0" w:evenVBand="0" w:oddHBand="0" w:evenHBand="1" w:firstRowFirstColumn="0" w:firstRowLastColumn="0" w:lastRowFirstColumn="0" w:lastRowLastColumn="0"/>
          <w:trHeight w:val="614"/>
        </w:trPr>
        <w:tc>
          <w:tcPr>
            <w:tcW w:w="967" w:type="dxa"/>
            <w:vMerge w:val="restart"/>
            <w:tcBorders>
              <w:top w:val="single" w:sz="4" w:space="0" w:color="auto"/>
              <w:left w:val="single" w:sz="4" w:space="0" w:color="0055A0"/>
              <w:bottom w:val="nil"/>
            </w:tcBorders>
            <w:hideMark/>
          </w:tcPr>
          <w:p w14:paraId="31BEA833" w14:textId="77777777" w:rsidR="004D45F1" w:rsidRDefault="004D45F1">
            <w:pPr>
              <w:keepNext/>
              <w:keepLines/>
              <w:jc w:val="both"/>
              <w:rPr>
                <w:rFonts w:cs="Arial"/>
                <w:b/>
                <w:bCs/>
                <w:noProof/>
                <w:sz w:val="18"/>
                <w:szCs w:val="18"/>
              </w:rPr>
            </w:pPr>
            <w:r>
              <w:rPr>
                <w:rFonts w:cs="Arial"/>
                <w:b/>
                <w:bCs/>
                <w:noProof/>
                <w:sz w:val="18"/>
                <w:szCs w:val="18"/>
              </w:rPr>
              <w:t>Raw material (annual flow)</w:t>
            </w:r>
          </w:p>
        </w:tc>
        <w:tc>
          <w:tcPr>
            <w:tcW w:w="1659" w:type="dxa"/>
            <w:tcBorders>
              <w:top w:val="single" w:sz="4" w:space="0" w:color="auto"/>
              <w:bottom w:val="single" w:sz="4" w:space="0" w:color="auto"/>
            </w:tcBorders>
            <w:hideMark/>
          </w:tcPr>
          <w:p w14:paraId="7A4787F0" w14:textId="77777777" w:rsidR="004D45F1" w:rsidRDefault="004D45F1">
            <w:pPr>
              <w:keepNext/>
              <w:keepLines/>
              <w:jc w:val="both"/>
              <w:rPr>
                <w:rFonts w:cs="Arial"/>
                <w:noProof/>
                <w:sz w:val="18"/>
                <w:szCs w:val="18"/>
              </w:rPr>
            </w:pPr>
            <w:r>
              <w:rPr>
                <w:rFonts w:cs="Arial"/>
                <w:noProof/>
                <w:sz w:val="18"/>
                <w:szCs w:val="18"/>
              </w:rPr>
              <w:t>Production</w:t>
            </w:r>
          </w:p>
        </w:tc>
        <w:tc>
          <w:tcPr>
            <w:tcW w:w="1338" w:type="dxa"/>
            <w:tcBorders>
              <w:top w:val="single" w:sz="4" w:space="0" w:color="auto"/>
              <w:bottom w:val="nil"/>
            </w:tcBorders>
            <w:hideMark/>
          </w:tcPr>
          <w:p w14:paraId="2536F31B" w14:textId="77777777" w:rsidR="004D45F1" w:rsidRDefault="004D45F1">
            <w:pPr>
              <w:keepNext/>
              <w:keepLines/>
              <w:jc w:val="center"/>
              <w:rPr>
                <w:rFonts w:cs="Arial"/>
                <w:noProof/>
                <w:sz w:val="18"/>
                <w:szCs w:val="18"/>
              </w:rPr>
            </w:pPr>
            <w:r>
              <w:rPr>
                <w:rFonts w:cs="Arial"/>
                <w:noProof/>
                <w:sz w:val="18"/>
                <w:szCs w:val="18"/>
              </w:rPr>
              <w:t>48,100</w:t>
            </w:r>
          </w:p>
        </w:tc>
        <w:tc>
          <w:tcPr>
            <w:tcW w:w="2835" w:type="dxa"/>
            <w:tcBorders>
              <w:top w:val="single" w:sz="4" w:space="0" w:color="auto"/>
              <w:bottom w:val="nil"/>
            </w:tcBorders>
            <w:hideMark/>
          </w:tcPr>
          <w:p w14:paraId="48192275" w14:textId="77777777" w:rsidR="004D45F1" w:rsidRDefault="004D45F1">
            <w:pPr>
              <w:keepNext/>
              <w:keepLines/>
              <w:jc w:val="both"/>
              <w:rPr>
                <w:rFonts w:cs="Arial"/>
                <w:noProof/>
                <w:sz w:val="18"/>
                <w:szCs w:val="18"/>
              </w:rPr>
            </w:pPr>
            <w:r>
              <w:rPr>
                <w:rFonts w:cs="Arial"/>
                <w:noProof/>
                <w:sz w:val="18"/>
                <w:szCs w:val="18"/>
              </w:rPr>
              <w:drawing>
                <wp:inline distT="0" distB="0" distL="0" distR="0" wp14:anchorId="32AC35F5" wp14:editId="139ECF60">
                  <wp:extent cx="1668145" cy="284480"/>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8145" cy="284480"/>
                          </a:xfrm>
                          <a:prstGeom prst="rect">
                            <a:avLst/>
                          </a:prstGeom>
                          <a:noFill/>
                          <a:ln>
                            <a:noFill/>
                          </a:ln>
                        </pic:spPr>
                      </pic:pic>
                    </a:graphicData>
                  </a:graphic>
                </wp:inline>
              </w:drawing>
            </w:r>
          </w:p>
        </w:tc>
        <w:tc>
          <w:tcPr>
            <w:tcW w:w="964" w:type="dxa"/>
            <w:tcBorders>
              <w:top w:val="single" w:sz="4" w:space="0" w:color="auto"/>
              <w:bottom w:val="nil"/>
            </w:tcBorders>
            <w:hideMark/>
          </w:tcPr>
          <w:p w14:paraId="074BBF92" w14:textId="77777777" w:rsidR="004D45F1" w:rsidRDefault="004D45F1">
            <w:pPr>
              <w:keepNext/>
              <w:keepLines/>
              <w:jc w:val="center"/>
              <w:rPr>
                <w:rFonts w:cs="Arial"/>
                <w:noProof/>
                <w:color w:val="000000"/>
                <w:sz w:val="18"/>
                <w:szCs w:val="18"/>
              </w:rPr>
            </w:pPr>
            <w:r>
              <w:rPr>
                <w:rFonts w:cs="Arial"/>
                <w:noProof/>
                <w:color w:val="000000"/>
                <w:sz w:val="18"/>
                <w:szCs w:val="18"/>
              </w:rPr>
              <w:t>59,517</w:t>
            </w:r>
          </w:p>
        </w:tc>
        <w:tc>
          <w:tcPr>
            <w:tcW w:w="1163" w:type="dxa"/>
            <w:tcBorders>
              <w:top w:val="single" w:sz="4" w:space="0" w:color="auto"/>
              <w:bottom w:val="nil"/>
              <w:right w:val="single" w:sz="4" w:space="0" w:color="0055A0"/>
            </w:tcBorders>
            <w:hideMark/>
          </w:tcPr>
          <w:p w14:paraId="0000E815" w14:textId="77777777" w:rsidR="004D45F1" w:rsidRDefault="004D45F1">
            <w:pPr>
              <w:keepNext/>
              <w:keepLines/>
              <w:jc w:val="both"/>
              <w:rPr>
                <w:rFonts w:cs="Arial"/>
                <w:noProof/>
                <w:sz w:val="18"/>
                <w:szCs w:val="18"/>
              </w:rPr>
            </w:pPr>
            <w:r>
              <w:rPr>
                <w:rFonts w:cs="Arial"/>
                <w:noProof/>
                <w:sz w:val="18"/>
                <w:szCs w:val="18"/>
              </w:rPr>
              <w:t>EEA</w:t>
            </w:r>
          </w:p>
        </w:tc>
      </w:tr>
      <w:tr w:rsidR="004D45F1" w14:paraId="3720FAE0" w14:textId="77777777" w:rsidTr="004D45F1">
        <w:trPr>
          <w:cnfStyle w:val="000000100000" w:firstRow="0" w:lastRow="0" w:firstColumn="0" w:lastColumn="0" w:oddVBand="0" w:evenVBand="0" w:oddHBand="1" w:evenHBand="0" w:firstRowFirstColumn="0" w:firstRowLastColumn="0" w:lastRowFirstColumn="0" w:lastRowLastColumn="0"/>
          <w:trHeight w:val="576"/>
        </w:trPr>
        <w:tc>
          <w:tcPr>
            <w:tcW w:w="2626" w:type="dxa"/>
            <w:vMerge/>
            <w:tcBorders>
              <w:top w:val="single" w:sz="4" w:space="0" w:color="auto"/>
              <w:left w:val="single" w:sz="4" w:space="0" w:color="0055A0"/>
              <w:bottom w:val="nil"/>
              <w:right w:val="single" w:sz="4" w:space="0" w:color="0055A0"/>
            </w:tcBorders>
            <w:hideMark/>
          </w:tcPr>
          <w:p w14:paraId="1026220B" w14:textId="77777777" w:rsidR="004D45F1" w:rsidRDefault="004D45F1">
            <w:pPr>
              <w:spacing w:before="0"/>
              <w:rPr>
                <w:rFonts w:cs="Arial"/>
                <w:b/>
                <w:bCs/>
                <w:noProof/>
                <w:sz w:val="18"/>
                <w:szCs w:val="18"/>
              </w:rPr>
            </w:pPr>
          </w:p>
        </w:tc>
        <w:tc>
          <w:tcPr>
            <w:tcW w:w="1659" w:type="dxa"/>
            <w:tcBorders>
              <w:top w:val="nil"/>
              <w:left w:val="single" w:sz="4" w:space="0" w:color="0055A0"/>
              <w:bottom w:val="nil"/>
              <w:right w:val="single" w:sz="4" w:space="0" w:color="0055A0"/>
            </w:tcBorders>
            <w:hideMark/>
          </w:tcPr>
          <w:p w14:paraId="21F4B533" w14:textId="77777777" w:rsidR="004D45F1" w:rsidRDefault="004D45F1">
            <w:pPr>
              <w:keepNext/>
              <w:keepLines/>
              <w:jc w:val="both"/>
              <w:rPr>
                <w:rFonts w:cs="Arial"/>
                <w:noProof/>
                <w:sz w:val="18"/>
                <w:szCs w:val="18"/>
              </w:rPr>
            </w:pPr>
            <w:r>
              <w:rPr>
                <w:rFonts w:cs="Arial"/>
                <w:noProof/>
                <w:sz w:val="18"/>
                <w:szCs w:val="18"/>
              </w:rPr>
              <w:t>Imports (2015 – 2019)</w:t>
            </w:r>
          </w:p>
        </w:tc>
        <w:tc>
          <w:tcPr>
            <w:tcW w:w="1338" w:type="dxa"/>
            <w:tcBorders>
              <w:top w:val="nil"/>
              <w:left w:val="single" w:sz="4" w:space="0" w:color="0055A0"/>
              <w:bottom w:val="nil"/>
              <w:right w:val="single" w:sz="4" w:space="0" w:color="0055A0"/>
            </w:tcBorders>
            <w:hideMark/>
          </w:tcPr>
          <w:p w14:paraId="43D817A8" w14:textId="77777777" w:rsidR="004D45F1" w:rsidRDefault="004D45F1">
            <w:pPr>
              <w:keepNext/>
              <w:keepLines/>
              <w:jc w:val="center"/>
              <w:rPr>
                <w:rFonts w:cs="Arial"/>
                <w:noProof/>
                <w:sz w:val="18"/>
                <w:szCs w:val="18"/>
              </w:rPr>
            </w:pPr>
            <w:r>
              <w:rPr>
                <w:rFonts w:cs="Arial"/>
                <w:noProof/>
                <w:sz w:val="18"/>
                <w:szCs w:val="18"/>
              </w:rPr>
              <w:t>2,420</w:t>
            </w:r>
          </w:p>
        </w:tc>
        <w:tc>
          <w:tcPr>
            <w:tcW w:w="2835" w:type="dxa"/>
            <w:tcBorders>
              <w:top w:val="nil"/>
              <w:left w:val="single" w:sz="4" w:space="0" w:color="0055A0"/>
              <w:bottom w:val="nil"/>
              <w:right w:val="single" w:sz="4" w:space="0" w:color="0055A0"/>
            </w:tcBorders>
            <w:hideMark/>
          </w:tcPr>
          <w:p w14:paraId="54104F5D" w14:textId="77777777" w:rsidR="004D45F1" w:rsidRDefault="004D45F1">
            <w:pPr>
              <w:keepNext/>
              <w:keepLines/>
              <w:jc w:val="both"/>
              <w:rPr>
                <w:rFonts w:cs="Arial"/>
                <w:noProof/>
                <w:sz w:val="18"/>
                <w:szCs w:val="18"/>
              </w:rPr>
            </w:pPr>
            <w:r>
              <w:rPr>
                <w:noProof/>
              </w:rPr>
              <w:drawing>
                <wp:anchor distT="0" distB="0" distL="114300" distR="114300" simplePos="0" relativeHeight="251655168" behindDoc="1" locked="0" layoutInCell="1" allowOverlap="1" wp14:anchorId="4E864168" wp14:editId="0F882114">
                  <wp:simplePos x="0" y="0"/>
                  <wp:positionH relativeFrom="column">
                    <wp:posOffset>455930</wp:posOffset>
                  </wp:positionH>
                  <wp:positionV relativeFrom="paragraph">
                    <wp:posOffset>-9525</wp:posOffset>
                  </wp:positionV>
                  <wp:extent cx="1208405" cy="240665"/>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840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top w:val="nil"/>
              <w:left w:val="single" w:sz="4" w:space="0" w:color="0055A0"/>
              <w:bottom w:val="nil"/>
              <w:right w:val="single" w:sz="4" w:space="0" w:color="0055A0"/>
            </w:tcBorders>
            <w:hideMark/>
          </w:tcPr>
          <w:p w14:paraId="10C179A1" w14:textId="77777777" w:rsidR="004D45F1" w:rsidRDefault="004D45F1">
            <w:pPr>
              <w:keepNext/>
              <w:keepLines/>
              <w:jc w:val="center"/>
              <w:rPr>
                <w:rFonts w:cs="Arial"/>
                <w:noProof/>
                <w:color w:val="000000"/>
                <w:sz w:val="18"/>
                <w:szCs w:val="18"/>
              </w:rPr>
            </w:pPr>
            <w:r>
              <w:rPr>
                <w:rFonts w:cs="Arial"/>
                <w:noProof/>
                <w:color w:val="000000"/>
                <w:sz w:val="18"/>
                <w:szCs w:val="18"/>
              </w:rPr>
              <w:t>3,900</w:t>
            </w:r>
          </w:p>
        </w:tc>
        <w:tc>
          <w:tcPr>
            <w:tcW w:w="1163" w:type="dxa"/>
            <w:tcBorders>
              <w:top w:val="nil"/>
              <w:left w:val="single" w:sz="4" w:space="0" w:color="0055A0"/>
              <w:bottom w:val="nil"/>
              <w:right w:val="single" w:sz="4" w:space="0" w:color="0055A0"/>
            </w:tcBorders>
            <w:hideMark/>
          </w:tcPr>
          <w:p w14:paraId="6963DCF8" w14:textId="77777777" w:rsidR="004D45F1" w:rsidRDefault="004D45F1">
            <w:pPr>
              <w:keepNext/>
              <w:keepLines/>
              <w:jc w:val="both"/>
              <w:rPr>
                <w:rFonts w:cs="Arial"/>
                <w:noProof/>
                <w:sz w:val="18"/>
                <w:szCs w:val="18"/>
              </w:rPr>
            </w:pPr>
            <w:r>
              <w:rPr>
                <w:rFonts w:cs="Arial"/>
                <w:noProof/>
                <w:sz w:val="18"/>
                <w:szCs w:val="18"/>
              </w:rPr>
              <w:t>EEA</w:t>
            </w:r>
          </w:p>
        </w:tc>
      </w:tr>
      <w:tr w:rsidR="004D45F1" w14:paraId="55903838" w14:textId="77777777" w:rsidTr="004D45F1">
        <w:trPr>
          <w:cnfStyle w:val="000000010000" w:firstRow="0" w:lastRow="0" w:firstColumn="0" w:lastColumn="0" w:oddVBand="0" w:evenVBand="0" w:oddHBand="0" w:evenHBand="1" w:firstRowFirstColumn="0" w:firstRowLastColumn="0" w:lastRowFirstColumn="0" w:lastRowLastColumn="0"/>
          <w:trHeight w:val="414"/>
        </w:trPr>
        <w:tc>
          <w:tcPr>
            <w:tcW w:w="2626" w:type="dxa"/>
            <w:vMerge/>
            <w:tcBorders>
              <w:top w:val="single" w:sz="4" w:space="0" w:color="auto"/>
              <w:left w:val="single" w:sz="4" w:space="0" w:color="0055A0"/>
              <w:bottom w:val="nil"/>
            </w:tcBorders>
            <w:hideMark/>
          </w:tcPr>
          <w:p w14:paraId="0745229E" w14:textId="77777777" w:rsidR="004D45F1" w:rsidRDefault="004D45F1">
            <w:pPr>
              <w:spacing w:before="0"/>
              <w:rPr>
                <w:rFonts w:cs="Arial"/>
                <w:b/>
                <w:bCs/>
                <w:noProof/>
                <w:sz w:val="18"/>
                <w:szCs w:val="18"/>
              </w:rPr>
            </w:pPr>
          </w:p>
        </w:tc>
        <w:tc>
          <w:tcPr>
            <w:tcW w:w="1659" w:type="dxa"/>
            <w:tcBorders>
              <w:top w:val="nil"/>
              <w:bottom w:val="nil"/>
            </w:tcBorders>
            <w:hideMark/>
          </w:tcPr>
          <w:p w14:paraId="024DC691" w14:textId="77777777" w:rsidR="004D45F1" w:rsidRDefault="004D45F1">
            <w:pPr>
              <w:keepNext/>
              <w:keepLines/>
              <w:jc w:val="both"/>
              <w:rPr>
                <w:rFonts w:cs="Arial"/>
                <w:noProof/>
                <w:sz w:val="18"/>
                <w:szCs w:val="18"/>
              </w:rPr>
            </w:pPr>
            <w:r>
              <w:rPr>
                <w:rFonts w:cs="Arial"/>
                <w:noProof/>
                <w:sz w:val="18"/>
                <w:szCs w:val="18"/>
              </w:rPr>
              <w:t>Exports (2015 – 2019)</w:t>
            </w:r>
          </w:p>
        </w:tc>
        <w:tc>
          <w:tcPr>
            <w:tcW w:w="1338" w:type="dxa"/>
            <w:tcBorders>
              <w:top w:val="nil"/>
              <w:bottom w:val="nil"/>
            </w:tcBorders>
            <w:hideMark/>
          </w:tcPr>
          <w:p w14:paraId="7CC760DE" w14:textId="77777777" w:rsidR="004D45F1" w:rsidRDefault="004D45F1">
            <w:pPr>
              <w:keepNext/>
              <w:keepLines/>
              <w:jc w:val="center"/>
              <w:rPr>
                <w:rFonts w:cs="Arial"/>
                <w:noProof/>
                <w:sz w:val="18"/>
                <w:szCs w:val="18"/>
              </w:rPr>
            </w:pPr>
            <w:r>
              <w:rPr>
                <w:rFonts w:cs="Arial"/>
                <w:noProof/>
                <w:sz w:val="18"/>
                <w:szCs w:val="18"/>
              </w:rPr>
              <w:t>3,609</w:t>
            </w:r>
          </w:p>
        </w:tc>
        <w:tc>
          <w:tcPr>
            <w:tcW w:w="2835" w:type="dxa"/>
            <w:tcBorders>
              <w:top w:val="nil"/>
              <w:bottom w:val="nil"/>
            </w:tcBorders>
            <w:hideMark/>
          </w:tcPr>
          <w:p w14:paraId="07DC2DB3" w14:textId="77777777" w:rsidR="004D45F1" w:rsidRDefault="004D45F1">
            <w:pPr>
              <w:keepNext/>
              <w:keepLines/>
              <w:jc w:val="both"/>
              <w:rPr>
                <w:rFonts w:cs="Arial"/>
                <w:noProof/>
                <w:sz w:val="18"/>
                <w:szCs w:val="18"/>
              </w:rPr>
            </w:pPr>
            <w:r>
              <w:rPr>
                <w:noProof/>
              </w:rPr>
              <w:drawing>
                <wp:anchor distT="0" distB="0" distL="114300" distR="114300" simplePos="0" relativeHeight="251661312" behindDoc="1" locked="0" layoutInCell="1" allowOverlap="1" wp14:anchorId="7469BE20" wp14:editId="17AFC4DE">
                  <wp:simplePos x="0" y="0"/>
                  <wp:positionH relativeFrom="column">
                    <wp:posOffset>424180</wp:posOffset>
                  </wp:positionH>
                  <wp:positionV relativeFrom="paragraph">
                    <wp:posOffset>-21590</wp:posOffset>
                  </wp:positionV>
                  <wp:extent cx="1216025" cy="235585"/>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6025" cy="23558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top w:val="nil"/>
              <w:bottom w:val="nil"/>
            </w:tcBorders>
            <w:hideMark/>
          </w:tcPr>
          <w:p w14:paraId="24D1D89D" w14:textId="77777777" w:rsidR="004D45F1" w:rsidRDefault="004D45F1">
            <w:pPr>
              <w:keepNext/>
              <w:keepLines/>
              <w:jc w:val="center"/>
              <w:rPr>
                <w:rFonts w:cs="Arial"/>
                <w:noProof/>
                <w:color w:val="000000"/>
                <w:sz w:val="18"/>
                <w:szCs w:val="18"/>
              </w:rPr>
            </w:pPr>
            <w:r>
              <w:rPr>
                <w:rFonts w:cs="Arial"/>
                <w:noProof/>
                <w:color w:val="000000"/>
                <w:sz w:val="18"/>
                <w:szCs w:val="18"/>
              </w:rPr>
              <w:t>15,723</w:t>
            </w:r>
          </w:p>
        </w:tc>
        <w:tc>
          <w:tcPr>
            <w:tcW w:w="1163" w:type="dxa"/>
            <w:tcBorders>
              <w:top w:val="nil"/>
              <w:bottom w:val="nil"/>
              <w:right w:val="single" w:sz="4" w:space="0" w:color="0055A0"/>
            </w:tcBorders>
            <w:hideMark/>
          </w:tcPr>
          <w:p w14:paraId="216FB56F" w14:textId="77777777" w:rsidR="004D45F1" w:rsidRDefault="004D45F1">
            <w:pPr>
              <w:keepNext/>
              <w:keepLines/>
              <w:jc w:val="both"/>
              <w:rPr>
                <w:rFonts w:cs="Arial"/>
                <w:noProof/>
                <w:sz w:val="18"/>
                <w:szCs w:val="18"/>
              </w:rPr>
            </w:pPr>
            <w:r>
              <w:rPr>
                <w:rFonts w:cs="Arial"/>
                <w:noProof/>
                <w:sz w:val="18"/>
                <w:szCs w:val="18"/>
              </w:rPr>
              <w:t>EEA</w:t>
            </w:r>
          </w:p>
        </w:tc>
      </w:tr>
      <w:tr w:rsidR="004D45F1" w14:paraId="569A92ED" w14:textId="77777777" w:rsidTr="004D45F1">
        <w:trPr>
          <w:cnfStyle w:val="000000100000" w:firstRow="0" w:lastRow="0" w:firstColumn="0" w:lastColumn="0" w:oddVBand="0" w:evenVBand="0" w:oddHBand="1" w:evenHBand="0" w:firstRowFirstColumn="0" w:firstRowLastColumn="0" w:lastRowFirstColumn="0" w:lastRowLastColumn="0"/>
          <w:trHeight w:val="552"/>
        </w:trPr>
        <w:tc>
          <w:tcPr>
            <w:tcW w:w="967" w:type="dxa"/>
            <w:vMerge w:val="restart"/>
            <w:tcBorders>
              <w:top w:val="nil"/>
              <w:left w:val="single" w:sz="4" w:space="0" w:color="0055A0"/>
              <w:bottom w:val="nil"/>
              <w:right w:val="single" w:sz="4" w:space="0" w:color="0055A0"/>
            </w:tcBorders>
            <w:hideMark/>
          </w:tcPr>
          <w:p w14:paraId="18C98E78" w14:textId="77777777" w:rsidR="004D45F1" w:rsidRDefault="004D45F1">
            <w:pPr>
              <w:jc w:val="both"/>
              <w:rPr>
                <w:rFonts w:cs="Arial"/>
                <w:b/>
                <w:bCs/>
                <w:noProof/>
                <w:sz w:val="18"/>
                <w:szCs w:val="18"/>
              </w:rPr>
            </w:pPr>
            <w:r>
              <w:rPr>
                <w:rFonts w:cs="Arial"/>
                <w:b/>
                <w:bCs/>
                <w:noProof/>
                <w:sz w:val="18"/>
                <w:szCs w:val="18"/>
              </w:rPr>
              <w:t>Use (annual flow)</w:t>
            </w:r>
          </w:p>
        </w:tc>
        <w:tc>
          <w:tcPr>
            <w:tcW w:w="1659" w:type="dxa"/>
            <w:tcBorders>
              <w:top w:val="nil"/>
              <w:left w:val="single" w:sz="4" w:space="0" w:color="0055A0"/>
              <w:bottom w:val="nil"/>
              <w:right w:val="single" w:sz="4" w:space="0" w:color="0055A0"/>
            </w:tcBorders>
            <w:hideMark/>
          </w:tcPr>
          <w:p w14:paraId="076B4812" w14:textId="77777777" w:rsidR="004D45F1" w:rsidRDefault="004D45F1">
            <w:pPr>
              <w:jc w:val="both"/>
              <w:rPr>
                <w:rFonts w:cs="Arial"/>
                <w:noProof/>
                <w:sz w:val="18"/>
                <w:szCs w:val="18"/>
              </w:rPr>
            </w:pPr>
            <w:r>
              <w:rPr>
                <w:rFonts w:cs="Arial"/>
                <w:noProof/>
                <w:sz w:val="18"/>
                <w:szCs w:val="18"/>
              </w:rPr>
              <w:t>Feedstock</w:t>
            </w:r>
          </w:p>
        </w:tc>
        <w:tc>
          <w:tcPr>
            <w:tcW w:w="1338" w:type="dxa"/>
            <w:tcBorders>
              <w:top w:val="nil"/>
              <w:left w:val="single" w:sz="4" w:space="0" w:color="0055A0"/>
              <w:bottom w:val="nil"/>
              <w:right w:val="single" w:sz="4" w:space="0" w:color="0055A0"/>
            </w:tcBorders>
            <w:hideMark/>
          </w:tcPr>
          <w:p w14:paraId="39B8900A" w14:textId="77777777" w:rsidR="004D45F1" w:rsidRDefault="004D45F1">
            <w:pPr>
              <w:jc w:val="center"/>
              <w:rPr>
                <w:rFonts w:cs="Arial"/>
                <w:noProof/>
                <w:sz w:val="18"/>
                <w:szCs w:val="18"/>
              </w:rPr>
            </w:pPr>
            <w:r>
              <w:rPr>
                <w:rFonts w:cs="Arial"/>
                <w:noProof/>
                <w:sz w:val="18"/>
                <w:szCs w:val="18"/>
              </w:rPr>
              <w:t>51,200</w:t>
            </w:r>
          </w:p>
        </w:tc>
        <w:tc>
          <w:tcPr>
            <w:tcW w:w="2835" w:type="dxa"/>
            <w:tcBorders>
              <w:top w:val="nil"/>
              <w:left w:val="single" w:sz="4" w:space="0" w:color="0055A0"/>
              <w:bottom w:val="nil"/>
              <w:right w:val="single" w:sz="4" w:space="0" w:color="0055A0"/>
            </w:tcBorders>
            <w:hideMark/>
          </w:tcPr>
          <w:p w14:paraId="787A9DA1" w14:textId="77777777" w:rsidR="004D45F1" w:rsidRDefault="004D45F1">
            <w:pPr>
              <w:jc w:val="both"/>
              <w:rPr>
                <w:rFonts w:cs="Arial"/>
                <w:noProof/>
                <w:sz w:val="18"/>
                <w:szCs w:val="18"/>
              </w:rPr>
            </w:pPr>
            <w:r>
              <w:rPr>
                <w:rFonts w:cs="Arial"/>
                <w:noProof/>
                <w:sz w:val="18"/>
                <w:szCs w:val="18"/>
              </w:rPr>
              <w:drawing>
                <wp:inline distT="0" distB="0" distL="0" distR="0" wp14:anchorId="4D203A36" wp14:editId="686600FB">
                  <wp:extent cx="1668145" cy="3251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8145" cy="325120"/>
                          </a:xfrm>
                          <a:prstGeom prst="rect">
                            <a:avLst/>
                          </a:prstGeom>
                          <a:noFill/>
                          <a:ln>
                            <a:noFill/>
                          </a:ln>
                        </pic:spPr>
                      </pic:pic>
                    </a:graphicData>
                  </a:graphic>
                </wp:inline>
              </w:drawing>
            </w:r>
          </w:p>
        </w:tc>
        <w:tc>
          <w:tcPr>
            <w:tcW w:w="964" w:type="dxa"/>
            <w:tcBorders>
              <w:top w:val="nil"/>
              <w:left w:val="single" w:sz="4" w:space="0" w:color="0055A0"/>
              <w:bottom w:val="nil"/>
              <w:right w:val="single" w:sz="4" w:space="0" w:color="0055A0"/>
            </w:tcBorders>
            <w:hideMark/>
          </w:tcPr>
          <w:p w14:paraId="12FE2D11" w14:textId="77777777" w:rsidR="004D45F1" w:rsidRDefault="004D45F1">
            <w:pPr>
              <w:jc w:val="center"/>
              <w:rPr>
                <w:rFonts w:cs="Arial"/>
                <w:noProof/>
                <w:color w:val="000000"/>
                <w:sz w:val="18"/>
                <w:szCs w:val="18"/>
              </w:rPr>
            </w:pPr>
            <w:r>
              <w:rPr>
                <w:rFonts w:cs="Arial"/>
                <w:noProof/>
                <w:color w:val="000000"/>
                <w:sz w:val="18"/>
                <w:szCs w:val="18"/>
              </w:rPr>
              <w:t>38,717</w:t>
            </w:r>
          </w:p>
        </w:tc>
        <w:tc>
          <w:tcPr>
            <w:tcW w:w="1163" w:type="dxa"/>
            <w:tcBorders>
              <w:top w:val="nil"/>
              <w:left w:val="single" w:sz="4" w:space="0" w:color="0055A0"/>
              <w:bottom w:val="nil"/>
              <w:right w:val="single" w:sz="4" w:space="0" w:color="0055A0"/>
            </w:tcBorders>
            <w:hideMark/>
          </w:tcPr>
          <w:p w14:paraId="3C139727" w14:textId="77777777" w:rsidR="004D45F1" w:rsidRDefault="004D45F1">
            <w:pPr>
              <w:jc w:val="both"/>
              <w:rPr>
                <w:rFonts w:cs="Arial"/>
                <w:noProof/>
                <w:sz w:val="18"/>
                <w:szCs w:val="18"/>
              </w:rPr>
            </w:pPr>
            <w:r>
              <w:rPr>
                <w:rFonts w:cs="Arial"/>
                <w:noProof/>
                <w:sz w:val="18"/>
                <w:szCs w:val="18"/>
              </w:rPr>
              <w:t>EEA</w:t>
            </w:r>
          </w:p>
        </w:tc>
      </w:tr>
      <w:tr w:rsidR="004D45F1" w14:paraId="177BE7BF" w14:textId="77777777" w:rsidTr="004D45F1">
        <w:trPr>
          <w:cnfStyle w:val="000000010000" w:firstRow="0" w:lastRow="0" w:firstColumn="0" w:lastColumn="0" w:oddVBand="0" w:evenVBand="0" w:oddHBand="0" w:evenHBand="1" w:firstRowFirstColumn="0" w:firstRowLastColumn="0" w:lastRowFirstColumn="0" w:lastRowLastColumn="0"/>
          <w:trHeight w:val="429"/>
        </w:trPr>
        <w:tc>
          <w:tcPr>
            <w:tcW w:w="2626" w:type="dxa"/>
            <w:vMerge/>
            <w:tcBorders>
              <w:top w:val="nil"/>
              <w:left w:val="single" w:sz="4" w:space="0" w:color="0055A0"/>
              <w:bottom w:val="nil"/>
            </w:tcBorders>
            <w:hideMark/>
          </w:tcPr>
          <w:p w14:paraId="03036D30" w14:textId="77777777" w:rsidR="004D45F1" w:rsidRDefault="004D45F1">
            <w:pPr>
              <w:spacing w:before="0"/>
              <w:rPr>
                <w:rFonts w:cs="Arial"/>
                <w:b/>
                <w:bCs/>
                <w:noProof/>
                <w:sz w:val="18"/>
                <w:szCs w:val="18"/>
              </w:rPr>
            </w:pPr>
          </w:p>
        </w:tc>
        <w:tc>
          <w:tcPr>
            <w:tcW w:w="1659" w:type="dxa"/>
            <w:tcBorders>
              <w:top w:val="nil"/>
              <w:bottom w:val="nil"/>
            </w:tcBorders>
            <w:hideMark/>
          </w:tcPr>
          <w:p w14:paraId="35806ACF" w14:textId="77777777" w:rsidR="004D45F1" w:rsidRDefault="004D45F1">
            <w:pPr>
              <w:jc w:val="both"/>
              <w:rPr>
                <w:rFonts w:cs="Arial"/>
                <w:noProof/>
                <w:sz w:val="18"/>
                <w:szCs w:val="18"/>
              </w:rPr>
            </w:pPr>
            <w:r>
              <w:rPr>
                <w:rFonts w:cs="Arial"/>
                <w:noProof/>
                <w:sz w:val="18"/>
                <w:szCs w:val="18"/>
              </w:rPr>
              <w:t>Process agents</w:t>
            </w:r>
          </w:p>
        </w:tc>
        <w:tc>
          <w:tcPr>
            <w:tcW w:w="1338" w:type="dxa"/>
            <w:tcBorders>
              <w:top w:val="nil"/>
              <w:bottom w:val="nil"/>
            </w:tcBorders>
            <w:hideMark/>
          </w:tcPr>
          <w:p w14:paraId="1A8E4CAA" w14:textId="77777777" w:rsidR="004D45F1" w:rsidRDefault="004D45F1">
            <w:pPr>
              <w:jc w:val="center"/>
              <w:rPr>
                <w:rFonts w:cs="Arial"/>
                <w:noProof/>
                <w:sz w:val="18"/>
                <w:szCs w:val="18"/>
              </w:rPr>
            </w:pPr>
            <w:r>
              <w:rPr>
                <w:rFonts w:cs="Arial"/>
                <w:noProof/>
                <w:sz w:val="18"/>
                <w:szCs w:val="18"/>
              </w:rPr>
              <w:t>952</w:t>
            </w:r>
          </w:p>
        </w:tc>
        <w:tc>
          <w:tcPr>
            <w:tcW w:w="2835" w:type="dxa"/>
            <w:tcBorders>
              <w:top w:val="nil"/>
              <w:bottom w:val="nil"/>
            </w:tcBorders>
            <w:hideMark/>
          </w:tcPr>
          <w:p w14:paraId="601FC87C" w14:textId="77777777" w:rsidR="004D45F1" w:rsidRDefault="004D45F1">
            <w:pPr>
              <w:jc w:val="both"/>
              <w:rPr>
                <w:rFonts w:cs="Arial"/>
                <w:noProof/>
                <w:sz w:val="18"/>
                <w:szCs w:val="18"/>
              </w:rPr>
            </w:pPr>
            <w:r>
              <w:rPr>
                <w:rFonts w:cs="Arial"/>
                <w:noProof/>
                <w:sz w:val="18"/>
                <w:szCs w:val="18"/>
              </w:rPr>
              <w:drawing>
                <wp:inline distT="0" distB="0" distL="0" distR="0" wp14:anchorId="2C409572" wp14:editId="44B1FE58">
                  <wp:extent cx="1668145" cy="2686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8145" cy="268605"/>
                          </a:xfrm>
                          <a:prstGeom prst="rect">
                            <a:avLst/>
                          </a:prstGeom>
                          <a:noFill/>
                          <a:ln>
                            <a:noFill/>
                          </a:ln>
                        </pic:spPr>
                      </pic:pic>
                    </a:graphicData>
                  </a:graphic>
                </wp:inline>
              </w:drawing>
            </w:r>
          </w:p>
        </w:tc>
        <w:tc>
          <w:tcPr>
            <w:tcW w:w="964" w:type="dxa"/>
            <w:tcBorders>
              <w:top w:val="nil"/>
              <w:bottom w:val="nil"/>
            </w:tcBorders>
            <w:hideMark/>
          </w:tcPr>
          <w:p w14:paraId="3E5B15C3" w14:textId="77777777" w:rsidR="004D45F1" w:rsidRDefault="004D45F1">
            <w:pPr>
              <w:jc w:val="center"/>
              <w:rPr>
                <w:rFonts w:cs="Arial"/>
                <w:noProof/>
                <w:color w:val="000000"/>
                <w:sz w:val="18"/>
                <w:szCs w:val="18"/>
              </w:rPr>
            </w:pPr>
            <w:r>
              <w:rPr>
                <w:rFonts w:cs="Arial"/>
                <w:noProof/>
                <w:color w:val="000000"/>
                <w:sz w:val="18"/>
                <w:szCs w:val="18"/>
              </w:rPr>
              <w:t>298</w:t>
            </w:r>
          </w:p>
        </w:tc>
        <w:tc>
          <w:tcPr>
            <w:tcW w:w="1163" w:type="dxa"/>
            <w:tcBorders>
              <w:top w:val="nil"/>
              <w:bottom w:val="nil"/>
              <w:right w:val="single" w:sz="4" w:space="0" w:color="0055A0"/>
            </w:tcBorders>
            <w:hideMark/>
          </w:tcPr>
          <w:p w14:paraId="475EB614" w14:textId="77777777" w:rsidR="004D45F1" w:rsidRDefault="004D45F1">
            <w:pPr>
              <w:jc w:val="both"/>
              <w:rPr>
                <w:rFonts w:cs="Arial"/>
                <w:noProof/>
                <w:sz w:val="18"/>
                <w:szCs w:val="18"/>
              </w:rPr>
            </w:pPr>
            <w:r>
              <w:rPr>
                <w:rFonts w:cs="Arial"/>
                <w:noProof/>
                <w:sz w:val="18"/>
                <w:szCs w:val="18"/>
              </w:rPr>
              <w:t>EEA</w:t>
            </w:r>
          </w:p>
        </w:tc>
      </w:tr>
      <w:tr w:rsidR="004D45F1" w14:paraId="7D1D4FFE" w14:textId="77777777" w:rsidTr="004D45F1">
        <w:trPr>
          <w:cnfStyle w:val="000000100000" w:firstRow="0" w:lastRow="0" w:firstColumn="0" w:lastColumn="0" w:oddVBand="0" w:evenVBand="0" w:oddHBand="1" w:evenHBand="0" w:firstRowFirstColumn="0" w:firstRowLastColumn="0" w:lastRowFirstColumn="0" w:lastRowLastColumn="0"/>
        </w:trPr>
        <w:tc>
          <w:tcPr>
            <w:tcW w:w="2626" w:type="dxa"/>
            <w:vMerge/>
            <w:tcBorders>
              <w:top w:val="nil"/>
              <w:left w:val="single" w:sz="4" w:space="0" w:color="0055A0"/>
              <w:bottom w:val="nil"/>
              <w:right w:val="single" w:sz="4" w:space="0" w:color="0055A0"/>
            </w:tcBorders>
            <w:hideMark/>
          </w:tcPr>
          <w:p w14:paraId="077652FF" w14:textId="77777777" w:rsidR="004D45F1" w:rsidRDefault="004D45F1">
            <w:pPr>
              <w:spacing w:before="0"/>
              <w:rPr>
                <w:rFonts w:cs="Arial"/>
                <w:b/>
                <w:bCs/>
                <w:noProof/>
                <w:sz w:val="18"/>
                <w:szCs w:val="18"/>
              </w:rPr>
            </w:pPr>
          </w:p>
        </w:tc>
        <w:tc>
          <w:tcPr>
            <w:tcW w:w="1659" w:type="dxa"/>
            <w:tcBorders>
              <w:top w:val="nil"/>
              <w:left w:val="single" w:sz="4" w:space="0" w:color="0055A0"/>
              <w:bottom w:val="nil"/>
              <w:right w:val="single" w:sz="4" w:space="0" w:color="0055A0"/>
            </w:tcBorders>
            <w:hideMark/>
          </w:tcPr>
          <w:p w14:paraId="615AB47C" w14:textId="77777777" w:rsidR="004D45F1" w:rsidRDefault="004D45F1">
            <w:pPr>
              <w:jc w:val="both"/>
              <w:rPr>
                <w:rFonts w:cs="Arial"/>
                <w:noProof/>
                <w:sz w:val="18"/>
                <w:szCs w:val="18"/>
              </w:rPr>
            </w:pPr>
            <w:r>
              <w:rPr>
                <w:rFonts w:cs="Arial"/>
                <w:noProof/>
                <w:sz w:val="18"/>
                <w:szCs w:val="18"/>
              </w:rPr>
              <w:t>Laboratory use</w:t>
            </w:r>
          </w:p>
        </w:tc>
        <w:tc>
          <w:tcPr>
            <w:tcW w:w="1338" w:type="dxa"/>
            <w:tcBorders>
              <w:top w:val="nil"/>
              <w:left w:val="single" w:sz="4" w:space="0" w:color="0055A0"/>
              <w:bottom w:val="nil"/>
              <w:right w:val="single" w:sz="4" w:space="0" w:color="0055A0"/>
            </w:tcBorders>
            <w:hideMark/>
          </w:tcPr>
          <w:p w14:paraId="6FCAED8F" w14:textId="77777777" w:rsidR="004D45F1" w:rsidRDefault="004D45F1">
            <w:pPr>
              <w:jc w:val="center"/>
              <w:rPr>
                <w:rFonts w:cs="Arial"/>
                <w:noProof/>
                <w:sz w:val="18"/>
                <w:szCs w:val="18"/>
              </w:rPr>
            </w:pPr>
            <w:r>
              <w:rPr>
                <w:rFonts w:cs="Arial"/>
                <w:noProof/>
                <w:sz w:val="18"/>
                <w:szCs w:val="18"/>
              </w:rPr>
              <w:t xml:space="preserve">26 </w:t>
            </w:r>
            <w:r>
              <w:rPr>
                <w:rFonts w:cs="Arial"/>
                <w:noProof/>
                <w:sz w:val="16"/>
                <w:szCs w:val="16"/>
              </w:rPr>
              <w:t>(2011)</w:t>
            </w:r>
          </w:p>
        </w:tc>
        <w:tc>
          <w:tcPr>
            <w:tcW w:w="2835" w:type="dxa"/>
            <w:tcBorders>
              <w:top w:val="nil"/>
              <w:left w:val="single" w:sz="4" w:space="0" w:color="0055A0"/>
              <w:bottom w:val="nil"/>
              <w:right w:val="single" w:sz="4" w:space="0" w:color="0055A0"/>
            </w:tcBorders>
            <w:hideMark/>
          </w:tcPr>
          <w:p w14:paraId="57087218" w14:textId="77777777" w:rsidR="004D45F1" w:rsidRDefault="004D45F1">
            <w:pPr>
              <w:jc w:val="both"/>
              <w:rPr>
                <w:rFonts w:cs="Arial"/>
                <w:i/>
                <w:iCs/>
                <w:noProof/>
                <w:sz w:val="18"/>
                <w:szCs w:val="18"/>
              </w:rPr>
            </w:pPr>
            <w:r>
              <w:rPr>
                <w:rFonts w:cs="Arial"/>
                <w:i/>
                <w:iCs/>
                <w:noProof/>
                <w:sz w:val="18"/>
                <w:szCs w:val="18"/>
              </w:rPr>
              <w:t>No intermediate years data available</w:t>
            </w:r>
          </w:p>
        </w:tc>
        <w:tc>
          <w:tcPr>
            <w:tcW w:w="964" w:type="dxa"/>
            <w:tcBorders>
              <w:top w:val="nil"/>
              <w:left w:val="single" w:sz="4" w:space="0" w:color="0055A0"/>
              <w:bottom w:val="nil"/>
              <w:right w:val="single" w:sz="4" w:space="0" w:color="0055A0"/>
            </w:tcBorders>
            <w:hideMark/>
          </w:tcPr>
          <w:p w14:paraId="7A0DF954" w14:textId="77777777" w:rsidR="004D45F1" w:rsidRDefault="004D45F1">
            <w:pPr>
              <w:jc w:val="center"/>
              <w:rPr>
                <w:rFonts w:cs="Arial"/>
                <w:noProof/>
                <w:color w:val="000000"/>
                <w:sz w:val="18"/>
                <w:szCs w:val="18"/>
              </w:rPr>
            </w:pPr>
            <w:r>
              <w:rPr>
                <w:rFonts w:cs="Arial"/>
                <w:noProof/>
                <w:color w:val="000000"/>
                <w:sz w:val="18"/>
                <w:szCs w:val="18"/>
              </w:rPr>
              <w:t>3</w:t>
            </w:r>
          </w:p>
          <w:p w14:paraId="0522F9F7" w14:textId="77777777" w:rsidR="004D45F1" w:rsidRDefault="004D45F1">
            <w:pPr>
              <w:jc w:val="center"/>
              <w:rPr>
                <w:rFonts w:cs="Arial"/>
                <w:noProof/>
                <w:color w:val="000000"/>
                <w:sz w:val="18"/>
                <w:szCs w:val="18"/>
              </w:rPr>
            </w:pPr>
            <w:r>
              <w:rPr>
                <w:rFonts w:cs="Arial"/>
                <w:noProof/>
                <w:color w:val="000000"/>
                <w:sz w:val="16"/>
                <w:szCs w:val="16"/>
              </w:rPr>
              <w:t>(2017)</w:t>
            </w:r>
          </w:p>
        </w:tc>
        <w:tc>
          <w:tcPr>
            <w:tcW w:w="1163" w:type="dxa"/>
            <w:tcBorders>
              <w:top w:val="nil"/>
              <w:left w:val="single" w:sz="4" w:space="0" w:color="0055A0"/>
              <w:bottom w:val="nil"/>
              <w:right w:val="single" w:sz="4" w:space="0" w:color="0055A0"/>
            </w:tcBorders>
            <w:hideMark/>
          </w:tcPr>
          <w:p w14:paraId="29DC2251" w14:textId="77777777" w:rsidR="004D45F1" w:rsidRDefault="004D45F1">
            <w:pPr>
              <w:jc w:val="both"/>
              <w:rPr>
                <w:rFonts w:cs="Arial"/>
                <w:noProof/>
                <w:sz w:val="18"/>
                <w:szCs w:val="18"/>
              </w:rPr>
            </w:pPr>
            <w:r>
              <w:rPr>
                <w:rFonts w:cs="Arial"/>
                <w:noProof/>
                <w:sz w:val="18"/>
                <w:szCs w:val="18"/>
              </w:rPr>
              <w:t>Evaluation</w:t>
            </w:r>
          </w:p>
        </w:tc>
      </w:tr>
      <w:tr w:rsidR="004D45F1" w14:paraId="6660A53C" w14:textId="77777777" w:rsidTr="004D45F1">
        <w:trPr>
          <w:cnfStyle w:val="000000010000" w:firstRow="0" w:lastRow="0" w:firstColumn="0" w:lastColumn="0" w:oddVBand="0" w:evenVBand="0" w:oddHBand="0" w:evenHBand="1" w:firstRowFirstColumn="0" w:firstRowLastColumn="0" w:lastRowFirstColumn="0" w:lastRowLastColumn="0"/>
        </w:trPr>
        <w:tc>
          <w:tcPr>
            <w:tcW w:w="967" w:type="dxa"/>
            <w:vMerge w:val="restart"/>
            <w:tcBorders>
              <w:top w:val="nil"/>
              <w:left w:val="single" w:sz="4" w:space="0" w:color="0055A0"/>
              <w:bottom w:val="nil"/>
            </w:tcBorders>
            <w:hideMark/>
          </w:tcPr>
          <w:p w14:paraId="6892C9EB" w14:textId="77777777" w:rsidR="004D45F1" w:rsidRDefault="004D45F1">
            <w:pPr>
              <w:jc w:val="both"/>
              <w:rPr>
                <w:rFonts w:cs="Arial"/>
                <w:b/>
                <w:bCs/>
                <w:noProof/>
                <w:sz w:val="18"/>
                <w:szCs w:val="18"/>
              </w:rPr>
            </w:pPr>
            <w:r>
              <w:rPr>
                <w:rFonts w:cs="Arial"/>
                <w:b/>
                <w:bCs/>
                <w:noProof/>
                <w:sz w:val="18"/>
                <w:szCs w:val="18"/>
              </w:rPr>
              <w:t>Banks (annual size of the stock)</w:t>
            </w:r>
          </w:p>
        </w:tc>
        <w:tc>
          <w:tcPr>
            <w:tcW w:w="1659" w:type="dxa"/>
            <w:tcBorders>
              <w:top w:val="nil"/>
              <w:bottom w:val="nil"/>
            </w:tcBorders>
            <w:hideMark/>
          </w:tcPr>
          <w:p w14:paraId="625925F1" w14:textId="77777777" w:rsidR="004D45F1" w:rsidRDefault="004D45F1">
            <w:pPr>
              <w:jc w:val="both"/>
              <w:rPr>
                <w:rFonts w:cs="Arial"/>
                <w:noProof/>
                <w:sz w:val="18"/>
                <w:szCs w:val="18"/>
              </w:rPr>
            </w:pPr>
            <w:r>
              <w:rPr>
                <w:rFonts w:cs="Arial"/>
                <w:noProof/>
                <w:sz w:val="18"/>
                <w:szCs w:val="18"/>
              </w:rPr>
              <w:t>Foam Banks</w:t>
            </w:r>
          </w:p>
        </w:tc>
        <w:tc>
          <w:tcPr>
            <w:tcW w:w="5137" w:type="dxa"/>
            <w:gridSpan w:val="3"/>
            <w:tcBorders>
              <w:top w:val="nil"/>
              <w:bottom w:val="nil"/>
            </w:tcBorders>
            <w:hideMark/>
          </w:tcPr>
          <w:p w14:paraId="11118C22" w14:textId="77777777" w:rsidR="004D45F1" w:rsidRDefault="004D45F1">
            <w:pPr>
              <w:jc w:val="both"/>
              <w:rPr>
                <w:rFonts w:cs="Arial"/>
                <w:noProof/>
                <w:sz w:val="18"/>
                <w:szCs w:val="18"/>
              </w:rPr>
            </w:pPr>
            <w:r>
              <w:rPr>
                <w:rFonts w:cs="Arial"/>
                <w:noProof/>
                <w:sz w:val="18"/>
                <w:szCs w:val="18"/>
              </w:rPr>
              <w:t>2012 estimate at 570.000 tODP</w:t>
            </w:r>
          </w:p>
        </w:tc>
        <w:tc>
          <w:tcPr>
            <w:tcW w:w="1163" w:type="dxa"/>
            <w:tcBorders>
              <w:top w:val="nil"/>
              <w:bottom w:val="nil"/>
              <w:right w:val="single" w:sz="4" w:space="0" w:color="0055A0"/>
            </w:tcBorders>
            <w:hideMark/>
          </w:tcPr>
          <w:p w14:paraId="6939B84F" w14:textId="77777777" w:rsidR="004D45F1" w:rsidRDefault="004D45F1">
            <w:pPr>
              <w:jc w:val="both"/>
              <w:rPr>
                <w:rFonts w:cs="Arial"/>
                <w:noProof/>
                <w:sz w:val="18"/>
                <w:szCs w:val="18"/>
              </w:rPr>
            </w:pPr>
            <w:r>
              <w:rPr>
                <w:rFonts w:cs="Arial"/>
                <w:noProof/>
                <w:sz w:val="18"/>
                <w:szCs w:val="18"/>
              </w:rPr>
              <w:t>SKM Enviros (2012)</w:t>
            </w:r>
            <w:r>
              <w:rPr>
                <w:noProof/>
                <w:vertAlign w:val="superscript"/>
              </w:rPr>
              <w:footnoteReference w:id="96"/>
            </w:r>
          </w:p>
        </w:tc>
      </w:tr>
      <w:tr w:rsidR="004D45F1" w14:paraId="3571AC47" w14:textId="77777777" w:rsidTr="004D45F1">
        <w:trPr>
          <w:cnfStyle w:val="000000100000" w:firstRow="0" w:lastRow="0" w:firstColumn="0" w:lastColumn="0" w:oddVBand="0" w:evenVBand="0" w:oddHBand="1" w:evenHBand="0" w:firstRowFirstColumn="0" w:firstRowLastColumn="0" w:lastRowFirstColumn="0" w:lastRowLastColumn="0"/>
        </w:trPr>
        <w:tc>
          <w:tcPr>
            <w:tcW w:w="2626" w:type="dxa"/>
            <w:vMerge/>
            <w:tcBorders>
              <w:top w:val="nil"/>
              <w:left w:val="single" w:sz="4" w:space="0" w:color="0055A0"/>
              <w:bottom w:val="nil"/>
              <w:right w:val="single" w:sz="4" w:space="0" w:color="0055A0"/>
            </w:tcBorders>
            <w:hideMark/>
          </w:tcPr>
          <w:p w14:paraId="24AFD646" w14:textId="77777777" w:rsidR="004D45F1" w:rsidRDefault="004D45F1">
            <w:pPr>
              <w:spacing w:before="0"/>
              <w:rPr>
                <w:rFonts w:cs="Arial"/>
                <w:b/>
                <w:bCs/>
                <w:noProof/>
                <w:sz w:val="18"/>
                <w:szCs w:val="18"/>
              </w:rPr>
            </w:pPr>
          </w:p>
        </w:tc>
        <w:tc>
          <w:tcPr>
            <w:tcW w:w="1659" w:type="dxa"/>
            <w:tcBorders>
              <w:top w:val="nil"/>
              <w:left w:val="single" w:sz="4" w:space="0" w:color="0055A0"/>
              <w:bottom w:val="nil"/>
              <w:right w:val="single" w:sz="4" w:space="0" w:color="0055A0"/>
            </w:tcBorders>
            <w:hideMark/>
          </w:tcPr>
          <w:p w14:paraId="08BC0F5A" w14:textId="77777777" w:rsidR="004D45F1" w:rsidRDefault="004D45F1">
            <w:pPr>
              <w:jc w:val="both"/>
              <w:rPr>
                <w:rFonts w:cs="Arial"/>
                <w:noProof/>
                <w:sz w:val="18"/>
                <w:szCs w:val="18"/>
              </w:rPr>
            </w:pPr>
            <w:r>
              <w:rPr>
                <w:rFonts w:cs="Arial"/>
                <w:noProof/>
                <w:sz w:val="18"/>
                <w:szCs w:val="18"/>
              </w:rPr>
              <w:t>Critical halons installed capacity (2015 – 2019)</w:t>
            </w:r>
          </w:p>
        </w:tc>
        <w:tc>
          <w:tcPr>
            <w:tcW w:w="1338" w:type="dxa"/>
            <w:tcBorders>
              <w:top w:val="nil"/>
              <w:left w:val="single" w:sz="4" w:space="0" w:color="0055A0"/>
              <w:bottom w:val="nil"/>
              <w:right w:val="single" w:sz="4" w:space="0" w:color="0055A0"/>
            </w:tcBorders>
            <w:hideMark/>
          </w:tcPr>
          <w:p w14:paraId="31A5B3F5" w14:textId="77777777" w:rsidR="004D45F1" w:rsidRDefault="004D45F1">
            <w:pPr>
              <w:jc w:val="center"/>
              <w:rPr>
                <w:rFonts w:cs="Arial"/>
                <w:noProof/>
                <w:color w:val="000000"/>
                <w:sz w:val="18"/>
                <w:szCs w:val="18"/>
              </w:rPr>
            </w:pPr>
            <w:r>
              <w:rPr>
                <w:rFonts w:cs="Arial"/>
                <w:noProof/>
                <w:color w:val="000000"/>
                <w:sz w:val="18"/>
                <w:szCs w:val="18"/>
              </w:rPr>
              <w:t>645 (2015)</w:t>
            </w:r>
          </w:p>
        </w:tc>
        <w:tc>
          <w:tcPr>
            <w:tcW w:w="2835" w:type="dxa"/>
            <w:tcBorders>
              <w:top w:val="nil"/>
              <w:left w:val="single" w:sz="4" w:space="0" w:color="0055A0"/>
              <w:bottom w:val="nil"/>
              <w:right w:val="single" w:sz="4" w:space="0" w:color="0055A0"/>
            </w:tcBorders>
            <w:hideMark/>
          </w:tcPr>
          <w:p w14:paraId="3CF583B0" w14:textId="77777777" w:rsidR="004D45F1" w:rsidRDefault="004D45F1">
            <w:pPr>
              <w:jc w:val="both"/>
              <w:rPr>
                <w:rFonts w:cs="Arial"/>
                <w:noProof/>
                <w:color w:val="000000"/>
                <w:sz w:val="18"/>
                <w:szCs w:val="18"/>
              </w:rPr>
            </w:pPr>
            <w:r>
              <w:rPr>
                <w:rFonts w:cs="Arial"/>
                <w:noProof/>
                <w:color w:val="000000"/>
                <w:sz w:val="18"/>
                <w:szCs w:val="18"/>
              </w:rPr>
              <w:drawing>
                <wp:inline distT="0" distB="0" distL="0" distR="0" wp14:anchorId="7B775E31" wp14:editId="2D65710B">
                  <wp:extent cx="1656080" cy="31305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91"/>
                          <pic:cNvPicPr>
                            <a:picLocks noChangeAspect="1" noChangeArrowheads="1"/>
                          </pic:cNvPicPr>
                        </pic:nvPicPr>
                        <pic:blipFill>
                          <a:blip r:embed="rId33">
                            <a:extLst>
                              <a:ext uri="{28A0092B-C50C-407E-A947-70E740481C1C}">
                                <a14:useLocalDpi xmlns:a14="http://schemas.microsoft.com/office/drawing/2010/main" val="0"/>
                              </a:ext>
                            </a:extLst>
                          </a:blip>
                          <a:srcRect l="8299"/>
                          <a:stretch>
                            <a:fillRect/>
                          </a:stretch>
                        </pic:blipFill>
                        <pic:spPr bwMode="auto">
                          <a:xfrm>
                            <a:off x="0" y="0"/>
                            <a:ext cx="1656080" cy="313055"/>
                          </a:xfrm>
                          <a:prstGeom prst="rect">
                            <a:avLst/>
                          </a:prstGeom>
                          <a:noFill/>
                          <a:ln>
                            <a:noFill/>
                          </a:ln>
                        </pic:spPr>
                      </pic:pic>
                    </a:graphicData>
                  </a:graphic>
                </wp:inline>
              </w:drawing>
            </w:r>
          </w:p>
        </w:tc>
        <w:tc>
          <w:tcPr>
            <w:tcW w:w="964" w:type="dxa"/>
            <w:tcBorders>
              <w:top w:val="nil"/>
              <w:left w:val="single" w:sz="4" w:space="0" w:color="0055A0"/>
              <w:bottom w:val="nil"/>
              <w:right w:val="single" w:sz="4" w:space="0" w:color="0055A0"/>
            </w:tcBorders>
            <w:hideMark/>
          </w:tcPr>
          <w:p w14:paraId="31C9CDEE" w14:textId="77777777" w:rsidR="004D45F1" w:rsidRDefault="004D45F1">
            <w:pPr>
              <w:jc w:val="center"/>
              <w:rPr>
                <w:rFonts w:cs="Arial"/>
                <w:noProof/>
                <w:color w:val="000000"/>
                <w:sz w:val="18"/>
                <w:szCs w:val="18"/>
              </w:rPr>
            </w:pPr>
            <w:r>
              <w:rPr>
                <w:rFonts w:cs="Arial"/>
                <w:noProof/>
                <w:color w:val="000000"/>
                <w:sz w:val="18"/>
                <w:szCs w:val="18"/>
              </w:rPr>
              <w:t>626</w:t>
            </w:r>
          </w:p>
        </w:tc>
        <w:tc>
          <w:tcPr>
            <w:tcW w:w="1163" w:type="dxa"/>
            <w:tcBorders>
              <w:top w:val="nil"/>
              <w:left w:val="single" w:sz="4" w:space="0" w:color="0055A0"/>
              <w:bottom w:val="nil"/>
              <w:right w:val="single" w:sz="4" w:space="0" w:color="0055A0"/>
            </w:tcBorders>
            <w:hideMark/>
          </w:tcPr>
          <w:p w14:paraId="25EDF8E2" w14:textId="77777777" w:rsidR="004D45F1" w:rsidRDefault="004D45F1">
            <w:pPr>
              <w:jc w:val="both"/>
              <w:rPr>
                <w:rFonts w:cs="Arial"/>
                <w:noProof/>
                <w:sz w:val="18"/>
                <w:szCs w:val="18"/>
              </w:rPr>
            </w:pPr>
            <w:r>
              <w:rPr>
                <w:rFonts w:cs="Arial"/>
                <w:noProof/>
                <w:sz w:val="18"/>
                <w:szCs w:val="18"/>
              </w:rPr>
              <w:t xml:space="preserve">Art. 26(1)(b) reports </w:t>
            </w:r>
          </w:p>
        </w:tc>
      </w:tr>
      <w:tr w:rsidR="004D45F1" w14:paraId="5BCC13C7" w14:textId="77777777" w:rsidTr="004D45F1">
        <w:trPr>
          <w:cnfStyle w:val="000000010000" w:firstRow="0" w:lastRow="0" w:firstColumn="0" w:lastColumn="0" w:oddVBand="0" w:evenVBand="0" w:oddHBand="0" w:evenHBand="1" w:firstRowFirstColumn="0" w:firstRowLastColumn="0" w:lastRowFirstColumn="0" w:lastRowLastColumn="0"/>
          <w:trHeight w:val="850"/>
        </w:trPr>
        <w:tc>
          <w:tcPr>
            <w:tcW w:w="967" w:type="dxa"/>
            <w:vMerge w:val="restart"/>
            <w:tcBorders>
              <w:top w:val="nil"/>
              <w:left w:val="single" w:sz="4" w:space="0" w:color="0055A0"/>
              <w:bottom w:val="single" w:sz="4" w:space="0" w:color="0055A0"/>
            </w:tcBorders>
            <w:hideMark/>
          </w:tcPr>
          <w:p w14:paraId="64EADFC8" w14:textId="77777777" w:rsidR="004D45F1" w:rsidRDefault="004D45F1">
            <w:pPr>
              <w:jc w:val="both"/>
              <w:rPr>
                <w:rFonts w:cs="Arial"/>
                <w:b/>
                <w:bCs/>
                <w:noProof/>
                <w:sz w:val="18"/>
                <w:szCs w:val="18"/>
              </w:rPr>
            </w:pPr>
            <w:r>
              <w:rPr>
                <w:rFonts w:cs="Arial"/>
                <w:b/>
                <w:bCs/>
                <w:noProof/>
                <w:sz w:val="18"/>
                <w:szCs w:val="18"/>
              </w:rPr>
              <w:t>Annex II substances</w:t>
            </w:r>
          </w:p>
        </w:tc>
        <w:tc>
          <w:tcPr>
            <w:tcW w:w="1659" w:type="dxa"/>
            <w:tcBorders>
              <w:top w:val="nil"/>
              <w:bottom w:val="nil"/>
            </w:tcBorders>
            <w:hideMark/>
          </w:tcPr>
          <w:p w14:paraId="2197DA25" w14:textId="77777777" w:rsidR="004D45F1" w:rsidRDefault="004D45F1">
            <w:pPr>
              <w:jc w:val="both"/>
              <w:rPr>
                <w:rFonts w:cs="Arial"/>
                <w:noProof/>
                <w:sz w:val="18"/>
                <w:szCs w:val="18"/>
              </w:rPr>
            </w:pPr>
            <w:r>
              <w:rPr>
                <w:rFonts w:cs="Arial"/>
                <w:noProof/>
                <w:sz w:val="18"/>
                <w:szCs w:val="18"/>
              </w:rPr>
              <w:t>Production</w:t>
            </w:r>
          </w:p>
        </w:tc>
        <w:tc>
          <w:tcPr>
            <w:tcW w:w="1338" w:type="dxa"/>
            <w:tcBorders>
              <w:top w:val="nil"/>
              <w:bottom w:val="nil"/>
            </w:tcBorders>
            <w:hideMark/>
          </w:tcPr>
          <w:p w14:paraId="599872CA" w14:textId="77777777" w:rsidR="004D45F1" w:rsidRDefault="004D45F1">
            <w:pPr>
              <w:jc w:val="center"/>
              <w:rPr>
                <w:rFonts w:cs="Arial"/>
                <w:noProof/>
                <w:sz w:val="18"/>
                <w:szCs w:val="18"/>
              </w:rPr>
            </w:pPr>
            <w:r>
              <w:rPr>
                <w:rFonts w:cs="Arial"/>
                <w:noProof/>
                <w:sz w:val="18"/>
                <w:szCs w:val="18"/>
              </w:rPr>
              <w:t>22,946</w:t>
            </w:r>
          </w:p>
        </w:tc>
        <w:tc>
          <w:tcPr>
            <w:tcW w:w="2835" w:type="dxa"/>
            <w:tcBorders>
              <w:top w:val="nil"/>
              <w:bottom w:val="nil"/>
            </w:tcBorders>
            <w:hideMark/>
          </w:tcPr>
          <w:p w14:paraId="487895CF" w14:textId="77777777" w:rsidR="004D45F1" w:rsidRDefault="004D45F1">
            <w:pPr>
              <w:jc w:val="both"/>
              <w:rPr>
                <w:rFonts w:cs="Arial"/>
                <w:i/>
                <w:noProof/>
                <w:sz w:val="18"/>
                <w:szCs w:val="18"/>
              </w:rPr>
            </w:pPr>
            <w:r>
              <w:rPr>
                <w:rFonts w:cs="Arial"/>
                <w:noProof/>
              </w:rPr>
              <w:drawing>
                <wp:inline distT="0" distB="0" distL="0" distR="0" wp14:anchorId="27AE748F" wp14:editId="6ABA6950">
                  <wp:extent cx="1656080" cy="220345"/>
                  <wp:effectExtent l="0" t="0" r="12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80" cy="220345"/>
                          </a:xfrm>
                          <a:prstGeom prst="rect">
                            <a:avLst/>
                          </a:prstGeom>
                          <a:noFill/>
                          <a:ln>
                            <a:noFill/>
                          </a:ln>
                        </pic:spPr>
                      </pic:pic>
                    </a:graphicData>
                  </a:graphic>
                </wp:inline>
              </w:drawing>
            </w:r>
          </w:p>
        </w:tc>
        <w:tc>
          <w:tcPr>
            <w:tcW w:w="964" w:type="dxa"/>
            <w:tcBorders>
              <w:top w:val="nil"/>
              <w:bottom w:val="nil"/>
            </w:tcBorders>
            <w:hideMark/>
          </w:tcPr>
          <w:p w14:paraId="55180BA7" w14:textId="77777777" w:rsidR="004D45F1" w:rsidRDefault="004D45F1">
            <w:pPr>
              <w:jc w:val="center"/>
              <w:rPr>
                <w:rFonts w:cs="Arial"/>
                <w:noProof/>
                <w:color w:val="000000"/>
                <w:sz w:val="18"/>
                <w:szCs w:val="18"/>
              </w:rPr>
            </w:pPr>
            <w:r>
              <w:rPr>
                <w:rFonts w:cs="Arial"/>
                <w:noProof/>
                <w:color w:val="000000"/>
                <w:sz w:val="18"/>
                <w:szCs w:val="18"/>
              </w:rPr>
              <w:t>20,494</w:t>
            </w:r>
          </w:p>
        </w:tc>
        <w:tc>
          <w:tcPr>
            <w:tcW w:w="1163" w:type="dxa"/>
            <w:tcBorders>
              <w:top w:val="nil"/>
              <w:bottom w:val="nil"/>
              <w:right w:val="single" w:sz="4" w:space="0" w:color="0055A0"/>
            </w:tcBorders>
            <w:hideMark/>
          </w:tcPr>
          <w:p w14:paraId="1683DD43" w14:textId="77777777" w:rsidR="004D45F1" w:rsidRDefault="004D45F1">
            <w:pPr>
              <w:jc w:val="both"/>
              <w:rPr>
                <w:rFonts w:cs="Arial"/>
                <w:noProof/>
                <w:sz w:val="18"/>
                <w:szCs w:val="18"/>
              </w:rPr>
            </w:pPr>
            <w:r>
              <w:rPr>
                <w:rFonts w:cs="Arial"/>
                <w:noProof/>
                <w:sz w:val="18"/>
                <w:szCs w:val="18"/>
              </w:rPr>
              <w:t>EEA</w:t>
            </w:r>
          </w:p>
        </w:tc>
      </w:tr>
      <w:tr w:rsidR="004D45F1" w14:paraId="72E1F71D" w14:textId="77777777" w:rsidTr="004D45F1">
        <w:trPr>
          <w:cnfStyle w:val="000000100000" w:firstRow="0" w:lastRow="0" w:firstColumn="0" w:lastColumn="0" w:oddVBand="0" w:evenVBand="0" w:oddHBand="1" w:evenHBand="0" w:firstRowFirstColumn="0" w:firstRowLastColumn="0" w:lastRowFirstColumn="0" w:lastRowLastColumn="0"/>
          <w:trHeight w:val="850"/>
        </w:trPr>
        <w:tc>
          <w:tcPr>
            <w:tcW w:w="2626" w:type="dxa"/>
            <w:vMerge/>
            <w:tcBorders>
              <w:top w:val="nil"/>
              <w:left w:val="single" w:sz="4" w:space="0" w:color="0055A0"/>
              <w:bottom w:val="single" w:sz="4" w:space="0" w:color="0055A0"/>
              <w:right w:val="single" w:sz="4" w:space="0" w:color="0055A0"/>
            </w:tcBorders>
            <w:hideMark/>
          </w:tcPr>
          <w:p w14:paraId="3F1F9B3A" w14:textId="77777777" w:rsidR="004D45F1" w:rsidRDefault="004D45F1">
            <w:pPr>
              <w:spacing w:before="0"/>
              <w:rPr>
                <w:rFonts w:cs="Arial"/>
                <w:b/>
                <w:bCs/>
                <w:noProof/>
                <w:sz w:val="18"/>
                <w:szCs w:val="18"/>
              </w:rPr>
            </w:pPr>
          </w:p>
        </w:tc>
        <w:tc>
          <w:tcPr>
            <w:tcW w:w="1659" w:type="dxa"/>
            <w:tcBorders>
              <w:top w:val="nil"/>
              <w:left w:val="single" w:sz="4" w:space="0" w:color="0055A0"/>
              <w:bottom w:val="single" w:sz="4" w:space="0" w:color="0055A0"/>
              <w:right w:val="single" w:sz="4" w:space="0" w:color="0055A0"/>
            </w:tcBorders>
            <w:hideMark/>
          </w:tcPr>
          <w:p w14:paraId="3A92C30F" w14:textId="77777777" w:rsidR="004D45F1" w:rsidRDefault="004D45F1">
            <w:pPr>
              <w:jc w:val="both"/>
              <w:rPr>
                <w:rFonts w:cs="Arial"/>
                <w:noProof/>
                <w:sz w:val="18"/>
                <w:szCs w:val="18"/>
              </w:rPr>
            </w:pPr>
            <w:r>
              <w:rPr>
                <w:rFonts w:cs="Arial"/>
                <w:noProof/>
                <w:sz w:val="18"/>
                <w:szCs w:val="18"/>
              </w:rPr>
              <w:t>Feedstock use</w:t>
            </w:r>
          </w:p>
        </w:tc>
        <w:tc>
          <w:tcPr>
            <w:tcW w:w="1338" w:type="dxa"/>
            <w:tcBorders>
              <w:top w:val="nil"/>
              <w:left w:val="single" w:sz="4" w:space="0" w:color="0055A0"/>
              <w:bottom w:val="single" w:sz="4" w:space="0" w:color="0055A0"/>
              <w:right w:val="single" w:sz="4" w:space="0" w:color="0055A0"/>
            </w:tcBorders>
            <w:hideMark/>
          </w:tcPr>
          <w:p w14:paraId="2B51D8C3" w14:textId="77777777" w:rsidR="004D45F1" w:rsidRDefault="004D45F1">
            <w:pPr>
              <w:jc w:val="center"/>
              <w:rPr>
                <w:rFonts w:cs="Arial"/>
                <w:noProof/>
                <w:sz w:val="18"/>
                <w:szCs w:val="18"/>
              </w:rPr>
            </w:pPr>
            <w:r>
              <w:rPr>
                <w:rFonts w:cs="Arial"/>
                <w:noProof/>
                <w:sz w:val="18"/>
                <w:szCs w:val="18"/>
              </w:rPr>
              <w:t>22,831</w:t>
            </w:r>
          </w:p>
        </w:tc>
        <w:tc>
          <w:tcPr>
            <w:tcW w:w="2835" w:type="dxa"/>
            <w:tcBorders>
              <w:top w:val="nil"/>
              <w:left w:val="single" w:sz="4" w:space="0" w:color="0055A0"/>
              <w:bottom w:val="single" w:sz="4" w:space="0" w:color="0055A0"/>
              <w:right w:val="single" w:sz="4" w:space="0" w:color="0055A0"/>
            </w:tcBorders>
            <w:hideMark/>
          </w:tcPr>
          <w:p w14:paraId="7DF58129" w14:textId="77777777" w:rsidR="004D45F1" w:rsidRDefault="004D45F1">
            <w:pPr>
              <w:jc w:val="both"/>
              <w:rPr>
                <w:rFonts w:cs="Arial"/>
                <w:noProof/>
              </w:rPr>
            </w:pPr>
            <w:r>
              <w:rPr>
                <w:rFonts w:cs="Arial"/>
                <w:noProof/>
              </w:rPr>
              <w:drawing>
                <wp:inline distT="0" distB="0" distL="0" distR="0" wp14:anchorId="0C671A53" wp14:editId="6A69AA15">
                  <wp:extent cx="1656080" cy="22034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80" cy="220345"/>
                          </a:xfrm>
                          <a:prstGeom prst="rect">
                            <a:avLst/>
                          </a:prstGeom>
                          <a:noFill/>
                          <a:ln>
                            <a:noFill/>
                          </a:ln>
                        </pic:spPr>
                      </pic:pic>
                    </a:graphicData>
                  </a:graphic>
                </wp:inline>
              </w:drawing>
            </w:r>
          </w:p>
        </w:tc>
        <w:tc>
          <w:tcPr>
            <w:tcW w:w="964" w:type="dxa"/>
            <w:tcBorders>
              <w:top w:val="nil"/>
              <w:left w:val="single" w:sz="4" w:space="0" w:color="0055A0"/>
              <w:bottom w:val="single" w:sz="4" w:space="0" w:color="0055A0"/>
              <w:right w:val="single" w:sz="4" w:space="0" w:color="0055A0"/>
            </w:tcBorders>
            <w:hideMark/>
          </w:tcPr>
          <w:p w14:paraId="4E68F74E" w14:textId="77777777" w:rsidR="004D45F1" w:rsidRDefault="004D45F1">
            <w:pPr>
              <w:jc w:val="center"/>
              <w:rPr>
                <w:rFonts w:cs="Arial"/>
                <w:noProof/>
                <w:color w:val="000000"/>
                <w:sz w:val="18"/>
                <w:szCs w:val="18"/>
              </w:rPr>
            </w:pPr>
            <w:r>
              <w:rPr>
                <w:rFonts w:cs="Arial"/>
                <w:noProof/>
                <w:color w:val="000000"/>
                <w:sz w:val="18"/>
                <w:szCs w:val="18"/>
              </w:rPr>
              <w:t>20,391</w:t>
            </w:r>
          </w:p>
        </w:tc>
        <w:tc>
          <w:tcPr>
            <w:tcW w:w="1163" w:type="dxa"/>
            <w:tcBorders>
              <w:top w:val="nil"/>
              <w:left w:val="single" w:sz="4" w:space="0" w:color="0055A0"/>
              <w:bottom w:val="single" w:sz="4" w:space="0" w:color="0055A0"/>
              <w:right w:val="single" w:sz="4" w:space="0" w:color="0055A0"/>
            </w:tcBorders>
            <w:hideMark/>
          </w:tcPr>
          <w:p w14:paraId="2BE45D74" w14:textId="77777777" w:rsidR="004D45F1" w:rsidRDefault="004D45F1">
            <w:pPr>
              <w:jc w:val="both"/>
              <w:rPr>
                <w:rFonts w:cs="Arial"/>
                <w:noProof/>
                <w:sz w:val="18"/>
                <w:szCs w:val="18"/>
              </w:rPr>
            </w:pPr>
            <w:r>
              <w:rPr>
                <w:rFonts w:cs="Arial"/>
                <w:noProof/>
                <w:sz w:val="18"/>
                <w:szCs w:val="18"/>
              </w:rPr>
              <w:t>Evaluation</w:t>
            </w:r>
          </w:p>
        </w:tc>
      </w:tr>
    </w:tbl>
    <w:p w14:paraId="61D21AC7" w14:textId="77777777" w:rsidR="004D45F1" w:rsidRDefault="004D45F1" w:rsidP="004D45F1">
      <w:pPr>
        <w:spacing w:after="120"/>
        <w:jc w:val="both"/>
        <w:rPr>
          <w:rFonts w:ascii="Calibri" w:eastAsia="Calibri" w:hAnsi="Calibri" w:cs="Calibri"/>
          <w:noProof/>
          <w:sz w:val="24"/>
          <w:szCs w:val="24"/>
          <w:highlight w:val="yellow"/>
        </w:rPr>
      </w:pPr>
    </w:p>
    <w:p w14:paraId="545A3F40"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the EU, ODS are produced and imported for use by chemical industry (i.e. feedstock use, process agent sue), laboratory use, and for export outside the EU. Currently, only the chemical industry is using ODS in large quantities, mostly as feedstock. </w:t>
      </w:r>
    </w:p>
    <w:p w14:paraId="253956DD"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Production</w:t>
      </w:r>
      <w:r>
        <w:rPr>
          <w:rFonts w:ascii="Times New Roman" w:eastAsia="Calibri" w:hAnsi="Times New Roman" w:cs="Times New Roman"/>
          <w:noProof/>
          <w:sz w:val="24"/>
          <w:szCs w:val="24"/>
        </w:rPr>
        <w:t xml:space="preserve"> has increased significantly recently but this seems to be linked to a demand outside of the EU, as exports have similarly been rising strongly very recently. Production for the EU market, which is essentially for feedstock use, has been declining. Exports of ODS is sensitive to the global market, but feedstock use will continue worldwide in significant quantities.</w:t>
      </w:r>
      <w:r>
        <w:rPr>
          <w:rFonts w:ascii="Times New Roman" w:hAnsi="Times New Roman" w:cs="Times New Roman"/>
          <w:noProof/>
          <w:sz w:val="24"/>
          <w:szCs w:val="24"/>
        </w:rPr>
        <w:t xml:space="preserve"> As a </w:t>
      </w:r>
      <w:r>
        <w:rPr>
          <w:rFonts w:ascii="Times New Roman" w:eastAsia="Calibri" w:hAnsi="Times New Roman" w:cs="Times New Roman"/>
          <w:noProof/>
          <w:sz w:val="24"/>
          <w:szCs w:val="24"/>
        </w:rPr>
        <w:t>proxy, the global chemical industry scenario from the IEA (SDS, Sustainable Development Scenario) for global ammonia</w:t>
      </w:r>
      <w:r>
        <w:rPr>
          <w:rStyle w:val="FootnoteReference"/>
          <w:rFonts w:eastAsia="Calibri"/>
          <w:noProof/>
          <w:sz w:val="24"/>
          <w:szCs w:val="24"/>
        </w:rPr>
        <w:footnoteReference w:id="97"/>
      </w:r>
      <w:r>
        <w:rPr>
          <w:rFonts w:ascii="Times New Roman" w:eastAsia="Calibri" w:hAnsi="Times New Roman" w:cs="Times New Roman"/>
          <w:noProof/>
          <w:sz w:val="24"/>
          <w:szCs w:val="24"/>
        </w:rPr>
        <w:t xml:space="preserve"> demand is used. It is expected however that many feedstock chemicals will also be produced in Southeast Asia in the future. With this in mind, exports are expected not to surpass the (high) 2019 figure and are kept constant. As a result, production of ODS (Annex I) expressed in tODP is expected to decrease over the 2020 – 2050 period.</w:t>
      </w:r>
    </w:p>
    <w:p w14:paraId="23C6233F"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the use of ODS, between 2010 and 2019, and also for the more recent 2015-2019 period, there is a clear decrease in </w:t>
      </w:r>
      <w:r>
        <w:rPr>
          <w:rFonts w:ascii="Times New Roman" w:eastAsia="Calibri" w:hAnsi="Times New Roman" w:cs="Times New Roman"/>
          <w:b/>
          <w:noProof/>
          <w:sz w:val="24"/>
          <w:szCs w:val="24"/>
        </w:rPr>
        <w:t>feedstock use</w:t>
      </w:r>
      <w:r>
        <w:rPr>
          <w:rFonts w:ascii="Times New Roman" w:eastAsia="Calibri" w:hAnsi="Times New Roman" w:cs="Times New Roman"/>
          <w:noProof/>
          <w:sz w:val="24"/>
          <w:szCs w:val="24"/>
        </w:rPr>
        <w:t xml:space="preserve"> (and process agent use), in terms of tODP. For feedstock use, the amount in metric tonnes has not decreased substantially, but the average ODP of the substances has. This reduction is due to a shift away from relatively high-ODP feedstocks (a sharp reduction of CTC use). For </w:t>
      </w:r>
      <w:r>
        <w:rPr>
          <w:rFonts w:ascii="Times New Roman" w:eastAsia="Calibri" w:hAnsi="Times New Roman" w:cs="Times New Roman"/>
          <w:b/>
          <w:noProof/>
          <w:sz w:val="24"/>
          <w:szCs w:val="24"/>
        </w:rPr>
        <w:t>process agents</w:t>
      </w:r>
      <w:r>
        <w:rPr>
          <w:rFonts w:ascii="Times New Roman" w:eastAsia="Calibri" w:hAnsi="Times New Roman" w:cs="Times New Roman"/>
          <w:noProof/>
          <w:sz w:val="24"/>
          <w:szCs w:val="24"/>
        </w:rPr>
        <w:t xml:space="preserve"> the reduction from 2015 is 28.5%, although it should be emphasised that a single company takes up more than half of all the use. As there are alternatives for the use of ODS as process agents, they are expected to be phased out naturally in the medium term for the few remaining old installation that still use such processes. For feedstock use of Annex II substances, the decrease can be attributed to a decrease in methyl chloride production. </w:t>
      </w:r>
    </w:p>
    <w:p w14:paraId="0342DBE4"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If chemical production in the EU continues to grow at the same rate (0.3% annual growth as shown by CEFIC indicator in the last 5 years), we should expect to see the historical trends in ODS-related variables to continue. The downwards trends shown in the process agent (in tODP and metric tonnes) and feedstock use (in tODP only) data, however, show very rapid decreases recently. If they were projected linearly into the future, the feedstock use in tODP would reduce more rapidly than what can be reasonably expected from the chemical industry, given that the total use in metric tonnes did not decrease. </w:t>
      </w:r>
    </w:p>
    <w:p w14:paraId="36FA6F8D"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ODS Regulation does not restrict feedstock use, and there is no technological justification to assume the reduced 2019 emissions and feedstock use ODP is a reliable trend that will continue at the same pace in the long-term. There are indications of industry re-location to South East Asia, though this is difficult to forecast. To adjust our projection to these expectations and make sure our baseline scenario does not incorporate aggressive reductions, </w:t>
      </w:r>
      <w:r>
        <w:rPr>
          <w:rFonts w:ascii="Times New Roman" w:eastAsia="Calibri" w:hAnsi="Times New Roman" w:cs="Times New Roman"/>
          <w:b/>
          <w:noProof/>
          <w:sz w:val="24"/>
          <w:szCs w:val="24"/>
        </w:rPr>
        <w:t>the reduction rate in tODP for feedstock is reduced to 33% of the 2010-2019 trends</w:t>
      </w:r>
      <w:r>
        <w:rPr>
          <w:rFonts w:ascii="Times New Roman" w:eastAsia="Calibri" w:hAnsi="Times New Roman" w:cs="Times New Roman"/>
          <w:noProof/>
          <w:sz w:val="24"/>
          <w:szCs w:val="24"/>
        </w:rPr>
        <w:t xml:space="preserve">. This allows for the movement of less high-ODP feedstocks to continue, but reflects that in metric tonnes, feedstock use stays relatively constant. </w:t>
      </w:r>
      <w:r>
        <w:rPr>
          <w:rFonts w:ascii="Times New Roman" w:eastAsia="Calibri" w:hAnsi="Times New Roman" w:cs="Times New Roman"/>
          <w:b/>
          <w:noProof/>
          <w:sz w:val="24"/>
          <w:szCs w:val="24"/>
        </w:rPr>
        <w:t>This correction was also applied for process agents, but more aggressively at 50%, as these are used in a small number of old installations in the EU, for which phase out is expected to continue.</w:t>
      </w:r>
    </w:p>
    <w:p w14:paraId="40965721" w14:textId="77777777" w:rsidR="004D45F1" w:rsidRDefault="004D45F1" w:rsidP="004D45F1">
      <w:pPr>
        <w:spacing w:after="120"/>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ODS emissions are mainly occurring from three sources:</w:t>
      </w:r>
    </w:p>
    <w:p w14:paraId="629974D6" w14:textId="77777777" w:rsidR="004D45F1" w:rsidRDefault="004D45F1" w:rsidP="00AD73CF">
      <w:pPr>
        <w:numPr>
          <w:ilvl w:val="0"/>
          <w:numId w:val="41"/>
        </w:numPr>
        <w:spacing w:after="0"/>
        <w:ind w:left="714" w:hanging="357"/>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End-of-life emissions from banks</w:t>
      </w:r>
      <w:r>
        <w:rPr>
          <w:rFonts w:ascii="Times New Roman" w:eastAsia="Calibri" w:hAnsi="Times New Roman" w:cs="Times New Roman"/>
          <w:noProof/>
          <w:sz w:val="24"/>
          <w:szCs w:val="24"/>
        </w:rPr>
        <w:t>, most notably foam banks, which account for the vast majority of remaining emissions.</w:t>
      </w:r>
      <w:r>
        <w:rPr>
          <w:rFonts w:ascii="Times New Roman" w:eastAsia="Calibri" w:hAnsi="Times New Roman" w:cs="Times New Roman"/>
          <w:i/>
          <w:iCs/>
          <w:noProof/>
          <w:sz w:val="24"/>
          <w:szCs w:val="24"/>
        </w:rPr>
        <w:t xml:space="preserve"> </w:t>
      </w:r>
    </w:p>
    <w:p w14:paraId="34242C81" w14:textId="77777777" w:rsidR="004D45F1" w:rsidRDefault="004D45F1" w:rsidP="00AD73CF">
      <w:pPr>
        <w:numPr>
          <w:ilvl w:val="0"/>
          <w:numId w:val="41"/>
        </w:numPr>
        <w:spacing w:after="0"/>
        <w:ind w:left="714" w:hanging="357"/>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Industrial processes</w:t>
      </w:r>
      <w:r>
        <w:rPr>
          <w:rFonts w:ascii="Times New Roman" w:eastAsia="Calibri" w:hAnsi="Times New Roman" w:cs="Times New Roman"/>
          <w:noProof/>
          <w:sz w:val="24"/>
          <w:szCs w:val="24"/>
        </w:rPr>
        <w:t xml:space="preserve"> whereby low amounts of emissions are released as part of ODS production, feedstock use, and process agent use</w:t>
      </w:r>
    </w:p>
    <w:p w14:paraId="6ACC26E1" w14:textId="77777777" w:rsidR="004D45F1" w:rsidRDefault="004D45F1" w:rsidP="00AD73CF">
      <w:pPr>
        <w:numPr>
          <w:ilvl w:val="0"/>
          <w:numId w:val="41"/>
        </w:numPr>
        <w:spacing w:after="0"/>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release of halons during critical use applications and banks</w:t>
      </w:r>
      <w:r>
        <w:rPr>
          <w:rFonts w:ascii="Times New Roman" w:eastAsia="Calibri" w:hAnsi="Times New Roman" w:cs="Times New Roman"/>
          <w:noProof/>
          <w:sz w:val="24"/>
          <w:szCs w:val="24"/>
        </w:rPr>
        <w:t xml:space="preserve">. </w:t>
      </w:r>
    </w:p>
    <w:p w14:paraId="34FC73A9" w14:textId="77777777" w:rsidR="004D45F1" w:rsidRDefault="004D45F1" w:rsidP="004D45F1">
      <w:pPr>
        <w:spacing w:after="120"/>
        <w:jc w:val="both"/>
        <w:rPr>
          <w:rFonts w:ascii="Times New Roman" w:eastAsia="Calibri" w:hAnsi="Times New Roman" w:cs="Times New Roman"/>
          <w:noProof/>
          <w:sz w:val="24"/>
          <w:szCs w:val="24"/>
        </w:rPr>
      </w:pPr>
    </w:p>
    <w:p w14:paraId="53EDDFDA"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table A4.2 the recent emission factors and trends for different emission sources are given.</w:t>
      </w:r>
    </w:p>
    <w:p w14:paraId="67B196A5" w14:textId="77777777" w:rsidR="004D45F1" w:rsidRDefault="004D45F1" w:rsidP="004D45F1">
      <w:pPr>
        <w:jc w:val="both"/>
        <w:rPr>
          <w:rFonts w:ascii="Arial" w:eastAsia="Calibri" w:hAnsi="Arial" w:cs="Arial"/>
          <w:i/>
          <w:iCs/>
          <w:noProof/>
          <w:color w:val="4BACC6" w:themeColor="accent5"/>
          <w:sz w:val="20"/>
          <w:szCs w:val="20"/>
        </w:rPr>
      </w:pPr>
      <w:r>
        <w:rPr>
          <w:rFonts w:ascii="Calibri" w:eastAsia="Calibri" w:hAnsi="Calibri" w:cs="Calibri"/>
          <w:noProof/>
          <w:color w:val="4BACC6" w:themeColor="accent5"/>
          <w:sz w:val="20"/>
          <w:szCs w:val="20"/>
        </w:rPr>
        <w:t xml:space="preserve">Table A4.2 2019 emissions of ODS and recent trends of emissions factors </w:t>
      </w:r>
    </w:p>
    <w:tbl>
      <w:tblPr>
        <w:tblStyle w:val="Mainbidtables1"/>
        <w:tblW w:w="4877" w:type="pct"/>
        <w:tblLook w:val="04A0" w:firstRow="1" w:lastRow="0" w:firstColumn="1" w:lastColumn="0" w:noHBand="0" w:noVBand="1"/>
      </w:tblPr>
      <w:tblGrid>
        <w:gridCol w:w="877"/>
        <w:gridCol w:w="1304"/>
        <w:gridCol w:w="1064"/>
        <w:gridCol w:w="1666"/>
        <w:gridCol w:w="3204"/>
        <w:gridCol w:w="900"/>
      </w:tblGrid>
      <w:tr w:rsidR="004D45F1" w14:paraId="21A357F7" w14:textId="77777777" w:rsidTr="004D45F1">
        <w:trPr>
          <w:cnfStyle w:val="100000000000" w:firstRow="1" w:lastRow="0" w:firstColumn="0" w:lastColumn="0" w:oddVBand="0" w:evenVBand="0" w:oddHBand="0" w:evenHBand="0" w:firstRowFirstColumn="0" w:firstRowLastColumn="0" w:lastRowFirstColumn="0" w:lastRowLastColumn="0"/>
        </w:trPr>
        <w:tc>
          <w:tcPr>
            <w:tcW w:w="487" w:type="pct"/>
            <w:hideMark/>
          </w:tcPr>
          <w:p w14:paraId="22ED19BA" w14:textId="77777777" w:rsidR="004D45F1" w:rsidRDefault="004D45F1">
            <w:pPr>
              <w:jc w:val="both"/>
              <w:rPr>
                <w:rFonts w:cs="Arial"/>
                <w:noProof/>
                <w:sz w:val="18"/>
                <w:szCs w:val="18"/>
              </w:rPr>
            </w:pPr>
            <w:bookmarkStart w:id="380" w:name="_Hlk55546622"/>
            <w:r>
              <w:rPr>
                <w:rFonts w:cs="Arial"/>
                <w:noProof/>
                <w:sz w:val="18"/>
                <w:szCs w:val="18"/>
              </w:rPr>
              <w:t>Flow</w:t>
            </w:r>
          </w:p>
        </w:tc>
        <w:tc>
          <w:tcPr>
            <w:tcW w:w="723" w:type="pct"/>
            <w:hideMark/>
          </w:tcPr>
          <w:p w14:paraId="7D00A99E" w14:textId="77777777" w:rsidR="004D45F1" w:rsidRDefault="004D45F1">
            <w:pPr>
              <w:jc w:val="both"/>
              <w:rPr>
                <w:rFonts w:cs="Arial"/>
                <w:noProof/>
                <w:sz w:val="18"/>
                <w:szCs w:val="18"/>
              </w:rPr>
            </w:pPr>
            <w:r>
              <w:rPr>
                <w:rFonts w:cs="Arial"/>
                <w:noProof/>
                <w:sz w:val="18"/>
                <w:szCs w:val="18"/>
              </w:rPr>
              <w:t>ODS source</w:t>
            </w:r>
          </w:p>
        </w:tc>
        <w:tc>
          <w:tcPr>
            <w:tcW w:w="590" w:type="pct"/>
            <w:hideMark/>
          </w:tcPr>
          <w:p w14:paraId="1D780351" w14:textId="77777777" w:rsidR="004D45F1" w:rsidRDefault="004D45F1">
            <w:pPr>
              <w:jc w:val="both"/>
              <w:rPr>
                <w:rFonts w:cs="Arial"/>
                <w:noProof/>
                <w:sz w:val="18"/>
                <w:szCs w:val="18"/>
              </w:rPr>
            </w:pPr>
            <w:r>
              <w:rPr>
                <w:rFonts w:cs="Arial"/>
                <w:noProof/>
                <w:sz w:val="18"/>
                <w:szCs w:val="18"/>
              </w:rPr>
              <w:t>2019 Emissions (tODP)</w:t>
            </w:r>
          </w:p>
        </w:tc>
        <w:tc>
          <w:tcPr>
            <w:tcW w:w="3200" w:type="pct"/>
            <w:gridSpan w:val="3"/>
            <w:hideMark/>
          </w:tcPr>
          <w:p w14:paraId="20240A14" w14:textId="77777777" w:rsidR="004D45F1" w:rsidRDefault="004D45F1">
            <w:pPr>
              <w:jc w:val="both"/>
              <w:rPr>
                <w:rFonts w:cs="Arial"/>
                <w:noProof/>
                <w:sz w:val="18"/>
                <w:szCs w:val="18"/>
              </w:rPr>
            </w:pPr>
            <w:r>
              <w:rPr>
                <w:rFonts w:cs="Arial"/>
                <w:noProof/>
                <w:sz w:val="18"/>
                <w:szCs w:val="18"/>
              </w:rPr>
              <w:t>Emission factor trends for 2010 – 2019 (annual or stock tODP)</w:t>
            </w:r>
          </w:p>
        </w:tc>
      </w:tr>
      <w:tr w:rsidR="004D45F1" w14:paraId="44D2F571" w14:textId="77777777" w:rsidTr="004D45F1">
        <w:trPr>
          <w:cnfStyle w:val="000000100000" w:firstRow="0" w:lastRow="0" w:firstColumn="0" w:lastColumn="0" w:oddVBand="0" w:evenVBand="0" w:oddHBand="1" w:evenHBand="0" w:firstRowFirstColumn="0" w:firstRowLastColumn="0" w:lastRowFirstColumn="0" w:lastRowLastColumn="0"/>
        </w:trPr>
        <w:tc>
          <w:tcPr>
            <w:tcW w:w="487" w:type="pct"/>
            <w:vMerge w:val="restart"/>
            <w:tcBorders>
              <w:top w:val="nil"/>
              <w:left w:val="single" w:sz="4" w:space="0" w:color="0055A0"/>
              <w:bottom w:val="nil"/>
              <w:right w:val="single" w:sz="4" w:space="0" w:color="0055A0"/>
            </w:tcBorders>
            <w:hideMark/>
          </w:tcPr>
          <w:p w14:paraId="12726923" w14:textId="77777777" w:rsidR="004D45F1" w:rsidRDefault="004D45F1">
            <w:pPr>
              <w:jc w:val="both"/>
              <w:rPr>
                <w:rFonts w:cs="Arial"/>
                <w:noProof/>
                <w:sz w:val="18"/>
                <w:szCs w:val="18"/>
              </w:rPr>
            </w:pPr>
            <w:r>
              <w:rPr>
                <w:rFonts w:cs="Arial"/>
                <w:noProof/>
                <w:sz w:val="18"/>
                <w:szCs w:val="18"/>
              </w:rPr>
              <w:t>Raw material</w:t>
            </w:r>
          </w:p>
        </w:tc>
        <w:tc>
          <w:tcPr>
            <w:tcW w:w="723" w:type="pct"/>
            <w:tcBorders>
              <w:top w:val="nil"/>
              <w:left w:val="single" w:sz="4" w:space="0" w:color="0055A0"/>
              <w:bottom w:val="nil"/>
              <w:right w:val="single" w:sz="4" w:space="0" w:color="0055A0"/>
            </w:tcBorders>
            <w:hideMark/>
          </w:tcPr>
          <w:p w14:paraId="4A38255A" w14:textId="77777777" w:rsidR="004D45F1" w:rsidRDefault="004D45F1">
            <w:pPr>
              <w:jc w:val="both"/>
              <w:rPr>
                <w:rFonts w:cs="Arial"/>
                <w:noProof/>
                <w:sz w:val="18"/>
                <w:szCs w:val="18"/>
              </w:rPr>
            </w:pPr>
            <w:r>
              <w:rPr>
                <w:rFonts w:cs="Arial"/>
                <w:noProof/>
                <w:sz w:val="18"/>
                <w:szCs w:val="18"/>
              </w:rPr>
              <w:t>Production of controlled substances (2010 – 2019)</w:t>
            </w:r>
          </w:p>
        </w:tc>
        <w:tc>
          <w:tcPr>
            <w:tcW w:w="590" w:type="pct"/>
            <w:tcBorders>
              <w:top w:val="nil"/>
              <w:left w:val="single" w:sz="4" w:space="0" w:color="0055A0"/>
              <w:bottom w:val="nil"/>
              <w:right w:val="single" w:sz="4" w:space="0" w:color="0055A0"/>
            </w:tcBorders>
            <w:hideMark/>
          </w:tcPr>
          <w:p w14:paraId="66FDCC07" w14:textId="77777777" w:rsidR="004D45F1" w:rsidRDefault="004D45F1">
            <w:pPr>
              <w:jc w:val="both"/>
              <w:rPr>
                <w:rFonts w:cs="Arial"/>
                <w:noProof/>
                <w:color w:val="000000"/>
                <w:sz w:val="18"/>
                <w:szCs w:val="18"/>
              </w:rPr>
            </w:pPr>
            <w:r>
              <w:rPr>
                <w:rFonts w:cs="Arial"/>
                <w:noProof/>
                <w:color w:val="000000"/>
                <w:sz w:val="18"/>
                <w:szCs w:val="18"/>
              </w:rPr>
              <w:t>10*</w:t>
            </w:r>
          </w:p>
        </w:tc>
        <w:tc>
          <w:tcPr>
            <w:tcW w:w="2701" w:type="pct"/>
            <w:gridSpan w:val="2"/>
            <w:tcBorders>
              <w:top w:val="nil"/>
              <w:left w:val="single" w:sz="4" w:space="0" w:color="0055A0"/>
              <w:bottom w:val="nil"/>
              <w:right w:val="single" w:sz="4" w:space="0" w:color="0055A0"/>
            </w:tcBorders>
            <w:hideMark/>
          </w:tcPr>
          <w:p w14:paraId="31891CAF" w14:textId="77777777" w:rsidR="004D45F1" w:rsidRDefault="004D45F1">
            <w:pPr>
              <w:jc w:val="both"/>
              <w:rPr>
                <w:rFonts w:cs="Arial"/>
                <w:i/>
                <w:iCs/>
                <w:noProof/>
                <w:color w:val="000000"/>
                <w:sz w:val="18"/>
                <w:szCs w:val="18"/>
              </w:rPr>
            </w:pPr>
            <w:r>
              <w:rPr>
                <w:rFonts w:cs="Arial"/>
                <w:i/>
                <w:iCs/>
                <w:noProof/>
                <w:color w:val="000000"/>
                <w:sz w:val="18"/>
                <w:szCs w:val="18"/>
              </w:rPr>
              <w:t>No reliable data on trends available, as data is only reported voluntarily with varying sample size of &lt; 10% of production.</w:t>
            </w:r>
            <w:r>
              <w:rPr>
                <w:rFonts w:cs="Arial"/>
                <w:i/>
                <w:noProof/>
                <w:color w:val="000000" w:themeColor="text1"/>
                <w:sz w:val="18"/>
                <w:szCs w:val="18"/>
              </w:rPr>
              <w:t xml:space="preserve"> </w:t>
            </w:r>
            <w:r>
              <w:rPr>
                <w:rFonts w:cs="Arial"/>
                <w:i/>
                <w:iCs/>
                <w:noProof/>
                <w:color w:val="000000"/>
                <w:sz w:val="18"/>
                <w:szCs w:val="18"/>
              </w:rPr>
              <w:t>Based on the latter, emission rates declined from 0.12% in 2010</w:t>
            </w:r>
          </w:p>
        </w:tc>
        <w:tc>
          <w:tcPr>
            <w:tcW w:w="499" w:type="pct"/>
            <w:tcBorders>
              <w:top w:val="nil"/>
              <w:left w:val="single" w:sz="4" w:space="0" w:color="0055A0"/>
              <w:bottom w:val="nil"/>
              <w:right w:val="single" w:sz="4" w:space="0" w:color="0055A0"/>
            </w:tcBorders>
            <w:hideMark/>
          </w:tcPr>
          <w:p w14:paraId="741E2DE1" w14:textId="77777777" w:rsidR="004D45F1" w:rsidRDefault="004D45F1">
            <w:pPr>
              <w:jc w:val="both"/>
              <w:rPr>
                <w:rFonts w:cs="Arial"/>
                <w:noProof/>
                <w:color w:val="000000"/>
                <w:sz w:val="18"/>
                <w:szCs w:val="18"/>
              </w:rPr>
            </w:pPr>
            <w:r>
              <w:rPr>
                <w:rFonts w:cs="Arial"/>
                <w:noProof/>
                <w:color w:val="000000"/>
                <w:sz w:val="18"/>
                <w:szCs w:val="18"/>
              </w:rPr>
              <w:t>0.02% (2019)</w:t>
            </w:r>
          </w:p>
        </w:tc>
      </w:tr>
      <w:tr w:rsidR="004D45F1" w14:paraId="6A8719D8" w14:textId="77777777" w:rsidTr="004D45F1">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single" w:sz="4" w:space="0" w:color="0055A0"/>
              <w:bottom w:val="nil"/>
            </w:tcBorders>
            <w:hideMark/>
          </w:tcPr>
          <w:p w14:paraId="6C1ECEAF" w14:textId="77777777" w:rsidR="004D45F1" w:rsidRDefault="004D45F1">
            <w:pPr>
              <w:spacing w:before="0"/>
              <w:rPr>
                <w:rFonts w:cs="Arial"/>
                <w:noProof/>
                <w:sz w:val="18"/>
                <w:szCs w:val="18"/>
              </w:rPr>
            </w:pPr>
          </w:p>
        </w:tc>
        <w:tc>
          <w:tcPr>
            <w:tcW w:w="723" w:type="pct"/>
            <w:tcBorders>
              <w:top w:val="nil"/>
              <w:bottom w:val="nil"/>
            </w:tcBorders>
            <w:hideMark/>
          </w:tcPr>
          <w:p w14:paraId="74EBF938" w14:textId="77777777" w:rsidR="004D45F1" w:rsidRDefault="004D45F1">
            <w:pPr>
              <w:jc w:val="both"/>
              <w:rPr>
                <w:rFonts w:cs="Arial"/>
                <w:noProof/>
                <w:sz w:val="18"/>
                <w:szCs w:val="18"/>
                <w:lang w:val="en-IE"/>
              </w:rPr>
            </w:pPr>
            <w:r>
              <w:rPr>
                <w:rFonts w:cs="Arial"/>
                <w:noProof/>
                <w:sz w:val="18"/>
                <w:szCs w:val="18"/>
                <w:lang w:val="en-IE"/>
              </w:rPr>
              <w:t>Production of Annex II substances</w:t>
            </w:r>
          </w:p>
        </w:tc>
        <w:tc>
          <w:tcPr>
            <w:tcW w:w="3790" w:type="pct"/>
            <w:gridSpan w:val="4"/>
            <w:tcBorders>
              <w:top w:val="nil"/>
              <w:bottom w:val="nil"/>
              <w:right w:val="single" w:sz="4" w:space="0" w:color="0055A0"/>
            </w:tcBorders>
            <w:hideMark/>
          </w:tcPr>
          <w:p w14:paraId="1BC4DE0B" w14:textId="77777777" w:rsidR="004D45F1" w:rsidRDefault="004D45F1">
            <w:pPr>
              <w:jc w:val="both"/>
              <w:rPr>
                <w:rFonts w:cs="Arial"/>
                <w:i/>
                <w:iCs/>
                <w:noProof/>
                <w:color w:val="000000"/>
                <w:sz w:val="18"/>
                <w:szCs w:val="18"/>
              </w:rPr>
            </w:pPr>
            <w:r>
              <w:rPr>
                <w:rFonts w:cs="Arial"/>
                <w:i/>
                <w:iCs/>
                <w:noProof/>
                <w:color w:val="000000"/>
                <w:sz w:val="18"/>
                <w:szCs w:val="18"/>
              </w:rPr>
              <w:t>Not reported, estimated as 4 (2019) based on emission factors established for Annex I substances as above</w:t>
            </w:r>
          </w:p>
        </w:tc>
      </w:tr>
      <w:tr w:rsidR="004D45F1" w14:paraId="12E73E44" w14:textId="77777777" w:rsidTr="004D45F1">
        <w:trPr>
          <w:cnfStyle w:val="000000100000" w:firstRow="0" w:lastRow="0" w:firstColumn="0" w:lastColumn="0" w:oddVBand="0" w:evenVBand="0" w:oddHBand="1" w:evenHBand="0" w:firstRowFirstColumn="0" w:firstRowLastColumn="0" w:lastRowFirstColumn="0" w:lastRowLastColumn="0"/>
        </w:trPr>
        <w:tc>
          <w:tcPr>
            <w:tcW w:w="487" w:type="pct"/>
            <w:vMerge w:val="restart"/>
            <w:tcBorders>
              <w:top w:val="nil"/>
              <w:left w:val="single" w:sz="4" w:space="0" w:color="0055A0"/>
              <w:bottom w:val="nil"/>
              <w:right w:val="single" w:sz="4" w:space="0" w:color="0055A0"/>
            </w:tcBorders>
            <w:hideMark/>
          </w:tcPr>
          <w:p w14:paraId="5BF7691B" w14:textId="77777777" w:rsidR="004D45F1" w:rsidRDefault="004D45F1">
            <w:pPr>
              <w:jc w:val="both"/>
              <w:rPr>
                <w:rFonts w:cs="Arial"/>
                <w:noProof/>
                <w:sz w:val="18"/>
                <w:szCs w:val="18"/>
              </w:rPr>
            </w:pPr>
            <w:r>
              <w:rPr>
                <w:rFonts w:cs="Arial"/>
                <w:noProof/>
                <w:sz w:val="18"/>
                <w:szCs w:val="18"/>
              </w:rPr>
              <w:t>Use</w:t>
            </w:r>
          </w:p>
        </w:tc>
        <w:tc>
          <w:tcPr>
            <w:tcW w:w="723" w:type="pct"/>
            <w:tcBorders>
              <w:top w:val="nil"/>
              <w:left w:val="single" w:sz="4" w:space="0" w:color="0055A0"/>
              <w:bottom w:val="nil"/>
              <w:right w:val="single" w:sz="4" w:space="0" w:color="0055A0"/>
            </w:tcBorders>
            <w:hideMark/>
          </w:tcPr>
          <w:p w14:paraId="3D881164" w14:textId="77777777" w:rsidR="004D45F1" w:rsidRDefault="004D45F1">
            <w:pPr>
              <w:jc w:val="both"/>
              <w:rPr>
                <w:rFonts w:cs="Arial"/>
                <w:noProof/>
                <w:sz w:val="18"/>
                <w:szCs w:val="18"/>
              </w:rPr>
            </w:pPr>
            <w:r>
              <w:rPr>
                <w:rFonts w:cs="Arial"/>
                <w:noProof/>
                <w:sz w:val="18"/>
                <w:szCs w:val="18"/>
              </w:rPr>
              <w:t>Feedstock – controlled substances</w:t>
            </w:r>
            <w:r>
              <w:rPr>
                <w:rFonts w:cs="Arial"/>
                <w:noProof/>
                <w:vertAlign w:val="superscript"/>
              </w:rPr>
              <w:footnoteReference w:id="98"/>
            </w:r>
          </w:p>
        </w:tc>
        <w:tc>
          <w:tcPr>
            <w:tcW w:w="590" w:type="pct"/>
            <w:tcBorders>
              <w:top w:val="nil"/>
              <w:left w:val="single" w:sz="4" w:space="0" w:color="0055A0"/>
              <w:bottom w:val="nil"/>
              <w:right w:val="single" w:sz="4" w:space="0" w:color="0055A0"/>
            </w:tcBorders>
            <w:hideMark/>
          </w:tcPr>
          <w:p w14:paraId="28100857" w14:textId="77777777" w:rsidR="004D45F1" w:rsidRDefault="004D45F1">
            <w:pPr>
              <w:jc w:val="both"/>
              <w:rPr>
                <w:rFonts w:cs="Arial"/>
                <w:noProof/>
                <w:color w:val="000000"/>
                <w:sz w:val="18"/>
                <w:szCs w:val="18"/>
              </w:rPr>
            </w:pPr>
            <w:r>
              <w:rPr>
                <w:rFonts w:cs="Arial"/>
                <w:noProof/>
                <w:color w:val="000000"/>
                <w:sz w:val="18"/>
                <w:szCs w:val="18"/>
              </w:rPr>
              <w:t>35</w:t>
            </w:r>
          </w:p>
        </w:tc>
        <w:tc>
          <w:tcPr>
            <w:tcW w:w="924" w:type="pct"/>
            <w:tcBorders>
              <w:top w:val="nil"/>
              <w:left w:val="single" w:sz="4" w:space="0" w:color="0055A0"/>
              <w:bottom w:val="nil"/>
              <w:right w:val="single" w:sz="4" w:space="0" w:color="0055A0"/>
            </w:tcBorders>
            <w:hideMark/>
          </w:tcPr>
          <w:p w14:paraId="0A1CB160" w14:textId="77777777" w:rsidR="004D45F1" w:rsidRDefault="004D45F1">
            <w:pPr>
              <w:jc w:val="both"/>
              <w:rPr>
                <w:rFonts w:cs="Arial"/>
                <w:noProof/>
                <w:color w:val="000000"/>
                <w:sz w:val="18"/>
                <w:szCs w:val="18"/>
              </w:rPr>
            </w:pPr>
            <w:r>
              <w:rPr>
                <w:rFonts w:cs="Arial"/>
                <w:noProof/>
                <w:color w:val="000000"/>
                <w:sz w:val="18"/>
                <w:szCs w:val="18"/>
              </w:rPr>
              <w:t>0.13% (2010)</w:t>
            </w:r>
          </w:p>
        </w:tc>
        <w:tc>
          <w:tcPr>
            <w:tcW w:w="1777" w:type="pct"/>
            <w:tcBorders>
              <w:top w:val="nil"/>
              <w:left w:val="single" w:sz="4" w:space="0" w:color="0055A0"/>
              <w:bottom w:val="nil"/>
              <w:right w:val="single" w:sz="4" w:space="0" w:color="0055A0"/>
            </w:tcBorders>
            <w:hideMark/>
          </w:tcPr>
          <w:p w14:paraId="09CD5318" w14:textId="77777777" w:rsidR="004D45F1" w:rsidRDefault="004D45F1">
            <w:pPr>
              <w:jc w:val="both"/>
              <w:rPr>
                <w:rFonts w:cs="Arial"/>
                <w:noProof/>
                <w:sz w:val="18"/>
                <w:szCs w:val="18"/>
              </w:rPr>
            </w:pPr>
            <w:r>
              <w:rPr>
                <w:rFonts w:cs="Arial"/>
                <w:noProof/>
                <w:sz w:val="18"/>
                <w:szCs w:val="18"/>
              </w:rPr>
              <w:drawing>
                <wp:inline distT="0" distB="0" distL="0" distR="0" wp14:anchorId="72AECFDA" wp14:editId="3768D170">
                  <wp:extent cx="1849120" cy="372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9120" cy="372745"/>
                          </a:xfrm>
                          <a:prstGeom prst="rect">
                            <a:avLst/>
                          </a:prstGeom>
                          <a:noFill/>
                          <a:ln>
                            <a:noFill/>
                          </a:ln>
                        </pic:spPr>
                      </pic:pic>
                    </a:graphicData>
                  </a:graphic>
                </wp:inline>
              </w:drawing>
            </w:r>
          </w:p>
        </w:tc>
        <w:tc>
          <w:tcPr>
            <w:tcW w:w="499" w:type="pct"/>
            <w:tcBorders>
              <w:top w:val="nil"/>
              <w:left w:val="single" w:sz="4" w:space="0" w:color="0055A0"/>
              <w:bottom w:val="nil"/>
              <w:right w:val="single" w:sz="4" w:space="0" w:color="0055A0"/>
            </w:tcBorders>
            <w:hideMark/>
          </w:tcPr>
          <w:p w14:paraId="24F9816F" w14:textId="77777777" w:rsidR="004D45F1" w:rsidRDefault="004D45F1">
            <w:pPr>
              <w:jc w:val="both"/>
              <w:rPr>
                <w:rFonts w:cs="Arial"/>
                <w:noProof/>
                <w:color w:val="000000"/>
                <w:sz w:val="18"/>
                <w:szCs w:val="18"/>
              </w:rPr>
            </w:pPr>
            <w:r>
              <w:rPr>
                <w:rFonts w:cs="Arial"/>
                <w:noProof/>
                <w:color w:val="000000"/>
                <w:sz w:val="18"/>
                <w:szCs w:val="18"/>
              </w:rPr>
              <w:t>0.09% (2019)</w:t>
            </w:r>
          </w:p>
        </w:tc>
      </w:tr>
      <w:tr w:rsidR="004D45F1" w14:paraId="0028857B" w14:textId="77777777" w:rsidTr="004D45F1">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single" w:sz="4" w:space="0" w:color="0055A0"/>
              <w:bottom w:val="nil"/>
            </w:tcBorders>
            <w:hideMark/>
          </w:tcPr>
          <w:p w14:paraId="4C4C805B" w14:textId="77777777" w:rsidR="004D45F1" w:rsidRDefault="004D45F1">
            <w:pPr>
              <w:spacing w:before="0"/>
              <w:rPr>
                <w:rFonts w:cs="Arial"/>
                <w:noProof/>
                <w:sz w:val="18"/>
                <w:szCs w:val="18"/>
              </w:rPr>
            </w:pPr>
          </w:p>
        </w:tc>
        <w:tc>
          <w:tcPr>
            <w:tcW w:w="723" w:type="pct"/>
            <w:tcBorders>
              <w:top w:val="nil"/>
              <w:bottom w:val="nil"/>
            </w:tcBorders>
            <w:hideMark/>
          </w:tcPr>
          <w:p w14:paraId="2DE5121B" w14:textId="77777777" w:rsidR="004D45F1" w:rsidRDefault="004D45F1">
            <w:pPr>
              <w:jc w:val="both"/>
              <w:rPr>
                <w:rFonts w:cs="Arial"/>
                <w:noProof/>
                <w:sz w:val="18"/>
                <w:szCs w:val="18"/>
              </w:rPr>
            </w:pPr>
            <w:r>
              <w:rPr>
                <w:rFonts w:cs="Arial"/>
                <w:noProof/>
                <w:sz w:val="18"/>
                <w:szCs w:val="18"/>
              </w:rPr>
              <w:t>Feedstock – Annex II</w:t>
            </w:r>
          </w:p>
        </w:tc>
        <w:tc>
          <w:tcPr>
            <w:tcW w:w="590" w:type="pct"/>
            <w:tcBorders>
              <w:top w:val="nil"/>
              <w:bottom w:val="nil"/>
            </w:tcBorders>
            <w:hideMark/>
          </w:tcPr>
          <w:p w14:paraId="47F450A1" w14:textId="77777777" w:rsidR="004D45F1" w:rsidRDefault="004D45F1">
            <w:pPr>
              <w:jc w:val="both"/>
              <w:rPr>
                <w:rFonts w:cs="Arial"/>
                <w:noProof/>
                <w:color w:val="000000"/>
                <w:sz w:val="18"/>
                <w:szCs w:val="18"/>
              </w:rPr>
            </w:pPr>
            <w:r>
              <w:rPr>
                <w:rFonts w:cs="Arial"/>
                <w:noProof/>
                <w:color w:val="000000"/>
                <w:sz w:val="18"/>
                <w:szCs w:val="18"/>
              </w:rPr>
              <w:t>18</w:t>
            </w:r>
          </w:p>
        </w:tc>
        <w:tc>
          <w:tcPr>
            <w:tcW w:w="3200" w:type="pct"/>
            <w:gridSpan w:val="3"/>
            <w:tcBorders>
              <w:top w:val="nil"/>
              <w:bottom w:val="nil"/>
              <w:right w:val="single" w:sz="4" w:space="0" w:color="0055A0"/>
            </w:tcBorders>
            <w:hideMark/>
          </w:tcPr>
          <w:p w14:paraId="02C5FA86" w14:textId="77777777" w:rsidR="004D45F1" w:rsidRDefault="004D45F1">
            <w:pPr>
              <w:jc w:val="both"/>
              <w:rPr>
                <w:rFonts w:cs="Arial"/>
                <w:noProof/>
                <w:color w:val="000000"/>
                <w:sz w:val="18"/>
                <w:szCs w:val="18"/>
                <w:lang w:val="en-IE"/>
              </w:rPr>
            </w:pPr>
            <w:r>
              <w:rPr>
                <w:rFonts w:cs="Arial"/>
                <w:i/>
                <w:iCs/>
                <w:noProof/>
                <w:color w:val="000000"/>
                <w:sz w:val="18"/>
                <w:szCs w:val="18"/>
                <w:lang w:val="en-IE"/>
              </w:rPr>
              <w:t>Not reported, but assumed to be similar as the EF for feedstock use of Annex I substances</w:t>
            </w:r>
          </w:p>
        </w:tc>
      </w:tr>
      <w:tr w:rsidR="004D45F1" w14:paraId="54D41614" w14:textId="77777777" w:rsidTr="004D45F1">
        <w:trPr>
          <w:cnfStyle w:val="000000100000" w:firstRow="0" w:lastRow="0" w:firstColumn="0" w:lastColumn="0" w:oddVBand="0" w:evenVBand="0" w:oddHBand="1" w:evenHBand="0" w:firstRowFirstColumn="0" w:firstRowLastColumn="0" w:lastRowFirstColumn="0" w:lastRowLastColumn="0"/>
        </w:trPr>
        <w:tc>
          <w:tcPr>
            <w:tcW w:w="0" w:type="auto"/>
            <w:vMerge/>
            <w:tcBorders>
              <w:top w:val="nil"/>
              <w:left w:val="single" w:sz="4" w:space="0" w:color="0055A0"/>
              <w:bottom w:val="nil"/>
              <w:right w:val="single" w:sz="4" w:space="0" w:color="0055A0"/>
            </w:tcBorders>
            <w:hideMark/>
          </w:tcPr>
          <w:p w14:paraId="2D9565E7" w14:textId="77777777" w:rsidR="004D45F1" w:rsidRDefault="004D45F1">
            <w:pPr>
              <w:spacing w:before="0"/>
              <w:rPr>
                <w:rFonts w:cs="Arial"/>
                <w:noProof/>
                <w:sz w:val="18"/>
                <w:szCs w:val="18"/>
              </w:rPr>
            </w:pPr>
          </w:p>
        </w:tc>
        <w:tc>
          <w:tcPr>
            <w:tcW w:w="723" w:type="pct"/>
            <w:tcBorders>
              <w:top w:val="nil"/>
              <w:left w:val="single" w:sz="4" w:space="0" w:color="0055A0"/>
              <w:bottom w:val="nil"/>
              <w:right w:val="single" w:sz="4" w:space="0" w:color="0055A0"/>
            </w:tcBorders>
            <w:hideMark/>
          </w:tcPr>
          <w:p w14:paraId="57730B74" w14:textId="77777777" w:rsidR="004D45F1" w:rsidRDefault="004D45F1">
            <w:pPr>
              <w:jc w:val="both"/>
              <w:rPr>
                <w:rFonts w:cs="Arial"/>
                <w:noProof/>
                <w:sz w:val="18"/>
                <w:szCs w:val="18"/>
              </w:rPr>
            </w:pPr>
            <w:r>
              <w:rPr>
                <w:rFonts w:cs="Arial"/>
                <w:noProof/>
                <w:sz w:val="18"/>
                <w:szCs w:val="18"/>
              </w:rPr>
              <w:t>Process agents</w:t>
            </w:r>
          </w:p>
        </w:tc>
        <w:tc>
          <w:tcPr>
            <w:tcW w:w="590" w:type="pct"/>
            <w:tcBorders>
              <w:top w:val="nil"/>
              <w:left w:val="single" w:sz="4" w:space="0" w:color="0055A0"/>
              <w:bottom w:val="nil"/>
              <w:right w:val="single" w:sz="4" w:space="0" w:color="0055A0"/>
            </w:tcBorders>
            <w:hideMark/>
          </w:tcPr>
          <w:p w14:paraId="738B4817" w14:textId="77777777" w:rsidR="004D45F1" w:rsidRDefault="004D45F1">
            <w:pPr>
              <w:jc w:val="both"/>
              <w:rPr>
                <w:rFonts w:cs="Arial"/>
                <w:noProof/>
                <w:color w:val="000000"/>
                <w:sz w:val="18"/>
                <w:szCs w:val="18"/>
              </w:rPr>
            </w:pPr>
            <w:r>
              <w:rPr>
                <w:rFonts w:cs="Arial"/>
                <w:noProof/>
                <w:color w:val="000000"/>
                <w:sz w:val="18"/>
                <w:szCs w:val="18"/>
              </w:rPr>
              <w:t>4</w:t>
            </w:r>
          </w:p>
        </w:tc>
        <w:tc>
          <w:tcPr>
            <w:tcW w:w="924" w:type="pct"/>
            <w:tcBorders>
              <w:top w:val="nil"/>
              <w:left w:val="single" w:sz="4" w:space="0" w:color="0055A0"/>
              <w:bottom w:val="nil"/>
              <w:right w:val="single" w:sz="4" w:space="0" w:color="0055A0"/>
            </w:tcBorders>
            <w:hideMark/>
          </w:tcPr>
          <w:p w14:paraId="41598A39" w14:textId="77777777" w:rsidR="004D45F1" w:rsidRDefault="004D45F1">
            <w:pPr>
              <w:jc w:val="both"/>
              <w:rPr>
                <w:rFonts w:cs="Arial"/>
                <w:noProof/>
                <w:color w:val="000000"/>
                <w:sz w:val="18"/>
                <w:szCs w:val="18"/>
              </w:rPr>
            </w:pPr>
            <w:r>
              <w:rPr>
                <w:rFonts w:cs="Arial"/>
                <w:noProof/>
                <w:color w:val="000000"/>
                <w:sz w:val="18"/>
                <w:szCs w:val="18"/>
              </w:rPr>
              <w:t>11.78% (2010)</w:t>
            </w:r>
          </w:p>
        </w:tc>
        <w:tc>
          <w:tcPr>
            <w:tcW w:w="1777" w:type="pct"/>
            <w:tcBorders>
              <w:top w:val="nil"/>
              <w:left w:val="single" w:sz="4" w:space="0" w:color="0055A0"/>
              <w:bottom w:val="nil"/>
              <w:right w:val="single" w:sz="4" w:space="0" w:color="0055A0"/>
            </w:tcBorders>
            <w:hideMark/>
          </w:tcPr>
          <w:p w14:paraId="23188DE4" w14:textId="77777777" w:rsidR="004D45F1" w:rsidRDefault="004D45F1">
            <w:pPr>
              <w:jc w:val="both"/>
              <w:rPr>
                <w:rFonts w:cs="Arial"/>
                <w:noProof/>
                <w:sz w:val="18"/>
                <w:szCs w:val="18"/>
              </w:rPr>
            </w:pPr>
            <w:r>
              <w:rPr>
                <w:rFonts w:cs="Arial"/>
                <w:noProof/>
                <w:sz w:val="18"/>
                <w:szCs w:val="18"/>
              </w:rPr>
              <w:drawing>
                <wp:inline distT="0" distB="0" distL="0" distR="0" wp14:anchorId="4B377740" wp14:editId="29E6A99E">
                  <wp:extent cx="1752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67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p>
        </w:tc>
        <w:tc>
          <w:tcPr>
            <w:tcW w:w="499" w:type="pct"/>
            <w:tcBorders>
              <w:top w:val="nil"/>
              <w:left w:val="single" w:sz="4" w:space="0" w:color="0055A0"/>
              <w:bottom w:val="nil"/>
              <w:right w:val="single" w:sz="4" w:space="0" w:color="0055A0"/>
            </w:tcBorders>
            <w:hideMark/>
          </w:tcPr>
          <w:p w14:paraId="00082DDD" w14:textId="77777777" w:rsidR="004D45F1" w:rsidRDefault="004D45F1">
            <w:pPr>
              <w:jc w:val="both"/>
              <w:rPr>
                <w:rFonts w:cs="Arial"/>
                <w:noProof/>
                <w:color w:val="000000"/>
                <w:sz w:val="18"/>
                <w:szCs w:val="18"/>
              </w:rPr>
            </w:pPr>
            <w:r>
              <w:rPr>
                <w:rFonts w:cs="Arial"/>
                <w:noProof/>
                <w:color w:val="000000"/>
                <w:sz w:val="18"/>
                <w:szCs w:val="18"/>
              </w:rPr>
              <w:t>1.29% (2019)</w:t>
            </w:r>
          </w:p>
        </w:tc>
      </w:tr>
      <w:tr w:rsidR="004D45F1" w14:paraId="70D70A19" w14:textId="77777777" w:rsidTr="004D45F1">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single" w:sz="4" w:space="0" w:color="0055A0"/>
              <w:bottom w:val="nil"/>
            </w:tcBorders>
            <w:hideMark/>
          </w:tcPr>
          <w:p w14:paraId="675FF034" w14:textId="77777777" w:rsidR="004D45F1" w:rsidRDefault="004D45F1">
            <w:pPr>
              <w:spacing w:before="0"/>
              <w:rPr>
                <w:rFonts w:cs="Arial"/>
                <w:noProof/>
                <w:sz w:val="18"/>
                <w:szCs w:val="18"/>
              </w:rPr>
            </w:pPr>
          </w:p>
        </w:tc>
        <w:tc>
          <w:tcPr>
            <w:tcW w:w="723" w:type="pct"/>
            <w:tcBorders>
              <w:top w:val="nil"/>
              <w:bottom w:val="nil"/>
            </w:tcBorders>
            <w:hideMark/>
          </w:tcPr>
          <w:p w14:paraId="668EFACB" w14:textId="77777777" w:rsidR="004D45F1" w:rsidRDefault="004D45F1">
            <w:pPr>
              <w:jc w:val="both"/>
              <w:rPr>
                <w:rFonts w:cs="Arial"/>
                <w:noProof/>
                <w:sz w:val="18"/>
                <w:szCs w:val="18"/>
              </w:rPr>
            </w:pPr>
            <w:r>
              <w:rPr>
                <w:rFonts w:cs="Arial"/>
                <w:noProof/>
                <w:sz w:val="18"/>
                <w:szCs w:val="18"/>
              </w:rPr>
              <w:t>Laboratory use</w:t>
            </w:r>
          </w:p>
        </w:tc>
        <w:tc>
          <w:tcPr>
            <w:tcW w:w="590" w:type="pct"/>
            <w:tcBorders>
              <w:top w:val="nil"/>
              <w:bottom w:val="nil"/>
            </w:tcBorders>
            <w:hideMark/>
          </w:tcPr>
          <w:p w14:paraId="163819E9" w14:textId="77777777" w:rsidR="004D45F1" w:rsidRDefault="004D45F1">
            <w:pPr>
              <w:jc w:val="both"/>
              <w:rPr>
                <w:rFonts w:cs="Arial"/>
                <w:noProof/>
                <w:color w:val="000000"/>
                <w:sz w:val="18"/>
                <w:szCs w:val="18"/>
              </w:rPr>
            </w:pPr>
            <w:r>
              <w:rPr>
                <w:rFonts w:cs="Arial"/>
                <w:noProof/>
                <w:color w:val="000000"/>
                <w:sz w:val="18"/>
                <w:szCs w:val="18"/>
              </w:rPr>
              <w:t>&lt; 1</w:t>
            </w:r>
          </w:p>
        </w:tc>
        <w:tc>
          <w:tcPr>
            <w:tcW w:w="924" w:type="pct"/>
            <w:tcBorders>
              <w:top w:val="nil"/>
              <w:bottom w:val="nil"/>
            </w:tcBorders>
          </w:tcPr>
          <w:p w14:paraId="0146C329" w14:textId="77777777" w:rsidR="004D45F1" w:rsidRDefault="004D45F1">
            <w:pPr>
              <w:jc w:val="both"/>
              <w:rPr>
                <w:rFonts w:cs="Arial"/>
                <w:noProof/>
                <w:color w:val="000000"/>
                <w:sz w:val="18"/>
                <w:szCs w:val="18"/>
              </w:rPr>
            </w:pPr>
          </w:p>
        </w:tc>
        <w:tc>
          <w:tcPr>
            <w:tcW w:w="1777" w:type="pct"/>
            <w:tcBorders>
              <w:top w:val="nil"/>
              <w:bottom w:val="nil"/>
            </w:tcBorders>
            <w:hideMark/>
          </w:tcPr>
          <w:p w14:paraId="12B9A243" w14:textId="77777777" w:rsidR="004D45F1" w:rsidRDefault="004D45F1">
            <w:pPr>
              <w:jc w:val="both"/>
              <w:rPr>
                <w:rFonts w:cs="Arial"/>
                <w:i/>
                <w:iCs/>
                <w:noProof/>
                <w:sz w:val="18"/>
                <w:szCs w:val="18"/>
              </w:rPr>
            </w:pPr>
            <w:r>
              <w:rPr>
                <w:rFonts w:cs="Arial"/>
                <w:i/>
                <w:iCs/>
                <w:noProof/>
                <w:sz w:val="18"/>
                <w:szCs w:val="18"/>
              </w:rPr>
              <w:t>Not available</w:t>
            </w:r>
          </w:p>
        </w:tc>
        <w:tc>
          <w:tcPr>
            <w:tcW w:w="499" w:type="pct"/>
            <w:tcBorders>
              <w:top w:val="nil"/>
              <w:bottom w:val="nil"/>
              <w:right w:val="single" w:sz="4" w:space="0" w:color="0055A0"/>
            </w:tcBorders>
          </w:tcPr>
          <w:p w14:paraId="769297D0" w14:textId="77777777" w:rsidR="004D45F1" w:rsidRDefault="004D45F1">
            <w:pPr>
              <w:jc w:val="both"/>
              <w:rPr>
                <w:rFonts w:cs="Arial"/>
                <w:noProof/>
                <w:color w:val="000000"/>
                <w:sz w:val="18"/>
                <w:szCs w:val="18"/>
              </w:rPr>
            </w:pPr>
          </w:p>
        </w:tc>
      </w:tr>
      <w:tr w:rsidR="004D45F1" w14:paraId="370085AF" w14:textId="77777777" w:rsidTr="004D45F1">
        <w:trPr>
          <w:cnfStyle w:val="000000100000" w:firstRow="0" w:lastRow="0" w:firstColumn="0" w:lastColumn="0" w:oddVBand="0" w:evenVBand="0" w:oddHBand="1" w:evenHBand="0" w:firstRowFirstColumn="0" w:firstRowLastColumn="0" w:lastRowFirstColumn="0" w:lastRowLastColumn="0"/>
        </w:trPr>
        <w:tc>
          <w:tcPr>
            <w:tcW w:w="487" w:type="pct"/>
            <w:vMerge w:val="restart"/>
            <w:tcBorders>
              <w:top w:val="nil"/>
              <w:left w:val="single" w:sz="4" w:space="0" w:color="0055A0"/>
              <w:bottom w:val="single" w:sz="4" w:space="0" w:color="0055A0"/>
              <w:right w:val="single" w:sz="4" w:space="0" w:color="0055A0"/>
            </w:tcBorders>
            <w:hideMark/>
          </w:tcPr>
          <w:p w14:paraId="04AB4929" w14:textId="77777777" w:rsidR="004D45F1" w:rsidRDefault="004D45F1">
            <w:pPr>
              <w:jc w:val="both"/>
              <w:rPr>
                <w:rFonts w:cs="Arial"/>
                <w:noProof/>
                <w:sz w:val="18"/>
                <w:szCs w:val="18"/>
              </w:rPr>
            </w:pPr>
            <w:r>
              <w:rPr>
                <w:rFonts w:cs="Arial"/>
                <w:noProof/>
                <w:sz w:val="18"/>
                <w:szCs w:val="18"/>
              </w:rPr>
              <w:t xml:space="preserve">Banks </w:t>
            </w:r>
          </w:p>
        </w:tc>
        <w:tc>
          <w:tcPr>
            <w:tcW w:w="723" w:type="pct"/>
            <w:tcBorders>
              <w:top w:val="nil"/>
              <w:left w:val="single" w:sz="4" w:space="0" w:color="0055A0"/>
              <w:bottom w:val="nil"/>
              <w:right w:val="single" w:sz="4" w:space="0" w:color="0055A0"/>
            </w:tcBorders>
            <w:hideMark/>
          </w:tcPr>
          <w:p w14:paraId="3A2268E9" w14:textId="77777777" w:rsidR="004D45F1" w:rsidRDefault="004D45F1">
            <w:pPr>
              <w:jc w:val="both"/>
              <w:rPr>
                <w:rFonts w:cs="Arial"/>
                <w:noProof/>
                <w:sz w:val="18"/>
                <w:szCs w:val="18"/>
              </w:rPr>
            </w:pPr>
            <w:r>
              <w:rPr>
                <w:rFonts w:cs="Arial"/>
                <w:noProof/>
                <w:sz w:val="18"/>
                <w:szCs w:val="18"/>
              </w:rPr>
              <w:t>Foam Banks</w:t>
            </w:r>
          </w:p>
        </w:tc>
        <w:tc>
          <w:tcPr>
            <w:tcW w:w="590" w:type="pct"/>
            <w:tcBorders>
              <w:top w:val="nil"/>
              <w:left w:val="single" w:sz="4" w:space="0" w:color="0055A0"/>
              <w:bottom w:val="nil"/>
              <w:right w:val="single" w:sz="4" w:space="0" w:color="0055A0"/>
            </w:tcBorders>
            <w:hideMark/>
          </w:tcPr>
          <w:p w14:paraId="551F8344" w14:textId="77777777" w:rsidR="004D45F1" w:rsidRDefault="004D45F1">
            <w:pPr>
              <w:jc w:val="both"/>
              <w:rPr>
                <w:rFonts w:cs="Arial"/>
                <w:noProof/>
                <w:color w:val="000000"/>
                <w:sz w:val="18"/>
                <w:szCs w:val="18"/>
              </w:rPr>
            </w:pPr>
            <w:r>
              <w:rPr>
                <w:rFonts w:cs="Arial"/>
                <w:noProof/>
                <w:color w:val="000000"/>
                <w:sz w:val="18"/>
                <w:szCs w:val="18"/>
              </w:rPr>
              <w:t>6000**</w:t>
            </w:r>
          </w:p>
        </w:tc>
        <w:tc>
          <w:tcPr>
            <w:tcW w:w="3200" w:type="pct"/>
            <w:gridSpan w:val="3"/>
            <w:tcBorders>
              <w:top w:val="nil"/>
              <w:left w:val="single" w:sz="4" w:space="0" w:color="0055A0"/>
              <w:bottom w:val="nil"/>
              <w:right w:val="single" w:sz="4" w:space="0" w:color="0055A0"/>
            </w:tcBorders>
            <w:hideMark/>
          </w:tcPr>
          <w:p w14:paraId="34FBB2A0" w14:textId="77777777" w:rsidR="004D45F1" w:rsidRDefault="004D45F1">
            <w:pPr>
              <w:jc w:val="both"/>
              <w:rPr>
                <w:rFonts w:cs="Arial"/>
                <w:i/>
                <w:iCs/>
                <w:noProof/>
                <w:color w:val="000000"/>
                <w:sz w:val="18"/>
                <w:szCs w:val="18"/>
              </w:rPr>
            </w:pPr>
            <w:r>
              <w:rPr>
                <w:rFonts w:cs="Arial"/>
                <w:i/>
                <w:iCs/>
                <w:noProof/>
                <w:color w:val="000000"/>
                <w:sz w:val="18"/>
                <w:szCs w:val="18"/>
              </w:rPr>
              <w:t xml:space="preserve">                 Data not available on a yearly basis</w:t>
            </w:r>
          </w:p>
        </w:tc>
      </w:tr>
      <w:tr w:rsidR="004D45F1" w14:paraId="41A84EBF" w14:textId="77777777" w:rsidTr="004D45F1">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single" w:sz="4" w:space="0" w:color="0055A0"/>
              <w:bottom w:val="single" w:sz="4" w:space="0" w:color="0055A0"/>
            </w:tcBorders>
            <w:hideMark/>
          </w:tcPr>
          <w:p w14:paraId="2A155115" w14:textId="77777777" w:rsidR="004D45F1" w:rsidRDefault="004D45F1">
            <w:pPr>
              <w:spacing w:before="0"/>
              <w:rPr>
                <w:rFonts w:cs="Arial"/>
                <w:noProof/>
                <w:sz w:val="18"/>
                <w:szCs w:val="18"/>
              </w:rPr>
            </w:pPr>
          </w:p>
        </w:tc>
        <w:tc>
          <w:tcPr>
            <w:tcW w:w="723" w:type="pct"/>
            <w:tcBorders>
              <w:top w:val="nil"/>
              <w:bottom w:val="single" w:sz="4" w:space="0" w:color="0055A0"/>
            </w:tcBorders>
            <w:hideMark/>
          </w:tcPr>
          <w:p w14:paraId="0ED4698D" w14:textId="77777777" w:rsidR="004D45F1" w:rsidRDefault="004D45F1">
            <w:pPr>
              <w:jc w:val="both"/>
              <w:rPr>
                <w:rFonts w:cs="Arial"/>
                <w:noProof/>
                <w:sz w:val="18"/>
                <w:szCs w:val="18"/>
              </w:rPr>
            </w:pPr>
            <w:r>
              <w:rPr>
                <w:rFonts w:cs="Arial"/>
                <w:noProof/>
                <w:sz w:val="18"/>
                <w:szCs w:val="18"/>
              </w:rPr>
              <w:t>Critical halon applications (2015– 2019)</w:t>
            </w:r>
          </w:p>
        </w:tc>
        <w:tc>
          <w:tcPr>
            <w:tcW w:w="590" w:type="pct"/>
            <w:tcBorders>
              <w:top w:val="nil"/>
              <w:bottom w:val="single" w:sz="4" w:space="0" w:color="0055A0"/>
            </w:tcBorders>
            <w:hideMark/>
          </w:tcPr>
          <w:p w14:paraId="05E1EE50" w14:textId="77777777" w:rsidR="004D45F1" w:rsidRDefault="004D45F1">
            <w:pPr>
              <w:jc w:val="both"/>
              <w:rPr>
                <w:rFonts w:cs="Arial"/>
                <w:noProof/>
                <w:color w:val="000000"/>
                <w:sz w:val="18"/>
                <w:szCs w:val="18"/>
              </w:rPr>
            </w:pPr>
            <w:r>
              <w:rPr>
                <w:rFonts w:cs="Arial"/>
                <w:noProof/>
                <w:color w:val="000000"/>
                <w:sz w:val="18"/>
                <w:szCs w:val="18"/>
              </w:rPr>
              <w:t>22.6</w:t>
            </w:r>
          </w:p>
        </w:tc>
        <w:tc>
          <w:tcPr>
            <w:tcW w:w="924" w:type="pct"/>
            <w:tcBorders>
              <w:top w:val="nil"/>
              <w:bottom w:val="single" w:sz="4" w:space="0" w:color="0055A0"/>
            </w:tcBorders>
            <w:hideMark/>
          </w:tcPr>
          <w:p w14:paraId="47802D5B" w14:textId="77777777" w:rsidR="004D45F1" w:rsidRDefault="004D45F1">
            <w:pPr>
              <w:jc w:val="both"/>
              <w:rPr>
                <w:rFonts w:cs="Arial"/>
                <w:noProof/>
                <w:color w:val="000000"/>
                <w:sz w:val="18"/>
                <w:szCs w:val="18"/>
              </w:rPr>
            </w:pPr>
            <w:r>
              <w:rPr>
                <w:rFonts w:cs="Arial"/>
                <w:noProof/>
                <w:color w:val="000000"/>
                <w:sz w:val="18"/>
                <w:szCs w:val="18"/>
              </w:rPr>
              <w:t>0.75% (2015)</w:t>
            </w:r>
            <w:r>
              <w:rPr>
                <w:rFonts w:asciiTheme="minorHAnsi" w:eastAsiaTheme="minorHAnsi" w:hAnsiTheme="minorHAnsi" w:cstheme="minorBidi"/>
                <w:noProof/>
                <w:vertAlign w:val="superscript"/>
              </w:rPr>
              <w:footnoteReference w:id="99"/>
            </w:r>
          </w:p>
        </w:tc>
        <w:tc>
          <w:tcPr>
            <w:tcW w:w="1777" w:type="pct"/>
            <w:tcBorders>
              <w:top w:val="nil"/>
              <w:bottom w:val="single" w:sz="4" w:space="0" w:color="0055A0"/>
            </w:tcBorders>
            <w:hideMark/>
          </w:tcPr>
          <w:p w14:paraId="1B58E20A" w14:textId="77777777" w:rsidR="004D45F1" w:rsidRDefault="004D45F1">
            <w:pPr>
              <w:jc w:val="both"/>
              <w:rPr>
                <w:rFonts w:cs="Arial"/>
                <w:i/>
                <w:iCs/>
                <w:noProof/>
                <w:sz w:val="18"/>
                <w:szCs w:val="18"/>
              </w:rPr>
            </w:pPr>
            <w:r>
              <w:rPr>
                <w:noProof/>
              </w:rPr>
              <w:drawing>
                <wp:anchor distT="0" distB="0" distL="114300" distR="114300" simplePos="0" relativeHeight="251663360" behindDoc="0" locked="0" layoutInCell="1" allowOverlap="1" wp14:anchorId="1105E44C" wp14:editId="2A13FF8B">
                  <wp:simplePos x="0" y="0"/>
                  <wp:positionH relativeFrom="column">
                    <wp:posOffset>564515</wp:posOffset>
                  </wp:positionH>
                  <wp:positionV relativeFrom="paragraph">
                    <wp:posOffset>76200</wp:posOffset>
                  </wp:positionV>
                  <wp:extent cx="1294130" cy="227330"/>
                  <wp:effectExtent l="0" t="0" r="127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4130" cy="22733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9" w:type="pct"/>
            <w:tcBorders>
              <w:top w:val="nil"/>
              <w:bottom w:val="single" w:sz="4" w:space="0" w:color="0055A0"/>
              <w:right w:val="single" w:sz="4" w:space="0" w:color="0055A0"/>
            </w:tcBorders>
            <w:hideMark/>
          </w:tcPr>
          <w:p w14:paraId="3BE45547" w14:textId="77777777" w:rsidR="004D45F1" w:rsidRDefault="004D45F1">
            <w:pPr>
              <w:jc w:val="both"/>
              <w:rPr>
                <w:rFonts w:cs="Arial"/>
                <w:noProof/>
                <w:color w:val="000000"/>
                <w:sz w:val="18"/>
                <w:szCs w:val="18"/>
              </w:rPr>
            </w:pPr>
            <w:r>
              <w:rPr>
                <w:rFonts w:cs="Arial"/>
                <w:noProof/>
                <w:color w:val="000000"/>
                <w:sz w:val="18"/>
                <w:szCs w:val="18"/>
              </w:rPr>
              <w:t>0.37% (2019)</w:t>
            </w:r>
          </w:p>
        </w:tc>
      </w:tr>
      <w:bookmarkEnd w:id="380"/>
    </w:tbl>
    <w:p w14:paraId="70E1D9F0" w14:textId="77777777" w:rsidR="004D45F1" w:rsidRDefault="004D45F1" w:rsidP="004D45F1">
      <w:pPr>
        <w:autoSpaceDE w:val="0"/>
        <w:autoSpaceDN w:val="0"/>
        <w:adjustRightInd w:val="0"/>
        <w:spacing w:after="0" w:line="240" w:lineRule="auto"/>
        <w:jc w:val="both"/>
        <w:rPr>
          <w:rFonts w:ascii="Arial" w:eastAsia="Calibri" w:hAnsi="Arial" w:cs="Arial"/>
          <w:i/>
          <w:iCs/>
          <w:noProof/>
          <w:color w:val="808080"/>
          <w:sz w:val="18"/>
          <w:szCs w:val="18"/>
          <w:highlight w:val="yellow"/>
        </w:rPr>
      </w:pPr>
    </w:p>
    <w:p w14:paraId="2372C340" w14:textId="77777777" w:rsidR="004D45F1" w:rsidRDefault="004D45F1" w:rsidP="004D45F1">
      <w:pPr>
        <w:rPr>
          <w:rFonts w:ascii="Times New Roman" w:eastAsia="Calibri" w:hAnsi="Times New Roman" w:cs="Times New Roman"/>
          <w:i/>
          <w:iCs/>
          <w:noProof/>
          <w:sz w:val="18"/>
          <w:szCs w:val="18"/>
        </w:rPr>
      </w:pPr>
      <w:r>
        <w:rPr>
          <w:rFonts w:ascii="Times New Roman" w:eastAsia="Calibri" w:hAnsi="Times New Roman" w:cs="Times New Roman"/>
          <w:noProof/>
          <w:sz w:val="18"/>
          <w:szCs w:val="18"/>
        </w:rPr>
        <w:t xml:space="preserve">* </w:t>
      </w:r>
      <w:r>
        <w:rPr>
          <w:rFonts w:ascii="Times New Roman" w:eastAsia="Calibri" w:hAnsi="Times New Roman" w:cs="Times New Roman"/>
          <w:i/>
          <w:iCs/>
          <w:noProof/>
          <w:sz w:val="18"/>
          <w:szCs w:val="18"/>
        </w:rPr>
        <w:t>Extrapolated value based on available data for 10% of the total production</w:t>
      </w:r>
      <w:r>
        <w:rPr>
          <w:rFonts w:ascii="Calibri" w:eastAsia="Calibri" w:hAnsi="Calibri" w:cs="Times New Roman"/>
          <w:noProof/>
        </w:rPr>
        <w:br/>
      </w:r>
      <w:r>
        <w:rPr>
          <w:rFonts w:ascii="Times New Roman" w:eastAsia="Calibri" w:hAnsi="Times New Roman" w:cs="Times New Roman"/>
          <w:noProof/>
          <w:sz w:val="18"/>
          <w:szCs w:val="18"/>
        </w:rPr>
        <w:t xml:space="preserve">** </w:t>
      </w:r>
      <w:r>
        <w:rPr>
          <w:rFonts w:ascii="Times New Roman" w:eastAsia="Calibri" w:hAnsi="Times New Roman" w:cs="Times New Roman"/>
          <w:i/>
          <w:iCs/>
          <w:noProof/>
          <w:sz w:val="18"/>
          <w:szCs w:val="18"/>
        </w:rPr>
        <w:t>value from SKM (2012)</w:t>
      </w:r>
    </w:p>
    <w:p w14:paraId="04B939DB"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the chemical industry, there are several uses with non-zero emission factors that are expected to continue into the future, including emissions from production, feedstock use, and process agent use. </w:t>
      </w:r>
    </w:p>
    <w:p w14:paraId="50ED4499"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Raw material: Production emissions.</w:t>
      </w:r>
      <w:r>
        <w:rPr>
          <w:rFonts w:ascii="Times New Roman" w:eastAsia="Calibri" w:hAnsi="Times New Roman" w:cs="Times New Roman"/>
          <w:noProof/>
          <w:sz w:val="24"/>
          <w:szCs w:val="24"/>
        </w:rPr>
        <w:t xml:space="preserve"> The annual production of ODS is published annually by the EEA, based on self-reported data from each company producing in the EU. This does not include emissions associated with production, not being part of the reporting requirements. Some reporting companies do provide data on measurements or estimations of emissions associated with their production amounts. There is considerable margin for error, due to the low sample size of companies. Of 27 companies producing controlled substances in 2019, only five reported emissions. The self-reported emissions from the five reporting companies cover about ~ 10% of all ODS production.</w:t>
      </w:r>
    </w:p>
    <w:p w14:paraId="396D8AB5"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obtain an estimate for all emissions associated with production, the available emission measurements were upscaled to the total amount of ODS produced. Due to the small sample size, the sharp decrease in the production emission factor shown in Table A4.3 can likely be attributed to the decrease in emissions between 2015 and 2019 from one company, while the production stayed the same. Therefore, when forecasting, this drop in the emission factor is not taken into account and the average emission factor from production across 2010-2019 is used instead. For production, this partly reflects the reduced emission factor from 0.12% to 0.02%, at an average 0.054%.  In the absence of any data, the same emission factor was used for production of Annex II substances.</w:t>
      </w:r>
    </w:p>
    <w:p w14:paraId="3A6F1586"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Feedstock use emissions. </w:t>
      </w:r>
      <w:r>
        <w:rPr>
          <w:rFonts w:ascii="Times New Roman" w:eastAsia="Calibri" w:hAnsi="Times New Roman" w:cs="Times New Roman"/>
          <w:noProof/>
          <w:sz w:val="24"/>
          <w:szCs w:val="24"/>
        </w:rPr>
        <w:t xml:space="preserve">ODS can escape during chemical production processes, even if they are intended to be fully consumed or  transformed during the process. The average emission factor for feedstock emissions between 2010 and 2019 is moving from 0.13 to 0.09% of the total feedstock that is used, which is on the low end of the expected emission factor at 0.1 – 4% globally </w:t>
      </w:r>
      <w:r>
        <w:rPr>
          <w:noProof/>
          <w:vertAlign w:val="superscript"/>
        </w:rPr>
        <w:footnoteReference w:id="100"/>
      </w:r>
      <w:r>
        <w:rPr>
          <w:rFonts w:ascii="Times New Roman" w:eastAsia="Calibri" w:hAnsi="Times New Roman" w:cs="Times New Roman"/>
          <w:noProof/>
          <w:sz w:val="24"/>
          <w:szCs w:val="24"/>
        </w:rPr>
        <w:t xml:space="preserve">. This emission factor is expected to go down further to 0.08% in the future, but is not expected to reduce further as the maximum reasonable emission reduction ceiling will be reached. </w:t>
      </w:r>
    </w:p>
    <w:p w14:paraId="5299925D" w14:textId="77777777" w:rsidR="004D45F1" w:rsidRDefault="004D45F1" w:rsidP="004D45F1">
      <w:pPr>
        <w:spacing w:after="120"/>
        <w:jc w:val="both"/>
        <w:rPr>
          <w:rFonts w:ascii="Times New Roman" w:eastAsia="Calibri" w:hAnsi="Times New Roman" w:cs="Times New Roman"/>
          <w:noProof/>
          <w:sz w:val="24"/>
          <w:szCs w:val="24"/>
          <w:highlight w:val="yellow"/>
        </w:rPr>
      </w:pPr>
      <w:r>
        <w:rPr>
          <w:rFonts w:ascii="Times New Roman" w:eastAsia="Calibri" w:hAnsi="Times New Roman" w:cs="Times New Roman"/>
          <w:noProof/>
          <w:sz w:val="24"/>
          <w:szCs w:val="24"/>
        </w:rPr>
        <w:t>In Europe, remaining ODS uses for industry happens in very controlled environments in a small number of companies, and therefore lower than average emission factors are expected, but there is still the possibility that emissions are underestimated. Comparison of some data with E-PRTR in the past has shown some inconsistencies, i.e. that emission levels may be higher. For emissions from production there is no reporting requirement, and emissions estimates and their trends are based on only 10% of production.</w:t>
      </w:r>
      <w:r>
        <w:rPr>
          <w:rFonts w:ascii="Times New Roman" w:eastAsia="Calibri" w:hAnsi="Times New Roman" w:cs="Times New Roman"/>
          <w:noProof/>
          <w:sz w:val="24"/>
          <w:szCs w:val="24"/>
          <w:highlight w:val="yellow"/>
        </w:rPr>
        <w:t xml:space="preserve"> </w:t>
      </w:r>
    </w:p>
    <w:p w14:paraId="6890EE12"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Emissions from feedstock use are therefore largely dependent on the total amount of ODS used for feedstocks. The same assumptions was made for the use of Annex II gases as feedstock.</w:t>
      </w:r>
    </w:p>
    <w:p w14:paraId="1B0A2526"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Process agent use emissions. </w:t>
      </w:r>
      <w:r>
        <w:rPr>
          <w:rFonts w:ascii="Times New Roman" w:eastAsia="Calibri" w:hAnsi="Times New Roman" w:cs="Times New Roman"/>
          <w:noProof/>
          <w:sz w:val="24"/>
          <w:szCs w:val="24"/>
        </w:rPr>
        <w:t>ODS used as process agents may escape during the production process. In contrast to feedstock uses, ODS that are used as process agents are not chemically transformed as part of the process, which is why relative emissions rates are higher than during feedstock uses. Based on the historical data reported, the emission factor is relatively constant at around 1.2% of total ODS used as a process agent in the period 2016-2019. However, only six companies carrying out such processes have remained active in the EU. These total emissions from process agents are dominated by activities from one of these six companies, who is responsible for more than 75% of emissions. The most recent emission factor (2019) of 1.3% is taken forward into the baseline. In the medium to long-term the use of process agents will be discontinued due to modernisation of plants which will significantly reduce emissions further.</w:t>
      </w:r>
    </w:p>
    <w:p w14:paraId="6F3FD8E6"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Laboratory use emissions. </w:t>
      </w:r>
      <w:r>
        <w:rPr>
          <w:rFonts w:ascii="Times New Roman" w:eastAsia="Calibri" w:hAnsi="Times New Roman" w:cs="Times New Roman"/>
          <w:noProof/>
          <w:sz w:val="24"/>
          <w:szCs w:val="24"/>
        </w:rPr>
        <w:t xml:space="preserve">No primary data on emission factors for laboratory use is available at this stage. Therefore, we have taken forward the estimate from the Evaluation at &lt; 1 tODP per year as the baseline. We assume that the ODS emissions from laboratory uses will not change in the baseline, as up until 2050, there are no economic, technological, or policy reasons identified that would lead to a significant increase or decrease in laboratory activity associated to ODS use. </w:t>
      </w:r>
      <w:r>
        <w:rPr>
          <w:rFonts w:ascii="Times New Roman" w:eastAsia="Calibri" w:hAnsi="Times New Roman" w:cs="Times New Roman"/>
          <w:bCs/>
          <w:noProof/>
          <w:sz w:val="24"/>
          <w:szCs w:val="24"/>
        </w:rPr>
        <w:t>This is because there is very limited scope for any further reductions and these activities involving ODS are expected to continue in similar extent into the future, and may be less sensitive to economic growth as the industrial uses above.</w:t>
      </w:r>
      <w:r>
        <w:rPr>
          <w:rFonts w:ascii="Times New Roman" w:eastAsia="Calibri" w:hAnsi="Times New Roman" w:cs="Times New Roman"/>
          <w:b/>
          <w:bCs/>
          <w:noProof/>
          <w:sz w:val="24"/>
          <w:szCs w:val="24"/>
        </w:rPr>
        <w:t xml:space="preserve"> </w:t>
      </w:r>
      <w:r>
        <w:rPr>
          <w:rFonts w:ascii="Times New Roman" w:eastAsia="Calibri" w:hAnsi="Times New Roman" w:cs="Times New Roman"/>
          <w:noProof/>
          <w:sz w:val="24"/>
          <w:szCs w:val="24"/>
        </w:rPr>
        <w:t xml:space="preserve">Moreover, the emissions associated to laboratory use represents less than 0.1% of total emission associated to ODS. </w:t>
      </w:r>
    </w:p>
    <w:p w14:paraId="7F70F54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Foam bank emissions. </w:t>
      </w:r>
      <w:r>
        <w:rPr>
          <w:rFonts w:ascii="Times New Roman" w:eastAsia="Calibri" w:hAnsi="Times New Roman" w:cs="Times New Roman"/>
          <w:noProof/>
          <w:sz w:val="24"/>
          <w:szCs w:val="24"/>
        </w:rPr>
        <w:t xml:space="preserve">Emissions from foam banks are the largest category, with an estimated 6,000 tODP of emissions in 2019, from a total bank of around 570,000 tODP estimated to exist in 2010. Furthermore, it was estimated that between 2015 and 2030, an average of ~ 13,000 tODP is added to this bank due to legacy materials reaching end-of-life. Due to this continuous input of material with ODS inside, the bank itself is not expected to reduce in size until after 2030, and annual emissions are also maintained and peak only after 2030. </w:t>
      </w:r>
    </w:p>
    <w:p w14:paraId="2B7F6DA8"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emissions source is significantly larger than emissions from any other use. As per analysis by SKM in 2012</w:t>
      </w:r>
      <w:r>
        <w:rPr>
          <w:noProof/>
          <w:vertAlign w:val="superscript"/>
        </w:rPr>
        <w:footnoteReference w:id="101"/>
      </w:r>
      <w:r>
        <w:rPr>
          <w:rFonts w:ascii="Times New Roman" w:eastAsia="Calibri" w:hAnsi="Times New Roman" w:cs="Times New Roman"/>
          <w:noProof/>
          <w:sz w:val="24"/>
          <w:szCs w:val="24"/>
        </w:rPr>
        <w:t xml:space="preserve">, the annual emissions estimated from foam banks are primarily emissions from decommissioning and demolition of buildings. They constitute about 1.2% of the bank each year. It is recognised to be difficult to efficiently recover/destroy the blowing agent after it has been integrated into a foam product, which means that this emission factor of 1.2% of the bank per year is not expected to change in the baseline. </w:t>
      </w:r>
    </w:p>
    <w:p w14:paraId="529E820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Further research has been done to reduce the margin of error on the estimation of annual emissions from foam banks. If assuming that foam products have lifetimes of around 50 years before they are decommissioned (recycled), the implied foam bank emission rate from this would be about 2%. The actual emission rate of 1.2% is lower than the implied emission rate. This can be explained by the fact that not all foam products are being decommissioned and a significant part ends up stored in landfills. There is therefore an unknown share of the 570.000t ODP bank stored in landfills currently, which might lead to further fugitive emissions above the current estimate of 1.2% per year.</w:t>
      </w:r>
    </w:p>
    <w:p w14:paraId="25EFF328"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countries have done some research at a national level with respect to the remaining emission sources of ODS, based on observational data of concentrations present in the local atmosphere. There is also academic research with observational data that focuses on Europe as a whole. For example, the United Kingdom Met Office estimated about 400 tODP of unreported emissions</w:t>
      </w:r>
      <w:r>
        <w:rPr>
          <w:noProof/>
          <w:vertAlign w:val="superscript"/>
        </w:rPr>
        <w:footnoteReference w:id="102"/>
      </w:r>
      <w:r>
        <w:rPr>
          <w:rFonts w:ascii="Times New Roman" w:eastAsia="Calibri" w:hAnsi="Times New Roman" w:cs="Times New Roman"/>
          <w:noProof/>
          <w:sz w:val="24"/>
          <w:szCs w:val="24"/>
        </w:rPr>
        <w:t>, which has not been part of the annual inventory reported to the EEA. These estimations are in a similar order of magnitude, extrapolating the emissions from one country to 27, with the expectation that there is between 6,000 and 7,000 tODP of emission from banks from the EU as a whole.</w:t>
      </w:r>
    </w:p>
    <w:p w14:paraId="0150157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Banks of critical use halon emissions. </w:t>
      </w:r>
      <w:r>
        <w:rPr>
          <w:rFonts w:ascii="Times New Roman" w:eastAsia="Calibri" w:hAnsi="Times New Roman" w:cs="Times New Roman"/>
          <w:noProof/>
          <w:sz w:val="24"/>
          <w:szCs w:val="24"/>
        </w:rPr>
        <w:t>Emissions from critical uses of halons are reported under Article 26(1)(b) and are provided in the form of annual Member State reports. This data is used in conjunction with information on the total available stock and the specific prohibition dates for critical uses from the Evaluation. Article 26(1)(b) reports specify total emissions and total use, from which emission factors are determined.</w:t>
      </w:r>
    </w:p>
    <w:p w14:paraId="7854E240"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banks of critical use halons, for which production is prohibited, the potential can be estimated by assessing the future end-dates by which these use cases will be fully prohibited under the current policy regime, combined with an emission factor for the remaining critical uses. These end-dates are based on data collected during the Evaluation, and result in a gradual reduction of the halon bank to zero from 2040 onwards. There is a possibility that by the end dates, no alternatives are identified for remaining uses and therefore use will continue after 2040. This could apply to up to ~30% of the halon bank. Emission rates have been going down in recent years and stand at 24 tODP or almost 14,700 tCO2e in 2019. The average emission rate from the total halon bank over the period 2015-2019 has been 0.5 %. </w:t>
      </w:r>
    </w:p>
    <w:p w14:paraId="6B78B7E5"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Two other remaining emissions sources</w:t>
      </w:r>
      <w:r>
        <w:rPr>
          <w:rFonts w:ascii="Times New Roman" w:eastAsia="Calibri" w:hAnsi="Times New Roman" w:cs="Times New Roman"/>
          <w:noProof/>
          <w:sz w:val="24"/>
          <w:szCs w:val="24"/>
        </w:rPr>
        <w:t xml:space="preserve"> of ODS that were considered in the Evaluation are solvent use and emissions from cooling equipment, e.g. refrigerators and air conditioners. These have not been considered in this impact assessment, as they are not relevant anymore. Solvent use has been prohibited since 2008 for all purposes. For RAC, emissions from banks of in-use or end-of-life RAC equipment are not considered significant in the EU anymore, given the large amount of time that has passed since the phasing out of this ODS use, so the remaining estimated emissions bank remaining in 2020 is near zero</w:t>
      </w:r>
      <w:r>
        <w:rPr>
          <w:noProof/>
          <w:vertAlign w:val="superscript"/>
        </w:rPr>
        <w:footnoteReference w:id="103"/>
      </w:r>
      <w:r>
        <w:rPr>
          <w:rFonts w:ascii="Times New Roman" w:eastAsia="Calibri" w:hAnsi="Times New Roman" w:cs="Times New Roman"/>
          <w:noProof/>
          <w:sz w:val="24"/>
          <w:szCs w:val="24"/>
        </w:rPr>
        <w:t>. Evidence exists from Poland that there is a remaining bank of ~83 tons of CFCs and HCFCs in containers holding 3 kg ODS or more. Even when extrapolating this value to other Member States, this is a very small quantity compared to the estimated bank of ODS in foams at 570.000 tODP. There is a contribution from old equipment in landfills to emissions.</w:t>
      </w:r>
    </w:p>
    <w:p w14:paraId="1133C14F"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Based on the considerations above the drivers and assumptions made to construct the baseline scenario are summarised in Table A4.3.</w:t>
      </w:r>
    </w:p>
    <w:p w14:paraId="098BA395" w14:textId="77777777" w:rsidR="004D45F1" w:rsidRDefault="004D45F1" w:rsidP="004D45F1">
      <w:pPr>
        <w:keepNext/>
        <w:spacing w:after="120" w:line="240" w:lineRule="auto"/>
        <w:jc w:val="both"/>
        <w:rPr>
          <w:rFonts w:eastAsia="Calibri" w:cstheme="minorHAnsi"/>
          <w:iCs/>
          <w:noProof/>
          <w:color w:val="006BB7"/>
          <w:sz w:val="20"/>
          <w:szCs w:val="18"/>
        </w:rPr>
      </w:pPr>
      <w:bookmarkStart w:id="381" w:name="_Ref71524592"/>
      <w:r>
        <w:rPr>
          <w:rFonts w:eastAsia="Calibri" w:cstheme="minorHAnsi"/>
          <w:iCs/>
          <w:noProof/>
          <w:color w:val="006BB7"/>
          <w:sz w:val="20"/>
          <w:szCs w:val="18"/>
        </w:rPr>
        <w:t xml:space="preserve">Table </w:t>
      </w:r>
      <w:bookmarkEnd w:id="381"/>
      <w:r>
        <w:rPr>
          <w:rFonts w:eastAsia="Calibri" w:cstheme="minorHAnsi"/>
          <w:iCs/>
          <w:noProof/>
          <w:color w:val="006BB7"/>
          <w:sz w:val="20"/>
          <w:szCs w:val="18"/>
        </w:rPr>
        <w:t>A4.3 Overview of drivers and assumptions for the baseline scenario of relevant parameters</w:t>
      </w:r>
    </w:p>
    <w:tbl>
      <w:tblPr>
        <w:tblStyle w:val="TableGrid1211"/>
        <w:tblW w:w="0" w:type="dxa"/>
        <w:tblLayout w:type="fixed"/>
        <w:tblLook w:val="04A0" w:firstRow="1" w:lastRow="0" w:firstColumn="1" w:lastColumn="0" w:noHBand="0" w:noVBand="1"/>
      </w:tblPr>
      <w:tblGrid>
        <w:gridCol w:w="1555"/>
        <w:gridCol w:w="1253"/>
        <w:gridCol w:w="6259"/>
      </w:tblGrid>
      <w:tr w:rsidR="004D45F1" w14:paraId="119283BA" w14:textId="77777777" w:rsidTr="004D45F1">
        <w:trPr>
          <w:cnfStyle w:val="100000000000" w:firstRow="1" w:lastRow="0" w:firstColumn="0" w:lastColumn="0" w:oddVBand="0" w:evenVBand="0" w:oddHBand="0" w:evenHBand="0" w:firstRowFirstColumn="0" w:firstRowLastColumn="0" w:lastRowFirstColumn="0" w:lastRowLastColumn="0"/>
          <w:trHeight w:val="255"/>
        </w:trPr>
        <w:tc>
          <w:tcPr>
            <w:tcW w:w="1555" w:type="dxa"/>
            <w:noWrap/>
            <w:hideMark/>
          </w:tcPr>
          <w:p w14:paraId="4D0F413A" w14:textId="77777777" w:rsidR="004D45F1" w:rsidRDefault="004D45F1">
            <w:pPr>
              <w:jc w:val="both"/>
              <w:rPr>
                <w:rFonts w:cs="Arial"/>
                <w:noProof/>
                <w:sz w:val="16"/>
                <w:szCs w:val="16"/>
              </w:rPr>
            </w:pPr>
            <w:r>
              <w:rPr>
                <w:rFonts w:cs="Arial"/>
                <w:noProof/>
                <w:sz w:val="16"/>
                <w:szCs w:val="16"/>
              </w:rPr>
              <w:t>ODS emissions source</w:t>
            </w:r>
          </w:p>
        </w:tc>
        <w:tc>
          <w:tcPr>
            <w:tcW w:w="1253" w:type="dxa"/>
            <w:noWrap/>
            <w:hideMark/>
          </w:tcPr>
          <w:p w14:paraId="5D462D74" w14:textId="77777777" w:rsidR="004D45F1" w:rsidRDefault="004D45F1">
            <w:pPr>
              <w:jc w:val="both"/>
              <w:rPr>
                <w:rFonts w:cs="Arial"/>
                <w:noProof/>
                <w:sz w:val="16"/>
                <w:szCs w:val="16"/>
              </w:rPr>
            </w:pPr>
            <w:r>
              <w:rPr>
                <w:rFonts w:cs="Arial"/>
                <w:noProof/>
                <w:sz w:val="16"/>
                <w:szCs w:val="16"/>
              </w:rPr>
              <w:t>Stock or emissions (tODP and tCO2e)</w:t>
            </w:r>
          </w:p>
        </w:tc>
        <w:tc>
          <w:tcPr>
            <w:tcW w:w="6259" w:type="dxa"/>
            <w:noWrap/>
            <w:hideMark/>
          </w:tcPr>
          <w:p w14:paraId="684A9DBE" w14:textId="77777777" w:rsidR="004D45F1" w:rsidRDefault="004D45F1">
            <w:pPr>
              <w:jc w:val="center"/>
              <w:rPr>
                <w:rFonts w:cs="Arial"/>
                <w:noProof/>
                <w:sz w:val="16"/>
                <w:szCs w:val="16"/>
              </w:rPr>
            </w:pPr>
            <w:r>
              <w:rPr>
                <w:rFonts w:cs="Arial"/>
                <w:noProof/>
                <w:sz w:val="16"/>
                <w:szCs w:val="16"/>
              </w:rPr>
              <w:t>Driver for 2020 – 2050 trend</w:t>
            </w:r>
          </w:p>
        </w:tc>
      </w:tr>
      <w:tr w:rsidR="004D45F1" w14:paraId="4426C96E"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nil"/>
              <w:left w:val="single" w:sz="4" w:space="0" w:color="0055A0"/>
              <w:bottom w:val="nil"/>
              <w:right w:val="single" w:sz="4" w:space="0" w:color="0055A0"/>
            </w:tcBorders>
            <w:noWrap/>
            <w:hideMark/>
          </w:tcPr>
          <w:p w14:paraId="3CD43A28" w14:textId="77777777" w:rsidR="004D45F1" w:rsidRDefault="004D45F1">
            <w:pPr>
              <w:jc w:val="both"/>
              <w:rPr>
                <w:rFonts w:cs="Arial"/>
                <w:noProof/>
                <w:color w:val="000000"/>
                <w:sz w:val="16"/>
                <w:szCs w:val="16"/>
              </w:rPr>
            </w:pPr>
            <w:r>
              <w:rPr>
                <w:rFonts w:cs="Arial"/>
                <w:noProof/>
                <w:color w:val="000000"/>
                <w:sz w:val="16"/>
                <w:szCs w:val="16"/>
              </w:rPr>
              <w:t>Production</w:t>
            </w:r>
          </w:p>
        </w:tc>
        <w:tc>
          <w:tcPr>
            <w:tcW w:w="1253" w:type="dxa"/>
            <w:tcBorders>
              <w:top w:val="nil"/>
              <w:left w:val="single" w:sz="4" w:space="0" w:color="0055A0"/>
              <w:bottom w:val="nil"/>
              <w:right w:val="single" w:sz="4" w:space="0" w:color="0055A0"/>
            </w:tcBorders>
            <w:noWrap/>
            <w:hideMark/>
          </w:tcPr>
          <w:p w14:paraId="34C7E43A" w14:textId="77777777" w:rsidR="004D45F1" w:rsidRDefault="004D45F1">
            <w:pPr>
              <w:jc w:val="both"/>
              <w:rPr>
                <w:rFonts w:cs="Arial"/>
                <w:noProof/>
                <w:color w:val="000000"/>
                <w:sz w:val="16"/>
                <w:szCs w:val="16"/>
              </w:rPr>
            </w:pPr>
            <w:r>
              <w:rPr>
                <w:rFonts w:cs="Arial"/>
                <w:noProof/>
                <w:color w:val="000000"/>
                <w:sz w:val="16"/>
                <w:szCs w:val="16"/>
              </w:rPr>
              <w:t>Controlled substances (tODP stock)</w:t>
            </w:r>
          </w:p>
        </w:tc>
        <w:tc>
          <w:tcPr>
            <w:tcW w:w="6259" w:type="dxa"/>
            <w:tcBorders>
              <w:top w:val="nil"/>
              <w:left w:val="single" w:sz="4" w:space="0" w:color="0055A0"/>
              <w:bottom w:val="nil"/>
              <w:right w:val="single" w:sz="4" w:space="0" w:color="0055A0"/>
            </w:tcBorders>
            <w:noWrap/>
            <w:hideMark/>
          </w:tcPr>
          <w:p w14:paraId="738B5AC9" w14:textId="77777777" w:rsidR="004D45F1" w:rsidRDefault="004D45F1">
            <w:pPr>
              <w:rPr>
                <w:rFonts w:cs="Arial"/>
                <w:noProof/>
                <w:color w:val="000000"/>
                <w:sz w:val="16"/>
                <w:szCs w:val="16"/>
              </w:rPr>
            </w:pPr>
            <w:r>
              <w:rPr>
                <w:rFonts w:cs="Arial"/>
                <w:noProof/>
                <w:color w:val="000000"/>
                <w:sz w:val="16"/>
                <w:szCs w:val="16"/>
              </w:rPr>
              <w:t>Production reduces in line with use of controlled substances as feedstock (see below under Feedstock), to account for the expectation that most EU production will be for EU industry, and that exports is not used by industry to make up some of the difference of reduced demand.</w:t>
            </w:r>
          </w:p>
        </w:tc>
      </w:tr>
      <w:tr w:rsidR="004D45F1" w14:paraId="4FC7DF0F"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nil"/>
              <w:left w:val="single" w:sz="4" w:space="0" w:color="0055A0"/>
              <w:bottom w:val="nil"/>
            </w:tcBorders>
            <w:hideMark/>
          </w:tcPr>
          <w:p w14:paraId="1F0A56E8"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B4C6E7"/>
            <w:noWrap/>
            <w:hideMark/>
          </w:tcPr>
          <w:p w14:paraId="6AB4C2DE" w14:textId="77777777" w:rsidR="004D45F1" w:rsidRDefault="004D45F1">
            <w:pPr>
              <w:jc w:val="both"/>
              <w:rPr>
                <w:rFonts w:cs="Arial"/>
                <w:noProof/>
                <w:color w:val="000000"/>
                <w:sz w:val="16"/>
                <w:szCs w:val="16"/>
              </w:rPr>
            </w:pPr>
            <w:r>
              <w:rPr>
                <w:rFonts w:cs="Arial"/>
                <w:noProof/>
                <w:color w:val="000000"/>
                <w:sz w:val="16"/>
                <w:szCs w:val="16"/>
              </w:rPr>
              <w:t>Emissions (tODP)</w:t>
            </w:r>
          </w:p>
        </w:tc>
        <w:tc>
          <w:tcPr>
            <w:tcW w:w="6259" w:type="dxa"/>
            <w:tcBorders>
              <w:top w:val="nil"/>
              <w:bottom w:val="nil"/>
              <w:right w:val="single" w:sz="4" w:space="0" w:color="0055A0"/>
            </w:tcBorders>
            <w:shd w:val="clear" w:color="auto" w:fill="B4C6E7"/>
            <w:noWrap/>
            <w:hideMark/>
          </w:tcPr>
          <w:p w14:paraId="33A4AE84" w14:textId="77777777" w:rsidR="004D45F1" w:rsidRDefault="004D45F1">
            <w:pPr>
              <w:rPr>
                <w:rFonts w:cs="Arial"/>
                <w:noProof/>
                <w:color w:val="000000"/>
                <w:sz w:val="16"/>
                <w:szCs w:val="16"/>
              </w:rPr>
            </w:pPr>
            <w:r>
              <w:rPr>
                <w:rFonts w:cs="Arial"/>
                <w:noProof/>
                <w:color w:val="000000"/>
                <w:sz w:val="16"/>
                <w:szCs w:val="16"/>
              </w:rPr>
              <w:t>Emissions are reduced in line with production</w:t>
            </w:r>
          </w:p>
        </w:tc>
      </w:tr>
      <w:tr w:rsidR="004D45F1" w14:paraId="141FC339"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nil"/>
              <w:left w:val="single" w:sz="4" w:space="0" w:color="0055A0"/>
              <w:bottom w:val="nil"/>
              <w:right w:val="single" w:sz="4" w:space="0" w:color="0055A0"/>
            </w:tcBorders>
            <w:hideMark/>
          </w:tcPr>
          <w:p w14:paraId="41C52BE0"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E2EFD9"/>
            <w:noWrap/>
            <w:hideMark/>
          </w:tcPr>
          <w:p w14:paraId="4430F9A8"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tcBorders>
              <w:top w:val="nil"/>
              <w:left w:val="single" w:sz="4" w:space="0" w:color="0055A0"/>
              <w:bottom w:val="nil"/>
              <w:right w:val="single" w:sz="4" w:space="0" w:color="0055A0"/>
            </w:tcBorders>
            <w:shd w:val="clear" w:color="auto" w:fill="E2EFD9"/>
            <w:noWrap/>
            <w:hideMark/>
          </w:tcPr>
          <w:p w14:paraId="25E66E3C" w14:textId="77777777" w:rsidR="004D45F1" w:rsidRDefault="004D45F1">
            <w:pPr>
              <w:rPr>
                <w:rFonts w:cs="Arial"/>
                <w:noProof/>
                <w:color w:val="000000"/>
                <w:sz w:val="16"/>
                <w:szCs w:val="16"/>
              </w:rPr>
            </w:pPr>
            <w:r>
              <w:rPr>
                <w:rFonts w:cs="Arial"/>
                <w:noProof/>
                <w:color w:val="000000"/>
                <w:sz w:val="16"/>
                <w:szCs w:val="16"/>
              </w:rPr>
              <w:t>Emissions are reduced in line with production. See Feedstock use for calculation details of converting from tODP to GHG. No expected significant change in emission factor (EF) for production.</w:t>
            </w:r>
          </w:p>
        </w:tc>
      </w:tr>
      <w:tr w:rsidR="004D45F1" w14:paraId="3214B4EA"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nil"/>
              <w:left w:val="single" w:sz="4" w:space="0" w:color="0055A0"/>
              <w:bottom w:val="nil"/>
            </w:tcBorders>
            <w:hideMark/>
          </w:tcPr>
          <w:p w14:paraId="219129DD"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DEEAF6"/>
            <w:noWrap/>
            <w:hideMark/>
          </w:tcPr>
          <w:p w14:paraId="58FFDA0D" w14:textId="77777777" w:rsidR="004D45F1" w:rsidRDefault="004D45F1">
            <w:pPr>
              <w:jc w:val="both"/>
              <w:rPr>
                <w:rFonts w:cs="Arial"/>
                <w:noProof/>
                <w:color w:val="000000"/>
                <w:sz w:val="16"/>
                <w:szCs w:val="16"/>
              </w:rPr>
            </w:pPr>
            <w:r>
              <w:rPr>
                <w:rFonts w:cs="Arial"/>
                <w:noProof/>
                <w:color w:val="000000"/>
                <w:sz w:val="16"/>
                <w:szCs w:val="16"/>
              </w:rPr>
              <w:t>Annex II substances (tODP stock)</w:t>
            </w:r>
          </w:p>
        </w:tc>
        <w:tc>
          <w:tcPr>
            <w:tcW w:w="6259" w:type="dxa"/>
            <w:vMerge w:val="restart"/>
            <w:tcBorders>
              <w:top w:val="nil"/>
              <w:bottom w:val="single" w:sz="4" w:space="0" w:color="auto"/>
              <w:right w:val="single" w:sz="4" w:space="0" w:color="0055A0"/>
            </w:tcBorders>
            <w:shd w:val="clear" w:color="auto" w:fill="DEEAF6"/>
            <w:noWrap/>
            <w:hideMark/>
          </w:tcPr>
          <w:p w14:paraId="6A5D0B99" w14:textId="77777777" w:rsidR="004D45F1" w:rsidRDefault="004D45F1">
            <w:pPr>
              <w:rPr>
                <w:rFonts w:cs="Arial"/>
                <w:noProof/>
                <w:color w:val="000000"/>
                <w:sz w:val="16"/>
                <w:szCs w:val="16"/>
              </w:rPr>
            </w:pPr>
            <w:r>
              <w:rPr>
                <w:rFonts w:cs="Arial"/>
                <w:noProof/>
                <w:color w:val="000000"/>
                <w:sz w:val="16"/>
                <w:szCs w:val="16"/>
              </w:rPr>
              <w:t>Assumed to stay constant for use and emissions, as less regulatory pressure, but also no indication for significant growth from historic data (production stayed relatively constant across 2010 – 2019).</w:t>
            </w:r>
          </w:p>
          <w:p w14:paraId="0E92D57C" w14:textId="77777777" w:rsidR="004D45F1" w:rsidRDefault="004D45F1">
            <w:pPr>
              <w:rPr>
                <w:rFonts w:cs="Arial"/>
                <w:noProof/>
                <w:color w:val="000000"/>
                <w:sz w:val="16"/>
                <w:szCs w:val="16"/>
              </w:rPr>
            </w:pPr>
            <w:r>
              <w:rPr>
                <w:rFonts w:cs="Arial"/>
                <w:noProof/>
                <w:color w:val="000000"/>
                <w:sz w:val="16"/>
                <w:szCs w:val="16"/>
              </w:rPr>
              <w:t>As there is not enough primary data to uncover a meaningful trend in emissions data, this is also assumed to stay constant and is not reduced.</w:t>
            </w:r>
          </w:p>
        </w:tc>
      </w:tr>
      <w:tr w:rsidR="004D45F1" w14:paraId="46A77F2F"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nil"/>
              <w:left w:val="single" w:sz="4" w:space="0" w:color="0055A0"/>
              <w:bottom w:val="nil"/>
              <w:right w:val="single" w:sz="4" w:space="0" w:color="0055A0"/>
            </w:tcBorders>
            <w:hideMark/>
          </w:tcPr>
          <w:p w14:paraId="5F6D37B1"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B4C6E7"/>
            <w:noWrap/>
            <w:hideMark/>
          </w:tcPr>
          <w:p w14:paraId="7BFE7476" w14:textId="77777777" w:rsidR="004D45F1" w:rsidRDefault="004D45F1">
            <w:pPr>
              <w:jc w:val="both"/>
              <w:rPr>
                <w:rFonts w:cs="Arial"/>
                <w:noProof/>
                <w:color w:val="000000"/>
                <w:sz w:val="16"/>
                <w:szCs w:val="16"/>
              </w:rPr>
            </w:pPr>
            <w:r>
              <w:rPr>
                <w:rFonts w:cs="Arial"/>
                <w:noProof/>
                <w:color w:val="000000"/>
                <w:sz w:val="16"/>
                <w:szCs w:val="16"/>
              </w:rPr>
              <w:t>Emissions (tODP)</w:t>
            </w:r>
          </w:p>
        </w:tc>
        <w:tc>
          <w:tcPr>
            <w:tcW w:w="6259" w:type="dxa"/>
            <w:vMerge/>
            <w:tcBorders>
              <w:top w:val="nil"/>
              <w:left w:val="single" w:sz="4" w:space="0" w:color="0055A0"/>
              <w:bottom w:val="single" w:sz="4" w:space="0" w:color="auto"/>
              <w:right w:val="single" w:sz="4" w:space="0" w:color="0055A0"/>
            </w:tcBorders>
            <w:hideMark/>
          </w:tcPr>
          <w:p w14:paraId="6BC6DA09" w14:textId="77777777" w:rsidR="004D45F1" w:rsidRDefault="004D45F1">
            <w:pPr>
              <w:spacing w:before="0"/>
              <w:rPr>
                <w:rFonts w:cs="Arial"/>
                <w:noProof/>
                <w:color w:val="000000"/>
                <w:sz w:val="16"/>
                <w:szCs w:val="16"/>
              </w:rPr>
            </w:pPr>
          </w:p>
        </w:tc>
      </w:tr>
      <w:tr w:rsidR="004D45F1" w14:paraId="001D332D"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shd w:val="clear" w:color="auto" w:fill="DEEAF6"/>
            <w:noWrap/>
          </w:tcPr>
          <w:p w14:paraId="22C707EA" w14:textId="77777777" w:rsidR="004D45F1" w:rsidRDefault="004D45F1">
            <w:pPr>
              <w:jc w:val="both"/>
              <w:rPr>
                <w:rFonts w:cs="Arial"/>
                <w:noProof/>
                <w:color w:val="000000"/>
                <w:sz w:val="16"/>
                <w:szCs w:val="16"/>
              </w:rPr>
            </w:pPr>
          </w:p>
        </w:tc>
        <w:tc>
          <w:tcPr>
            <w:tcW w:w="1253" w:type="dxa"/>
            <w:tcBorders>
              <w:top w:val="nil"/>
              <w:bottom w:val="single" w:sz="4" w:space="0" w:color="auto"/>
            </w:tcBorders>
            <w:shd w:val="clear" w:color="auto" w:fill="E2EFD9"/>
            <w:noWrap/>
            <w:hideMark/>
          </w:tcPr>
          <w:p w14:paraId="48876DAE"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vMerge/>
            <w:tcBorders>
              <w:top w:val="nil"/>
              <w:bottom w:val="single" w:sz="4" w:space="0" w:color="auto"/>
              <w:right w:val="single" w:sz="4" w:space="0" w:color="0055A0"/>
            </w:tcBorders>
            <w:hideMark/>
          </w:tcPr>
          <w:p w14:paraId="0E87859B" w14:textId="77777777" w:rsidR="004D45F1" w:rsidRDefault="004D45F1">
            <w:pPr>
              <w:spacing w:before="0"/>
              <w:rPr>
                <w:rFonts w:cs="Arial"/>
                <w:noProof/>
                <w:color w:val="000000"/>
                <w:sz w:val="16"/>
                <w:szCs w:val="16"/>
              </w:rPr>
            </w:pPr>
          </w:p>
        </w:tc>
      </w:tr>
      <w:tr w:rsidR="004D45F1" w14:paraId="10DCF0C6" w14:textId="77777777" w:rsidTr="004D45F1">
        <w:trPr>
          <w:cnfStyle w:val="000000100000" w:firstRow="0" w:lastRow="0" w:firstColumn="0" w:lastColumn="0" w:oddVBand="0" w:evenVBand="0" w:oddHBand="1" w:evenHBand="0" w:firstRowFirstColumn="0" w:firstRowLastColumn="0" w:lastRowFirstColumn="0" w:lastRowLastColumn="0"/>
          <w:cantSplit/>
          <w:trHeight w:val="255"/>
        </w:trPr>
        <w:tc>
          <w:tcPr>
            <w:tcW w:w="1555" w:type="dxa"/>
            <w:vMerge w:val="restart"/>
            <w:tcBorders>
              <w:top w:val="single" w:sz="4" w:space="0" w:color="auto"/>
              <w:left w:val="single" w:sz="4" w:space="0" w:color="0055A0"/>
              <w:bottom w:val="nil"/>
              <w:right w:val="single" w:sz="4" w:space="0" w:color="0055A0"/>
            </w:tcBorders>
            <w:noWrap/>
            <w:hideMark/>
          </w:tcPr>
          <w:p w14:paraId="7B40EABC" w14:textId="77777777" w:rsidR="004D45F1" w:rsidRDefault="004D45F1">
            <w:pPr>
              <w:jc w:val="both"/>
              <w:rPr>
                <w:rFonts w:cs="Arial"/>
                <w:noProof/>
                <w:color w:val="000000"/>
                <w:sz w:val="16"/>
                <w:szCs w:val="16"/>
              </w:rPr>
            </w:pPr>
            <w:r>
              <w:rPr>
                <w:rFonts w:cs="Arial"/>
                <w:noProof/>
                <w:color w:val="000000"/>
                <w:sz w:val="16"/>
                <w:szCs w:val="16"/>
              </w:rPr>
              <w:t>Feedstock use</w:t>
            </w:r>
          </w:p>
        </w:tc>
        <w:tc>
          <w:tcPr>
            <w:tcW w:w="1253" w:type="dxa"/>
            <w:tcBorders>
              <w:top w:val="single" w:sz="4" w:space="0" w:color="auto"/>
              <w:left w:val="single" w:sz="4" w:space="0" w:color="0055A0"/>
              <w:bottom w:val="nil"/>
              <w:right w:val="single" w:sz="4" w:space="0" w:color="0055A0"/>
            </w:tcBorders>
            <w:noWrap/>
            <w:hideMark/>
          </w:tcPr>
          <w:p w14:paraId="047A20A5" w14:textId="77777777" w:rsidR="004D45F1" w:rsidRDefault="004D45F1">
            <w:pPr>
              <w:jc w:val="both"/>
              <w:rPr>
                <w:rFonts w:cs="Arial"/>
                <w:noProof/>
                <w:color w:val="000000"/>
                <w:sz w:val="16"/>
                <w:szCs w:val="16"/>
              </w:rPr>
            </w:pPr>
            <w:r>
              <w:rPr>
                <w:rFonts w:cs="Arial"/>
                <w:noProof/>
                <w:color w:val="000000"/>
                <w:sz w:val="16"/>
                <w:szCs w:val="16"/>
              </w:rPr>
              <w:t>Controlled substances (tODP stock)</w:t>
            </w:r>
          </w:p>
        </w:tc>
        <w:tc>
          <w:tcPr>
            <w:tcW w:w="6259" w:type="dxa"/>
            <w:tcBorders>
              <w:top w:val="single" w:sz="4" w:space="0" w:color="auto"/>
              <w:left w:val="single" w:sz="4" w:space="0" w:color="0055A0"/>
              <w:bottom w:val="nil"/>
              <w:right w:val="single" w:sz="4" w:space="0" w:color="0055A0"/>
            </w:tcBorders>
            <w:noWrap/>
            <w:hideMark/>
          </w:tcPr>
          <w:p w14:paraId="5C42FC7B" w14:textId="77777777" w:rsidR="004D45F1" w:rsidRDefault="004D45F1">
            <w:pPr>
              <w:rPr>
                <w:rFonts w:cs="Arial"/>
                <w:noProof/>
                <w:color w:val="000000"/>
                <w:sz w:val="16"/>
                <w:szCs w:val="16"/>
              </w:rPr>
            </w:pPr>
            <w:r>
              <w:rPr>
                <w:rFonts w:cs="Arial"/>
                <w:noProof/>
                <w:color w:val="000000"/>
                <w:sz w:val="16"/>
                <w:szCs w:val="16"/>
              </w:rPr>
              <w:t>Taking the 2013 – 2019 trend. 2010-2012 is excluded as there were very high feedstock quantities used which may have been affected by the economic recovery after the 2009 crisis. Using the 2013 to 2019 reduction results in an annual reduction of 3.53%. This reduction (in tODP) was considered as unrealistic to be sustained in the long run, so this reduction factor is divided by 3, assuming that intrinsic factors to the 2013 – 2019 period resulted in a faster reduction than is usual.  Further, an overall chemical sector production increase of 0.3% per year is added to account for economic growth of the EU chemical sector in line with 2010 – 2019 trends</w:t>
            </w:r>
            <w:r>
              <w:rPr>
                <w:rFonts w:asciiTheme="minorHAnsi" w:eastAsiaTheme="minorHAnsi" w:hAnsiTheme="minorHAnsi" w:cstheme="minorBidi"/>
                <w:noProof/>
                <w:vertAlign w:val="superscript"/>
              </w:rPr>
              <w:footnoteReference w:id="104"/>
            </w:r>
            <w:r>
              <w:rPr>
                <w:rFonts w:cs="Arial"/>
                <w:noProof/>
                <w:color w:val="000000"/>
                <w:sz w:val="16"/>
                <w:szCs w:val="16"/>
              </w:rPr>
              <w:t>. Trend is applied to data reported for 2019 from EEA.</w:t>
            </w:r>
          </w:p>
        </w:tc>
      </w:tr>
      <w:tr w:rsidR="004D45F1" w14:paraId="64BCE435"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070D9999"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B4C6E7"/>
            <w:noWrap/>
            <w:hideMark/>
          </w:tcPr>
          <w:p w14:paraId="2FCA48DE" w14:textId="77777777" w:rsidR="004D45F1" w:rsidRDefault="004D45F1">
            <w:pPr>
              <w:jc w:val="both"/>
              <w:rPr>
                <w:rFonts w:cs="Arial"/>
                <w:noProof/>
                <w:color w:val="000000"/>
                <w:sz w:val="16"/>
                <w:szCs w:val="16"/>
              </w:rPr>
            </w:pPr>
            <w:r>
              <w:rPr>
                <w:rFonts w:cs="Arial"/>
                <w:noProof/>
                <w:color w:val="000000"/>
                <w:sz w:val="16"/>
                <w:szCs w:val="16"/>
              </w:rPr>
              <w:t>Emissions (tODP)</w:t>
            </w:r>
          </w:p>
        </w:tc>
        <w:tc>
          <w:tcPr>
            <w:tcW w:w="6259" w:type="dxa"/>
            <w:tcBorders>
              <w:top w:val="nil"/>
              <w:bottom w:val="nil"/>
              <w:right w:val="single" w:sz="4" w:space="0" w:color="0055A0"/>
            </w:tcBorders>
            <w:shd w:val="clear" w:color="auto" w:fill="B4C6E7"/>
            <w:noWrap/>
            <w:hideMark/>
          </w:tcPr>
          <w:p w14:paraId="7E5A2EA8" w14:textId="77777777" w:rsidR="004D45F1" w:rsidRDefault="004D45F1">
            <w:pPr>
              <w:rPr>
                <w:rFonts w:cs="Arial"/>
                <w:noProof/>
                <w:color w:val="000000"/>
                <w:sz w:val="16"/>
                <w:szCs w:val="16"/>
              </w:rPr>
            </w:pPr>
            <w:r>
              <w:rPr>
                <w:rFonts w:cs="Arial"/>
                <w:noProof/>
                <w:color w:val="000000"/>
                <w:sz w:val="16"/>
                <w:szCs w:val="16"/>
              </w:rPr>
              <w:t>Method similar to tODP stock, starting with reported EEA data, but emissions reduce slightly faster than use, reflecting a reduction in emission factor between 2010 to 2019 (from 0.013 to 0.09). As the maximum potential is almost reached, emission factor is considered to reduce only from 0.09 to 0.08 between 2020 and 2050.</w:t>
            </w:r>
          </w:p>
        </w:tc>
      </w:tr>
      <w:tr w:rsidR="004D45F1" w14:paraId="59A1E67A"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3D8BA4CA"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E2EFD9"/>
            <w:noWrap/>
            <w:hideMark/>
          </w:tcPr>
          <w:p w14:paraId="313DA390"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tcBorders>
              <w:top w:val="nil"/>
              <w:left w:val="single" w:sz="4" w:space="0" w:color="0055A0"/>
              <w:bottom w:val="nil"/>
              <w:right w:val="single" w:sz="4" w:space="0" w:color="0055A0"/>
            </w:tcBorders>
            <w:shd w:val="clear" w:color="auto" w:fill="E2EFD9"/>
            <w:noWrap/>
            <w:hideMark/>
          </w:tcPr>
          <w:p w14:paraId="24B89E69" w14:textId="77777777" w:rsidR="004D45F1" w:rsidRDefault="004D45F1">
            <w:pPr>
              <w:rPr>
                <w:rFonts w:cs="Arial"/>
                <w:noProof/>
                <w:color w:val="000000"/>
                <w:sz w:val="16"/>
                <w:szCs w:val="16"/>
              </w:rPr>
            </w:pPr>
            <w:r>
              <w:rPr>
                <w:rFonts w:cs="Arial"/>
                <w:noProof/>
                <w:color w:val="000000"/>
                <w:sz w:val="16"/>
                <w:szCs w:val="16"/>
              </w:rPr>
              <w:t>Converted tODP to tCO2e using GWPs from the GHG protocol (citing IPCC AR5)</w:t>
            </w:r>
            <w:r>
              <w:rPr>
                <w:rFonts w:asciiTheme="minorHAnsi" w:eastAsiaTheme="minorHAnsi" w:hAnsiTheme="minorHAnsi" w:cstheme="minorBidi"/>
                <w:noProof/>
                <w:vertAlign w:val="superscript"/>
              </w:rPr>
              <w:footnoteReference w:id="105"/>
            </w:r>
            <w:r>
              <w:rPr>
                <w:rFonts w:cs="Arial"/>
                <w:noProof/>
                <w:sz w:val="16"/>
                <w:szCs w:val="16"/>
              </w:rPr>
              <w:t xml:space="preserve"> </w:t>
            </w:r>
          </w:p>
        </w:tc>
      </w:tr>
      <w:tr w:rsidR="004D45F1" w14:paraId="2923F888"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3313C956"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DEEAF6"/>
            <w:noWrap/>
            <w:hideMark/>
          </w:tcPr>
          <w:p w14:paraId="191FBB1E" w14:textId="77777777" w:rsidR="004D45F1" w:rsidRDefault="004D45F1">
            <w:pPr>
              <w:jc w:val="both"/>
              <w:rPr>
                <w:rFonts w:cs="Arial"/>
                <w:noProof/>
                <w:color w:val="000000"/>
                <w:sz w:val="16"/>
                <w:szCs w:val="16"/>
              </w:rPr>
            </w:pPr>
            <w:r>
              <w:rPr>
                <w:rFonts w:cs="Arial"/>
                <w:noProof/>
                <w:color w:val="000000"/>
                <w:sz w:val="16"/>
                <w:szCs w:val="16"/>
              </w:rPr>
              <w:t>Annex II substances* (tODP stock)</w:t>
            </w:r>
          </w:p>
        </w:tc>
        <w:tc>
          <w:tcPr>
            <w:tcW w:w="6259" w:type="dxa"/>
            <w:tcBorders>
              <w:top w:val="nil"/>
              <w:bottom w:val="nil"/>
              <w:right w:val="single" w:sz="4" w:space="0" w:color="0055A0"/>
            </w:tcBorders>
            <w:shd w:val="clear" w:color="auto" w:fill="DEEAF6"/>
            <w:noWrap/>
            <w:hideMark/>
          </w:tcPr>
          <w:p w14:paraId="715A1D53" w14:textId="77777777" w:rsidR="004D45F1" w:rsidRDefault="004D45F1">
            <w:pPr>
              <w:rPr>
                <w:rFonts w:cs="Arial"/>
                <w:noProof/>
                <w:color w:val="000000"/>
                <w:sz w:val="16"/>
                <w:szCs w:val="16"/>
              </w:rPr>
            </w:pPr>
            <w:r>
              <w:rPr>
                <w:rFonts w:cs="Arial"/>
                <w:noProof/>
                <w:color w:val="000000"/>
                <w:sz w:val="16"/>
                <w:szCs w:val="16"/>
              </w:rPr>
              <w:t>Assumed to stay constant, in line with reasoning and driver for production of Annex II emissions.</w:t>
            </w:r>
          </w:p>
        </w:tc>
      </w:tr>
      <w:tr w:rsidR="004D45F1" w14:paraId="47FD3DEF"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64024B27"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B4C6E7"/>
            <w:noWrap/>
            <w:hideMark/>
          </w:tcPr>
          <w:p w14:paraId="4709F787" w14:textId="77777777" w:rsidR="004D45F1" w:rsidRDefault="004D45F1">
            <w:pPr>
              <w:jc w:val="both"/>
              <w:rPr>
                <w:rFonts w:cs="Arial"/>
                <w:noProof/>
                <w:color w:val="000000"/>
                <w:sz w:val="16"/>
                <w:szCs w:val="16"/>
              </w:rPr>
            </w:pPr>
            <w:r>
              <w:rPr>
                <w:rFonts w:cs="Arial"/>
                <w:noProof/>
                <w:color w:val="000000"/>
                <w:sz w:val="16"/>
                <w:szCs w:val="16"/>
              </w:rPr>
              <w:t>Emissions (tODP)</w:t>
            </w:r>
          </w:p>
        </w:tc>
        <w:tc>
          <w:tcPr>
            <w:tcW w:w="6259" w:type="dxa"/>
            <w:tcBorders>
              <w:top w:val="nil"/>
              <w:left w:val="single" w:sz="4" w:space="0" w:color="0055A0"/>
              <w:bottom w:val="nil"/>
              <w:right w:val="single" w:sz="4" w:space="0" w:color="0055A0"/>
            </w:tcBorders>
            <w:shd w:val="clear" w:color="auto" w:fill="B4C6E7"/>
            <w:noWrap/>
            <w:hideMark/>
          </w:tcPr>
          <w:p w14:paraId="6469C025" w14:textId="77777777" w:rsidR="004D45F1" w:rsidRDefault="004D45F1">
            <w:pPr>
              <w:rPr>
                <w:rFonts w:cs="Arial"/>
                <w:noProof/>
                <w:color w:val="000000"/>
                <w:sz w:val="16"/>
                <w:szCs w:val="16"/>
              </w:rPr>
            </w:pPr>
            <w:r>
              <w:rPr>
                <w:rFonts w:cs="Arial"/>
                <w:noProof/>
                <w:color w:val="000000"/>
                <w:sz w:val="16"/>
                <w:szCs w:val="16"/>
              </w:rPr>
              <w:t>With use constant, emissions reduce only in line with the slowly reducing emission factor. This reduction in emission factor is assumed as equal to the reduction of the emission factor for controlled substances (which reduces from 0.09 to 0.08, or ~ 11% from 2020 to 2050).</w:t>
            </w:r>
          </w:p>
        </w:tc>
      </w:tr>
      <w:tr w:rsidR="004D45F1" w14:paraId="51B47EE1"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noWrap/>
          </w:tcPr>
          <w:p w14:paraId="593DC247" w14:textId="77777777" w:rsidR="004D45F1" w:rsidRDefault="004D45F1">
            <w:pPr>
              <w:jc w:val="both"/>
              <w:rPr>
                <w:rFonts w:cs="Arial"/>
                <w:noProof/>
                <w:color w:val="000000"/>
                <w:sz w:val="16"/>
                <w:szCs w:val="16"/>
              </w:rPr>
            </w:pPr>
          </w:p>
        </w:tc>
        <w:tc>
          <w:tcPr>
            <w:tcW w:w="1253" w:type="dxa"/>
            <w:tcBorders>
              <w:top w:val="nil"/>
              <w:bottom w:val="single" w:sz="4" w:space="0" w:color="auto"/>
            </w:tcBorders>
            <w:shd w:val="clear" w:color="auto" w:fill="E2EFD9"/>
            <w:noWrap/>
            <w:hideMark/>
          </w:tcPr>
          <w:p w14:paraId="3153106F"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tcBorders>
              <w:top w:val="nil"/>
              <w:bottom w:val="single" w:sz="4" w:space="0" w:color="auto"/>
              <w:right w:val="single" w:sz="4" w:space="0" w:color="0055A0"/>
            </w:tcBorders>
            <w:shd w:val="clear" w:color="auto" w:fill="E2EFD9"/>
            <w:noWrap/>
            <w:hideMark/>
          </w:tcPr>
          <w:p w14:paraId="5AAA48B7" w14:textId="77777777" w:rsidR="004D45F1" w:rsidRDefault="004D45F1">
            <w:pPr>
              <w:rPr>
                <w:rFonts w:cs="Arial"/>
                <w:noProof/>
                <w:color w:val="000000"/>
                <w:sz w:val="16"/>
                <w:szCs w:val="16"/>
              </w:rPr>
            </w:pPr>
            <w:r>
              <w:rPr>
                <w:rFonts w:cs="Arial"/>
                <w:noProof/>
                <w:color w:val="000000"/>
                <w:sz w:val="16"/>
                <w:szCs w:val="16"/>
              </w:rPr>
              <w:t>Converted tODP to tCO2e using GWPs from the GHG protocol (citing IPCC AR5)</w:t>
            </w:r>
            <w:r>
              <w:rPr>
                <w:rFonts w:cs="Arial"/>
                <w:noProof/>
                <w:sz w:val="16"/>
                <w:szCs w:val="16"/>
              </w:rPr>
              <w:t xml:space="preserve"> </w:t>
            </w:r>
          </w:p>
        </w:tc>
      </w:tr>
      <w:tr w:rsidR="004D45F1" w14:paraId="491F4A31" w14:textId="77777777" w:rsidTr="004D45F1">
        <w:trPr>
          <w:cnfStyle w:val="000000100000" w:firstRow="0" w:lastRow="0" w:firstColumn="0" w:lastColumn="0" w:oddVBand="0" w:evenVBand="0" w:oddHBand="1" w:evenHBand="0" w:firstRowFirstColumn="0" w:firstRowLastColumn="0" w:lastRowFirstColumn="0" w:lastRowLastColumn="0"/>
          <w:trHeight w:val="514"/>
        </w:trPr>
        <w:tc>
          <w:tcPr>
            <w:tcW w:w="1555" w:type="dxa"/>
            <w:vMerge w:val="restart"/>
            <w:tcBorders>
              <w:top w:val="single" w:sz="4" w:space="0" w:color="auto"/>
              <w:left w:val="single" w:sz="4" w:space="0" w:color="0055A0"/>
              <w:bottom w:val="nil"/>
              <w:right w:val="single" w:sz="4" w:space="0" w:color="0055A0"/>
            </w:tcBorders>
            <w:shd w:val="clear" w:color="auto" w:fill="DEEAF6"/>
            <w:noWrap/>
            <w:hideMark/>
          </w:tcPr>
          <w:p w14:paraId="147454E2" w14:textId="77777777" w:rsidR="004D45F1" w:rsidRDefault="004D45F1">
            <w:pPr>
              <w:jc w:val="both"/>
              <w:rPr>
                <w:rFonts w:cs="Arial"/>
                <w:noProof/>
                <w:color w:val="000000"/>
                <w:sz w:val="16"/>
                <w:szCs w:val="16"/>
              </w:rPr>
            </w:pPr>
            <w:r>
              <w:rPr>
                <w:rFonts w:cs="Arial"/>
                <w:noProof/>
                <w:color w:val="000000"/>
                <w:sz w:val="16"/>
                <w:szCs w:val="16"/>
              </w:rPr>
              <w:t>Controlled substance feedstocks with potential identified alternatives</w:t>
            </w:r>
          </w:p>
        </w:tc>
        <w:tc>
          <w:tcPr>
            <w:tcW w:w="1253" w:type="dxa"/>
            <w:tcBorders>
              <w:top w:val="single" w:sz="4" w:space="0" w:color="auto"/>
              <w:left w:val="single" w:sz="4" w:space="0" w:color="0055A0"/>
              <w:bottom w:val="nil"/>
              <w:right w:val="single" w:sz="4" w:space="0" w:color="0055A0"/>
            </w:tcBorders>
            <w:shd w:val="clear" w:color="auto" w:fill="DEEAF6"/>
            <w:noWrap/>
            <w:hideMark/>
          </w:tcPr>
          <w:p w14:paraId="4DE91F18" w14:textId="77777777" w:rsidR="004D45F1" w:rsidRDefault="004D45F1">
            <w:pPr>
              <w:jc w:val="both"/>
              <w:rPr>
                <w:rFonts w:cs="Arial"/>
                <w:noProof/>
                <w:color w:val="000000"/>
                <w:sz w:val="16"/>
                <w:szCs w:val="16"/>
              </w:rPr>
            </w:pPr>
            <w:r>
              <w:rPr>
                <w:rFonts w:cs="Arial"/>
                <w:noProof/>
                <w:color w:val="000000"/>
                <w:sz w:val="16"/>
                <w:szCs w:val="16"/>
              </w:rPr>
              <w:t>Stock</w:t>
            </w:r>
          </w:p>
        </w:tc>
        <w:tc>
          <w:tcPr>
            <w:tcW w:w="6259" w:type="dxa"/>
            <w:vMerge w:val="restart"/>
            <w:tcBorders>
              <w:top w:val="single" w:sz="4" w:space="0" w:color="auto"/>
              <w:left w:val="single" w:sz="4" w:space="0" w:color="0055A0"/>
              <w:bottom w:val="single" w:sz="4" w:space="0" w:color="auto"/>
              <w:right w:val="single" w:sz="4" w:space="0" w:color="0055A0"/>
            </w:tcBorders>
            <w:shd w:val="clear" w:color="auto" w:fill="DEEAF6"/>
            <w:noWrap/>
            <w:hideMark/>
          </w:tcPr>
          <w:p w14:paraId="035AB004" w14:textId="77777777" w:rsidR="004D45F1" w:rsidRDefault="004D45F1">
            <w:pPr>
              <w:rPr>
                <w:rFonts w:cs="Arial"/>
                <w:noProof/>
                <w:sz w:val="16"/>
                <w:szCs w:val="16"/>
              </w:rPr>
            </w:pPr>
            <w:r>
              <w:rPr>
                <w:rFonts w:cs="Arial"/>
                <w:noProof/>
                <w:sz w:val="16"/>
                <w:szCs w:val="16"/>
              </w:rPr>
              <w:t>Identified via the uses highlighted in the Evaluation, and the process-specific data from the EEA reporting.</w:t>
            </w:r>
          </w:p>
        </w:tc>
      </w:tr>
      <w:tr w:rsidR="004D45F1" w14:paraId="5E4DB750"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506E113E"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B4C6E7"/>
            <w:noWrap/>
            <w:hideMark/>
          </w:tcPr>
          <w:p w14:paraId="29985064" w14:textId="77777777" w:rsidR="004D45F1" w:rsidRDefault="004D45F1">
            <w:pPr>
              <w:jc w:val="both"/>
              <w:rPr>
                <w:rFonts w:cs="Arial"/>
                <w:noProof/>
                <w:color w:val="000000"/>
                <w:sz w:val="16"/>
                <w:szCs w:val="16"/>
              </w:rPr>
            </w:pPr>
            <w:r>
              <w:rPr>
                <w:rFonts w:cs="Arial"/>
                <w:noProof/>
                <w:color w:val="000000"/>
                <w:sz w:val="16"/>
                <w:szCs w:val="16"/>
              </w:rPr>
              <w:t>Emissions</w:t>
            </w:r>
          </w:p>
        </w:tc>
        <w:tc>
          <w:tcPr>
            <w:tcW w:w="6259" w:type="dxa"/>
            <w:vMerge/>
            <w:tcBorders>
              <w:top w:val="single" w:sz="4" w:space="0" w:color="auto"/>
              <w:bottom w:val="single" w:sz="4" w:space="0" w:color="auto"/>
              <w:right w:val="single" w:sz="4" w:space="0" w:color="0055A0"/>
            </w:tcBorders>
            <w:hideMark/>
          </w:tcPr>
          <w:p w14:paraId="5350D023" w14:textId="77777777" w:rsidR="004D45F1" w:rsidRDefault="004D45F1">
            <w:pPr>
              <w:spacing w:before="0"/>
              <w:rPr>
                <w:rFonts w:cs="Arial"/>
                <w:noProof/>
                <w:sz w:val="16"/>
                <w:szCs w:val="16"/>
              </w:rPr>
            </w:pPr>
          </w:p>
        </w:tc>
      </w:tr>
      <w:tr w:rsidR="004D45F1" w14:paraId="1F11C852"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tcBorders>
              <w:top w:val="nil"/>
              <w:left w:val="single" w:sz="4" w:space="0" w:color="0055A0"/>
              <w:bottom w:val="single" w:sz="4" w:space="0" w:color="auto"/>
              <w:right w:val="single" w:sz="4" w:space="0" w:color="0055A0"/>
            </w:tcBorders>
            <w:shd w:val="clear" w:color="auto" w:fill="DEEAF6"/>
            <w:noWrap/>
          </w:tcPr>
          <w:p w14:paraId="667E67C7" w14:textId="77777777" w:rsidR="004D45F1" w:rsidRDefault="004D45F1">
            <w:pPr>
              <w:jc w:val="both"/>
              <w:rPr>
                <w:rFonts w:cs="Arial"/>
                <w:noProof/>
                <w:color w:val="000000"/>
                <w:sz w:val="16"/>
                <w:szCs w:val="16"/>
              </w:rPr>
            </w:pPr>
          </w:p>
        </w:tc>
        <w:tc>
          <w:tcPr>
            <w:tcW w:w="1253" w:type="dxa"/>
            <w:tcBorders>
              <w:top w:val="nil"/>
              <w:left w:val="single" w:sz="4" w:space="0" w:color="0055A0"/>
              <w:bottom w:val="single" w:sz="4" w:space="0" w:color="auto"/>
              <w:right w:val="single" w:sz="4" w:space="0" w:color="0055A0"/>
            </w:tcBorders>
            <w:shd w:val="clear" w:color="auto" w:fill="E2EFD9"/>
            <w:noWrap/>
            <w:hideMark/>
          </w:tcPr>
          <w:p w14:paraId="1A6036D4"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vMerge/>
            <w:tcBorders>
              <w:top w:val="single" w:sz="4" w:space="0" w:color="auto"/>
              <w:left w:val="single" w:sz="4" w:space="0" w:color="0055A0"/>
              <w:bottom w:val="single" w:sz="4" w:space="0" w:color="auto"/>
              <w:right w:val="single" w:sz="4" w:space="0" w:color="0055A0"/>
            </w:tcBorders>
            <w:hideMark/>
          </w:tcPr>
          <w:p w14:paraId="78242E51" w14:textId="77777777" w:rsidR="004D45F1" w:rsidRDefault="004D45F1">
            <w:pPr>
              <w:spacing w:before="0"/>
              <w:rPr>
                <w:rFonts w:cs="Arial"/>
                <w:noProof/>
                <w:sz w:val="16"/>
                <w:szCs w:val="16"/>
              </w:rPr>
            </w:pPr>
          </w:p>
        </w:tc>
      </w:tr>
      <w:tr w:rsidR="004D45F1" w14:paraId="4DF46BFA"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val="restart"/>
            <w:tcBorders>
              <w:top w:val="single" w:sz="4" w:space="0" w:color="auto"/>
              <w:left w:val="single" w:sz="4" w:space="0" w:color="0055A0"/>
              <w:bottom w:val="nil"/>
            </w:tcBorders>
            <w:noWrap/>
            <w:hideMark/>
          </w:tcPr>
          <w:p w14:paraId="083EC50A" w14:textId="77777777" w:rsidR="004D45F1" w:rsidRDefault="004D45F1">
            <w:pPr>
              <w:jc w:val="both"/>
              <w:rPr>
                <w:rFonts w:cs="Arial"/>
                <w:noProof/>
                <w:color w:val="000000"/>
                <w:sz w:val="16"/>
                <w:szCs w:val="16"/>
              </w:rPr>
            </w:pPr>
            <w:r>
              <w:rPr>
                <w:rFonts w:cs="Arial"/>
                <w:noProof/>
                <w:color w:val="000000"/>
                <w:sz w:val="16"/>
                <w:szCs w:val="16"/>
              </w:rPr>
              <w:t>Process agent use</w:t>
            </w:r>
          </w:p>
        </w:tc>
        <w:tc>
          <w:tcPr>
            <w:tcW w:w="1253" w:type="dxa"/>
            <w:tcBorders>
              <w:top w:val="single" w:sz="4" w:space="0" w:color="auto"/>
              <w:bottom w:val="nil"/>
            </w:tcBorders>
            <w:noWrap/>
            <w:hideMark/>
          </w:tcPr>
          <w:p w14:paraId="6B19BC8A" w14:textId="77777777" w:rsidR="004D45F1" w:rsidRDefault="004D45F1">
            <w:pPr>
              <w:jc w:val="both"/>
              <w:rPr>
                <w:rFonts w:cs="Arial"/>
                <w:noProof/>
                <w:color w:val="000000"/>
                <w:sz w:val="16"/>
                <w:szCs w:val="16"/>
              </w:rPr>
            </w:pPr>
            <w:r>
              <w:rPr>
                <w:rFonts w:cs="Arial"/>
                <w:noProof/>
                <w:color w:val="000000"/>
                <w:sz w:val="16"/>
                <w:szCs w:val="16"/>
              </w:rPr>
              <w:t>Stock</w:t>
            </w:r>
          </w:p>
        </w:tc>
        <w:tc>
          <w:tcPr>
            <w:tcW w:w="6259" w:type="dxa"/>
            <w:tcBorders>
              <w:top w:val="single" w:sz="4" w:space="0" w:color="auto"/>
              <w:bottom w:val="nil"/>
              <w:right w:val="single" w:sz="4" w:space="0" w:color="0055A0"/>
            </w:tcBorders>
            <w:noWrap/>
            <w:hideMark/>
          </w:tcPr>
          <w:p w14:paraId="5562E4E8" w14:textId="77777777" w:rsidR="004D45F1" w:rsidRDefault="004D45F1">
            <w:pPr>
              <w:rPr>
                <w:rFonts w:cs="Arial"/>
                <w:noProof/>
                <w:color w:val="000000"/>
                <w:sz w:val="16"/>
                <w:szCs w:val="16"/>
              </w:rPr>
            </w:pPr>
            <w:r>
              <w:rPr>
                <w:rFonts w:cs="Arial"/>
                <w:noProof/>
                <w:color w:val="000000"/>
                <w:sz w:val="16"/>
                <w:szCs w:val="16"/>
              </w:rPr>
              <w:t xml:space="preserve">Process agent use is expected to decline significantly.to 25% of 2019 levels in 2040 as old installations are being eliminated. </w:t>
            </w:r>
          </w:p>
        </w:tc>
      </w:tr>
      <w:tr w:rsidR="004D45F1" w14:paraId="3AAAF6E6"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34DF2B8A"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B4C6E7"/>
            <w:noWrap/>
            <w:hideMark/>
          </w:tcPr>
          <w:p w14:paraId="70961F2D" w14:textId="77777777" w:rsidR="004D45F1" w:rsidRDefault="004D45F1">
            <w:pPr>
              <w:jc w:val="both"/>
              <w:rPr>
                <w:rFonts w:cs="Arial"/>
                <w:noProof/>
                <w:color w:val="000000"/>
                <w:sz w:val="16"/>
                <w:szCs w:val="16"/>
              </w:rPr>
            </w:pPr>
            <w:r>
              <w:rPr>
                <w:rFonts w:cs="Arial"/>
                <w:noProof/>
                <w:color w:val="000000"/>
                <w:sz w:val="16"/>
                <w:szCs w:val="16"/>
              </w:rPr>
              <w:t>Emissions</w:t>
            </w:r>
          </w:p>
        </w:tc>
        <w:tc>
          <w:tcPr>
            <w:tcW w:w="6259" w:type="dxa"/>
            <w:tcBorders>
              <w:top w:val="nil"/>
              <w:left w:val="single" w:sz="4" w:space="0" w:color="0055A0"/>
              <w:bottom w:val="nil"/>
              <w:right w:val="single" w:sz="4" w:space="0" w:color="0055A0"/>
            </w:tcBorders>
            <w:shd w:val="clear" w:color="auto" w:fill="B4C6E7"/>
            <w:noWrap/>
            <w:hideMark/>
          </w:tcPr>
          <w:p w14:paraId="4A36FD94" w14:textId="77777777" w:rsidR="004D45F1" w:rsidRDefault="004D45F1">
            <w:pPr>
              <w:rPr>
                <w:rFonts w:cs="Arial"/>
                <w:noProof/>
                <w:color w:val="000000"/>
                <w:sz w:val="16"/>
                <w:szCs w:val="16"/>
              </w:rPr>
            </w:pPr>
            <w:r>
              <w:rPr>
                <w:rFonts w:cs="Arial"/>
                <w:noProof/>
                <w:color w:val="000000"/>
                <w:sz w:val="16"/>
                <w:szCs w:val="16"/>
              </w:rPr>
              <w:t>Emissions decline linearly in line with use.</w:t>
            </w:r>
          </w:p>
        </w:tc>
      </w:tr>
      <w:tr w:rsidR="004D45F1" w14:paraId="6257C53C"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noWrap/>
          </w:tcPr>
          <w:p w14:paraId="4BCEB11E" w14:textId="77777777" w:rsidR="004D45F1" w:rsidRDefault="004D45F1">
            <w:pPr>
              <w:jc w:val="both"/>
              <w:rPr>
                <w:rFonts w:cs="Arial"/>
                <w:noProof/>
                <w:color w:val="000000"/>
                <w:sz w:val="16"/>
                <w:szCs w:val="16"/>
              </w:rPr>
            </w:pPr>
          </w:p>
        </w:tc>
        <w:tc>
          <w:tcPr>
            <w:tcW w:w="1253" w:type="dxa"/>
            <w:tcBorders>
              <w:top w:val="nil"/>
              <w:bottom w:val="single" w:sz="4" w:space="0" w:color="auto"/>
            </w:tcBorders>
            <w:shd w:val="clear" w:color="auto" w:fill="E2EFD9"/>
            <w:noWrap/>
            <w:hideMark/>
          </w:tcPr>
          <w:p w14:paraId="536DA463"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tcBorders>
              <w:top w:val="nil"/>
              <w:bottom w:val="single" w:sz="4" w:space="0" w:color="auto"/>
              <w:right w:val="single" w:sz="4" w:space="0" w:color="0055A0"/>
            </w:tcBorders>
            <w:shd w:val="clear" w:color="auto" w:fill="E2EFD9"/>
            <w:noWrap/>
            <w:hideMark/>
          </w:tcPr>
          <w:p w14:paraId="304857A9" w14:textId="77777777" w:rsidR="004D45F1" w:rsidRDefault="004D45F1">
            <w:pPr>
              <w:rPr>
                <w:rFonts w:cs="Arial"/>
                <w:noProof/>
                <w:color w:val="000000"/>
                <w:sz w:val="16"/>
                <w:szCs w:val="16"/>
              </w:rPr>
            </w:pPr>
            <w:r>
              <w:rPr>
                <w:rFonts w:cs="Arial"/>
                <w:noProof/>
                <w:color w:val="000000"/>
                <w:sz w:val="16"/>
                <w:szCs w:val="16"/>
              </w:rPr>
              <w:t>Emissions decline linearly in line with use.</w:t>
            </w:r>
          </w:p>
        </w:tc>
      </w:tr>
      <w:tr w:rsidR="004D45F1" w14:paraId="77ED44EB"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right w:val="single" w:sz="4" w:space="0" w:color="0055A0"/>
            </w:tcBorders>
            <w:noWrap/>
            <w:hideMark/>
          </w:tcPr>
          <w:p w14:paraId="5C367CA4" w14:textId="77777777" w:rsidR="004D45F1" w:rsidRDefault="004D45F1">
            <w:pPr>
              <w:jc w:val="both"/>
              <w:rPr>
                <w:rFonts w:cs="Arial"/>
                <w:noProof/>
                <w:color w:val="000000"/>
                <w:sz w:val="16"/>
                <w:szCs w:val="16"/>
              </w:rPr>
            </w:pPr>
            <w:r>
              <w:rPr>
                <w:rFonts w:cs="Arial"/>
                <w:noProof/>
                <w:color w:val="000000"/>
                <w:sz w:val="16"/>
                <w:szCs w:val="16"/>
              </w:rPr>
              <w:t>Laboratory use</w:t>
            </w:r>
          </w:p>
        </w:tc>
        <w:tc>
          <w:tcPr>
            <w:tcW w:w="1253" w:type="dxa"/>
            <w:tcBorders>
              <w:top w:val="single" w:sz="4" w:space="0" w:color="auto"/>
              <w:left w:val="single" w:sz="4" w:space="0" w:color="0055A0"/>
              <w:bottom w:val="nil"/>
              <w:right w:val="single" w:sz="4" w:space="0" w:color="0055A0"/>
            </w:tcBorders>
            <w:noWrap/>
            <w:hideMark/>
          </w:tcPr>
          <w:p w14:paraId="3158845C" w14:textId="77777777" w:rsidR="004D45F1" w:rsidRDefault="004D45F1">
            <w:pPr>
              <w:jc w:val="both"/>
              <w:rPr>
                <w:rFonts w:cs="Arial"/>
                <w:noProof/>
                <w:color w:val="000000"/>
                <w:sz w:val="16"/>
                <w:szCs w:val="16"/>
              </w:rPr>
            </w:pPr>
            <w:r>
              <w:rPr>
                <w:rFonts w:cs="Arial"/>
                <w:noProof/>
                <w:color w:val="000000"/>
                <w:sz w:val="16"/>
                <w:szCs w:val="16"/>
              </w:rPr>
              <w:t>Licences (# no annual licences)</w:t>
            </w:r>
          </w:p>
        </w:tc>
        <w:tc>
          <w:tcPr>
            <w:tcW w:w="6259" w:type="dxa"/>
            <w:tcBorders>
              <w:top w:val="single" w:sz="4" w:space="0" w:color="auto"/>
              <w:left w:val="single" w:sz="4" w:space="0" w:color="0055A0"/>
              <w:bottom w:val="nil"/>
              <w:right w:val="single" w:sz="4" w:space="0" w:color="0055A0"/>
            </w:tcBorders>
            <w:noWrap/>
            <w:hideMark/>
          </w:tcPr>
          <w:p w14:paraId="2BDA7CAA" w14:textId="77777777" w:rsidR="004D45F1" w:rsidRDefault="004D45F1">
            <w:pPr>
              <w:rPr>
                <w:rFonts w:cs="Arial"/>
                <w:noProof/>
                <w:color w:val="000000"/>
                <w:sz w:val="16"/>
                <w:szCs w:val="16"/>
              </w:rPr>
            </w:pPr>
            <w:r>
              <w:rPr>
                <w:rFonts w:cs="Arial"/>
                <w:noProof/>
                <w:color w:val="000000"/>
                <w:sz w:val="16"/>
                <w:szCs w:val="16"/>
              </w:rPr>
              <w:t>Use of the EC licence data to identify number of licences. The use of the Laboratory Registration System (LabODS) slowly increased and is expected to max out at 1200. Not expected to increase or decrease, as no clear link to 2010 – 2019 economic trends identified in the licence data.</w:t>
            </w:r>
          </w:p>
        </w:tc>
      </w:tr>
      <w:tr w:rsidR="004D45F1" w14:paraId="47173E07"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6479F04B" w14:textId="77777777" w:rsidR="004D45F1" w:rsidRDefault="004D45F1">
            <w:pPr>
              <w:spacing w:before="0"/>
              <w:rPr>
                <w:rFonts w:cs="Arial"/>
                <w:noProof/>
                <w:color w:val="000000"/>
                <w:sz w:val="16"/>
                <w:szCs w:val="16"/>
              </w:rPr>
            </w:pPr>
          </w:p>
        </w:tc>
        <w:tc>
          <w:tcPr>
            <w:tcW w:w="1253" w:type="dxa"/>
            <w:tcBorders>
              <w:top w:val="nil"/>
              <w:bottom w:val="single" w:sz="4" w:space="0" w:color="auto"/>
            </w:tcBorders>
            <w:shd w:val="clear" w:color="auto" w:fill="B4C6E7"/>
            <w:noWrap/>
            <w:hideMark/>
          </w:tcPr>
          <w:p w14:paraId="35045014" w14:textId="77777777" w:rsidR="004D45F1" w:rsidRDefault="004D45F1">
            <w:pPr>
              <w:jc w:val="both"/>
              <w:rPr>
                <w:rFonts w:cs="Arial"/>
                <w:noProof/>
                <w:color w:val="000000"/>
                <w:sz w:val="16"/>
                <w:szCs w:val="16"/>
              </w:rPr>
            </w:pPr>
            <w:r>
              <w:rPr>
                <w:rFonts w:cs="Arial"/>
                <w:noProof/>
                <w:color w:val="000000"/>
                <w:sz w:val="16"/>
                <w:szCs w:val="16"/>
              </w:rPr>
              <w:t>Emissions (tODP)</w:t>
            </w:r>
            <w:r>
              <w:rPr>
                <w:rFonts w:asciiTheme="minorHAnsi" w:eastAsiaTheme="minorHAnsi" w:hAnsiTheme="minorHAnsi" w:cstheme="minorBidi"/>
                <w:noProof/>
                <w:vertAlign w:val="superscript"/>
              </w:rPr>
              <w:footnoteReference w:id="106"/>
            </w:r>
          </w:p>
        </w:tc>
        <w:tc>
          <w:tcPr>
            <w:tcW w:w="6259" w:type="dxa"/>
            <w:tcBorders>
              <w:top w:val="nil"/>
              <w:bottom w:val="single" w:sz="4" w:space="0" w:color="auto"/>
              <w:right w:val="single" w:sz="4" w:space="0" w:color="0055A0"/>
            </w:tcBorders>
            <w:shd w:val="clear" w:color="auto" w:fill="B4C6E7"/>
            <w:noWrap/>
            <w:hideMark/>
          </w:tcPr>
          <w:p w14:paraId="0180D926" w14:textId="77777777" w:rsidR="004D45F1" w:rsidRDefault="004D45F1">
            <w:pPr>
              <w:rPr>
                <w:rFonts w:cs="Arial"/>
                <w:noProof/>
                <w:sz w:val="16"/>
                <w:szCs w:val="16"/>
              </w:rPr>
            </w:pPr>
            <w:r>
              <w:rPr>
                <w:rFonts w:cs="Arial"/>
                <w:noProof/>
                <w:sz w:val="16"/>
                <w:szCs w:val="16"/>
              </w:rPr>
              <w:t>Emissions assumed to be &lt; 1 tODP per year and stay constant in line with licences.</w:t>
            </w:r>
          </w:p>
        </w:tc>
      </w:tr>
      <w:tr w:rsidR="004D45F1" w14:paraId="508EC3EF"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right w:val="single" w:sz="4" w:space="0" w:color="0055A0"/>
            </w:tcBorders>
            <w:noWrap/>
            <w:hideMark/>
          </w:tcPr>
          <w:p w14:paraId="61B3675C" w14:textId="77777777" w:rsidR="004D45F1" w:rsidRDefault="004D45F1">
            <w:pPr>
              <w:jc w:val="both"/>
              <w:rPr>
                <w:rFonts w:cs="Arial"/>
                <w:noProof/>
                <w:color w:val="000000"/>
                <w:sz w:val="16"/>
                <w:szCs w:val="16"/>
              </w:rPr>
            </w:pPr>
            <w:r>
              <w:rPr>
                <w:rFonts w:cs="Arial"/>
                <w:noProof/>
                <w:color w:val="000000"/>
                <w:sz w:val="16"/>
                <w:szCs w:val="16"/>
              </w:rPr>
              <w:t>Foam banks</w:t>
            </w:r>
          </w:p>
        </w:tc>
        <w:tc>
          <w:tcPr>
            <w:tcW w:w="1253" w:type="dxa"/>
            <w:tcBorders>
              <w:top w:val="single" w:sz="4" w:space="0" w:color="auto"/>
              <w:left w:val="single" w:sz="4" w:space="0" w:color="0055A0"/>
              <w:bottom w:val="nil"/>
              <w:right w:val="single" w:sz="4" w:space="0" w:color="0055A0"/>
            </w:tcBorders>
            <w:shd w:val="clear" w:color="auto" w:fill="DEEAF6"/>
            <w:noWrap/>
            <w:hideMark/>
          </w:tcPr>
          <w:p w14:paraId="3A913167" w14:textId="77777777" w:rsidR="004D45F1" w:rsidRDefault="004D45F1">
            <w:pPr>
              <w:jc w:val="both"/>
              <w:rPr>
                <w:rFonts w:cs="Arial"/>
                <w:noProof/>
                <w:color w:val="000000"/>
                <w:sz w:val="16"/>
                <w:szCs w:val="16"/>
              </w:rPr>
            </w:pPr>
            <w:r>
              <w:rPr>
                <w:rFonts w:cs="Arial"/>
                <w:noProof/>
                <w:color w:val="000000"/>
                <w:sz w:val="16"/>
                <w:szCs w:val="16"/>
              </w:rPr>
              <w:t>Annual release (tODP stock)</w:t>
            </w:r>
          </w:p>
        </w:tc>
        <w:tc>
          <w:tcPr>
            <w:tcW w:w="6259" w:type="dxa"/>
            <w:vMerge w:val="restart"/>
            <w:tcBorders>
              <w:top w:val="single" w:sz="4" w:space="0" w:color="auto"/>
              <w:left w:val="single" w:sz="4" w:space="0" w:color="0055A0"/>
              <w:bottom w:val="single" w:sz="4" w:space="0" w:color="auto"/>
              <w:right w:val="single" w:sz="4" w:space="0" w:color="0055A0"/>
            </w:tcBorders>
            <w:shd w:val="clear" w:color="auto" w:fill="DEEAF6"/>
            <w:noWrap/>
          </w:tcPr>
          <w:p w14:paraId="6F21155B" w14:textId="77777777" w:rsidR="004D45F1" w:rsidRDefault="004D45F1">
            <w:pPr>
              <w:rPr>
                <w:rFonts w:cs="Arial"/>
                <w:noProof/>
                <w:color w:val="000000"/>
                <w:sz w:val="16"/>
                <w:szCs w:val="16"/>
              </w:rPr>
            </w:pPr>
            <w:r>
              <w:rPr>
                <w:rFonts w:cs="Arial"/>
                <w:noProof/>
                <w:color w:val="000000"/>
                <w:sz w:val="16"/>
                <w:szCs w:val="16"/>
              </w:rPr>
              <w:t>All data derived from the forecast model of SKM (2012) with no modifications.</w:t>
            </w:r>
          </w:p>
          <w:p w14:paraId="633D3533" w14:textId="77777777" w:rsidR="004D45F1" w:rsidRDefault="004D45F1">
            <w:pPr>
              <w:rPr>
                <w:rFonts w:cs="Arial"/>
                <w:noProof/>
                <w:color w:val="000000"/>
                <w:sz w:val="16"/>
                <w:szCs w:val="16"/>
              </w:rPr>
            </w:pPr>
            <w:r>
              <w:rPr>
                <w:rFonts w:cs="Arial"/>
                <w:noProof/>
                <w:color w:val="000000"/>
                <w:sz w:val="16"/>
                <w:szCs w:val="16"/>
              </w:rPr>
              <w:t>For ODS banks of foam, predictions on future emissions can be made through understanding the current size of the bank in combination with an assumption on how much of this is released into the atmosphere annually, which is set at 1.2% based on previous research</w:t>
            </w:r>
            <w:sdt>
              <w:sdtPr>
                <w:rPr>
                  <w:rFonts w:cs="Arial"/>
                  <w:noProof/>
                  <w:color w:val="000000"/>
                  <w:sz w:val="16"/>
                  <w:szCs w:val="16"/>
                </w:rPr>
                <w:id w:val="-1280412326"/>
                <w:citation/>
              </w:sdtPr>
              <w:sdtEndPr/>
              <w:sdtContent>
                <w:r>
                  <w:rPr>
                    <w:noProof/>
                  </w:rPr>
                  <w:fldChar w:fldCharType="begin"/>
                </w:r>
                <w:r>
                  <w:rPr>
                    <w:rFonts w:cs="Arial"/>
                    <w:noProof/>
                    <w:color w:val="000000"/>
                    <w:sz w:val="16"/>
                    <w:szCs w:val="16"/>
                  </w:rPr>
                  <w:instrText xml:space="preserve"> CITATION SKM12 \l 2057 </w:instrText>
                </w:r>
                <w:r>
                  <w:rPr>
                    <w:noProof/>
                  </w:rPr>
                  <w:fldChar w:fldCharType="separate"/>
                </w:r>
                <w:r>
                  <w:rPr>
                    <w:rFonts w:cs="Arial"/>
                    <w:noProof/>
                    <w:color w:val="000000"/>
                    <w:sz w:val="16"/>
                    <w:szCs w:val="16"/>
                  </w:rPr>
                  <w:t xml:space="preserve"> (SKM Enviros, 2012)</w:t>
                </w:r>
                <w:r>
                  <w:rPr>
                    <w:noProof/>
                  </w:rPr>
                  <w:fldChar w:fldCharType="end"/>
                </w:r>
              </w:sdtContent>
            </w:sdt>
            <w:r>
              <w:rPr>
                <w:rFonts w:cs="Arial"/>
                <w:noProof/>
                <w:color w:val="000000"/>
                <w:sz w:val="16"/>
                <w:szCs w:val="16"/>
              </w:rPr>
              <w:t xml:space="preserve">. </w:t>
            </w:r>
          </w:p>
          <w:p w14:paraId="3E2ECA28" w14:textId="77777777" w:rsidR="004D45F1" w:rsidRDefault="004D45F1">
            <w:pPr>
              <w:rPr>
                <w:rFonts w:cs="Arial"/>
                <w:noProof/>
                <w:color w:val="000000"/>
                <w:sz w:val="16"/>
                <w:szCs w:val="16"/>
              </w:rPr>
            </w:pPr>
            <w:r>
              <w:rPr>
                <w:rFonts w:cs="Arial"/>
                <w:noProof/>
                <w:color w:val="000000"/>
                <w:sz w:val="16"/>
                <w:szCs w:val="16"/>
              </w:rPr>
              <w:t xml:space="preserve">Large quantities of foams are reaching their end of life until 2030. Sustained high levels of emissions will occur until 2050 and beyond. </w:t>
            </w:r>
          </w:p>
          <w:p w14:paraId="240E3833" w14:textId="77777777" w:rsidR="004D45F1" w:rsidRDefault="004D45F1">
            <w:pPr>
              <w:rPr>
                <w:rFonts w:cs="Arial"/>
                <w:noProof/>
                <w:color w:val="000000"/>
                <w:sz w:val="16"/>
                <w:szCs w:val="16"/>
              </w:rPr>
            </w:pPr>
          </w:p>
        </w:tc>
      </w:tr>
      <w:tr w:rsidR="004D45F1" w14:paraId="49622EAB"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0FFF85A3" w14:textId="77777777" w:rsidR="004D45F1" w:rsidRDefault="004D45F1">
            <w:pPr>
              <w:spacing w:before="0"/>
              <w:rPr>
                <w:rFonts w:cs="Arial"/>
                <w:noProof/>
                <w:color w:val="000000"/>
                <w:sz w:val="16"/>
                <w:szCs w:val="16"/>
              </w:rPr>
            </w:pPr>
          </w:p>
        </w:tc>
        <w:tc>
          <w:tcPr>
            <w:tcW w:w="1253" w:type="dxa"/>
            <w:tcBorders>
              <w:top w:val="nil"/>
              <w:bottom w:val="nil"/>
            </w:tcBorders>
            <w:shd w:val="clear" w:color="auto" w:fill="B4C6E7"/>
            <w:noWrap/>
            <w:hideMark/>
          </w:tcPr>
          <w:p w14:paraId="58B68193" w14:textId="77777777" w:rsidR="004D45F1" w:rsidRDefault="004D45F1">
            <w:pPr>
              <w:jc w:val="both"/>
              <w:rPr>
                <w:rFonts w:cs="Arial"/>
                <w:noProof/>
                <w:color w:val="000000"/>
                <w:sz w:val="16"/>
                <w:szCs w:val="16"/>
              </w:rPr>
            </w:pPr>
            <w:r>
              <w:rPr>
                <w:rFonts w:cs="Arial"/>
                <w:noProof/>
                <w:color w:val="000000"/>
                <w:sz w:val="16"/>
                <w:szCs w:val="16"/>
              </w:rPr>
              <w:t>Emissions (tODP)</w:t>
            </w:r>
          </w:p>
        </w:tc>
        <w:tc>
          <w:tcPr>
            <w:tcW w:w="6259" w:type="dxa"/>
            <w:vMerge/>
            <w:tcBorders>
              <w:top w:val="single" w:sz="4" w:space="0" w:color="auto"/>
              <w:bottom w:val="single" w:sz="4" w:space="0" w:color="auto"/>
              <w:right w:val="single" w:sz="4" w:space="0" w:color="0055A0"/>
            </w:tcBorders>
            <w:hideMark/>
          </w:tcPr>
          <w:p w14:paraId="6C95C98E" w14:textId="77777777" w:rsidR="004D45F1" w:rsidRDefault="004D45F1">
            <w:pPr>
              <w:spacing w:before="0"/>
              <w:rPr>
                <w:rFonts w:cs="Arial"/>
                <w:noProof/>
                <w:color w:val="000000"/>
                <w:sz w:val="16"/>
                <w:szCs w:val="16"/>
              </w:rPr>
            </w:pPr>
          </w:p>
        </w:tc>
      </w:tr>
      <w:tr w:rsidR="004D45F1" w14:paraId="1F74637B"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right w:val="single" w:sz="4" w:space="0" w:color="0055A0"/>
            </w:tcBorders>
            <w:hideMark/>
          </w:tcPr>
          <w:p w14:paraId="56A5271E" w14:textId="77777777" w:rsidR="004D45F1" w:rsidRDefault="004D45F1">
            <w:pPr>
              <w:spacing w:before="0"/>
              <w:rPr>
                <w:rFonts w:cs="Arial"/>
                <w:noProof/>
                <w:color w:val="000000"/>
                <w:sz w:val="16"/>
                <w:szCs w:val="16"/>
              </w:rPr>
            </w:pPr>
          </w:p>
        </w:tc>
        <w:tc>
          <w:tcPr>
            <w:tcW w:w="1253" w:type="dxa"/>
            <w:tcBorders>
              <w:top w:val="nil"/>
              <w:left w:val="single" w:sz="4" w:space="0" w:color="0055A0"/>
              <w:bottom w:val="single" w:sz="4" w:space="0" w:color="auto"/>
              <w:right w:val="single" w:sz="4" w:space="0" w:color="0055A0"/>
            </w:tcBorders>
            <w:shd w:val="clear" w:color="auto" w:fill="E2EFD9"/>
            <w:noWrap/>
            <w:hideMark/>
          </w:tcPr>
          <w:p w14:paraId="18DA914D" w14:textId="77777777" w:rsidR="004D45F1" w:rsidRDefault="004D45F1">
            <w:pPr>
              <w:jc w:val="both"/>
              <w:rPr>
                <w:rFonts w:cs="Arial"/>
                <w:noProof/>
                <w:color w:val="000000"/>
                <w:sz w:val="16"/>
                <w:szCs w:val="16"/>
              </w:rPr>
            </w:pPr>
            <w:r>
              <w:rPr>
                <w:rFonts w:cs="Arial"/>
                <w:noProof/>
                <w:color w:val="000000"/>
                <w:sz w:val="16"/>
                <w:szCs w:val="16"/>
              </w:rPr>
              <w:t>Emissions   (tCO2e)</w:t>
            </w:r>
          </w:p>
        </w:tc>
        <w:tc>
          <w:tcPr>
            <w:tcW w:w="6259" w:type="dxa"/>
            <w:vMerge/>
            <w:tcBorders>
              <w:top w:val="single" w:sz="4" w:space="0" w:color="auto"/>
              <w:left w:val="single" w:sz="4" w:space="0" w:color="0055A0"/>
              <w:bottom w:val="single" w:sz="4" w:space="0" w:color="auto"/>
              <w:right w:val="single" w:sz="4" w:space="0" w:color="0055A0"/>
            </w:tcBorders>
            <w:hideMark/>
          </w:tcPr>
          <w:p w14:paraId="140503ED" w14:textId="77777777" w:rsidR="004D45F1" w:rsidRDefault="004D45F1">
            <w:pPr>
              <w:spacing w:before="0"/>
              <w:rPr>
                <w:rFonts w:cs="Arial"/>
                <w:noProof/>
                <w:color w:val="000000"/>
                <w:sz w:val="16"/>
                <w:szCs w:val="16"/>
              </w:rPr>
            </w:pPr>
          </w:p>
        </w:tc>
      </w:tr>
      <w:tr w:rsidR="004D45F1" w14:paraId="371051A9"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tcBorders>
            <w:noWrap/>
            <w:hideMark/>
          </w:tcPr>
          <w:p w14:paraId="4F192AFE" w14:textId="77777777" w:rsidR="004D45F1" w:rsidRDefault="004D45F1">
            <w:pPr>
              <w:jc w:val="both"/>
              <w:rPr>
                <w:rFonts w:cs="Arial"/>
                <w:noProof/>
                <w:color w:val="000000"/>
                <w:sz w:val="16"/>
                <w:szCs w:val="16"/>
              </w:rPr>
            </w:pPr>
            <w:r>
              <w:rPr>
                <w:rFonts w:cs="Arial"/>
                <w:noProof/>
                <w:color w:val="000000"/>
                <w:sz w:val="16"/>
                <w:szCs w:val="16"/>
              </w:rPr>
              <w:t>Critical use halons</w:t>
            </w:r>
          </w:p>
        </w:tc>
        <w:tc>
          <w:tcPr>
            <w:tcW w:w="1253" w:type="dxa"/>
            <w:tcBorders>
              <w:top w:val="single" w:sz="4" w:space="0" w:color="auto"/>
              <w:bottom w:val="nil"/>
            </w:tcBorders>
            <w:noWrap/>
            <w:hideMark/>
          </w:tcPr>
          <w:p w14:paraId="13932CCA" w14:textId="77777777" w:rsidR="004D45F1" w:rsidRDefault="004D45F1">
            <w:pPr>
              <w:jc w:val="both"/>
              <w:rPr>
                <w:rFonts w:cs="Arial"/>
                <w:noProof/>
                <w:color w:val="000000"/>
                <w:sz w:val="16"/>
                <w:szCs w:val="16"/>
              </w:rPr>
            </w:pPr>
            <w:r>
              <w:rPr>
                <w:rFonts w:cs="Arial"/>
                <w:noProof/>
                <w:color w:val="000000"/>
                <w:sz w:val="16"/>
                <w:szCs w:val="16"/>
              </w:rPr>
              <w:t>Stock</w:t>
            </w:r>
          </w:p>
        </w:tc>
        <w:tc>
          <w:tcPr>
            <w:tcW w:w="6259" w:type="dxa"/>
            <w:tcBorders>
              <w:top w:val="single" w:sz="4" w:space="0" w:color="auto"/>
              <w:bottom w:val="nil"/>
              <w:right w:val="single" w:sz="4" w:space="0" w:color="0055A0"/>
            </w:tcBorders>
            <w:noWrap/>
            <w:hideMark/>
          </w:tcPr>
          <w:p w14:paraId="102A050C" w14:textId="77777777" w:rsidR="004D45F1" w:rsidRDefault="004D45F1">
            <w:pPr>
              <w:rPr>
                <w:rFonts w:cs="Arial"/>
                <w:noProof/>
                <w:color w:val="000000"/>
                <w:sz w:val="16"/>
                <w:szCs w:val="16"/>
              </w:rPr>
            </w:pPr>
            <w:r>
              <w:rPr>
                <w:rFonts w:cs="Arial"/>
                <w:noProof/>
                <w:color w:val="000000"/>
                <w:sz w:val="16"/>
                <w:szCs w:val="16"/>
              </w:rPr>
              <w:t xml:space="preserve">Identified from the Evaluation support study, Table 38 (Ramboll, 2019). </w:t>
            </w:r>
          </w:p>
        </w:tc>
      </w:tr>
      <w:tr w:rsidR="004D45F1" w14:paraId="36ACD33E"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right w:val="single" w:sz="4" w:space="0" w:color="0055A0"/>
            </w:tcBorders>
            <w:hideMark/>
          </w:tcPr>
          <w:p w14:paraId="081991FF" w14:textId="77777777" w:rsidR="004D45F1" w:rsidRDefault="004D45F1">
            <w:pPr>
              <w:spacing w:before="0"/>
              <w:rPr>
                <w:rFonts w:cs="Arial"/>
                <w:noProof/>
                <w:color w:val="000000"/>
                <w:sz w:val="16"/>
                <w:szCs w:val="16"/>
              </w:rPr>
            </w:pPr>
          </w:p>
        </w:tc>
        <w:tc>
          <w:tcPr>
            <w:tcW w:w="1253" w:type="dxa"/>
            <w:tcBorders>
              <w:top w:val="nil"/>
              <w:left w:val="single" w:sz="4" w:space="0" w:color="0055A0"/>
              <w:bottom w:val="nil"/>
              <w:right w:val="single" w:sz="4" w:space="0" w:color="0055A0"/>
            </w:tcBorders>
            <w:shd w:val="clear" w:color="auto" w:fill="B4C6E7"/>
            <w:noWrap/>
            <w:hideMark/>
          </w:tcPr>
          <w:p w14:paraId="58028FB2" w14:textId="77777777" w:rsidR="004D45F1" w:rsidRDefault="004D45F1">
            <w:pPr>
              <w:jc w:val="both"/>
              <w:rPr>
                <w:rFonts w:cs="Arial"/>
                <w:iCs/>
                <w:noProof/>
                <w:color w:val="000000"/>
                <w:sz w:val="16"/>
                <w:szCs w:val="16"/>
              </w:rPr>
            </w:pPr>
            <w:r>
              <w:rPr>
                <w:rFonts w:cs="Arial"/>
                <w:iCs/>
                <w:noProof/>
                <w:color w:val="000000"/>
                <w:sz w:val="16"/>
                <w:szCs w:val="16"/>
              </w:rPr>
              <w:t>Emissions (tODP)</w:t>
            </w:r>
          </w:p>
        </w:tc>
        <w:tc>
          <w:tcPr>
            <w:tcW w:w="6259" w:type="dxa"/>
            <w:tcBorders>
              <w:top w:val="nil"/>
              <w:left w:val="single" w:sz="4" w:space="0" w:color="0055A0"/>
              <w:bottom w:val="nil"/>
              <w:right w:val="single" w:sz="4" w:space="0" w:color="0055A0"/>
            </w:tcBorders>
            <w:shd w:val="clear" w:color="auto" w:fill="B4C6E7"/>
            <w:noWrap/>
            <w:hideMark/>
          </w:tcPr>
          <w:p w14:paraId="754F7202" w14:textId="77777777" w:rsidR="004D45F1" w:rsidRDefault="004D45F1">
            <w:pPr>
              <w:rPr>
                <w:rFonts w:cs="Arial"/>
                <w:iCs/>
                <w:noProof/>
                <w:color w:val="000000"/>
                <w:sz w:val="16"/>
                <w:szCs w:val="16"/>
              </w:rPr>
            </w:pPr>
            <w:r>
              <w:rPr>
                <w:rFonts w:cs="Arial"/>
                <w:iCs/>
                <w:noProof/>
                <w:color w:val="000000"/>
                <w:sz w:val="16"/>
                <w:szCs w:val="16"/>
              </w:rPr>
              <w:t>Using Article 26(1) reports, aggregated data for each Member State excluding the UK, for the 2015 to 2019 period.  As the required critical halon stock reduces in line with the prohibition dates, emissions are also reducing to a similar degree.</w:t>
            </w:r>
          </w:p>
          <w:p w14:paraId="03D5A879" w14:textId="77777777" w:rsidR="004D45F1" w:rsidRDefault="004D45F1">
            <w:pPr>
              <w:rPr>
                <w:rFonts w:cs="Arial"/>
                <w:iCs/>
                <w:noProof/>
                <w:color w:val="000000"/>
                <w:sz w:val="16"/>
                <w:szCs w:val="16"/>
              </w:rPr>
            </w:pPr>
            <w:r>
              <w:rPr>
                <w:rFonts w:cs="Arial"/>
                <w:iCs/>
                <w:noProof/>
                <w:color w:val="000000"/>
                <w:sz w:val="16"/>
                <w:szCs w:val="16"/>
              </w:rPr>
              <w:t>See also Annex 5</w:t>
            </w:r>
          </w:p>
        </w:tc>
      </w:tr>
      <w:tr w:rsidR="004D45F1" w14:paraId="187A5523"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1F30CE96" w14:textId="77777777" w:rsidR="004D45F1" w:rsidRDefault="004D45F1">
            <w:pPr>
              <w:spacing w:before="0"/>
              <w:rPr>
                <w:rFonts w:cs="Arial"/>
                <w:noProof/>
                <w:color w:val="000000"/>
                <w:sz w:val="16"/>
                <w:szCs w:val="16"/>
              </w:rPr>
            </w:pPr>
          </w:p>
        </w:tc>
        <w:tc>
          <w:tcPr>
            <w:tcW w:w="1253" w:type="dxa"/>
            <w:tcBorders>
              <w:top w:val="nil"/>
              <w:bottom w:val="single" w:sz="4" w:space="0" w:color="auto"/>
            </w:tcBorders>
            <w:shd w:val="clear" w:color="auto" w:fill="E2EFD9"/>
            <w:noWrap/>
            <w:hideMark/>
          </w:tcPr>
          <w:p w14:paraId="2E721AE6" w14:textId="77777777" w:rsidR="004D45F1" w:rsidRDefault="004D45F1">
            <w:pPr>
              <w:jc w:val="both"/>
              <w:rPr>
                <w:rFonts w:cs="Arial"/>
                <w:iCs/>
                <w:noProof/>
                <w:color w:val="000000"/>
                <w:sz w:val="16"/>
                <w:szCs w:val="16"/>
              </w:rPr>
            </w:pPr>
            <w:r>
              <w:rPr>
                <w:rFonts w:cs="Arial"/>
                <w:iCs/>
                <w:noProof/>
                <w:color w:val="000000"/>
                <w:sz w:val="16"/>
                <w:szCs w:val="16"/>
              </w:rPr>
              <w:t>Emissions (tCO2e)</w:t>
            </w:r>
          </w:p>
        </w:tc>
        <w:tc>
          <w:tcPr>
            <w:tcW w:w="6259" w:type="dxa"/>
            <w:tcBorders>
              <w:top w:val="nil"/>
              <w:bottom w:val="single" w:sz="4" w:space="0" w:color="auto"/>
              <w:right w:val="single" w:sz="4" w:space="0" w:color="0055A0"/>
            </w:tcBorders>
            <w:shd w:val="clear" w:color="auto" w:fill="E2EFD9"/>
            <w:noWrap/>
            <w:hideMark/>
          </w:tcPr>
          <w:p w14:paraId="6A7EAB31" w14:textId="77777777" w:rsidR="004D45F1" w:rsidRDefault="004D45F1">
            <w:pPr>
              <w:rPr>
                <w:rFonts w:cs="Arial"/>
                <w:noProof/>
                <w:color w:val="000000"/>
                <w:sz w:val="16"/>
                <w:szCs w:val="16"/>
              </w:rPr>
            </w:pPr>
            <w:r>
              <w:rPr>
                <w:rFonts w:cs="Arial"/>
                <w:noProof/>
                <w:color w:val="000000"/>
                <w:sz w:val="16"/>
                <w:szCs w:val="16"/>
              </w:rPr>
              <w:t>Converted tODP to tCO2e using GWPs from the GHG protocol (citing IPCC AR5)</w:t>
            </w:r>
          </w:p>
        </w:tc>
      </w:tr>
      <w:tr w:rsidR="004D45F1" w14:paraId="4887EE3F"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tcBorders>
              <w:top w:val="single" w:sz="4" w:space="0" w:color="auto"/>
              <w:left w:val="single" w:sz="4" w:space="0" w:color="0055A0"/>
              <w:bottom w:val="single" w:sz="4" w:space="0" w:color="auto"/>
              <w:right w:val="single" w:sz="4" w:space="0" w:color="0055A0"/>
            </w:tcBorders>
            <w:noWrap/>
            <w:hideMark/>
          </w:tcPr>
          <w:p w14:paraId="2820ED7E" w14:textId="77777777" w:rsidR="004D45F1" w:rsidRDefault="004D45F1">
            <w:pPr>
              <w:jc w:val="both"/>
              <w:rPr>
                <w:rFonts w:cs="Arial"/>
                <w:noProof/>
                <w:color w:val="000000"/>
                <w:sz w:val="16"/>
                <w:szCs w:val="16"/>
              </w:rPr>
            </w:pPr>
            <w:r>
              <w:rPr>
                <w:rFonts w:cs="Arial"/>
                <w:noProof/>
                <w:color w:val="000000"/>
                <w:sz w:val="16"/>
                <w:szCs w:val="16"/>
              </w:rPr>
              <w:t>Imports</w:t>
            </w:r>
          </w:p>
        </w:tc>
        <w:tc>
          <w:tcPr>
            <w:tcW w:w="1253" w:type="dxa"/>
            <w:tcBorders>
              <w:top w:val="single" w:sz="4" w:space="0" w:color="auto"/>
              <w:left w:val="single" w:sz="4" w:space="0" w:color="0055A0"/>
              <w:bottom w:val="single" w:sz="4" w:space="0" w:color="auto"/>
              <w:right w:val="single" w:sz="4" w:space="0" w:color="0055A0"/>
            </w:tcBorders>
            <w:noWrap/>
            <w:hideMark/>
          </w:tcPr>
          <w:p w14:paraId="1243C315" w14:textId="77777777" w:rsidR="004D45F1" w:rsidRDefault="004D45F1">
            <w:pPr>
              <w:jc w:val="both"/>
              <w:rPr>
                <w:rFonts w:cs="Arial"/>
                <w:noProof/>
                <w:color w:val="000000"/>
                <w:sz w:val="16"/>
                <w:szCs w:val="16"/>
              </w:rPr>
            </w:pPr>
            <w:r>
              <w:rPr>
                <w:rFonts w:cs="Arial"/>
                <w:noProof/>
                <w:color w:val="000000"/>
                <w:sz w:val="16"/>
                <w:szCs w:val="16"/>
              </w:rPr>
              <w:t>Annual flow</w:t>
            </w:r>
          </w:p>
        </w:tc>
        <w:tc>
          <w:tcPr>
            <w:tcW w:w="6259" w:type="dxa"/>
            <w:vMerge w:val="restart"/>
            <w:tcBorders>
              <w:top w:val="single" w:sz="4" w:space="0" w:color="auto"/>
              <w:left w:val="single" w:sz="4" w:space="0" w:color="0055A0"/>
              <w:bottom w:val="single" w:sz="4" w:space="0" w:color="0055A0"/>
              <w:right w:val="single" w:sz="4" w:space="0" w:color="0055A0"/>
            </w:tcBorders>
            <w:noWrap/>
          </w:tcPr>
          <w:p w14:paraId="4C9FBAF8" w14:textId="77777777" w:rsidR="004D45F1" w:rsidRDefault="004D45F1">
            <w:pPr>
              <w:rPr>
                <w:rFonts w:cs="Arial"/>
                <w:noProof/>
                <w:color w:val="000000"/>
                <w:sz w:val="16"/>
                <w:szCs w:val="16"/>
              </w:rPr>
            </w:pPr>
            <w:r>
              <w:rPr>
                <w:rFonts w:cs="Arial"/>
                <w:noProof/>
                <w:color w:val="000000"/>
                <w:sz w:val="16"/>
                <w:szCs w:val="16"/>
              </w:rPr>
              <w:t>Imports and exports are aligned with the global IEA (2020) SDS (Sustainable Development Scenario) trend for Ammonia, as a proxy for the high-volume basic chemical production system that ODS are part of.</w:t>
            </w:r>
          </w:p>
          <w:p w14:paraId="26D49ABB" w14:textId="77777777" w:rsidR="004D45F1" w:rsidRDefault="004D45F1">
            <w:pPr>
              <w:rPr>
                <w:rFonts w:cs="Arial"/>
                <w:noProof/>
                <w:color w:val="000000"/>
                <w:sz w:val="16"/>
                <w:szCs w:val="16"/>
              </w:rPr>
            </w:pPr>
            <w:r>
              <w:rPr>
                <w:rFonts w:cs="Arial"/>
                <w:noProof/>
                <w:color w:val="000000"/>
                <w:sz w:val="16"/>
                <w:szCs w:val="16"/>
              </w:rPr>
              <w:t xml:space="preserve">Imports are relatively constant over the 2010 to 2019 period and therefore the average over the 2015 – 2019 period is used as a starting point for extrapolating with the IEA SDS. </w:t>
            </w:r>
          </w:p>
          <w:p w14:paraId="4540BB38" w14:textId="77777777" w:rsidR="004D45F1" w:rsidRDefault="004D45F1">
            <w:pPr>
              <w:rPr>
                <w:rFonts w:cs="Arial"/>
                <w:noProof/>
                <w:color w:val="000000"/>
                <w:sz w:val="16"/>
                <w:szCs w:val="16"/>
              </w:rPr>
            </w:pPr>
            <w:r>
              <w:rPr>
                <w:rFonts w:cs="Arial"/>
                <w:noProof/>
                <w:color w:val="000000"/>
                <w:sz w:val="16"/>
                <w:szCs w:val="16"/>
              </w:rPr>
              <w:t>Exports are not constant, as in 2019 exports increased by 150%, largely in line with a sharp reduction of feedstock demand. Therefore, exports cannot be assumed to stay in line with the average of 2015 – 2019 average. Instead, data point for 2019 is used as a baseline which is extrapolated using the IEA SDS trend.</w:t>
            </w:r>
          </w:p>
          <w:p w14:paraId="5F5B3187" w14:textId="77777777" w:rsidR="004D45F1" w:rsidRDefault="004D45F1">
            <w:pPr>
              <w:rPr>
                <w:rFonts w:cs="Arial"/>
                <w:noProof/>
                <w:color w:val="000000"/>
                <w:sz w:val="16"/>
                <w:szCs w:val="16"/>
              </w:rPr>
            </w:pPr>
          </w:p>
        </w:tc>
      </w:tr>
      <w:tr w:rsidR="004D45F1" w14:paraId="26107618"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single" w:sz="4" w:space="0" w:color="auto"/>
              <w:left w:val="single" w:sz="4" w:space="0" w:color="0055A0"/>
              <w:bottom w:val="single" w:sz="4" w:space="0" w:color="0055A0"/>
            </w:tcBorders>
            <w:noWrap/>
            <w:hideMark/>
          </w:tcPr>
          <w:p w14:paraId="21CBB770" w14:textId="77777777" w:rsidR="004D45F1" w:rsidRDefault="004D45F1">
            <w:pPr>
              <w:jc w:val="both"/>
              <w:rPr>
                <w:rFonts w:cs="Arial"/>
                <w:noProof/>
                <w:color w:val="000000"/>
                <w:sz w:val="16"/>
                <w:szCs w:val="16"/>
              </w:rPr>
            </w:pPr>
            <w:r>
              <w:rPr>
                <w:rFonts w:cs="Arial"/>
                <w:noProof/>
                <w:color w:val="000000"/>
                <w:sz w:val="16"/>
                <w:szCs w:val="16"/>
              </w:rPr>
              <w:t>Exports</w:t>
            </w:r>
          </w:p>
        </w:tc>
        <w:tc>
          <w:tcPr>
            <w:tcW w:w="1253" w:type="dxa"/>
            <w:tcBorders>
              <w:top w:val="single" w:sz="4" w:space="0" w:color="auto"/>
              <w:bottom w:val="single" w:sz="4" w:space="0" w:color="0055A0"/>
            </w:tcBorders>
            <w:noWrap/>
            <w:hideMark/>
          </w:tcPr>
          <w:p w14:paraId="1F490148" w14:textId="77777777" w:rsidR="004D45F1" w:rsidRDefault="004D45F1">
            <w:pPr>
              <w:jc w:val="both"/>
              <w:rPr>
                <w:rFonts w:cs="Arial"/>
                <w:noProof/>
                <w:color w:val="000000"/>
                <w:sz w:val="16"/>
                <w:szCs w:val="16"/>
              </w:rPr>
            </w:pPr>
            <w:r>
              <w:rPr>
                <w:rFonts w:cs="Arial"/>
                <w:noProof/>
                <w:color w:val="000000"/>
                <w:sz w:val="16"/>
                <w:szCs w:val="16"/>
              </w:rPr>
              <w:t>Annual flow</w:t>
            </w:r>
          </w:p>
        </w:tc>
        <w:tc>
          <w:tcPr>
            <w:tcW w:w="6259" w:type="dxa"/>
            <w:vMerge/>
            <w:tcBorders>
              <w:top w:val="single" w:sz="4" w:space="0" w:color="auto"/>
              <w:bottom w:val="single" w:sz="4" w:space="0" w:color="0055A0"/>
              <w:right w:val="single" w:sz="4" w:space="0" w:color="0055A0"/>
            </w:tcBorders>
            <w:hideMark/>
          </w:tcPr>
          <w:p w14:paraId="4EC2E678" w14:textId="77777777" w:rsidR="004D45F1" w:rsidRDefault="004D45F1">
            <w:pPr>
              <w:spacing w:before="0"/>
              <w:rPr>
                <w:rFonts w:cs="Arial"/>
                <w:noProof/>
                <w:color w:val="000000"/>
                <w:sz w:val="16"/>
                <w:szCs w:val="16"/>
              </w:rPr>
            </w:pPr>
          </w:p>
        </w:tc>
      </w:tr>
    </w:tbl>
    <w:p w14:paraId="608F2ACB" w14:textId="77777777" w:rsidR="004D45F1" w:rsidRDefault="004D45F1" w:rsidP="004D45F1">
      <w:pPr>
        <w:spacing w:after="120"/>
        <w:jc w:val="both"/>
        <w:rPr>
          <w:rFonts w:ascii="Times New Roman" w:eastAsia="Calibri" w:hAnsi="Times New Roman" w:cs="Times New Roman"/>
          <w:noProof/>
          <w:sz w:val="24"/>
          <w:szCs w:val="24"/>
        </w:rPr>
      </w:pPr>
    </w:p>
    <w:p w14:paraId="6F6990CC" w14:textId="77777777" w:rsidR="004D45F1" w:rsidRDefault="004D45F1" w:rsidP="00AD73CF">
      <w:pPr>
        <w:pStyle w:val="ListParagraph"/>
        <w:keepNext/>
        <w:numPr>
          <w:ilvl w:val="0"/>
          <w:numId w:val="37"/>
        </w:numPr>
        <w:spacing w:after="240" w:line="240" w:lineRule="auto"/>
        <w:jc w:val="both"/>
        <w:outlineLvl w:val="1"/>
        <w:rPr>
          <w:rFonts w:ascii="Times New Roman" w:eastAsia="Calibri" w:hAnsi="Times New Roman" w:cs="Times New Roman"/>
          <w:b/>
          <w:i/>
          <w:noProof/>
          <w:sz w:val="24"/>
          <w:szCs w:val="20"/>
        </w:rPr>
      </w:pPr>
      <w:bookmarkStart w:id="382" w:name="_Toc71561883"/>
      <w:bookmarkStart w:id="383" w:name="_Toc71559446"/>
      <w:r>
        <w:rPr>
          <w:rFonts w:ascii="Times New Roman" w:eastAsia="Calibri" w:hAnsi="Times New Roman" w:cs="Times New Roman"/>
          <w:b/>
          <w:i/>
          <w:noProof/>
          <w:sz w:val="24"/>
          <w:szCs w:val="20"/>
        </w:rPr>
        <w:t>Development of the environmental baseline</w:t>
      </w:r>
      <w:bookmarkEnd w:id="382"/>
      <w:bookmarkEnd w:id="383"/>
    </w:p>
    <w:p w14:paraId="3FE4E742" w14:textId="77777777" w:rsidR="004D45F1" w:rsidRDefault="004D45F1" w:rsidP="004D45F1">
      <w:pPr>
        <w:tabs>
          <w:tab w:val="left" w:pos="2302"/>
        </w:tabs>
        <w:spacing w:after="24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To define a baseline scenario for ODS emissions, the relevant drivers which influence the remaining ODS emissions in the EU are projected into the future. Projections have been developed for 5-year steps from 2020 to 2050, for each relevant activity that is impacted by, driven by, or relevant to the Regulation.</w:t>
      </w:r>
    </w:p>
    <w:p w14:paraId="4B88A046" w14:textId="77777777" w:rsidR="004D45F1" w:rsidRDefault="004D45F1" w:rsidP="004D45F1">
      <w:pPr>
        <w:keepNext/>
        <w:spacing w:after="120" w:line="240" w:lineRule="auto"/>
        <w:jc w:val="both"/>
        <w:rPr>
          <w:rFonts w:ascii="Arial" w:eastAsia="Calibri" w:hAnsi="Arial" w:cs="Arial"/>
          <w:noProof/>
          <w:color w:val="006BB7"/>
          <w:sz w:val="20"/>
          <w:szCs w:val="20"/>
        </w:rPr>
      </w:pPr>
      <w:r>
        <w:rPr>
          <w:rFonts w:ascii="Arial" w:eastAsia="Calibri" w:hAnsi="Arial" w:cs="Arial"/>
          <w:noProof/>
          <w:color w:val="006BB7"/>
          <w:sz w:val="20"/>
          <w:szCs w:val="20"/>
        </w:rPr>
        <w:t>Table A4.4 Baseline results for flows of ODS linked to exempted uses and banks</w:t>
      </w:r>
    </w:p>
    <w:tbl>
      <w:tblPr>
        <w:tblStyle w:val="TableGrid1212"/>
        <w:tblW w:w="0" w:type="dxa"/>
        <w:tblInd w:w="113" w:type="dxa"/>
        <w:tblLayout w:type="fixed"/>
        <w:tblLook w:val="04A0" w:firstRow="1" w:lastRow="0" w:firstColumn="1" w:lastColumn="0" w:noHBand="0" w:noVBand="1"/>
      </w:tblPr>
      <w:tblGrid>
        <w:gridCol w:w="1555"/>
        <w:gridCol w:w="1253"/>
        <w:gridCol w:w="885"/>
        <w:gridCol w:w="886"/>
        <w:gridCol w:w="885"/>
        <w:gridCol w:w="886"/>
        <w:gridCol w:w="885"/>
        <w:gridCol w:w="886"/>
        <w:gridCol w:w="886"/>
      </w:tblGrid>
      <w:tr w:rsidR="004D45F1" w14:paraId="419477E8" w14:textId="77777777" w:rsidTr="004D45F1">
        <w:trPr>
          <w:cnfStyle w:val="100000000000" w:firstRow="1" w:lastRow="0" w:firstColumn="0" w:lastColumn="0" w:oddVBand="0" w:evenVBand="0" w:oddHBand="0" w:evenHBand="0" w:firstRowFirstColumn="0" w:firstRowLastColumn="0" w:lastRowFirstColumn="0" w:lastRowLastColumn="0"/>
          <w:trHeight w:val="255"/>
        </w:trPr>
        <w:tc>
          <w:tcPr>
            <w:tcW w:w="1555" w:type="dxa"/>
            <w:noWrap/>
            <w:hideMark/>
          </w:tcPr>
          <w:p w14:paraId="53797A57" w14:textId="77777777" w:rsidR="004D45F1" w:rsidRDefault="004D45F1">
            <w:pPr>
              <w:rPr>
                <w:noProof/>
                <w:color w:val="FFFFFF" w:themeColor="background1"/>
                <w:sz w:val="16"/>
                <w:szCs w:val="16"/>
              </w:rPr>
            </w:pPr>
            <w:r>
              <w:rPr>
                <w:noProof/>
                <w:sz w:val="16"/>
                <w:szCs w:val="16"/>
              </w:rPr>
              <w:t>ODS emissions source</w:t>
            </w:r>
          </w:p>
        </w:tc>
        <w:tc>
          <w:tcPr>
            <w:tcW w:w="1253" w:type="dxa"/>
            <w:noWrap/>
            <w:hideMark/>
          </w:tcPr>
          <w:p w14:paraId="76573E6F" w14:textId="77777777" w:rsidR="004D45F1" w:rsidRDefault="004D45F1">
            <w:pPr>
              <w:rPr>
                <w:noProof/>
                <w:sz w:val="16"/>
                <w:szCs w:val="16"/>
              </w:rPr>
            </w:pPr>
            <w:r>
              <w:rPr>
                <w:noProof/>
                <w:sz w:val="16"/>
                <w:szCs w:val="16"/>
              </w:rPr>
              <w:t>Stock or emissions (tODP and tCO2e)</w:t>
            </w:r>
          </w:p>
        </w:tc>
        <w:tc>
          <w:tcPr>
            <w:tcW w:w="885" w:type="dxa"/>
            <w:noWrap/>
            <w:hideMark/>
          </w:tcPr>
          <w:p w14:paraId="0C031892" w14:textId="77777777" w:rsidR="004D45F1" w:rsidRDefault="004D45F1">
            <w:pPr>
              <w:jc w:val="center"/>
              <w:rPr>
                <w:noProof/>
                <w:sz w:val="16"/>
                <w:szCs w:val="16"/>
              </w:rPr>
            </w:pPr>
            <w:r>
              <w:rPr>
                <w:noProof/>
                <w:sz w:val="16"/>
                <w:szCs w:val="16"/>
              </w:rPr>
              <w:t>2020</w:t>
            </w:r>
          </w:p>
        </w:tc>
        <w:tc>
          <w:tcPr>
            <w:tcW w:w="886" w:type="dxa"/>
            <w:noWrap/>
            <w:hideMark/>
          </w:tcPr>
          <w:p w14:paraId="6DD25069" w14:textId="77777777" w:rsidR="004D45F1" w:rsidRDefault="004D45F1">
            <w:pPr>
              <w:jc w:val="center"/>
              <w:rPr>
                <w:noProof/>
                <w:sz w:val="16"/>
                <w:szCs w:val="16"/>
              </w:rPr>
            </w:pPr>
            <w:r>
              <w:rPr>
                <w:noProof/>
                <w:sz w:val="16"/>
                <w:szCs w:val="16"/>
              </w:rPr>
              <w:t>2025</w:t>
            </w:r>
          </w:p>
        </w:tc>
        <w:tc>
          <w:tcPr>
            <w:tcW w:w="885" w:type="dxa"/>
            <w:noWrap/>
            <w:hideMark/>
          </w:tcPr>
          <w:p w14:paraId="3863AEE7" w14:textId="77777777" w:rsidR="004D45F1" w:rsidRDefault="004D45F1">
            <w:pPr>
              <w:jc w:val="center"/>
              <w:rPr>
                <w:noProof/>
                <w:sz w:val="16"/>
                <w:szCs w:val="16"/>
              </w:rPr>
            </w:pPr>
            <w:r>
              <w:rPr>
                <w:noProof/>
                <w:sz w:val="16"/>
                <w:szCs w:val="16"/>
              </w:rPr>
              <w:t>2030</w:t>
            </w:r>
          </w:p>
        </w:tc>
        <w:tc>
          <w:tcPr>
            <w:tcW w:w="886" w:type="dxa"/>
            <w:noWrap/>
            <w:hideMark/>
          </w:tcPr>
          <w:p w14:paraId="633996FA" w14:textId="77777777" w:rsidR="004D45F1" w:rsidRDefault="004D45F1">
            <w:pPr>
              <w:jc w:val="center"/>
              <w:rPr>
                <w:noProof/>
                <w:sz w:val="16"/>
                <w:szCs w:val="16"/>
              </w:rPr>
            </w:pPr>
            <w:r>
              <w:rPr>
                <w:noProof/>
                <w:sz w:val="16"/>
                <w:szCs w:val="16"/>
              </w:rPr>
              <w:t>2035</w:t>
            </w:r>
          </w:p>
        </w:tc>
        <w:tc>
          <w:tcPr>
            <w:tcW w:w="885" w:type="dxa"/>
            <w:noWrap/>
            <w:hideMark/>
          </w:tcPr>
          <w:p w14:paraId="3361E477" w14:textId="77777777" w:rsidR="004D45F1" w:rsidRDefault="004D45F1">
            <w:pPr>
              <w:jc w:val="center"/>
              <w:rPr>
                <w:noProof/>
                <w:sz w:val="16"/>
                <w:szCs w:val="16"/>
              </w:rPr>
            </w:pPr>
            <w:r>
              <w:rPr>
                <w:noProof/>
                <w:sz w:val="16"/>
                <w:szCs w:val="16"/>
              </w:rPr>
              <w:t>2040</w:t>
            </w:r>
          </w:p>
        </w:tc>
        <w:tc>
          <w:tcPr>
            <w:tcW w:w="886" w:type="dxa"/>
            <w:noWrap/>
            <w:hideMark/>
          </w:tcPr>
          <w:p w14:paraId="4D86756F" w14:textId="77777777" w:rsidR="004D45F1" w:rsidRDefault="004D45F1">
            <w:pPr>
              <w:jc w:val="center"/>
              <w:rPr>
                <w:noProof/>
                <w:sz w:val="16"/>
                <w:szCs w:val="16"/>
              </w:rPr>
            </w:pPr>
            <w:r>
              <w:rPr>
                <w:noProof/>
                <w:sz w:val="16"/>
                <w:szCs w:val="16"/>
              </w:rPr>
              <w:t>2045</w:t>
            </w:r>
          </w:p>
        </w:tc>
        <w:tc>
          <w:tcPr>
            <w:tcW w:w="886" w:type="dxa"/>
            <w:noWrap/>
            <w:hideMark/>
          </w:tcPr>
          <w:p w14:paraId="3A53F2C0" w14:textId="77777777" w:rsidR="004D45F1" w:rsidRDefault="004D45F1">
            <w:pPr>
              <w:jc w:val="center"/>
              <w:rPr>
                <w:noProof/>
                <w:sz w:val="16"/>
                <w:szCs w:val="16"/>
              </w:rPr>
            </w:pPr>
            <w:r>
              <w:rPr>
                <w:noProof/>
                <w:sz w:val="16"/>
                <w:szCs w:val="16"/>
              </w:rPr>
              <w:t>2050</w:t>
            </w:r>
          </w:p>
        </w:tc>
      </w:tr>
      <w:tr w:rsidR="004D45F1" w14:paraId="06A06E67"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nil"/>
              <w:left w:val="single" w:sz="4" w:space="0" w:color="0055A0"/>
              <w:bottom w:val="nil"/>
              <w:right w:val="single" w:sz="4" w:space="0" w:color="0055A0"/>
            </w:tcBorders>
            <w:noWrap/>
            <w:hideMark/>
          </w:tcPr>
          <w:p w14:paraId="77C8D60C" w14:textId="77777777" w:rsidR="004D45F1" w:rsidRDefault="004D45F1">
            <w:pPr>
              <w:rPr>
                <w:noProof/>
                <w:color w:val="000000"/>
                <w:sz w:val="16"/>
                <w:szCs w:val="16"/>
              </w:rPr>
            </w:pPr>
            <w:r>
              <w:rPr>
                <w:noProof/>
                <w:color w:val="000000"/>
                <w:sz w:val="16"/>
                <w:szCs w:val="16"/>
              </w:rPr>
              <w:t>Production</w:t>
            </w:r>
          </w:p>
        </w:tc>
        <w:tc>
          <w:tcPr>
            <w:tcW w:w="1253" w:type="dxa"/>
            <w:tcBorders>
              <w:top w:val="nil"/>
              <w:left w:val="single" w:sz="4" w:space="0" w:color="0055A0"/>
              <w:bottom w:val="nil"/>
              <w:right w:val="single" w:sz="4" w:space="0" w:color="0055A0"/>
            </w:tcBorders>
            <w:noWrap/>
            <w:hideMark/>
          </w:tcPr>
          <w:p w14:paraId="6EC8713C" w14:textId="77777777" w:rsidR="004D45F1" w:rsidRDefault="004D45F1">
            <w:pPr>
              <w:rPr>
                <w:noProof/>
                <w:color w:val="000000"/>
                <w:sz w:val="16"/>
                <w:szCs w:val="16"/>
              </w:rPr>
            </w:pPr>
            <w:r>
              <w:rPr>
                <w:noProof/>
                <w:color w:val="000000"/>
                <w:sz w:val="16"/>
                <w:szCs w:val="16"/>
              </w:rPr>
              <w:t>Annex I substances (tODP stock)</w:t>
            </w:r>
          </w:p>
        </w:tc>
        <w:tc>
          <w:tcPr>
            <w:tcW w:w="885" w:type="dxa"/>
            <w:tcBorders>
              <w:top w:val="nil"/>
              <w:left w:val="single" w:sz="4" w:space="0" w:color="0055A0"/>
              <w:bottom w:val="nil"/>
              <w:right w:val="single" w:sz="4" w:space="0" w:color="0055A0"/>
            </w:tcBorders>
            <w:noWrap/>
            <w:hideMark/>
          </w:tcPr>
          <w:p w14:paraId="1AACF3C6" w14:textId="77777777" w:rsidR="004D45F1" w:rsidRDefault="004D45F1">
            <w:pPr>
              <w:jc w:val="center"/>
              <w:rPr>
                <w:noProof/>
                <w:color w:val="000000" w:themeColor="text1"/>
                <w:sz w:val="16"/>
                <w:szCs w:val="16"/>
              </w:rPr>
            </w:pPr>
            <w:r>
              <w:rPr>
                <w:noProof/>
                <w:sz w:val="16"/>
                <w:szCs w:val="16"/>
              </w:rPr>
              <w:t>52,285</w:t>
            </w:r>
          </w:p>
        </w:tc>
        <w:tc>
          <w:tcPr>
            <w:tcW w:w="886" w:type="dxa"/>
            <w:tcBorders>
              <w:top w:val="nil"/>
              <w:left w:val="single" w:sz="4" w:space="0" w:color="0055A0"/>
              <w:bottom w:val="nil"/>
              <w:right w:val="single" w:sz="4" w:space="0" w:color="0055A0"/>
            </w:tcBorders>
            <w:noWrap/>
            <w:hideMark/>
          </w:tcPr>
          <w:p w14:paraId="7810B8D6" w14:textId="77777777" w:rsidR="004D45F1" w:rsidRDefault="004D45F1">
            <w:pPr>
              <w:jc w:val="center"/>
              <w:rPr>
                <w:noProof/>
                <w:color w:val="000000" w:themeColor="text1"/>
                <w:sz w:val="16"/>
                <w:szCs w:val="16"/>
              </w:rPr>
            </w:pPr>
            <w:r>
              <w:rPr>
                <w:noProof/>
                <w:sz w:val="16"/>
                <w:szCs w:val="16"/>
              </w:rPr>
              <w:t>51,930</w:t>
            </w:r>
          </w:p>
        </w:tc>
        <w:tc>
          <w:tcPr>
            <w:tcW w:w="885" w:type="dxa"/>
            <w:tcBorders>
              <w:top w:val="nil"/>
              <w:left w:val="single" w:sz="4" w:space="0" w:color="0055A0"/>
              <w:bottom w:val="nil"/>
              <w:right w:val="single" w:sz="4" w:space="0" w:color="0055A0"/>
            </w:tcBorders>
            <w:noWrap/>
            <w:hideMark/>
          </w:tcPr>
          <w:p w14:paraId="348FD5A4" w14:textId="77777777" w:rsidR="004D45F1" w:rsidRDefault="004D45F1">
            <w:pPr>
              <w:jc w:val="center"/>
              <w:rPr>
                <w:noProof/>
                <w:color w:val="000000" w:themeColor="text1"/>
                <w:sz w:val="16"/>
                <w:szCs w:val="16"/>
              </w:rPr>
            </w:pPr>
            <w:r>
              <w:rPr>
                <w:noProof/>
                <w:sz w:val="16"/>
                <w:szCs w:val="16"/>
              </w:rPr>
              <w:t>50,210</w:t>
            </w:r>
          </w:p>
        </w:tc>
        <w:tc>
          <w:tcPr>
            <w:tcW w:w="886" w:type="dxa"/>
            <w:tcBorders>
              <w:top w:val="nil"/>
              <w:left w:val="single" w:sz="4" w:space="0" w:color="0055A0"/>
              <w:bottom w:val="nil"/>
              <w:right w:val="single" w:sz="4" w:space="0" w:color="0055A0"/>
            </w:tcBorders>
            <w:noWrap/>
            <w:hideMark/>
          </w:tcPr>
          <w:p w14:paraId="0D03BDA3" w14:textId="77777777" w:rsidR="004D45F1" w:rsidRDefault="004D45F1">
            <w:pPr>
              <w:jc w:val="center"/>
              <w:rPr>
                <w:noProof/>
                <w:color w:val="000000" w:themeColor="text1"/>
                <w:sz w:val="16"/>
                <w:szCs w:val="16"/>
              </w:rPr>
            </w:pPr>
            <w:r>
              <w:rPr>
                <w:noProof/>
                <w:sz w:val="16"/>
                <w:szCs w:val="16"/>
              </w:rPr>
              <w:t>48,576</w:t>
            </w:r>
          </w:p>
        </w:tc>
        <w:tc>
          <w:tcPr>
            <w:tcW w:w="885" w:type="dxa"/>
            <w:tcBorders>
              <w:top w:val="nil"/>
              <w:left w:val="single" w:sz="4" w:space="0" w:color="0055A0"/>
              <w:bottom w:val="nil"/>
              <w:right w:val="single" w:sz="4" w:space="0" w:color="0055A0"/>
            </w:tcBorders>
            <w:noWrap/>
            <w:hideMark/>
          </w:tcPr>
          <w:p w14:paraId="638ECD83" w14:textId="77777777" w:rsidR="004D45F1" w:rsidRDefault="004D45F1">
            <w:pPr>
              <w:jc w:val="center"/>
              <w:rPr>
                <w:noProof/>
                <w:color w:val="000000" w:themeColor="text1"/>
                <w:sz w:val="16"/>
                <w:szCs w:val="16"/>
              </w:rPr>
            </w:pPr>
            <w:r>
              <w:rPr>
                <w:noProof/>
                <w:sz w:val="16"/>
                <w:szCs w:val="16"/>
              </w:rPr>
              <w:t>47,022</w:t>
            </w:r>
          </w:p>
        </w:tc>
        <w:tc>
          <w:tcPr>
            <w:tcW w:w="886" w:type="dxa"/>
            <w:tcBorders>
              <w:top w:val="nil"/>
              <w:left w:val="single" w:sz="4" w:space="0" w:color="0055A0"/>
              <w:bottom w:val="nil"/>
              <w:right w:val="single" w:sz="4" w:space="0" w:color="0055A0"/>
            </w:tcBorders>
            <w:noWrap/>
            <w:hideMark/>
          </w:tcPr>
          <w:p w14:paraId="786EF660" w14:textId="77777777" w:rsidR="004D45F1" w:rsidRDefault="004D45F1">
            <w:pPr>
              <w:jc w:val="center"/>
              <w:rPr>
                <w:noProof/>
                <w:color w:val="000000" w:themeColor="text1"/>
                <w:sz w:val="16"/>
                <w:szCs w:val="16"/>
              </w:rPr>
            </w:pPr>
            <w:r>
              <w:rPr>
                <w:noProof/>
                <w:sz w:val="16"/>
                <w:szCs w:val="16"/>
              </w:rPr>
              <w:t>45,541</w:t>
            </w:r>
          </w:p>
        </w:tc>
        <w:tc>
          <w:tcPr>
            <w:tcW w:w="886" w:type="dxa"/>
            <w:tcBorders>
              <w:top w:val="nil"/>
              <w:left w:val="single" w:sz="4" w:space="0" w:color="0055A0"/>
              <w:bottom w:val="nil"/>
              <w:right w:val="single" w:sz="4" w:space="0" w:color="0055A0"/>
            </w:tcBorders>
            <w:noWrap/>
            <w:hideMark/>
          </w:tcPr>
          <w:p w14:paraId="53EEAE45" w14:textId="77777777" w:rsidR="004D45F1" w:rsidRDefault="004D45F1">
            <w:pPr>
              <w:jc w:val="center"/>
              <w:rPr>
                <w:noProof/>
                <w:color w:val="000000" w:themeColor="text1"/>
                <w:sz w:val="16"/>
                <w:szCs w:val="16"/>
              </w:rPr>
            </w:pPr>
            <w:r>
              <w:rPr>
                <w:noProof/>
                <w:sz w:val="16"/>
                <w:szCs w:val="16"/>
              </w:rPr>
              <w:t>44,130</w:t>
            </w:r>
          </w:p>
        </w:tc>
      </w:tr>
      <w:tr w:rsidR="004D45F1" w14:paraId="1B36CCD0"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nil"/>
              <w:left w:val="single" w:sz="4" w:space="0" w:color="0055A0"/>
              <w:bottom w:val="nil"/>
            </w:tcBorders>
            <w:hideMark/>
          </w:tcPr>
          <w:p w14:paraId="53B81705" w14:textId="77777777" w:rsidR="004D45F1" w:rsidRDefault="004D45F1">
            <w:pPr>
              <w:spacing w:before="0"/>
              <w:rPr>
                <w:noProof/>
                <w:color w:val="000000"/>
                <w:sz w:val="16"/>
                <w:szCs w:val="16"/>
              </w:rPr>
            </w:pPr>
          </w:p>
        </w:tc>
        <w:tc>
          <w:tcPr>
            <w:tcW w:w="1253" w:type="dxa"/>
            <w:tcBorders>
              <w:top w:val="nil"/>
              <w:bottom w:val="nil"/>
            </w:tcBorders>
            <w:shd w:val="clear" w:color="auto" w:fill="B8CCE4" w:themeFill="accent1" w:themeFillTint="66"/>
            <w:noWrap/>
            <w:hideMark/>
          </w:tcPr>
          <w:p w14:paraId="5857FE18" w14:textId="77777777" w:rsidR="004D45F1" w:rsidRDefault="004D45F1">
            <w:pPr>
              <w:rPr>
                <w:noProof/>
                <w:color w:val="000000"/>
                <w:sz w:val="16"/>
                <w:szCs w:val="16"/>
              </w:rPr>
            </w:pPr>
            <w:r>
              <w:rPr>
                <w:noProof/>
                <w:color w:val="000000"/>
                <w:sz w:val="16"/>
                <w:szCs w:val="16"/>
              </w:rPr>
              <w:t>Emissions (tODP)</w:t>
            </w:r>
          </w:p>
        </w:tc>
        <w:tc>
          <w:tcPr>
            <w:tcW w:w="885" w:type="dxa"/>
            <w:tcBorders>
              <w:top w:val="nil"/>
              <w:bottom w:val="nil"/>
            </w:tcBorders>
            <w:shd w:val="clear" w:color="auto" w:fill="B8CCE4" w:themeFill="accent1" w:themeFillTint="66"/>
            <w:noWrap/>
            <w:hideMark/>
          </w:tcPr>
          <w:p w14:paraId="42BBD268" w14:textId="77777777" w:rsidR="004D45F1" w:rsidRDefault="004D45F1">
            <w:pPr>
              <w:jc w:val="center"/>
              <w:rPr>
                <w:noProof/>
                <w:color w:val="000000" w:themeColor="text1"/>
                <w:sz w:val="16"/>
                <w:szCs w:val="16"/>
              </w:rPr>
            </w:pPr>
            <w:r>
              <w:rPr>
                <w:noProof/>
                <w:color w:val="000000"/>
                <w:sz w:val="16"/>
                <w:szCs w:val="16"/>
              </w:rPr>
              <w:t>10</w:t>
            </w:r>
          </w:p>
        </w:tc>
        <w:tc>
          <w:tcPr>
            <w:tcW w:w="886" w:type="dxa"/>
            <w:tcBorders>
              <w:top w:val="nil"/>
              <w:bottom w:val="nil"/>
            </w:tcBorders>
            <w:shd w:val="clear" w:color="auto" w:fill="B8CCE4" w:themeFill="accent1" w:themeFillTint="66"/>
            <w:noWrap/>
            <w:hideMark/>
          </w:tcPr>
          <w:p w14:paraId="3A83CB01" w14:textId="77777777" w:rsidR="004D45F1" w:rsidRDefault="004D45F1">
            <w:pPr>
              <w:jc w:val="center"/>
              <w:rPr>
                <w:noProof/>
                <w:color w:val="000000" w:themeColor="text1"/>
                <w:sz w:val="16"/>
                <w:szCs w:val="16"/>
              </w:rPr>
            </w:pPr>
            <w:r>
              <w:rPr>
                <w:noProof/>
                <w:color w:val="000000"/>
                <w:sz w:val="16"/>
                <w:szCs w:val="16"/>
              </w:rPr>
              <w:t>10</w:t>
            </w:r>
          </w:p>
        </w:tc>
        <w:tc>
          <w:tcPr>
            <w:tcW w:w="885" w:type="dxa"/>
            <w:tcBorders>
              <w:top w:val="nil"/>
              <w:bottom w:val="nil"/>
            </w:tcBorders>
            <w:shd w:val="clear" w:color="auto" w:fill="B8CCE4" w:themeFill="accent1" w:themeFillTint="66"/>
            <w:noWrap/>
            <w:hideMark/>
          </w:tcPr>
          <w:p w14:paraId="6D0FBC6D" w14:textId="77777777" w:rsidR="004D45F1" w:rsidRDefault="004D45F1">
            <w:pPr>
              <w:jc w:val="center"/>
              <w:rPr>
                <w:noProof/>
                <w:color w:val="000000" w:themeColor="text1"/>
                <w:sz w:val="16"/>
                <w:szCs w:val="16"/>
              </w:rPr>
            </w:pPr>
            <w:r>
              <w:rPr>
                <w:noProof/>
                <w:color w:val="000000"/>
                <w:sz w:val="16"/>
                <w:szCs w:val="16"/>
              </w:rPr>
              <w:t>9</w:t>
            </w:r>
          </w:p>
        </w:tc>
        <w:tc>
          <w:tcPr>
            <w:tcW w:w="886" w:type="dxa"/>
            <w:tcBorders>
              <w:top w:val="nil"/>
              <w:bottom w:val="nil"/>
            </w:tcBorders>
            <w:shd w:val="clear" w:color="auto" w:fill="B8CCE4" w:themeFill="accent1" w:themeFillTint="66"/>
            <w:noWrap/>
            <w:hideMark/>
          </w:tcPr>
          <w:p w14:paraId="0FBCA45A" w14:textId="77777777" w:rsidR="004D45F1" w:rsidRDefault="004D45F1">
            <w:pPr>
              <w:jc w:val="center"/>
              <w:rPr>
                <w:noProof/>
                <w:color w:val="000000" w:themeColor="text1"/>
                <w:sz w:val="16"/>
                <w:szCs w:val="16"/>
              </w:rPr>
            </w:pPr>
            <w:r>
              <w:rPr>
                <w:noProof/>
                <w:color w:val="000000"/>
                <w:sz w:val="16"/>
                <w:szCs w:val="16"/>
              </w:rPr>
              <w:t>9</w:t>
            </w:r>
          </w:p>
        </w:tc>
        <w:tc>
          <w:tcPr>
            <w:tcW w:w="885" w:type="dxa"/>
            <w:tcBorders>
              <w:top w:val="nil"/>
              <w:bottom w:val="nil"/>
            </w:tcBorders>
            <w:shd w:val="clear" w:color="auto" w:fill="B8CCE4" w:themeFill="accent1" w:themeFillTint="66"/>
            <w:noWrap/>
            <w:hideMark/>
          </w:tcPr>
          <w:p w14:paraId="52F9C2D2" w14:textId="77777777" w:rsidR="004D45F1" w:rsidRDefault="004D45F1">
            <w:pPr>
              <w:jc w:val="center"/>
              <w:rPr>
                <w:noProof/>
                <w:color w:val="000000" w:themeColor="text1"/>
                <w:sz w:val="16"/>
                <w:szCs w:val="16"/>
              </w:rPr>
            </w:pPr>
            <w:r>
              <w:rPr>
                <w:noProof/>
                <w:color w:val="000000"/>
                <w:sz w:val="16"/>
                <w:szCs w:val="16"/>
              </w:rPr>
              <w:t>9</w:t>
            </w:r>
          </w:p>
        </w:tc>
        <w:tc>
          <w:tcPr>
            <w:tcW w:w="886" w:type="dxa"/>
            <w:tcBorders>
              <w:top w:val="nil"/>
              <w:bottom w:val="nil"/>
            </w:tcBorders>
            <w:shd w:val="clear" w:color="auto" w:fill="B8CCE4" w:themeFill="accent1" w:themeFillTint="66"/>
            <w:noWrap/>
            <w:hideMark/>
          </w:tcPr>
          <w:p w14:paraId="52B3DFFC" w14:textId="77777777" w:rsidR="004D45F1" w:rsidRDefault="004D45F1">
            <w:pPr>
              <w:jc w:val="center"/>
              <w:rPr>
                <w:noProof/>
                <w:color w:val="000000" w:themeColor="text1"/>
                <w:sz w:val="16"/>
                <w:szCs w:val="16"/>
              </w:rPr>
            </w:pPr>
            <w:r>
              <w:rPr>
                <w:noProof/>
                <w:color w:val="000000"/>
                <w:sz w:val="16"/>
                <w:szCs w:val="16"/>
              </w:rPr>
              <w:t>9</w:t>
            </w:r>
          </w:p>
        </w:tc>
        <w:tc>
          <w:tcPr>
            <w:tcW w:w="886" w:type="dxa"/>
            <w:tcBorders>
              <w:top w:val="nil"/>
              <w:bottom w:val="nil"/>
              <w:right w:val="single" w:sz="4" w:space="0" w:color="0055A0"/>
            </w:tcBorders>
            <w:shd w:val="clear" w:color="auto" w:fill="B8CCE4" w:themeFill="accent1" w:themeFillTint="66"/>
            <w:noWrap/>
            <w:hideMark/>
          </w:tcPr>
          <w:p w14:paraId="59A49D63" w14:textId="77777777" w:rsidR="004D45F1" w:rsidRDefault="004D45F1">
            <w:pPr>
              <w:jc w:val="center"/>
              <w:rPr>
                <w:noProof/>
                <w:color w:val="000000" w:themeColor="text1"/>
                <w:sz w:val="16"/>
                <w:szCs w:val="16"/>
              </w:rPr>
            </w:pPr>
            <w:r>
              <w:rPr>
                <w:noProof/>
                <w:color w:val="000000"/>
                <w:sz w:val="16"/>
                <w:szCs w:val="16"/>
              </w:rPr>
              <w:t>8</w:t>
            </w:r>
          </w:p>
        </w:tc>
      </w:tr>
      <w:tr w:rsidR="004D45F1" w14:paraId="565E75F8"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nil"/>
              <w:left w:val="single" w:sz="4" w:space="0" w:color="0055A0"/>
              <w:bottom w:val="nil"/>
              <w:right w:val="single" w:sz="4" w:space="0" w:color="0055A0"/>
            </w:tcBorders>
            <w:hideMark/>
          </w:tcPr>
          <w:p w14:paraId="205C05FB"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FDE9D9" w:themeFill="accent6" w:themeFillTint="33"/>
            <w:noWrap/>
            <w:hideMark/>
          </w:tcPr>
          <w:p w14:paraId="055E2D6D" w14:textId="77777777" w:rsidR="004D45F1" w:rsidRDefault="004D45F1">
            <w:pPr>
              <w:rPr>
                <w:noProof/>
                <w:color w:val="000000"/>
                <w:sz w:val="16"/>
                <w:szCs w:val="16"/>
              </w:rPr>
            </w:pPr>
            <w:r>
              <w:rPr>
                <w:noProof/>
                <w:color w:val="000000"/>
                <w:sz w:val="16"/>
                <w:szCs w:val="16"/>
              </w:rPr>
              <w:t>Emissions (tCO2e)</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09016DC4" w14:textId="77777777" w:rsidR="004D45F1" w:rsidRDefault="004D45F1">
            <w:pPr>
              <w:jc w:val="center"/>
              <w:rPr>
                <w:noProof/>
                <w:color w:val="000000"/>
                <w:sz w:val="16"/>
                <w:szCs w:val="16"/>
              </w:rPr>
            </w:pPr>
            <w:r>
              <w:rPr>
                <w:noProof/>
                <w:color w:val="000000"/>
                <w:sz w:val="16"/>
                <w:szCs w:val="16"/>
              </w:rPr>
              <w:t>59,706</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16DCB067" w14:textId="77777777" w:rsidR="004D45F1" w:rsidRDefault="004D45F1">
            <w:pPr>
              <w:jc w:val="center"/>
              <w:rPr>
                <w:noProof/>
                <w:color w:val="000000"/>
                <w:sz w:val="16"/>
                <w:szCs w:val="16"/>
              </w:rPr>
            </w:pPr>
            <w:r>
              <w:rPr>
                <w:noProof/>
                <w:color w:val="000000"/>
                <w:sz w:val="16"/>
                <w:szCs w:val="16"/>
              </w:rPr>
              <w:t>59,301</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2B681BBD" w14:textId="77777777" w:rsidR="004D45F1" w:rsidRDefault="004D45F1">
            <w:pPr>
              <w:jc w:val="center"/>
              <w:rPr>
                <w:noProof/>
                <w:color w:val="000000"/>
                <w:sz w:val="16"/>
                <w:szCs w:val="16"/>
              </w:rPr>
            </w:pPr>
            <w:r>
              <w:rPr>
                <w:noProof/>
                <w:color w:val="000000"/>
                <w:sz w:val="16"/>
                <w:szCs w:val="16"/>
              </w:rPr>
              <w:t>57,336</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53FCDD9A" w14:textId="77777777" w:rsidR="004D45F1" w:rsidRDefault="004D45F1">
            <w:pPr>
              <w:jc w:val="center"/>
              <w:rPr>
                <w:noProof/>
                <w:color w:val="000000"/>
                <w:sz w:val="16"/>
                <w:szCs w:val="16"/>
              </w:rPr>
            </w:pPr>
            <w:r>
              <w:rPr>
                <w:noProof/>
                <w:color w:val="000000"/>
                <w:sz w:val="16"/>
                <w:szCs w:val="16"/>
              </w:rPr>
              <w:t>55,471</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26CE42C6" w14:textId="77777777" w:rsidR="004D45F1" w:rsidRDefault="004D45F1">
            <w:pPr>
              <w:jc w:val="center"/>
              <w:rPr>
                <w:noProof/>
                <w:color w:val="000000"/>
                <w:sz w:val="16"/>
                <w:szCs w:val="16"/>
              </w:rPr>
            </w:pPr>
            <w:r>
              <w:rPr>
                <w:noProof/>
                <w:color w:val="000000"/>
                <w:sz w:val="16"/>
                <w:szCs w:val="16"/>
              </w:rPr>
              <w:t>53,969</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51E47A00" w14:textId="77777777" w:rsidR="004D45F1" w:rsidRDefault="004D45F1">
            <w:pPr>
              <w:jc w:val="center"/>
              <w:rPr>
                <w:noProof/>
                <w:color w:val="000000"/>
                <w:sz w:val="16"/>
                <w:szCs w:val="16"/>
              </w:rPr>
            </w:pPr>
            <w:r>
              <w:rPr>
                <w:noProof/>
                <w:color w:val="000000"/>
                <w:sz w:val="16"/>
                <w:szCs w:val="16"/>
              </w:rPr>
              <w:t>52,005</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45292432" w14:textId="77777777" w:rsidR="004D45F1" w:rsidRDefault="004D45F1">
            <w:pPr>
              <w:jc w:val="center"/>
              <w:rPr>
                <w:noProof/>
                <w:color w:val="000000"/>
                <w:sz w:val="16"/>
                <w:szCs w:val="16"/>
              </w:rPr>
            </w:pPr>
            <w:r>
              <w:rPr>
                <w:noProof/>
                <w:color w:val="000000"/>
                <w:sz w:val="16"/>
                <w:szCs w:val="16"/>
              </w:rPr>
              <w:t>50,394</w:t>
            </w:r>
          </w:p>
        </w:tc>
      </w:tr>
      <w:tr w:rsidR="004D45F1" w14:paraId="31DAEFE6"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nil"/>
              <w:left w:val="single" w:sz="4" w:space="0" w:color="0055A0"/>
              <w:bottom w:val="nil"/>
            </w:tcBorders>
            <w:hideMark/>
          </w:tcPr>
          <w:p w14:paraId="00E082D7" w14:textId="77777777" w:rsidR="004D45F1" w:rsidRDefault="004D45F1">
            <w:pPr>
              <w:spacing w:before="0"/>
              <w:rPr>
                <w:noProof/>
                <w:color w:val="000000"/>
                <w:sz w:val="16"/>
                <w:szCs w:val="16"/>
              </w:rPr>
            </w:pPr>
          </w:p>
        </w:tc>
        <w:tc>
          <w:tcPr>
            <w:tcW w:w="1253" w:type="dxa"/>
            <w:tcBorders>
              <w:top w:val="nil"/>
              <w:bottom w:val="nil"/>
            </w:tcBorders>
            <w:shd w:val="clear" w:color="auto" w:fill="DAEEF3" w:themeFill="accent5" w:themeFillTint="33"/>
            <w:noWrap/>
            <w:hideMark/>
          </w:tcPr>
          <w:p w14:paraId="40081A1E" w14:textId="77777777" w:rsidR="004D45F1" w:rsidRDefault="004D45F1">
            <w:pPr>
              <w:rPr>
                <w:noProof/>
                <w:color w:val="000000"/>
                <w:sz w:val="16"/>
                <w:szCs w:val="16"/>
              </w:rPr>
            </w:pPr>
            <w:r>
              <w:rPr>
                <w:noProof/>
                <w:color w:val="000000"/>
                <w:sz w:val="16"/>
                <w:szCs w:val="16"/>
              </w:rPr>
              <w:t>Annex II substances (tODP stock)</w:t>
            </w:r>
          </w:p>
        </w:tc>
        <w:tc>
          <w:tcPr>
            <w:tcW w:w="885" w:type="dxa"/>
            <w:tcBorders>
              <w:top w:val="nil"/>
              <w:bottom w:val="nil"/>
            </w:tcBorders>
            <w:shd w:val="clear" w:color="auto" w:fill="DAEEF3" w:themeFill="accent5" w:themeFillTint="33"/>
            <w:noWrap/>
            <w:hideMark/>
          </w:tcPr>
          <w:p w14:paraId="11DECA98" w14:textId="77777777" w:rsidR="004D45F1" w:rsidRDefault="004D45F1">
            <w:pPr>
              <w:jc w:val="center"/>
              <w:rPr>
                <w:noProof/>
                <w:color w:val="000000"/>
                <w:sz w:val="16"/>
                <w:szCs w:val="16"/>
              </w:rPr>
            </w:pPr>
            <w:r>
              <w:rPr>
                <w:noProof/>
                <w:color w:val="000000"/>
                <w:sz w:val="16"/>
                <w:szCs w:val="16"/>
              </w:rPr>
              <w:t>22,115</w:t>
            </w:r>
          </w:p>
        </w:tc>
        <w:tc>
          <w:tcPr>
            <w:tcW w:w="886" w:type="dxa"/>
            <w:tcBorders>
              <w:top w:val="nil"/>
              <w:bottom w:val="nil"/>
            </w:tcBorders>
            <w:shd w:val="clear" w:color="auto" w:fill="DAEEF3" w:themeFill="accent5" w:themeFillTint="33"/>
            <w:noWrap/>
            <w:hideMark/>
          </w:tcPr>
          <w:p w14:paraId="2B0ED20E" w14:textId="77777777" w:rsidR="004D45F1" w:rsidRDefault="004D45F1">
            <w:pPr>
              <w:jc w:val="center"/>
              <w:rPr>
                <w:noProof/>
                <w:color w:val="000000"/>
                <w:sz w:val="16"/>
                <w:szCs w:val="16"/>
              </w:rPr>
            </w:pPr>
            <w:r>
              <w:rPr>
                <w:noProof/>
                <w:color w:val="000000"/>
                <w:sz w:val="16"/>
                <w:szCs w:val="16"/>
              </w:rPr>
              <w:t>22,115</w:t>
            </w:r>
          </w:p>
        </w:tc>
        <w:tc>
          <w:tcPr>
            <w:tcW w:w="885" w:type="dxa"/>
            <w:tcBorders>
              <w:top w:val="nil"/>
              <w:bottom w:val="nil"/>
            </w:tcBorders>
            <w:shd w:val="clear" w:color="auto" w:fill="DAEEF3" w:themeFill="accent5" w:themeFillTint="33"/>
            <w:noWrap/>
            <w:hideMark/>
          </w:tcPr>
          <w:p w14:paraId="729D3CB3" w14:textId="77777777" w:rsidR="004D45F1" w:rsidRDefault="004D45F1">
            <w:pPr>
              <w:jc w:val="center"/>
              <w:rPr>
                <w:noProof/>
                <w:color w:val="000000"/>
                <w:sz w:val="16"/>
                <w:szCs w:val="16"/>
              </w:rPr>
            </w:pPr>
            <w:r>
              <w:rPr>
                <w:noProof/>
                <w:color w:val="000000"/>
                <w:sz w:val="16"/>
                <w:szCs w:val="16"/>
              </w:rPr>
              <w:t>22,115</w:t>
            </w:r>
          </w:p>
        </w:tc>
        <w:tc>
          <w:tcPr>
            <w:tcW w:w="886" w:type="dxa"/>
            <w:tcBorders>
              <w:top w:val="nil"/>
              <w:bottom w:val="nil"/>
            </w:tcBorders>
            <w:shd w:val="clear" w:color="auto" w:fill="DAEEF3" w:themeFill="accent5" w:themeFillTint="33"/>
            <w:noWrap/>
            <w:hideMark/>
          </w:tcPr>
          <w:p w14:paraId="152E8229" w14:textId="77777777" w:rsidR="004D45F1" w:rsidRDefault="004D45F1">
            <w:pPr>
              <w:jc w:val="center"/>
              <w:rPr>
                <w:noProof/>
                <w:color w:val="000000"/>
                <w:sz w:val="16"/>
                <w:szCs w:val="16"/>
              </w:rPr>
            </w:pPr>
            <w:r>
              <w:rPr>
                <w:noProof/>
                <w:color w:val="000000"/>
                <w:sz w:val="16"/>
                <w:szCs w:val="16"/>
              </w:rPr>
              <w:t>22,115</w:t>
            </w:r>
          </w:p>
        </w:tc>
        <w:tc>
          <w:tcPr>
            <w:tcW w:w="885" w:type="dxa"/>
            <w:tcBorders>
              <w:top w:val="nil"/>
              <w:bottom w:val="nil"/>
            </w:tcBorders>
            <w:shd w:val="clear" w:color="auto" w:fill="DAEEF3" w:themeFill="accent5" w:themeFillTint="33"/>
            <w:noWrap/>
            <w:hideMark/>
          </w:tcPr>
          <w:p w14:paraId="34441E5C" w14:textId="77777777" w:rsidR="004D45F1" w:rsidRDefault="004D45F1">
            <w:pPr>
              <w:jc w:val="center"/>
              <w:rPr>
                <w:noProof/>
                <w:color w:val="000000"/>
                <w:sz w:val="16"/>
                <w:szCs w:val="16"/>
              </w:rPr>
            </w:pPr>
            <w:r>
              <w:rPr>
                <w:noProof/>
                <w:color w:val="000000"/>
                <w:sz w:val="16"/>
                <w:szCs w:val="16"/>
              </w:rPr>
              <w:t>22,115</w:t>
            </w:r>
          </w:p>
        </w:tc>
        <w:tc>
          <w:tcPr>
            <w:tcW w:w="886" w:type="dxa"/>
            <w:tcBorders>
              <w:top w:val="nil"/>
              <w:bottom w:val="nil"/>
            </w:tcBorders>
            <w:shd w:val="clear" w:color="auto" w:fill="DAEEF3" w:themeFill="accent5" w:themeFillTint="33"/>
            <w:noWrap/>
            <w:hideMark/>
          </w:tcPr>
          <w:p w14:paraId="344D837E" w14:textId="77777777" w:rsidR="004D45F1" w:rsidRDefault="004D45F1">
            <w:pPr>
              <w:jc w:val="center"/>
              <w:rPr>
                <w:noProof/>
                <w:color w:val="000000"/>
                <w:sz w:val="16"/>
                <w:szCs w:val="16"/>
              </w:rPr>
            </w:pPr>
            <w:r>
              <w:rPr>
                <w:noProof/>
                <w:color w:val="000000"/>
                <w:sz w:val="16"/>
                <w:szCs w:val="16"/>
              </w:rPr>
              <w:t>22,115</w:t>
            </w:r>
          </w:p>
        </w:tc>
        <w:tc>
          <w:tcPr>
            <w:tcW w:w="886" w:type="dxa"/>
            <w:tcBorders>
              <w:top w:val="nil"/>
              <w:bottom w:val="nil"/>
              <w:right w:val="single" w:sz="4" w:space="0" w:color="0055A0"/>
            </w:tcBorders>
            <w:shd w:val="clear" w:color="auto" w:fill="DAEEF3" w:themeFill="accent5" w:themeFillTint="33"/>
            <w:noWrap/>
            <w:hideMark/>
          </w:tcPr>
          <w:p w14:paraId="1CBA4AF9" w14:textId="77777777" w:rsidR="004D45F1" w:rsidRDefault="004D45F1">
            <w:pPr>
              <w:jc w:val="center"/>
              <w:rPr>
                <w:noProof/>
                <w:color w:val="000000"/>
                <w:sz w:val="16"/>
                <w:szCs w:val="16"/>
              </w:rPr>
            </w:pPr>
            <w:r>
              <w:rPr>
                <w:noProof/>
                <w:color w:val="000000"/>
                <w:sz w:val="16"/>
                <w:szCs w:val="16"/>
              </w:rPr>
              <w:t>22,115</w:t>
            </w:r>
          </w:p>
        </w:tc>
      </w:tr>
      <w:tr w:rsidR="004D45F1" w14:paraId="5AE38C0C"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nil"/>
              <w:left w:val="single" w:sz="4" w:space="0" w:color="0055A0"/>
              <w:bottom w:val="nil"/>
              <w:right w:val="single" w:sz="4" w:space="0" w:color="0055A0"/>
            </w:tcBorders>
            <w:hideMark/>
          </w:tcPr>
          <w:p w14:paraId="3732224C"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B8CCE4" w:themeFill="accent1" w:themeFillTint="66"/>
            <w:noWrap/>
            <w:hideMark/>
          </w:tcPr>
          <w:p w14:paraId="195A8BFD" w14:textId="77777777" w:rsidR="004D45F1" w:rsidRDefault="004D45F1">
            <w:pPr>
              <w:rPr>
                <w:noProof/>
                <w:color w:val="000000"/>
                <w:sz w:val="16"/>
                <w:szCs w:val="16"/>
              </w:rPr>
            </w:pPr>
            <w:r>
              <w:rPr>
                <w:noProof/>
                <w:color w:val="000000"/>
                <w:sz w:val="16"/>
                <w:szCs w:val="16"/>
              </w:rPr>
              <w:t>Emissions (tODP)</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41B91C3C" w14:textId="77777777" w:rsidR="004D45F1" w:rsidRDefault="004D45F1">
            <w:pPr>
              <w:jc w:val="center"/>
              <w:rPr>
                <w:noProof/>
                <w:color w:val="000000"/>
                <w:sz w:val="16"/>
                <w:szCs w:val="16"/>
              </w:rPr>
            </w:pPr>
            <w:r>
              <w:rPr>
                <w:noProof/>
                <w:color w:val="000000"/>
                <w:sz w:val="16"/>
                <w:szCs w:val="16"/>
              </w:rPr>
              <w:t>4</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757D13E4" w14:textId="77777777" w:rsidR="004D45F1" w:rsidRDefault="004D45F1">
            <w:pPr>
              <w:jc w:val="center"/>
              <w:rPr>
                <w:noProof/>
                <w:color w:val="000000"/>
                <w:sz w:val="16"/>
                <w:szCs w:val="16"/>
              </w:rPr>
            </w:pPr>
            <w:r>
              <w:rPr>
                <w:noProof/>
                <w:color w:val="000000"/>
                <w:sz w:val="16"/>
                <w:szCs w:val="16"/>
              </w:rPr>
              <w:t>4</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5A7119D2" w14:textId="77777777" w:rsidR="004D45F1" w:rsidRDefault="004D45F1">
            <w:pPr>
              <w:jc w:val="center"/>
              <w:rPr>
                <w:noProof/>
                <w:color w:val="000000"/>
                <w:sz w:val="16"/>
                <w:szCs w:val="16"/>
              </w:rPr>
            </w:pPr>
            <w:r>
              <w:rPr>
                <w:noProof/>
                <w:color w:val="000000"/>
                <w:sz w:val="16"/>
                <w:szCs w:val="16"/>
              </w:rPr>
              <w:t>4</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3FF88134" w14:textId="77777777" w:rsidR="004D45F1" w:rsidRDefault="004D45F1">
            <w:pPr>
              <w:jc w:val="center"/>
              <w:rPr>
                <w:noProof/>
                <w:color w:val="000000"/>
                <w:sz w:val="16"/>
                <w:szCs w:val="16"/>
              </w:rPr>
            </w:pPr>
            <w:r>
              <w:rPr>
                <w:noProof/>
                <w:color w:val="000000"/>
                <w:sz w:val="16"/>
                <w:szCs w:val="16"/>
              </w:rPr>
              <w:t>4</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3B8181A8" w14:textId="77777777" w:rsidR="004D45F1" w:rsidRDefault="004D45F1">
            <w:pPr>
              <w:jc w:val="center"/>
              <w:rPr>
                <w:noProof/>
                <w:color w:val="000000"/>
                <w:sz w:val="16"/>
                <w:szCs w:val="16"/>
              </w:rPr>
            </w:pPr>
            <w:r>
              <w:rPr>
                <w:noProof/>
                <w:color w:val="000000"/>
                <w:sz w:val="16"/>
                <w:szCs w:val="16"/>
              </w:rPr>
              <w:t>4</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7257D4BB" w14:textId="77777777" w:rsidR="004D45F1" w:rsidRDefault="004D45F1">
            <w:pPr>
              <w:jc w:val="center"/>
              <w:rPr>
                <w:noProof/>
                <w:color w:val="000000"/>
                <w:sz w:val="16"/>
                <w:szCs w:val="16"/>
              </w:rPr>
            </w:pPr>
            <w:r>
              <w:rPr>
                <w:noProof/>
                <w:color w:val="000000"/>
                <w:sz w:val="16"/>
                <w:szCs w:val="16"/>
              </w:rPr>
              <w:t>4</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2E890DCF" w14:textId="77777777" w:rsidR="004D45F1" w:rsidRDefault="004D45F1">
            <w:pPr>
              <w:jc w:val="center"/>
              <w:rPr>
                <w:noProof/>
                <w:color w:val="000000"/>
                <w:sz w:val="16"/>
                <w:szCs w:val="16"/>
              </w:rPr>
            </w:pPr>
            <w:r>
              <w:rPr>
                <w:noProof/>
                <w:color w:val="000000"/>
                <w:sz w:val="16"/>
                <w:szCs w:val="16"/>
              </w:rPr>
              <w:t>4</w:t>
            </w:r>
          </w:p>
        </w:tc>
      </w:tr>
      <w:tr w:rsidR="004D45F1" w14:paraId="1926841C"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shd w:val="clear" w:color="auto" w:fill="DAEEF3" w:themeFill="accent5" w:themeFillTint="33"/>
            <w:noWrap/>
          </w:tcPr>
          <w:p w14:paraId="66809DFF" w14:textId="77777777" w:rsidR="004D45F1" w:rsidRDefault="004D45F1">
            <w:pPr>
              <w:rPr>
                <w:noProof/>
                <w:color w:val="000000"/>
                <w:sz w:val="16"/>
                <w:szCs w:val="16"/>
              </w:rPr>
            </w:pPr>
          </w:p>
        </w:tc>
        <w:tc>
          <w:tcPr>
            <w:tcW w:w="1253" w:type="dxa"/>
            <w:tcBorders>
              <w:top w:val="nil"/>
              <w:bottom w:val="single" w:sz="4" w:space="0" w:color="auto"/>
            </w:tcBorders>
            <w:shd w:val="clear" w:color="auto" w:fill="FDE9D9" w:themeFill="accent6" w:themeFillTint="33"/>
            <w:noWrap/>
            <w:hideMark/>
          </w:tcPr>
          <w:p w14:paraId="6F3A2037" w14:textId="77777777" w:rsidR="004D45F1" w:rsidRDefault="004D45F1">
            <w:pPr>
              <w:rPr>
                <w:noProof/>
                <w:color w:val="000000"/>
                <w:sz w:val="16"/>
                <w:szCs w:val="16"/>
              </w:rPr>
            </w:pPr>
            <w:r>
              <w:rPr>
                <w:noProof/>
                <w:color w:val="000000"/>
                <w:sz w:val="16"/>
                <w:szCs w:val="16"/>
              </w:rPr>
              <w:t>Emissions (tCO2e)</w:t>
            </w:r>
          </w:p>
        </w:tc>
        <w:tc>
          <w:tcPr>
            <w:tcW w:w="885" w:type="dxa"/>
            <w:tcBorders>
              <w:top w:val="nil"/>
              <w:bottom w:val="single" w:sz="4" w:space="0" w:color="auto"/>
            </w:tcBorders>
            <w:shd w:val="clear" w:color="auto" w:fill="FDE9D9" w:themeFill="accent6" w:themeFillTint="33"/>
            <w:noWrap/>
            <w:hideMark/>
          </w:tcPr>
          <w:p w14:paraId="23F2E35B" w14:textId="77777777" w:rsidR="004D45F1" w:rsidRDefault="004D45F1">
            <w:pPr>
              <w:jc w:val="center"/>
              <w:rPr>
                <w:noProof/>
                <w:color w:val="000000"/>
                <w:sz w:val="16"/>
                <w:szCs w:val="16"/>
              </w:rPr>
            </w:pPr>
            <w:r>
              <w:rPr>
                <w:noProof/>
                <w:color w:val="000000"/>
                <w:sz w:val="16"/>
                <w:szCs w:val="16"/>
              </w:rPr>
              <w:t>2,400</w:t>
            </w:r>
          </w:p>
        </w:tc>
        <w:tc>
          <w:tcPr>
            <w:tcW w:w="886" w:type="dxa"/>
            <w:tcBorders>
              <w:top w:val="nil"/>
              <w:bottom w:val="single" w:sz="4" w:space="0" w:color="auto"/>
            </w:tcBorders>
            <w:shd w:val="clear" w:color="auto" w:fill="FDE9D9" w:themeFill="accent6" w:themeFillTint="33"/>
            <w:noWrap/>
            <w:hideMark/>
          </w:tcPr>
          <w:p w14:paraId="3808D9D3" w14:textId="77777777" w:rsidR="004D45F1" w:rsidRDefault="004D45F1">
            <w:pPr>
              <w:jc w:val="center"/>
              <w:rPr>
                <w:noProof/>
                <w:color w:val="000000"/>
                <w:sz w:val="16"/>
                <w:szCs w:val="16"/>
              </w:rPr>
            </w:pPr>
            <w:r>
              <w:rPr>
                <w:noProof/>
                <w:color w:val="000000"/>
                <w:sz w:val="16"/>
                <w:szCs w:val="16"/>
              </w:rPr>
              <w:t>2,400</w:t>
            </w:r>
          </w:p>
        </w:tc>
        <w:tc>
          <w:tcPr>
            <w:tcW w:w="885" w:type="dxa"/>
            <w:tcBorders>
              <w:top w:val="nil"/>
              <w:bottom w:val="single" w:sz="4" w:space="0" w:color="auto"/>
            </w:tcBorders>
            <w:shd w:val="clear" w:color="auto" w:fill="FDE9D9" w:themeFill="accent6" w:themeFillTint="33"/>
            <w:noWrap/>
            <w:hideMark/>
          </w:tcPr>
          <w:p w14:paraId="46993D3B" w14:textId="77777777" w:rsidR="004D45F1" w:rsidRDefault="004D45F1">
            <w:pPr>
              <w:jc w:val="center"/>
              <w:rPr>
                <w:noProof/>
                <w:color w:val="000000"/>
                <w:sz w:val="16"/>
                <w:szCs w:val="16"/>
              </w:rPr>
            </w:pPr>
            <w:r>
              <w:rPr>
                <w:noProof/>
                <w:color w:val="000000"/>
                <w:sz w:val="16"/>
                <w:szCs w:val="16"/>
              </w:rPr>
              <w:t>2,400</w:t>
            </w:r>
          </w:p>
        </w:tc>
        <w:tc>
          <w:tcPr>
            <w:tcW w:w="886" w:type="dxa"/>
            <w:tcBorders>
              <w:top w:val="nil"/>
              <w:bottom w:val="single" w:sz="4" w:space="0" w:color="auto"/>
            </w:tcBorders>
            <w:shd w:val="clear" w:color="auto" w:fill="FDE9D9" w:themeFill="accent6" w:themeFillTint="33"/>
            <w:noWrap/>
            <w:hideMark/>
          </w:tcPr>
          <w:p w14:paraId="7FCEE881" w14:textId="77777777" w:rsidR="004D45F1" w:rsidRDefault="004D45F1">
            <w:pPr>
              <w:jc w:val="center"/>
              <w:rPr>
                <w:noProof/>
                <w:color w:val="000000"/>
                <w:sz w:val="16"/>
                <w:szCs w:val="16"/>
              </w:rPr>
            </w:pPr>
            <w:r>
              <w:rPr>
                <w:noProof/>
                <w:color w:val="000000"/>
                <w:sz w:val="16"/>
                <w:szCs w:val="16"/>
              </w:rPr>
              <w:t>2,400</w:t>
            </w:r>
          </w:p>
        </w:tc>
        <w:tc>
          <w:tcPr>
            <w:tcW w:w="885" w:type="dxa"/>
            <w:tcBorders>
              <w:top w:val="nil"/>
              <w:bottom w:val="single" w:sz="4" w:space="0" w:color="auto"/>
            </w:tcBorders>
            <w:shd w:val="clear" w:color="auto" w:fill="FDE9D9" w:themeFill="accent6" w:themeFillTint="33"/>
            <w:noWrap/>
            <w:hideMark/>
          </w:tcPr>
          <w:p w14:paraId="3FBAA888" w14:textId="77777777" w:rsidR="004D45F1" w:rsidRDefault="004D45F1">
            <w:pPr>
              <w:jc w:val="center"/>
              <w:rPr>
                <w:noProof/>
                <w:color w:val="000000"/>
                <w:sz w:val="16"/>
                <w:szCs w:val="16"/>
              </w:rPr>
            </w:pPr>
            <w:r>
              <w:rPr>
                <w:noProof/>
                <w:color w:val="000000"/>
                <w:sz w:val="16"/>
                <w:szCs w:val="16"/>
              </w:rPr>
              <w:t>2,400</w:t>
            </w:r>
          </w:p>
        </w:tc>
        <w:tc>
          <w:tcPr>
            <w:tcW w:w="886" w:type="dxa"/>
            <w:tcBorders>
              <w:top w:val="nil"/>
              <w:bottom w:val="single" w:sz="4" w:space="0" w:color="auto"/>
            </w:tcBorders>
            <w:shd w:val="clear" w:color="auto" w:fill="FDE9D9" w:themeFill="accent6" w:themeFillTint="33"/>
            <w:noWrap/>
            <w:hideMark/>
          </w:tcPr>
          <w:p w14:paraId="76E0330F" w14:textId="77777777" w:rsidR="004D45F1" w:rsidRDefault="004D45F1">
            <w:pPr>
              <w:jc w:val="center"/>
              <w:rPr>
                <w:noProof/>
                <w:color w:val="000000"/>
                <w:sz w:val="16"/>
                <w:szCs w:val="16"/>
              </w:rPr>
            </w:pPr>
            <w:r>
              <w:rPr>
                <w:noProof/>
                <w:color w:val="000000"/>
                <w:sz w:val="16"/>
                <w:szCs w:val="16"/>
              </w:rPr>
              <w:t>2,400</w:t>
            </w:r>
          </w:p>
        </w:tc>
        <w:tc>
          <w:tcPr>
            <w:tcW w:w="886" w:type="dxa"/>
            <w:tcBorders>
              <w:top w:val="nil"/>
              <w:bottom w:val="single" w:sz="4" w:space="0" w:color="auto"/>
              <w:right w:val="single" w:sz="4" w:space="0" w:color="0055A0"/>
            </w:tcBorders>
            <w:shd w:val="clear" w:color="auto" w:fill="FDE9D9" w:themeFill="accent6" w:themeFillTint="33"/>
            <w:noWrap/>
            <w:hideMark/>
          </w:tcPr>
          <w:p w14:paraId="1213B57F" w14:textId="77777777" w:rsidR="004D45F1" w:rsidRDefault="004D45F1">
            <w:pPr>
              <w:jc w:val="center"/>
              <w:rPr>
                <w:noProof/>
                <w:color w:val="000000"/>
                <w:sz w:val="16"/>
                <w:szCs w:val="16"/>
              </w:rPr>
            </w:pPr>
            <w:r>
              <w:rPr>
                <w:noProof/>
                <w:color w:val="000000"/>
                <w:sz w:val="16"/>
                <w:szCs w:val="16"/>
              </w:rPr>
              <w:t>2,400</w:t>
            </w:r>
          </w:p>
        </w:tc>
      </w:tr>
      <w:tr w:rsidR="004D45F1" w14:paraId="090BDFC6"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single" w:sz="4" w:space="0" w:color="auto"/>
              <w:left w:val="single" w:sz="4" w:space="0" w:color="0055A0"/>
              <w:bottom w:val="nil"/>
              <w:right w:val="single" w:sz="4" w:space="0" w:color="0055A0"/>
            </w:tcBorders>
            <w:noWrap/>
            <w:hideMark/>
          </w:tcPr>
          <w:p w14:paraId="75A6D7C5" w14:textId="77777777" w:rsidR="004D45F1" w:rsidRDefault="004D45F1">
            <w:pPr>
              <w:rPr>
                <w:noProof/>
                <w:color w:val="000000"/>
                <w:sz w:val="16"/>
                <w:szCs w:val="16"/>
              </w:rPr>
            </w:pPr>
            <w:r>
              <w:rPr>
                <w:noProof/>
                <w:color w:val="000000"/>
                <w:sz w:val="16"/>
                <w:szCs w:val="16"/>
              </w:rPr>
              <w:t>Feedstock use</w:t>
            </w:r>
          </w:p>
        </w:tc>
        <w:tc>
          <w:tcPr>
            <w:tcW w:w="1253" w:type="dxa"/>
            <w:tcBorders>
              <w:top w:val="single" w:sz="4" w:space="0" w:color="auto"/>
              <w:left w:val="single" w:sz="4" w:space="0" w:color="0055A0"/>
              <w:bottom w:val="nil"/>
              <w:right w:val="single" w:sz="4" w:space="0" w:color="0055A0"/>
            </w:tcBorders>
            <w:noWrap/>
            <w:hideMark/>
          </w:tcPr>
          <w:p w14:paraId="1CB0AA36" w14:textId="77777777" w:rsidR="004D45F1" w:rsidRDefault="004D45F1">
            <w:pPr>
              <w:rPr>
                <w:noProof/>
                <w:color w:val="000000"/>
                <w:sz w:val="16"/>
                <w:szCs w:val="16"/>
              </w:rPr>
            </w:pPr>
            <w:r>
              <w:rPr>
                <w:noProof/>
                <w:color w:val="000000"/>
                <w:sz w:val="16"/>
                <w:szCs w:val="16"/>
              </w:rPr>
              <w:t>Controlled substances (tODP stock)</w:t>
            </w:r>
          </w:p>
        </w:tc>
        <w:tc>
          <w:tcPr>
            <w:tcW w:w="885" w:type="dxa"/>
            <w:tcBorders>
              <w:top w:val="single" w:sz="4" w:space="0" w:color="auto"/>
              <w:left w:val="single" w:sz="4" w:space="0" w:color="0055A0"/>
              <w:bottom w:val="nil"/>
              <w:right w:val="single" w:sz="4" w:space="0" w:color="0055A0"/>
            </w:tcBorders>
            <w:noWrap/>
            <w:hideMark/>
          </w:tcPr>
          <w:p w14:paraId="407EA705" w14:textId="77777777" w:rsidR="004D45F1" w:rsidRDefault="004D45F1">
            <w:pPr>
              <w:jc w:val="center"/>
              <w:rPr>
                <w:noProof/>
                <w:color w:val="000000" w:themeColor="text1"/>
                <w:sz w:val="16"/>
                <w:szCs w:val="16"/>
              </w:rPr>
            </w:pPr>
            <w:r>
              <w:rPr>
                <w:noProof/>
                <w:color w:val="000000"/>
                <w:sz w:val="16"/>
                <w:szCs w:val="16"/>
              </w:rPr>
              <w:t>38,377</w:t>
            </w:r>
          </w:p>
        </w:tc>
        <w:tc>
          <w:tcPr>
            <w:tcW w:w="886" w:type="dxa"/>
            <w:tcBorders>
              <w:top w:val="single" w:sz="4" w:space="0" w:color="auto"/>
              <w:left w:val="single" w:sz="4" w:space="0" w:color="0055A0"/>
              <w:bottom w:val="nil"/>
              <w:right w:val="single" w:sz="4" w:space="0" w:color="0055A0"/>
            </w:tcBorders>
            <w:noWrap/>
            <w:hideMark/>
          </w:tcPr>
          <w:p w14:paraId="55DA36A5" w14:textId="77777777" w:rsidR="004D45F1" w:rsidRDefault="004D45F1">
            <w:pPr>
              <w:jc w:val="center"/>
              <w:rPr>
                <w:noProof/>
                <w:color w:val="000000" w:themeColor="text1"/>
                <w:sz w:val="16"/>
                <w:szCs w:val="16"/>
              </w:rPr>
            </w:pPr>
            <w:r>
              <w:rPr>
                <w:noProof/>
                <w:color w:val="000000"/>
                <w:sz w:val="16"/>
                <w:szCs w:val="16"/>
              </w:rPr>
              <w:t>36,721</w:t>
            </w:r>
          </w:p>
        </w:tc>
        <w:tc>
          <w:tcPr>
            <w:tcW w:w="885" w:type="dxa"/>
            <w:tcBorders>
              <w:top w:val="single" w:sz="4" w:space="0" w:color="auto"/>
              <w:left w:val="single" w:sz="4" w:space="0" w:color="0055A0"/>
              <w:bottom w:val="nil"/>
              <w:right w:val="single" w:sz="4" w:space="0" w:color="0055A0"/>
            </w:tcBorders>
            <w:noWrap/>
            <w:hideMark/>
          </w:tcPr>
          <w:p w14:paraId="2F6F2AE3" w14:textId="77777777" w:rsidR="004D45F1" w:rsidRDefault="004D45F1">
            <w:pPr>
              <w:jc w:val="center"/>
              <w:rPr>
                <w:noProof/>
                <w:color w:val="000000" w:themeColor="text1"/>
                <w:sz w:val="16"/>
                <w:szCs w:val="16"/>
              </w:rPr>
            </w:pPr>
            <w:r>
              <w:rPr>
                <w:noProof/>
                <w:color w:val="000000"/>
                <w:sz w:val="16"/>
                <w:szCs w:val="16"/>
              </w:rPr>
              <w:t>35,136</w:t>
            </w:r>
          </w:p>
        </w:tc>
        <w:tc>
          <w:tcPr>
            <w:tcW w:w="886" w:type="dxa"/>
            <w:tcBorders>
              <w:top w:val="single" w:sz="4" w:space="0" w:color="auto"/>
              <w:left w:val="single" w:sz="4" w:space="0" w:color="0055A0"/>
              <w:bottom w:val="nil"/>
              <w:right w:val="single" w:sz="4" w:space="0" w:color="0055A0"/>
            </w:tcBorders>
            <w:noWrap/>
            <w:hideMark/>
          </w:tcPr>
          <w:p w14:paraId="56CD233A" w14:textId="77777777" w:rsidR="004D45F1" w:rsidRDefault="004D45F1">
            <w:pPr>
              <w:jc w:val="center"/>
              <w:rPr>
                <w:noProof/>
                <w:color w:val="000000" w:themeColor="text1"/>
                <w:sz w:val="16"/>
                <w:szCs w:val="16"/>
              </w:rPr>
            </w:pPr>
            <w:r>
              <w:rPr>
                <w:noProof/>
                <w:color w:val="000000"/>
                <w:sz w:val="16"/>
                <w:szCs w:val="16"/>
              </w:rPr>
              <w:t>33,620</w:t>
            </w:r>
          </w:p>
        </w:tc>
        <w:tc>
          <w:tcPr>
            <w:tcW w:w="885" w:type="dxa"/>
            <w:tcBorders>
              <w:top w:val="single" w:sz="4" w:space="0" w:color="auto"/>
              <w:left w:val="single" w:sz="4" w:space="0" w:color="0055A0"/>
              <w:bottom w:val="nil"/>
              <w:right w:val="single" w:sz="4" w:space="0" w:color="0055A0"/>
            </w:tcBorders>
            <w:noWrap/>
            <w:hideMark/>
          </w:tcPr>
          <w:p w14:paraId="16CD3CF8" w14:textId="77777777" w:rsidR="004D45F1" w:rsidRDefault="004D45F1">
            <w:pPr>
              <w:jc w:val="center"/>
              <w:rPr>
                <w:noProof/>
                <w:color w:val="000000" w:themeColor="text1"/>
                <w:sz w:val="16"/>
                <w:szCs w:val="16"/>
              </w:rPr>
            </w:pPr>
            <w:r>
              <w:rPr>
                <w:noProof/>
                <w:color w:val="000000"/>
                <w:sz w:val="16"/>
                <w:szCs w:val="16"/>
              </w:rPr>
              <w:t>32,169</w:t>
            </w:r>
          </w:p>
        </w:tc>
        <w:tc>
          <w:tcPr>
            <w:tcW w:w="886" w:type="dxa"/>
            <w:tcBorders>
              <w:top w:val="single" w:sz="4" w:space="0" w:color="auto"/>
              <w:left w:val="single" w:sz="4" w:space="0" w:color="0055A0"/>
              <w:bottom w:val="nil"/>
              <w:right w:val="single" w:sz="4" w:space="0" w:color="0055A0"/>
            </w:tcBorders>
            <w:noWrap/>
            <w:hideMark/>
          </w:tcPr>
          <w:p w14:paraId="5AA8A1DA" w14:textId="77777777" w:rsidR="004D45F1" w:rsidRDefault="004D45F1">
            <w:pPr>
              <w:jc w:val="center"/>
              <w:rPr>
                <w:noProof/>
                <w:color w:val="000000" w:themeColor="text1"/>
                <w:sz w:val="16"/>
                <w:szCs w:val="16"/>
              </w:rPr>
            </w:pPr>
            <w:r>
              <w:rPr>
                <w:noProof/>
                <w:color w:val="000000"/>
                <w:sz w:val="16"/>
                <w:szCs w:val="16"/>
              </w:rPr>
              <w:t>30,781</w:t>
            </w:r>
          </w:p>
        </w:tc>
        <w:tc>
          <w:tcPr>
            <w:tcW w:w="886" w:type="dxa"/>
            <w:tcBorders>
              <w:top w:val="single" w:sz="4" w:space="0" w:color="auto"/>
              <w:left w:val="single" w:sz="4" w:space="0" w:color="0055A0"/>
              <w:bottom w:val="nil"/>
              <w:right w:val="single" w:sz="4" w:space="0" w:color="0055A0"/>
            </w:tcBorders>
            <w:noWrap/>
            <w:hideMark/>
          </w:tcPr>
          <w:p w14:paraId="12560509" w14:textId="77777777" w:rsidR="004D45F1" w:rsidRDefault="004D45F1">
            <w:pPr>
              <w:jc w:val="center"/>
              <w:rPr>
                <w:noProof/>
                <w:color w:val="000000" w:themeColor="text1"/>
                <w:sz w:val="16"/>
                <w:szCs w:val="16"/>
              </w:rPr>
            </w:pPr>
            <w:r>
              <w:rPr>
                <w:noProof/>
                <w:color w:val="000000"/>
                <w:sz w:val="16"/>
                <w:szCs w:val="16"/>
              </w:rPr>
              <w:t>29,453</w:t>
            </w:r>
          </w:p>
        </w:tc>
      </w:tr>
      <w:tr w:rsidR="00124EE6" w14:paraId="7D2F99C3"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27945692" w14:textId="77777777" w:rsidR="004D45F1" w:rsidRDefault="004D45F1">
            <w:pPr>
              <w:spacing w:before="0"/>
              <w:rPr>
                <w:noProof/>
                <w:color w:val="000000"/>
                <w:sz w:val="16"/>
                <w:szCs w:val="16"/>
              </w:rPr>
            </w:pPr>
          </w:p>
        </w:tc>
        <w:tc>
          <w:tcPr>
            <w:tcW w:w="1253" w:type="dxa"/>
            <w:tcBorders>
              <w:top w:val="nil"/>
              <w:bottom w:val="nil"/>
            </w:tcBorders>
            <w:shd w:val="clear" w:color="auto" w:fill="B8CCE4" w:themeFill="accent1" w:themeFillTint="66"/>
            <w:noWrap/>
            <w:hideMark/>
          </w:tcPr>
          <w:p w14:paraId="00C9D5E4" w14:textId="77777777" w:rsidR="004D45F1" w:rsidRDefault="004D45F1">
            <w:pPr>
              <w:rPr>
                <w:noProof/>
                <w:color w:val="000000"/>
                <w:sz w:val="16"/>
                <w:szCs w:val="16"/>
              </w:rPr>
            </w:pPr>
            <w:r>
              <w:rPr>
                <w:noProof/>
                <w:color w:val="000000"/>
                <w:sz w:val="16"/>
                <w:szCs w:val="16"/>
              </w:rPr>
              <w:t>Emissions (tODP)</w:t>
            </w:r>
          </w:p>
        </w:tc>
        <w:tc>
          <w:tcPr>
            <w:tcW w:w="885" w:type="dxa"/>
            <w:tcBorders>
              <w:top w:val="nil"/>
              <w:bottom w:val="nil"/>
            </w:tcBorders>
            <w:shd w:val="clear" w:color="auto" w:fill="B8CCE4" w:themeFill="accent1" w:themeFillTint="66"/>
            <w:noWrap/>
            <w:hideMark/>
          </w:tcPr>
          <w:p w14:paraId="5A1F3DCE" w14:textId="77777777" w:rsidR="004D45F1" w:rsidRDefault="004D45F1">
            <w:pPr>
              <w:jc w:val="center"/>
              <w:rPr>
                <w:noProof/>
                <w:color w:val="000000" w:themeColor="text1"/>
                <w:sz w:val="16"/>
                <w:szCs w:val="16"/>
              </w:rPr>
            </w:pPr>
            <w:r>
              <w:rPr>
                <w:noProof/>
                <w:color w:val="000000"/>
                <w:sz w:val="16"/>
                <w:szCs w:val="16"/>
              </w:rPr>
              <w:t>34</w:t>
            </w:r>
          </w:p>
        </w:tc>
        <w:tc>
          <w:tcPr>
            <w:tcW w:w="886" w:type="dxa"/>
            <w:tcBorders>
              <w:top w:val="nil"/>
              <w:bottom w:val="nil"/>
            </w:tcBorders>
            <w:shd w:val="clear" w:color="auto" w:fill="B8CCE4" w:themeFill="accent1" w:themeFillTint="66"/>
            <w:noWrap/>
            <w:hideMark/>
          </w:tcPr>
          <w:p w14:paraId="7B92E798" w14:textId="77777777" w:rsidR="004D45F1" w:rsidRDefault="004D45F1">
            <w:pPr>
              <w:jc w:val="center"/>
              <w:rPr>
                <w:noProof/>
                <w:color w:val="000000" w:themeColor="text1"/>
                <w:sz w:val="16"/>
                <w:szCs w:val="16"/>
              </w:rPr>
            </w:pPr>
            <w:r>
              <w:rPr>
                <w:noProof/>
                <w:color w:val="000000"/>
                <w:sz w:val="16"/>
                <w:szCs w:val="16"/>
              </w:rPr>
              <w:t>32</w:t>
            </w:r>
          </w:p>
        </w:tc>
        <w:tc>
          <w:tcPr>
            <w:tcW w:w="885" w:type="dxa"/>
            <w:tcBorders>
              <w:top w:val="nil"/>
              <w:bottom w:val="nil"/>
            </w:tcBorders>
            <w:shd w:val="clear" w:color="auto" w:fill="B8CCE4" w:themeFill="accent1" w:themeFillTint="66"/>
            <w:noWrap/>
            <w:hideMark/>
          </w:tcPr>
          <w:p w14:paraId="4DCB9CC4" w14:textId="77777777" w:rsidR="004D45F1" w:rsidRDefault="004D45F1">
            <w:pPr>
              <w:jc w:val="center"/>
              <w:rPr>
                <w:noProof/>
                <w:color w:val="000000" w:themeColor="text1"/>
                <w:sz w:val="16"/>
                <w:szCs w:val="16"/>
              </w:rPr>
            </w:pPr>
            <w:r>
              <w:rPr>
                <w:noProof/>
                <w:color w:val="000000"/>
                <w:sz w:val="16"/>
                <w:szCs w:val="16"/>
              </w:rPr>
              <w:t>30</w:t>
            </w:r>
          </w:p>
        </w:tc>
        <w:tc>
          <w:tcPr>
            <w:tcW w:w="886" w:type="dxa"/>
            <w:tcBorders>
              <w:top w:val="nil"/>
              <w:bottom w:val="nil"/>
            </w:tcBorders>
            <w:shd w:val="clear" w:color="auto" w:fill="B8CCE4" w:themeFill="accent1" w:themeFillTint="66"/>
            <w:noWrap/>
            <w:hideMark/>
          </w:tcPr>
          <w:p w14:paraId="1749F06F" w14:textId="77777777" w:rsidR="004D45F1" w:rsidRDefault="004D45F1">
            <w:pPr>
              <w:jc w:val="center"/>
              <w:rPr>
                <w:noProof/>
                <w:color w:val="000000" w:themeColor="text1"/>
                <w:sz w:val="16"/>
                <w:szCs w:val="16"/>
              </w:rPr>
            </w:pPr>
            <w:r>
              <w:rPr>
                <w:noProof/>
                <w:color w:val="000000"/>
                <w:sz w:val="16"/>
                <w:szCs w:val="16"/>
              </w:rPr>
              <w:t>28</w:t>
            </w:r>
          </w:p>
        </w:tc>
        <w:tc>
          <w:tcPr>
            <w:tcW w:w="885" w:type="dxa"/>
            <w:tcBorders>
              <w:top w:val="nil"/>
              <w:bottom w:val="nil"/>
            </w:tcBorders>
            <w:shd w:val="clear" w:color="auto" w:fill="B8CCE4" w:themeFill="accent1" w:themeFillTint="66"/>
            <w:noWrap/>
            <w:hideMark/>
          </w:tcPr>
          <w:p w14:paraId="0A999504" w14:textId="77777777" w:rsidR="004D45F1" w:rsidRDefault="004D45F1">
            <w:pPr>
              <w:jc w:val="center"/>
              <w:rPr>
                <w:noProof/>
                <w:color w:val="000000" w:themeColor="text1"/>
                <w:sz w:val="16"/>
                <w:szCs w:val="16"/>
              </w:rPr>
            </w:pPr>
            <w:r>
              <w:rPr>
                <w:noProof/>
                <w:color w:val="000000"/>
                <w:sz w:val="16"/>
                <w:szCs w:val="16"/>
              </w:rPr>
              <w:t>27</w:t>
            </w:r>
          </w:p>
        </w:tc>
        <w:tc>
          <w:tcPr>
            <w:tcW w:w="886" w:type="dxa"/>
            <w:tcBorders>
              <w:top w:val="nil"/>
              <w:bottom w:val="nil"/>
            </w:tcBorders>
            <w:shd w:val="clear" w:color="auto" w:fill="B8CCE4" w:themeFill="accent1" w:themeFillTint="66"/>
            <w:noWrap/>
            <w:hideMark/>
          </w:tcPr>
          <w:p w14:paraId="40F660E4" w14:textId="77777777" w:rsidR="004D45F1" w:rsidRDefault="004D45F1">
            <w:pPr>
              <w:jc w:val="center"/>
              <w:rPr>
                <w:noProof/>
                <w:color w:val="000000" w:themeColor="text1"/>
                <w:sz w:val="16"/>
                <w:szCs w:val="16"/>
              </w:rPr>
            </w:pPr>
            <w:r>
              <w:rPr>
                <w:noProof/>
                <w:color w:val="000000"/>
                <w:sz w:val="16"/>
                <w:szCs w:val="16"/>
              </w:rPr>
              <w:t>25</w:t>
            </w:r>
          </w:p>
        </w:tc>
        <w:tc>
          <w:tcPr>
            <w:tcW w:w="886" w:type="dxa"/>
            <w:tcBorders>
              <w:top w:val="nil"/>
              <w:bottom w:val="nil"/>
              <w:right w:val="single" w:sz="4" w:space="0" w:color="0055A0"/>
            </w:tcBorders>
            <w:shd w:val="clear" w:color="auto" w:fill="B8CCE4" w:themeFill="accent1" w:themeFillTint="66"/>
            <w:noWrap/>
            <w:hideMark/>
          </w:tcPr>
          <w:p w14:paraId="46EFEBA3" w14:textId="77777777" w:rsidR="004D45F1" w:rsidRDefault="004D45F1">
            <w:pPr>
              <w:jc w:val="center"/>
              <w:rPr>
                <w:noProof/>
                <w:color w:val="000000" w:themeColor="text1"/>
                <w:sz w:val="16"/>
                <w:szCs w:val="16"/>
              </w:rPr>
            </w:pPr>
            <w:r>
              <w:rPr>
                <w:noProof/>
                <w:color w:val="000000"/>
                <w:sz w:val="16"/>
                <w:szCs w:val="16"/>
              </w:rPr>
              <w:t>24</w:t>
            </w:r>
          </w:p>
        </w:tc>
      </w:tr>
      <w:tr w:rsidR="004D45F1" w14:paraId="1DF2772B"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262ACDF8"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FDE9D9" w:themeFill="accent6" w:themeFillTint="33"/>
            <w:noWrap/>
            <w:hideMark/>
          </w:tcPr>
          <w:p w14:paraId="532C6DF2" w14:textId="77777777" w:rsidR="004D45F1" w:rsidRDefault="004D45F1">
            <w:pPr>
              <w:rPr>
                <w:noProof/>
                <w:color w:val="000000"/>
                <w:sz w:val="16"/>
                <w:szCs w:val="16"/>
              </w:rPr>
            </w:pPr>
            <w:r>
              <w:rPr>
                <w:noProof/>
                <w:color w:val="000000"/>
                <w:sz w:val="16"/>
                <w:szCs w:val="16"/>
              </w:rPr>
              <w:t>Emissions (tCO2e)</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6A82C85C" w14:textId="77777777" w:rsidR="004D45F1" w:rsidRDefault="004D45F1">
            <w:pPr>
              <w:jc w:val="center"/>
              <w:rPr>
                <w:noProof/>
                <w:color w:val="000000"/>
                <w:sz w:val="16"/>
                <w:szCs w:val="16"/>
              </w:rPr>
            </w:pPr>
            <w:r>
              <w:rPr>
                <w:noProof/>
                <w:color w:val="000000"/>
                <w:sz w:val="16"/>
                <w:szCs w:val="16"/>
              </w:rPr>
              <w:t>203,000</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364D5D65" w14:textId="77777777" w:rsidR="004D45F1" w:rsidRDefault="004D45F1">
            <w:pPr>
              <w:jc w:val="center"/>
              <w:rPr>
                <w:noProof/>
                <w:color w:val="000000"/>
                <w:sz w:val="16"/>
                <w:szCs w:val="16"/>
              </w:rPr>
            </w:pPr>
            <w:r>
              <w:rPr>
                <w:noProof/>
                <w:color w:val="000000"/>
                <w:sz w:val="16"/>
                <w:szCs w:val="16"/>
              </w:rPr>
              <w:t>200,268</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5104BBB7" w14:textId="77777777" w:rsidR="004D45F1" w:rsidRDefault="004D45F1">
            <w:pPr>
              <w:jc w:val="center"/>
              <w:rPr>
                <w:noProof/>
                <w:color w:val="000000"/>
                <w:sz w:val="16"/>
                <w:szCs w:val="16"/>
              </w:rPr>
            </w:pPr>
            <w:r>
              <w:rPr>
                <w:noProof/>
                <w:color w:val="000000"/>
                <w:sz w:val="16"/>
                <w:szCs w:val="16"/>
              </w:rPr>
              <w:t>195,190</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3DA23505" w14:textId="77777777" w:rsidR="004D45F1" w:rsidRDefault="004D45F1">
            <w:pPr>
              <w:jc w:val="center"/>
              <w:rPr>
                <w:noProof/>
                <w:color w:val="000000"/>
                <w:sz w:val="16"/>
                <w:szCs w:val="16"/>
              </w:rPr>
            </w:pPr>
            <w:r>
              <w:rPr>
                <w:noProof/>
                <w:color w:val="000000"/>
                <w:sz w:val="16"/>
                <w:szCs w:val="16"/>
              </w:rPr>
              <w:t>190,240</w:t>
            </w:r>
          </w:p>
        </w:tc>
        <w:tc>
          <w:tcPr>
            <w:tcW w:w="885" w:type="dxa"/>
            <w:tcBorders>
              <w:top w:val="nil"/>
              <w:left w:val="single" w:sz="4" w:space="0" w:color="0055A0"/>
              <w:bottom w:val="nil"/>
              <w:right w:val="single" w:sz="4" w:space="0" w:color="0055A0"/>
            </w:tcBorders>
            <w:shd w:val="clear" w:color="auto" w:fill="FDE9D9" w:themeFill="accent6" w:themeFillTint="33"/>
            <w:noWrap/>
            <w:hideMark/>
          </w:tcPr>
          <w:p w14:paraId="12D8DCFB" w14:textId="77777777" w:rsidR="004D45F1" w:rsidRDefault="004D45F1">
            <w:pPr>
              <w:jc w:val="center"/>
              <w:rPr>
                <w:noProof/>
                <w:color w:val="000000"/>
                <w:sz w:val="16"/>
                <w:szCs w:val="16"/>
              </w:rPr>
            </w:pPr>
            <w:r>
              <w:rPr>
                <w:noProof/>
                <w:color w:val="000000"/>
                <w:sz w:val="16"/>
                <w:szCs w:val="16"/>
              </w:rPr>
              <w:t>185,416</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24A24CB2" w14:textId="77777777" w:rsidR="004D45F1" w:rsidRDefault="004D45F1">
            <w:pPr>
              <w:jc w:val="center"/>
              <w:rPr>
                <w:noProof/>
                <w:color w:val="000000"/>
                <w:sz w:val="16"/>
                <w:szCs w:val="16"/>
              </w:rPr>
            </w:pPr>
            <w:r>
              <w:rPr>
                <w:noProof/>
                <w:color w:val="000000"/>
                <w:sz w:val="16"/>
                <w:szCs w:val="16"/>
              </w:rPr>
              <w:t>180,714</w:t>
            </w:r>
          </w:p>
        </w:tc>
        <w:tc>
          <w:tcPr>
            <w:tcW w:w="886" w:type="dxa"/>
            <w:tcBorders>
              <w:top w:val="nil"/>
              <w:left w:val="single" w:sz="4" w:space="0" w:color="0055A0"/>
              <w:bottom w:val="nil"/>
              <w:right w:val="single" w:sz="4" w:space="0" w:color="0055A0"/>
            </w:tcBorders>
            <w:shd w:val="clear" w:color="auto" w:fill="FDE9D9" w:themeFill="accent6" w:themeFillTint="33"/>
            <w:noWrap/>
            <w:hideMark/>
          </w:tcPr>
          <w:p w14:paraId="01651565" w14:textId="77777777" w:rsidR="004D45F1" w:rsidRDefault="004D45F1">
            <w:pPr>
              <w:jc w:val="center"/>
              <w:rPr>
                <w:noProof/>
                <w:color w:val="000000"/>
                <w:sz w:val="16"/>
                <w:szCs w:val="16"/>
              </w:rPr>
            </w:pPr>
            <w:r>
              <w:rPr>
                <w:noProof/>
                <w:color w:val="000000"/>
                <w:sz w:val="16"/>
                <w:szCs w:val="16"/>
              </w:rPr>
              <w:t>176,131</w:t>
            </w:r>
          </w:p>
        </w:tc>
      </w:tr>
      <w:tr w:rsidR="00124EE6" w14:paraId="1D9FEA3C"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79D27E4A" w14:textId="77777777" w:rsidR="004D45F1" w:rsidRDefault="004D45F1">
            <w:pPr>
              <w:spacing w:before="0"/>
              <w:rPr>
                <w:noProof/>
                <w:color w:val="000000"/>
                <w:sz w:val="16"/>
                <w:szCs w:val="16"/>
              </w:rPr>
            </w:pPr>
          </w:p>
        </w:tc>
        <w:tc>
          <w:tcPr>
            <w:tcW w:w="1253" w:type="dxa"/>
            <w:tcBorders>
              <w:top w:val="nil"/>
              <w:bottom w:val="nil"/>
            </w:tcBorders>
            <w:shd w:val="clear" w:color="auto" w:fill="DAEEF3" w:themeFill="accent5" w:themeFillTint="33"/>
            <w:noWrap/>
            <w:hideMark/>
          </w:tcPr>
          <w:p w14:paraId="1B43E824" w14:textId="77777777" w:rsidR="004D45F1" w:rsidRDefault="004D45F1">
            <w:pPr>
              <w:rPr>
                <w:noProof/>
                <w:color w:val="000000"/>
                <w:sz w:val="16"/>
                <w:szCs w:val="16"/>
              </w:rPr>
            </w:pPr>
            <w:r>
              <w:rPr>
                <w:noProof/>
                <w:color w:val="000000"/>
                <w:sz w:val="16"/>
                <w:szCs w:val="16"/>
              </w:rPr>
              <w:t>Annex II substances* (tODP stock)</w:t>
            </w:r>
          </w:p>
        </w:tc>
        <w:tc>
          <w:tcPr>
            <w:tcW w:w="885" w:type="dxa"/>
            <w:tcBorders>
              <w:top w:val="nil"/>
              <w:bottom w:val="nil"/>
            </w:tcBorders>
            <w:shd w:val="clear" w:color="auto" w:fill="DAEEF3" w:themeFill="accent5" w:themeFillTint="33"/>
            <w:noWrap/>
            <w:hideMark/>
          </w:tcPr>
          <w:p w14:paraId="172D63B4" w14:textId="77777777" w:rsidR="004D45F1" w:rsidRDefault="004D45F1">
            <w:pPr>
              <w:jc w:val="center"/>
              <w:rPr>
                <w:noProof/>
                <w:color w:val="000000"/>
                <w:sz w:val="16"/>
                <w:szCs w:val="16"/>
              </w:rPr>
            </w:pPr>
            <w:r>
              <w:rPr>
                <w:noProof/>
                <w:color w:val="000000"/>
                <w:sz w:val="16"/>
                <w:szCs w:val="16"/>
              </w:rPr>
              <w:t>22,583</w:t>
            </w:r>
          </w:p>
        </w:tc>
        <w:tc>
          <w:tcPr>
            <w:tcW w:w="886" w:type="dxa"/>
            <w:tcBorders>
              <w:top w:val="nil"/>
              <w:bottom w:val="nil"/>
            </w:tcBorders>
            <w:shd w:val="clear" w:color="auto" w:fill="DAEEF3" w:themeFill="accent5" w:themeFillTint="33"/>
            <w:noWrap/>
            <w:hideMark/>
          </w:tcPr>
          <w:p w14:paraId="4356B3D4" w14:textId="77777777" w:rsidR="004D45F1" w:rsidRDefault="004D45F1">
            <w:pPr>
              <w:jc w:val="center"/>
              <w:rPr>
                <w:noProof/>
                <w:color w:val="000000"/>
                <w:sz w:val="16"/>
                <w:szCs w:val="16"/>
              </w:rPr>
            </w:pPr>
            <w:r>
              <w:rPr>
                <w:noProof/>
                <w:color w:val="000000"/>
                <w:sz w:val="16"/>
                <w:szCs w:val="16"/>
              </w:rPr>
              <w:t>22,583</w:t>
            </w:r>
          </w:p>
        </w:tc>
        <w:tc>
          <w:tcPr>
            <w:tcW w:w="885" w:type="dxa"/>
            <w:tcBorders>
              <w:top w:val="nil"/>
              <w:bottom w:val="nil"/>
            </w:tcBorders>
            <w:shd w:val="clear" w:color="auto" w:fill="DAEEF3" w:themeFill="accent5" w:themeFillTint="33"/>
            <w:noWrap/>
            <w:hideMark/>
          </w:tcPr>
          <w:p w14:paraId="703D91C5" w14:textId="77777777" w:rsidR="004D45F1" w:rsidRDefault="004D45F1">
            <w:pPr>
              <w:jc w:val="center"/>
              <w:rPr>
                <w:noProof/>
                <w:color w:val="000000"/>
                <w:sz w:val="16"/>
                <w:szCs w:val="16"/>
              </w:rPr>
            </w:pPr>
            <w:r>
              <w:rPr>
                <w:noProof/>
                <w:color w:val="000000"/>
                <w:sz w:val="16"/>
                <w:szCs w:val="16"/>
              </w:rPr>
              <w:t>22,583</w:t>
            </w:r>
          </w:p>
        </w:tc>
        <w:tc>
          <w:tcPr>
            <w:tcW w:w="886" w:type="dxa"/>
            <w:tcBorders>
              <w:top w:val="nil"/>
              <w:bottom w:val="nil"/>
            </w:tcBorders>
            <w:shd w:val="clear" w:color="auto" w:fill="DAEEF3" w:themeFill="accent5" w:themeFillTint="33"/>
            <w:noWrap/>
            <w:hideMark/>
          </w:tcPr>
          <w:p w14:paraId="050E36E5" w14:textId="77777777" w:rsidR="004D45F1" w:rsidRDefault="004D45F1">
            <w:pPr>
              <w:jc w:val="center"/>
              <w:rPr>
                <w:noProof/>
                <w:color w:val="000000"/>
                <w:sz w:val="16"/>
                <w:szCs w:val="16"/>
              </w:rPr>
            </w:pPr>
            <w:r>
              <w:rPr>
                <w:noProof/>
                <w:color w:val="000000"/>
                <w:sz w:val="16"/>
                <w:szCs w:val="16"/>
              </w:rPr>
              <w:t>22,583</w:t>
            </w:r>
          </w:p>
        </w:tc>
        <w:tc>
          <w:tcPr>
            <w:tcW w:w="885" w:type="dxa"/>
            <w:tcBorders>
              <w:top w:val="nil"/>
              <w:bottom w:val="nil"/>
            </w:tcBorders>
            <w:shd w:val="clear" w:color="auto" w:fill="DAEEF3" w:themeFill="accent5" w:themeFillTint="33"/>
            <w:noWrap/>
            <w:hideMark/>
          </w:tcPr>
          <w:p w14:paraId="0D5C9A47" w14:textId="77777777" w:rsidR="004D45F1" w:rsidRDefault="004D45F1">
            <w:pPr>
              <w:jc w:val="center"/>
              <w:rPr>
                <w:noProof/>
                <w:color w:val="000000"/>
                <w:sz w:val="16"/>
                <w:szCs w:val="16"/>
              </w:rPr>
            </w:pPr>
            <w:r>
              <w:rPr>
                <w:noProof/>
                <w:color w:val="000000"/>
                <w:sz w:val="16"/>
                <w:szCs w:val="16"/>
              </w:rPr>
              <w:t>22,583</w:t>
            </w:r>
          </w:p>
        </w:tc>
        <w:tc>
          <w:tcPr>
            <w:tcW w:w="886" w:type="dxa"/>
            <w:tcBorders>
              <w:top w:val="nil"/>
              <w:bottom w:val="nil"/>
            </w:tcBorders>
            <w:shd w:val="clear" w:color="auto" w:fill="DAEEF3" w:themeFill="accent5" w:themeFillTint="33"/>
            <w:noWrap/>
            <w:hideMark/>
          </w:tcPr>
          <w:p w14:paraId="34975A47" w14:textId="77777777" w:rsidR="004D45F1" w:rsidRDefault="004D45F1">
            <w:pPr>
              <w:jc w:val="center"/>
              <w:rPr>
                <w:noProof/>
                <w:color w:val="000000"/>
                <w:sz w:val="16"/>
                <w:szCs w:val="16"/>
              </w:rPr>
            </w:pPr>
            <w:r>
              <w:rPr>
                <w:noProof/>
                <w:color w:val="000000"/>
                <w:sz w:val="16"/>
                <w:szCs w:val="16"/>
              </w:rPr>
              <w:t>22,583</w:t>
            </w:r>
          </w:p>
        </w:tc>
        <w:tc>
          <w:tcPr>
            <w:tcW w:w="886" w:type="dxa"/>
            <w:tcBorders>
              <w:top w:val="nil"/>
              <w:bottom w:val="nil"/>
              <w:right w:val="single" w:sz="4" w:space="0" w:color="0055A0"/>
            </w:tcBorders>
            <w:shd w:val="clear" w:color="auto" w:fill="DAEEF3" w:themeFill="accent5" w:themeFillTint="33"/>
            <w:noWrap/>
            <w:hideMark/>
          </w:tcPr>
          <w:p w14:paraId="2D6F3062" w14:textId="77777777" w:rsidR="004D45F1" w:rsidRDefault="004D45F1">
            <w:pPr>
              <w:jc w:val="center"/>
              <w:rPr>
                <w:noProof/>
                <w:color w:val="000000"/>
                <w:sz w:val="16"/>
                <w:szCs w:val="16"/>
              </w:rPr>
            </w:pPr>
            <w:r>
              <w:rPr>
                <w:noProof/>
                <w:color w:val="000000"/>
                <w:sz w:val="16"/>
                <w:szCs w:val="16"/>
              </w:rPr>
              <w:t>22,583</w:t>
            </w:r>
          </w:p>
        </w:tc>
      </w:tr>
      <w:tr w:rsidR="004D45F1" w14:paraId="296748F0"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1AE9AFFA"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B8CCE4" w:themeFill="accent1" w:themeFillTint="66"/>
            <w:noWrap/>
            <w:hideMark/>
          </w:tcPr>
          <w:p w14:paraId="1210DBCC" w14:textId="77777777" w:rsidR="004D45F1" w:rsidRDefault="004D45F1">
            <w:pPr>
              <w:rPr>
                <w:noProof/>
                <w:color w:val="000000"/>
                <w:sz w:val="16"/>
                <w:szCs w:val="16"/>
              </w:rPr>
            </w:pPr>
            <w:r>
              <w:rPr>
                <w:noProof/>
                <w:color w:val="000000"/>
                <w:sz w:val="16"/>
                <w:szCs w:val="16"/>
              </w:rPr>
              <w:t>Emissions (tODP)</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2BCCC9A6" w14:textId="77777777" w:rsidR="004D45F1" w:rsidRDefault="004D45F1">
            <w:pPr>
              <w:jc w:val="center"/>
              <w:rPr>
                <w:noProof/>
                <w:color w:val="000000"/>
                <w:sz w:val="16"/>
                <w:szCs w:val="16"/>
              </w:rPr>
            </w:pPr>
            <w:r>
              <w:rPr>
                <w:noProof/>
                <w:color w:val="000000"/>
                <w:sz w:val="16"/>
                <w:szCs w:val="16"/>
              </w:rPr>
              <w:t>20</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6A60A30B" w14:textId="77777777" w:rsidR="004D45F1" w:rsidRDefault="004D45F1">
            <w:pPr>
              <w:jc w:val="center"/>
              <w:rPr>
                <w:noProof/>
                <w:color w:val="000000"/>
                <w:sz w:val="16"/>
                <w:szCs w:val="16"/>
              </w:rPr>
            </w:pPr>
            <w:r>
              <w:rPr>
                <w:noProof/>
                <w:color w:val="000000"/>
                <w:sz w:val="16"/>
                <w:szCs w:val="16"/>
              </w:rPr>
              <w:t>19</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185BD09D" w14:textId="77777777" w:rsidR="004D45F1" w:rsidRDefault="004D45F1">
            <w:pPr>
              <w:jc w:val="center"/>
              <w:rPr>
                <w:noProof/>
                <w:color w:val="000000"/>
                <w:sz w:val="16"/>
                <w:szCs w:val="16"/>
              </w:rPr>
            </w:pPr>
            <w:r>
              <w:rPr>
                <w:noProof/>
                <w:color w:val="000000"/>
                <w:sz w:val="16"/>
                <w:szCs w:val="16"/>
              </w:rPr>
              <w:t>19</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155ED4EE" w14:textId="77777777" w:rsidR="004D45F1" w:rsidRDefault="004D45F1">
            <w:pPr>
              <w:jc w:val="center"/>
              <w:rPr>
                <w:noProof/>
                <w:color w:val="000000"/>
                <w:sz w:val="16"/>
                <w:szCs w:val="16"/>
              </w:rPr>
            </w:pPr>
            <w:r>
              <w:rPr>
                <w:noProof/>
                <w:color w:val="000000"/>
                <w:sz w:val="16"/>
                <w:szCs w:val="16"/>
              </w:rPr>
              <w:t>19</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721B6348" w14:textId="77777777" w:rsidR="004D45F1" w:rsidRDefault="004D45F1">
            <w:pPr>
              <w:jc w:val="center"/>
              <w:rPr>
                <w:noProof/>
                <w:color w:val="000000"/>
                <w:sz w:val="16"/>
                <w:szCs w:val="16"/>
              </w:rPr>
            </w:pPr>
            <w:r>
              <w:rPr>
                <w:noProof/>
                <w:color w:val="000000"/>
                <w:sz w:val="16"/>
                <w:szCs w:val="16"/>
              </w:rPr>
              <w:t>18</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1FBCC389" w14:textId="77777777" w:rsidR="004D45F1" w:rsidRDefault="004D45F1">
            <w:pPr>
              <w:jc w:val="center"/>
              <w:rPr>
                <w:noProof/>
                <w:color w:val="000000"/>
                <w:sz w:val="16"/>
                <w:szCs w:val="16"/>
              </w:rPr>
            </w:pPr>
            <w:r>
              <w:rPr>
                <w:noProof/>
                <w:color w:val="000000"/>
                <w:sz w:val="16"/>
                <w:szCs w:val="16"/>
              </w:rPr>
              <w:t>18</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27A61458" w14:textId="77777777" w:rsidR="004D45F1" w:rsidRDefault="004D45F1">
            <w:pPr>
              <w:jc w:val="center"/>
              <w:rPr>
                <w:noProof/>
                <w:color w:val="000000"/>
                <w:sz w:val="16"/>
                <w:szCs w:val="16"/>
              </w:rPr>
            </w:pPr>
            <w:r>
              <w:rPr>
                <w:noProof/>
                <w:color w:val="000000"/>
                <w:sz w:val="16"/>
                <w:szCs w:val="16"/>
              </w:rPr>
              <w:t>18</w:t>
            </w:r>
          </w:p>
        </w:tc>
      </w:tr>
      <w:tr w:rsidR="004D45F1" w14:paraId="1EBC1858"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noWrap/>
          </w:tcPr>
          <w:p w14:paraId="7A65F846" w14:textId="77777777" w:rsidR="004D45F1" w:rsidRDefault="004D45F1">
            <w:pPr>
              <w:rPr>
                <w:noProof/>
                <w:color w:val="000000"/>
                <w:sz w:val="16"/>
                <w:szCs w:val="16"/>
              </w:rPr>
            </w:pPr>
          </w:p>
        </w:tc>
        <w:tc>
          <w:tcPr>
            <w:tcW w:w="1253" w:type="dxa"/>
            <w:tcBorders>
              <w:top w:val="nil"/>
              <w:bottom w:val="single" w:sz="4" w:space="0" w:color="auto"/>
            </w:tcBorders>
            <w:shd w:val="clear" w:color="auto" w:fill="FDE9D9" w:themeFill="accent6" w:themeFillTint="33"/>
            <w:noWrap/>
            <w:hideMark/>
          </w:tcPr>
          <w:p w14:paraId="34F29482" w14:textId="77777777" w:rsidR="004D45F1" w:rsidRDefault="004D45F1">
            <w:pPr>
              <w:rPr>
                <w:noProof/>
                <w:color w:val="000000"/>
                <w:sz w:val="16"/>
                <w:szCs w:val="16"/>
              </w:rPr>
            </w:pPr>
            <w:r>
              <w:rPr>
                <w:noProof/>
                <w:color w:val="000000"/>
                <w:sz w:val="16"/>
                <w:szCs w:val="16"/>
              </w:rPr>
              <w:t>Emissions (tCO2e)</w:t>
            </w:r>
          </w:p>
        </w:tc>
        <w:tc>
          <w:tcPr>
            <w:tcW w:w="885" w:type="dxa"/>
            <w:tcBorders>
              <w:top w:val="nil"/>
              <w:bottom w:val="single" w:sz="4" w:space="0" w:color="auto"/>
            </w:tcBorders>
            <w:shd w:val="clear" w:color="auto" w:fill="FDE9D9" w:themeFill="accent6" w:themeFillTint="33"/>
            <w:noWrap/>
            <w:hideMark/>
          </w:tcPr>
          <w:p w14:paraId="59381B76" w14:textId="77777777" w:rsidR="004D45F1" w:rsidRDefault="004D45F1">
            <w:pPr>
              <w:jc w:val="center"/>
              <w:rPr>
                <w:noProof/>
                <w:color w:val="000000"/>
                <w:sz w:val="16"/>
                <w:szCs w:val="16"/>
              </w:rPr>
            </w:pPr>
            <w:r>
              <w:rPr>
                <w:noProof/>
                <w:sz w:val="16"/>
                <w:szCs w:val="16"/>
              </w:rPr>
              <w:t>11,248</w:t>
            </w:r>
          </w:p>
        </w:tc>
        <w:tc>
          <w:tcPr>
            <w:tcW w:w="886" w:type="dxa"/>
            <w:tcBorders>
              <w:top w:val="nil"/>
              <w:bottom w:val="single" w:sz="4" w:space="0" w:color="auto"/>
            </w:tcBorders>
            <w:shd w:val="clear" w:color="auto" w:fill="FDE9D9" w:themeFill="accent6" w:themeFillTint="33"/>
            <w:noWrap/>
            <w:hideMark/>
          </w:tcPr>
          <w:p w14:paraId="58826EB5" w14:textId="77777777" w:rsidR="004D45F1" w:rsidRDefault="004D45F1">
            <w:pPr>
              <w:jc w:val="center"/>
              <w:rPr>
                <w:noProof/>
                <w:color w:val="000000"/>
                <w:sz w:val="16"/>
                <w:szCs w:val="16"/>
              </w:rPr>
            </w:pPr>
            <w:r>
              <w:rPr>
                <w:noProof/>
                <w:sz w:val="16"/>
                <w:szCs w:val="16"/>
              </w:rPr>
              <w:t>11,043</w:t>
            </w:r>
          </w:p>
        </w:tc>
        <w:tc>
          <w:tcPr>
            <w:tcW w:w="885" w:type="dxa"/>
            <w:tcBorders>
              <w:top w:val="nil"/>
              <w:bottom w:val="single" w:sz="4" w:space="0" w:color="auto"/>
            </w:tcBorders>
            <w:shd w:val="clear" w:color="auto" w:fill="FDE9D9" w:themeFill="accent6" w:themeFillTint="33"/>
            <w:noWrap/>
            <w:hideMark/>
          </w:tcPr>
          <w:p w14:paraId="1EDE04BA" w14:textId="77777777" w:rsidR="004D45F1" w:rsidRDefault="004D45F1">
            <w:pPr>
              <w:jc w:val="center"/>
              <w:rPr>
                <w:noProof/>
                <w:color w:val="000000"/>
                <w:sz w:val="16"/>
                <w:szCs w:val="16"/>
              </w:rPr>
            </w:pPr>
            <w:r>
              <w:rPr>
                <w:noProof/>
                <w:sz w:val="16"/>
                <w:szCs w:val="16"/>
              </w:rPr>
              <w:t>10,842</w:t>
            </w:r>
          </w:p>
        </w:tc>
        <w:tc>
          <w:tcPr>
            <w:tcW w:w="886" w:type="dxa"/>
            <w:tcBorders>
              <w:top w:val="nil"/>
              <w:bottom w:val="single" w:sz="4" w:space="0" w:color="auto"/>
            </w:tcBorders>
            <w:shd w:val="clear" w:color="auto" w:fill="FDE9D9" w:themeFill="accent6" w:themeFillTint="33"/>
            <w:noWrap/>
            <w:hideMark/>
          </w:tcPr>
          <w:p w14:paraId="4668076C" w14:textId="77777777" w:rsidR="004D45F1" w:rsidRDefault="004D45F1">
            <w:pPr>
              <w:jc w:val="center"/>
              <w:rPr>
                <w:noProof/>
                <w:color w:val="000000"/>
                <w:sz w:val="16"/>
                <w:szCs w:val="16"/>
              </w:rPr>
            </w:pPr>
            <w:r>
              <w:rPr>
                <w:noProof/>
                <w:sz w:val="16"/>
                <w:szCs w:val="16"/>
              </w:rPr>
              <w:t>10,645</w:t>
            </w:r>
          </w:p>
        </w:tc>
        <w:tc>
          <w:tcPr>
            <w:tcW w:w="885" w:type="dxa"/>
            <w:tcBorders>
              <w:top w:val="nil"/>
              <w:bottom w:val="single" w:sz="4" w:space="0" w:color="auto"/>
            </w:tcBorders>
            <w:shd w:val="clear" w:color="auto" w:fill="FDE9D9" w:themeFill="accent6" w:themeFillTint="33"/>
            <w:noWrap/>
            <w:hideMark/>
          </w:tcPr>
          <w:p w14:paraId="1FF18863" w14:textId="77777777" w:rsidR="004D45F1" w:rsidRDefault="004D45F1">
            <w:pPr>
              <w:jc w:val="center"/>
              <w:rPr>
                <w:noProof/>
                <w:color w:val="000000"/>
                <w:sz w:val="16"/>
                <w:szCs w:val="16"/>
              </w:rPr>
            </w:pPr>
            <w:r>
              <w:rPr>
                <w:noProof/>
                <w:sz w:val="16"/>
                <w:szCs w:val="16"/>
              </w:rPr>
              <w:t>10,452</w:t>
            </w:r>
          </w:p>
        </w:tc>
        <w:tc>
          <w:tcPr>
            <w:tcW w:w="886" w:type="dxa"/>
            <w:tcBorders>
              <w:top w:val="nil"/>
              <w:bottom w:val="single" w:sz="4" w:space="0" w:color="auto"/>
            </w:tcBorders>
            <w:shd w:val="clear" w:color="auto" w:fill="FDE9D9" w:themeFill="accent6" w:themeFillTint="33"/>
            <w:noWrap/>
            <w:hideMark/>
          </w:tcPr>
          <w:p w14:paraId="100A02C1" w14:textId="77777777" w:rsidR="004D45F1" w:rsidRDefault="004D45F1">
            <w:pPr>
              <w:jc w:val="center"/>
              <w:rPr>
                <w:noProof/>
                <w:color w:val="000000"/>
                <w:sz w:val="16"/>
                <w:szCs w:val="16"/>
              </w:rPr>
            </w:pPr>
            <w:r>
              <w:rPr>
                <w:noProof/>
                <w:sz w:val="16"/>
                <w:szCs w:val="16"/>
              </w:rPr>
              <w:t>10,261</w:t>
            </w:r>
          </w:p>
        </w:tc>
        <w:tc>
          <w:tcPr>
            <w:tcW w:w="886" w:type="dxa"/>
            <w:tcBorders>
              <w:top w:val="nil"/>
              <w:bottom w:val="single" w:sz="4" w:space="0" w:color="auto"/>
              <w:right w:val="single" w:sz="4" w:space="0" w:color="0055A0"/>
            </w:tcBorders>
            <w:shd w:val="clear" w:color="auto" w:fill="FDE9D9" w:themeFill="accent6" w:themeFillTint="33"/>
            <w:noWrap/>
            <w:hideMark/>
          </w:tcPr>
          <w:p w14:paraId="6B184FD9" w14:textId="77777777" w:rsidR="004D45F1" w:rsidRDefault="004D45F1">
            <w:pPr>
              <w:jc w:val="center"/>
              <w:rPr>
                <w:noProof/>
                <w:color w:val="000000"/>
                <w:sz w:val="16"/>
                <w:szCs w:val="16"/>
              </w:rPr>
            </w:pPr>
            <w:r>
              <w:rPr>
                <w:noProof/>
                <w:sz w:val="16"/>
                <w:szCs w:val="16"/>
              </w:rPr>
              <w:t>10,075</w:t>
            </w:r>
          </w:p>
        </w:tc>
      </w:tr>
      <w:tr w:rsidR="004D45F1" w14:paraId="12F9383B" w14:textId="77777777" w:rsidTr="004D45F1">
        <w:trPr>
          <w:cnfStyle w:val="000000100000" w:firstRow="0" w:lastRow="0" w:firstColumn="0" w:lastColumn="0" w:oddVBand="0" w:evenVBand="0" w:oddHBand="1" w:evenHBand="0" w:firstRowFirstColumn="0" w:firstRowLastColumn="0" w:lastRowFirstColumn="0" w:lastRowLastColumn="0"/>
          <w:trHeight w:val="514"/>
        </w:trPr>
        <w:tc>
          <w:tcPr>
            <w:tcW w:w="1555" w:type="dxa"/>
            <w:vMerge w:val="restart"/>
            <w:tcBorders>
              <w:top w:val="single" w:sz="4" w:space="0" w:color="auto"/>
              <w:left w:val="single" w:sz="4" w:space="0" w:color="0055A0"/>
              <w:bottom w:val="nil"/>
              <w:right w:val="single" w:sz="4" w:space="0" w:color="0055A0"/>
            </w:tcBorders>
            <w:shd w:val="clear" w:color="auto" w:fill="DAEEF3" w:themeFill="accent5" w:themeFillTint="33"/>
            <w:noWrap/>
            <w:hideMark/>
          </w:tcPr>
          <w:p w14:paraId="30FE99A6" w14:textId="77777777" w:rsidR="004D45F1" w:rsidRDefault="004D45F1">
            <w:pPr>
              <w:rPr>
                <w:noProof/>
                <w:color w:val="000000"/>
                <w:sz w:val="16"/>
                <w:szCs w:val="16"/>
              </w:rPr>
            </w:pPr>
            <w:r>
              <w:rPr>
                <w:noProof/>
                <w:color w:val="000000"/>
                <w:sz w:val="16"/>
                <w:szCs w:val="16"/>
              </w:rPr>
              <w:t>Annex I feedstocks with potential identified alternatives</w:t>
            </w:r>
            <w:r>
              <w:rPr>
                <w:rStyle w:val="FootnoteReference"/>
                <w:noProof/>
                <w:color w:val="000000"/>
                <w:sz w:val="16"/>
                <w:szCs w:val="16"/>
              </w:rPr>
              <w:footnoteReference w:id="107"/>
            </w:r>
          </w:p>
        </w:tc>
        <w:tc>
          <w:tcPr>
            <w:tcW w:w="1253"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32593931" w14:textId="77777777" w:rsidR="004D45F1" w:rsidRDefault="004D45F1">
            <w:pPr>
              <w:rPr>
                <w:noProof/>
                <w:color w:val="000000"/>
                <w:sz w:val="16"/>
                <w:szCs w:val="16"/>
              </w:rPr>
            </w:pPr>
            <w:r>
              <w:rPr>
                <w:noProof/>
                <w:color w:val="000000"/>
                <w:sz w:val="16"/>
                <w:szCs w:val="16"/>
              </w:rPr>
              <w:t>Stock</w:t>
            </w: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23F3D602" w14:textId="77777777" w:rsidR="004D45F1" w:rsidRDefault="004D45F1">
            <w:pPr>
              <w:jc w:val="center"/>
              <w:rPr>
                <w:noProof/>
                <w:sz w:val="16"/>
                <w:szCs w:val="16"/>
              </w:rPr>
            </w:pPr>
            <w:r>
              <w:rPr>
                <w:noProof/>
                <w:color w:val="000000"/>
                <w:sz w:val="16"/>
                <w:szCs w:val="16"/>
              </w:rPr>
              <w:t>14,612</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5C65CFF5" w14:textId="77777777" w:rsidR="004D45F1" w:rsidRDefault="004D45F1">
            <w:pPr>
              <w:jc w:val="center"/>
              <w:rPr>
                <w:noProof/>
                <w:sz w:val="16"/>
                <w:szCs w:val="16"/>
              </w:rPr>
            </w:pPr>
            <w:r>
              <w:rPr>
                <w:noProof/>
                <w:color w:val="000000"/>
                <w:sz w:val="16"/>
                <w:szCs w:val="16"/>
              </w:rPr>
              <w:t>13,981</w:t>
            </w: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48E7E3E9" w14:textId="77777777" w:rsidR="004D45F1" w:rsidRDefault="004D45F1">
            <w:pPr>
              <w:jc w:val="center"/>
              <w:rPr>
                <w:noProof/>
                <w:sz w:val="16"/>
                <w:szCs w:val="16"/>
              </w:rPr>
            </w:pPr>
            <w:r>
              <w:rPr>
                <w:noProof/>
                <w:color w:val="000000"/>
                <w:sz w:val="16"/>
                <w:szCs w:val="16"/>
              </w:rPr>
              <w:t>13,378</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031F4FCB" w14:textId="77777777" w:rsidR="004D45F1" w:rsidRDefault="004D45F1">
            <w:pPr>
              <w:jc w:val="center"/>
              <w:rPr>
                <w:noProof/>
                <w:sz w:val="16"/>
                <w:szCs w:val="16"/>
              </w:rPr>
            </w:pPr>
            <w:r>
              <w:rPr>
                <w:noProof/>
                <w:color w:val="000000"/>
                <w:sz w:val="16"/>
                <w:szCs w:val="16"/>
              </w:rPr>
              <w:t>12,801</w:t>
            </w: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6344D2AB" w14:textId="77777777" w:rsidR="004D45F1" w:rsidRDefault="004D45F1">
            <w:pPr>
              <w:jc w:val="center"/>
              <w:rPr>
                <w:noProof/>
                <w:sz w:val="16"/>
                <w:szCs w:val="16"/>
              </w:rPr>
            </w:pPr>
            <w:r>
              <w:rPr>
                <w:noProof/>
                <w:color w:val="000000"/>
                <w:sz w:val="16"/>
                <w:szCs w:val="16"/>
              </w:rPr>
              <w:t>12,248</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6252E59A" w14:textId="77777777" w:rsidR="004D45F1" w:rsidRDefault="004D45F1">
            <w:pPr>
              <w:jc w:val="center"/>
              <w:rPr>
                <w:noProof/>
                <w:sz w:val="16"/>
                <w:szCs w:val="16"/>
              </w:rPr>
            </w:pPr>
            <w:r>
              <w:rPr>
                <w:noProof/>
                <w:color w:val="000000"/>
                <w:sz w:val="16"/>
                <w:szCs w:val="16"/>
              </w:rPr>
              <w:t>11,720</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213F42FA" w14:textId="77777777" w:rsidR="004D45F1" w:rsidRDefault="004D45F1">
            <w:pPr>
              <w:jc w:val="center"/>
              <w:rPr>
                <w:noProof/>
                <w:sz w:val="16"/>
                <w:szCs w:val="16"/>
              </w:rPr>
            </w:pPr>
            <w:r>
              <w:rPr>
                <w:noProof/>
                <w:color w:val="000000"/>
                <w:sz w:val="16"/>
                <w:szCs w:val="16"/>
              </w:rPr>
              <w:t>11,214</w:t>
            </w:r>
          </w:p>
        </w:tc>
      </w:tr>
      <w:tr w:rsidR="00124EE6" w14:paraId="09D17AA5"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nil"/>
            </w:tcBorders>
            <w:hideMark/>
          </w:tcPr>
          <w:p w14:paraId="7DEEE6E1" w14:textId="77777777" w:rsidR="004D45F1" w:rsidRDefault="004D45F1">
            <w:pPr>
              <w:spacing w:before="0"/>
              <w:rPr>
                <w:noProof/>
                <w:color w:val="000000"/>
                <w:sz w:val="16"/>
                <w:szCs w:val="16"/>
              </w:rPr>
            </w:pPr>
          </w:p>
        </w:tc>
        <w:tc>
          <w:tcPr>
            <w:tcW w:w="1253" w:type="dxa"/>
            <w:tcBorders>
              <w:top w:val="nil"/>
              <w:bottom w:val="nil"/>
            </w:tcBorders>
            <w:shd w:val="clear" w:color="auto" w:fill="B8CCE4" w:themeFill="accent1" w:themeFillTint="66"/>
            <w:noWrap/>
            <w:hideMark/>
          </w:tcPr>
          <w:p w14:paraId="511C2F76" w14:textId="77777777" w:rsidR="004D45F1" w:rsidRDefault="004D45F1">
            <w:pPr>
              <w:rPr>
                <w:noProof/>
                <w:color w:val="000000"/>
                <w:sz w:val="16"/>
                <w:szCs w:val="16"/>
              </w:rPr>
            </w:pPr>
            <w:r>
              <w:rPr>
                <w:noProof/>
                <w:color w:val="000000"/>
                <w:sz w:val="16"/>
                <w:szCs w:val="16"/>
              </w:rPr>
              <w:t>Emissions</w:t>
            </w:r>
          </w:p>
        </w:tc>
        <w:tc>
          <w:tcPr>
            <w:tcW w:w="885" w:type="dxa"/>
            <w:tcBorders>
              <w:top w:val="nil"/>
              <w:bottom w:val="nil"/>
            </w:tcBorders>
            <w:shd w:val="clear" w:color="auto" w:fill="B8CCE4" w:themeFill="accent1" w:themeFillTint="66"/>
            <w:noWrap/>
            <w:hideMark/>
          </w:tcPr>
          <w:p w14:paraId="4155A718" w14:textId="77777777" w:rsidR="004D45F1" w:rsidRDefault="004D45F1">
            <w:pPr>
              <w:jc w:val="center"/>
              <w:rPr>
                <w:noProof/>
                <w:sz w:val="16"/>
                <w:szCs w:val="16"/>
              </w:rPr>
            </w:pPr>
            <w:r>
              <w:rPr>
                <w:noProof/>
                <w:color w:val="000000"/>
                <w:sz w:val="16"/>
                <w:szCs w:val="16"/>
              </w:rPr>
              <w:t>0.56</w:t>
            </w:r>
          </w:p>
        </w:tc>
        <w:tc>
          <w:tcPr>
            <w:tcW w:w="886" w:type="dxa"/>
            <w:tcBorders>
              <w:top w:val="nil"/>
              <w:bottom w:val="nil"/>
            </w:tcBorders>
            <w:shd w:val="clear" w:color="auto" w:fill="B8CCE4" w:themeFill="accent1" w:themeFillTint="66"/>
            <w:noWrap/>
            <w:hideMark/>
          </w:tcPr>
          <w:p w14:paraId="0DF82CC6" w14:textId="77777777" w:rsidR="004D45F1" w:rsidRDefault="004D45F1">
            <w:pPr>
              <w:jc w:val="center"/>
              <w:rPr>
                <w:noProof/>
                <w:sz w:val="16"/>
                <w:szCs w:val="16"/>
              </w:rPr>
            </w:pPr>
            <w:r>
              <w:rPr>
                <w:noProof/>
                <w:color w:val="000000"/>
                <w:sz w:val="16"/>
                <w:szCs w:val="16"/>
              </w:rPr>
              <w:t>0.53</w:t>
            </w:r>
          </w:p>
        </w:tc>
        <w:tc>
          <w:tcPr>
            <w:tcW w:w="885" w:type="dxa"/>
            <w:tcBorders>
              <w:top w:val="nil"/>
              <w:bottom w:val="nil"/>
            </w:tcBorders>
            <w:shd w:val="clear" w:color="auto" w:fill="B8CCE4" w:themeFill="accent1" w:themeFillTint="66"/>
            <w:noWrap/>
            <w:hideMark/>
          </w:tcPr>
          <w:p w14:paraId="04DA4E5F" w14:textId="77777777" w:rsidR="004D45F1" w:rsidRDefault="004D45F1">
            <w:pPr>
              <w:jc w:val="center"/>
              <w:rPr>
                <w:noProof/>
                <w:sz w:val="16"/>
                <w:szCs w:val="16"/>
              </w:rPr>
            </w:pPr>
            <w:r>
              <w:rPr>
                <w:noProof/>
                <w:color w:val="000000"/>
                <w:sz w:val="16"/>
                <w:szCs w:val="16"/>
              </w:rPr>
              <w:t>0.49</w:t>
            </w:r>
          </w:p>
        </w:tc>
        <w:tc>
          <w:tcPr>
            <w:tcW w:w="886" w:type="dxa"/>
            <w:tcBorders>
              <w:top w:val="nil"/>
              <w:bottom w:val="nil"/>
            </w:tcBorders>
            <w:shd w:val="clear" w:color="auto" w:fill="B8CCE4" w:themeFill="accent1" w:themeFillTint="66"/>
            <w:noWrap/>
            <w:hideMark/>
          </w:tcPr>
          <w:p w14:paraId="45FD4CF5" w14:textId="77777777" w:rsidR="004D45F1" w:rsidRDefault="004D45F1">
            <w:pPr>
              <w:jc w:val="center"/>
              <w:rPr>
                <w:noProof/>
                <w:sz w:val="16"/>
                <w:szCs w:val="16"/>
              </w:rPr>
            </w:pPr>
            <w:r>
              <w:rPr>
                <w:noProof/>
                <w:color w:val="000000"/>
                <w:sz w:val="16"/>
                <w:szCs w:val="16"/>
              </w:rPr>
              <w:t>0.46</w:t>
            </w:r>
          </w:p>
        </w:tc>
        <w:tc>
          <w:tcPr>
            <w:tcW w:w="885" w:type="dxa"/>
            <w:tcBorders>
              <w:top w:val="nil"/>
              <w:bottom w:val="nil"/>
            </w:tcBorders>
            <w:shd w:val="clear" w:color="auto" w:fill="B8CCE4" w:themeFill="accent1" w:themeFillTint="66"/>
            <w:noWrap/>
            <w:hideMark/>
          </w:tcPr>
          <w:p w14:paraId="217E208F" w14:textId="77777777" w:rsidR="004D45F1" w:rsidRDefault="004D45F1">
            <w:pPr>
              <w:jc w:val="center"/>
              <w:rPr>
                <w:noProof/>
                <w:sz w:val="16"/>
                <w:szCs w:val="16"/>
              </w:rPr>
            </w:pPr>
            <w:r>
              <w:rPr>
                <w:noProof/>
                <w:color w:val="000000"/>
                <w:sz w:val="16"/>
                <w:szCs w:val="16"/>
              </w:rPr>
              <w:t>0.44</w:t>
            </w:r>
          </w:p>
        </w:tc>
        <w:tc>
          <w:tcPr>
            <w:tcW w:w="886" w:type="dxa"/>
            <w:tcBorders>
              <w:top w:val="nil"/>
              <w:bottom w:val="nil"/>
            </w:tcBorders>
            <w:shd w:val="clear" w:color="auto" w:fill="B8CCE4" w:themeFill="accent1" w:themeFillTint="66"/>
            <w:noWrap/>
            <w:hideMark/>
          </w:tcPr>
          <w:p w14:paraId="7EB3C159" w14:textId="77777777" w:rsidR="004D45F1" w:rsidRDefault="004D45F1">
            <w:pPr>
              <w:jc w:val="center"/>
              <w:rPr>
                <w:noProof/>
                <w:sz w:val="16"/>
                <w:szCs w:val="16"/>
              </w:rPr>
            </w:pPr>
            <w:r>
              <w:rPr>
                <w:noProof/>
                <w:color w:val="000000"/>
                <w:sz w:val="16"/>
                <w:szCs w:val="16"/>
              </w:rPr>
              <w:t>0.41</w:t>
            </w:r>
          </w:p>
        </w:tc>
        <w:tc>
          <w:tcPr>
            <w:tcW w:w="886" w:type="dxa"/>
            <w:tcBorders>
              <w:top w:val="nil"/>
              <w:bottom w:val="nil"/>
              <w:right w:val="single" w:sz="4" w:space="0" w:color="0055A0"/>
            </w:tcBorders>
            <w:shd w:val="clear" w:color="auto" w:fill="B8CCE4" w:themeFill="accent1" w:themeFillTint="66"/>
            <w:noWrap/>
            <w:hideMark/>
          </w:tcPr>
          <w:p w14:paraId="510D6466" w14:textId="77777777" w:rsidR="004D45F1" w:rsidRDefault="004D45F1">
            <w:pPr>
              <w:jc w:val="center"/>
              <w:rPr>
                <w:noProof/>
                <w:sz w:val="16"/>
                <w:szCs w:val="16"/>
              </w:rPr>
            </w:pPr>
            <w:r>
              <w:rPr>
                <w:noProof/>
                <w:color w:val="000000"/>
                <w:sz w:val="16"/>
                <w:szCs w:val="16"/>
              </w:rPr>
              <w:t>0.38</w:t>
            </w:r>
          </w:p>
        </w:tc>
      </w:tr>
      <w:tr w:rsidR="004D45F1" w14:paraId="2A67D012"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tcBorders>
              <w:top w:val="nil"/>
              <w:left w:val="single" w:sz="4" w:space="0" w:color="0055A0"/>
              <w:bottom w:val="single" w:sz="4" w:space="0" w:color="auto"/>
              <w:right w:val="single" w:sz="4" w:space="0" w:color="0055A0"/>
            </w:tcBorders>
            <w:shd w:val="clear" w:color="auto" w:fill="DAEEF3" w:themeFill="accent5" w:themeFillTint="33"/>
            <w:noWrap/>
          </w:tcPr>
          <w:p w14:paraId="445ABA66" w14:textId="77777777" w:rsidR="004D45F1" w:rsidRDefault="004D45F1">
            <w:pPr>
              <w:rPr>
                <w:noProof/>
                <w:color w:val="000000"/>
                <w:sz w:val="16"/>
                <w:szCs w:val="16"/>
              </w:rPr>
            </w:pPr>
          </w:p>
        </w:tc>
        <w:tc>
          <w:tcPr>
            <w:tcW w:w="1253"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67ADA635" w14:textId="77777777" w:rsidR="004D45F1" w:rsidRDefault="004D45F1">
            <w:pPr>
              <w:rPr>
                <w:noProof/>
                <w:color w:val="000000"/>
                <w:sz w:val="16"/>
                <w:szCs w:val="16"/>
              </w:rPr>
            </w:pPr>
            <w:r>
              <w:rPr>
                <w:noProof/>
                <w:color w:val="000000"/>
                <w:sz w:val="16"/>
                <w:szCs w:val="16"/>
              </w:rPr>
              <w:t>Emissions (tCO2e)</w:t>
            </w: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0BCE2037" w14:textId="77777777" w:rsidR="004D45F1" w:rsidRDefault="004D45F1">
            <w:pPr>
              <w:jc w:val="center"/>
              <w:rPr>
                <w:noProof/>
                <w:color w:val="000000"/>
                <w:sz w:val="16"/>
                <w:szCs w:val="16"/>
              </w:rPr>
            </w:pPr>
            <w:r>
              <w:rPr>
                <w:noProof/>
                <w:sz w:val="16"/>
                <w:szCs w:val="16"/>
              </w:rPr>
              <w:t xml:space="preserve">9,638.00 </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7DB6931A" w14:textId="77777777" w:rsidR="004D45F1" w:rsidRDefault="004D45F1">
            <w:pPr>
              <w:jc w:val="center"/>
              <w:rPr>
                <w:noProof/>
                <w:color w:val="000000"/>
                <w:sz w:val="16"/>
                <w:szCs w:val="16"/>
              </w:rPr>
            </w:pPr>
            <w:r>
              <w:rPr>
                <w:noProof/>
                <w:sz w:val="16"/>
                <w:szCs w:val="16"/>
              </w:rPr>
              <w:t xml:space="preserve">9,054.33 </w:t>
            </w: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60364454" w14:textId="77777777" w:rsidR="004D45F1" w:rsidRDefault="004D45F1">
            <w:pPr>
              <w:jc w:val="center"/>
              <w:rPr>
                <w:noProof/>
                <w:color w:val="000000"/>
                <w:sz w:val="16"/>
                <w:szCs w:val="16"/>
              </w:rPr>
            </w:pPr>
            <w:r>
              <w:rPr>
                <w:noProof/>
                <w:sz w:val="16"/>
                <w:szCs w:val="16"/>
              </w:rPr>
              <w:t xml:space="preserve">8,506.00 </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1CE83C56" w14:textId="77777777" w:rsidR="004D45F1" w:rsidRDefault="004D45F1">
            <w:pPr>
              <w:jc w:val="center"/>
              <w:rPr>
                <w:noProof/>
                <w:color w:val="000000"/>
                <w:sz w:val="16"/>
                <w:szCs w:val="16"/>
              </w:rPr>
            </w:pPr>
            <w:r>
              <w:rPr>
                <w:noProof/>
                <w:sz w:val="16"/>
                <w:szCs w:val="16"/>
              </w:rPr>
              <w:t xml:space="preserve">7,990.88 </w:t>
            </w: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145F5F59" w14:textId="77777777" w:rsidR="004D45F1" w:rsidRDefault="004D45F1">
            <w:pPr>
              <w:jc w:val="center"/>
              <w:rPr>
                <w:noProof/>
                <w:color w:val="000000"/>
                <w:sz w:val="16"/>
                <w:szCs w:val="16"/>
              </w:rPr>
            </w:pPr>
            <w:r>
              <w:rPr>
                <w:noProof/>
                <w:sz w:val="16"/>
                <w:szCs w:val="16"/>
              </w:rPr>
              <w:t xml:space="preserve">7,506.96 </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29D9A456" w14:textId="77777777" w:rsidR="004D45F1" w:rsidRDefault="004D45F1">
            <w:pPr>
              <w:jc w:val="center"/>
              <w:rPr>
                <w:noProof/>
                <w:color w:val="000000"/>
                <w:sz w:val="16"/>
                <w:szCs w:val="16"/>
              </w:rPr>
            </w:pPr>
            <w:r>
              <w:rPr>
                <w:noProof/>
                <w:sz w:val="16"/>
                <w:szCs w:val="16"/>
              </w:rPr>
              <w:t xml:space="preserve">7,052.34 </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1D824A44" w14:textId="77777777" w:rsidR="004D45F1" w:rsidRDefault="004D45F1">
            <w:pPr>
              <w:jc w:val="center"/>
              <w:rPr>
                <w:noProof/>
                <w:color w:val="000000"/>
                <w:sz w:val="16"/>
                <w:szCs w:val="16"/>
              </w:rPr>
            </w:pPr>
            <w:r>
              <w:rPr>
                <w:noProof/>
                <w:sz w:val="16"/>
                <w:szCs w:val="16"/>
              </w:rPr>
              <w:t xml:space="preserve">6,625.26 </w:t>
            </w:r>
          </w:p>
        </w:tc>
      </w:tr>
      <w:tr w:rsidR="004D45F1" w14:paraId="57C36FEB"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val="restart"/>
            <w:tcBorders>
              <w:top w:val="single" w:sz="4" w:space="0" w:color="auto"/>
              <w:left w:val="single" w:sz="4" w:space="0" w:color="0055A0"/>
              <w:bottom w:val="nil"/>
            </w:tcBorders>
            <w:noWrap/>
            <w:hideMark/>
          </w:tcPr>
          <w:p w14:paraId="6BA6134F" w14:textId="77777777" w:rsidR="004D45F1" w:rsidRDefault="004D45F1">
            <w:pPr>
              <w:rPr>
                <w:noProof/>
                <w:color w:val="000000"/>
                <w:sz w:val="16"/>
                <w:szCs w:val="16"/>
              </w:rPr>
            </w:pPr>
            <w:r>
              <w:rPr>
                <w:noProof/>
                <w:color w:val="000000"/>
                <w:sz w:val="16"/>
                <w:szCs w:val="16"/>
              </w:rPr>
              <w:t>Process agent use</w:t>
            </w:r>
          </w:p>
        </w:tc>
        <w:tc>
          <w:tcPr>
            <w:tcW w:w="1253" w:type="dxa"/>
            <w:tcBorders>
              <w:top w:val="single" w:sz="4" w:space="0" w:color="auto"/>
              <w:bottom w:val="nil"/>
            </w:tcBorders>
            <w:noWrap/>
            <w:hideMark/>
          </w:tcPr>
          <w:p w14:paraId="5D3FB68F" w14:textId="77777777" w:rsidR="004D45F1" w:rsidRDefault="004D45F1">
            <w:pPr>
              <w:rPr>
                <w:noProof/>
                <w:color w:val="000000"/>
                <w:sz w:val="16"/>
                <w:szCs w:val="16"/>
              </w:rPr>
            </w:pPr>
            <w:r>
              <w:rPr>
                <w:noProof/>
                <w:color w:val="000000"/>
                <w:sz w:val="16"/>
                <w:szCs w:val="16"/>
              </w:rPr>
              <w:t>Stock</w:t>
            </w:r>
          </w:p>
        </w:tc>
        <w:tc>
          <w:tcPr>
            <w:tcW w:w="885" w:type="dxa"/>
            <w:tcBorders>
              <w:top w:val="single" w:sz="4" w:space="0" w:color="auto"/>
              <w:bottom w:val="nil"/>
            </w:tcBorders>
            <w:noWrap/>
            <w:hideMark/>
          </w:tcPr>
          <w:p w14:paraId="704B6556" w14:textId="77777777" w:rsidR="004D45F1" w:rsidRDefault="004D45F1">
            <w:pPr>
              <w:jc w:val="center"/>
              <w:rPr>
                <w:noProof/>
                <w:color w:val="000000" w:themeColor="text1"/>
                <w:sz w:val="16"/>
                <w:szCs w:val="16"/>
              </w:rPr>
            </w:pPr>
            <w:r>
              <w:rPr>
                <w:noProof/>
                <w:color w:val="000000"/>
                <w:sz w:val="16"/>
                <w:szCs w:val="16"/>
              </w:rPr>
              <w:t>283</w:t>
            </w:r>
          </w:p>
        </w:tc>
        <w:tc>
          <w:tcPr>
            <w:tcW w:w="886" w:type="dxa"/>
            <w:tcBorders>
              <w:top w:val="single" w:sz="4" w:space="0" w:color="auto"/>
              <w:bottom w:val="nil"/>
            </w:tcBorders>
            <w:noWrap/>
            <w:hideMark/>
          </w:tcPr>
          <w:p w14:paraId="177B88D5" w14:textId="77777777" w:rsidR="004D45F1" w:rsidRDefault="004D45F1">
            <w:pPr>
              <w:jc w:val="center"/>
              <w:rPr>
                <w:noProof/>
                <w:color w:val="000000" w:themeColor="text1"/>
                <w:sz w:val="16"/>
                <w:szCs w:val="16"/>
              </w:rPr>
            </w:pPr>
            <w:r>
              <w:rPr>
                <w:noProof/>
                <w:color w:val="000000"/>
                <w:sz w:val="16"/>
                <w:szCs w:val="16"/>
              </w:rPr>
              <w:t>220</w:t>
            </w:r>
          </w:p>
        </w:tc>
        <w:tc>
          <w:tcPr>
            <w:tcW w:w="885" w:type="dxa"/>
            <w:tcBorders>
              <w:top w:val="single" w:sz="4" w:space="0" w:color="auto"/>
              <w:bottom w:val="nil"/>
            </w:tcBorders>
            <w:noWrap/>
            <w:hideMark/>
          </w:tcPr>
          <w:p w14:paraId="793D1F21" w14:textId="77777777" w:rsidR="004D45F1" w:rsidRDefault="004D45F1">
            <w:pPr>
              <w:jc w:val="center"/>
              <w:rPr>
                <w:noProof/>
                <w:color w:val="000000" w:themeColor="text1"/>
                <w:sz w:val="16"/>
                <w:szCs w:val="16"/>
              </w:rPr>
            </w:pPr>
            <w:r>
              <w:rPr>
                <w:noProof/>
                <w:color w:val="000000"/>
                <w:sz w:val="16"/>
                <w:szCs w:val="16"/>
              </w:rPr>
              <w:t>170</w:t>
            </w:r>
          </w:p>
        </w:tc>
        <w:tc>
          <w:tcPr>
            <w:tcW w:w="886" w:type="dxa"/>
            <w:tcBorders>
              <w:top w:val="single" w:sz="4" w:space="0" w:color="auto"/>
              <w:bottom w:val="nil"/>
            </w:tcBorders>
            <w:noWrap/>
            <w:hideMark/>
          </w:tcPr>
          <w:p w14:paraId="38E02754" w14:textId="77777777" w:rsidR="004D45F1" w:rsidRDefault="004D45F1">
            <w:pPr>
              <w:jc w:val="center"/>
              <w:rPr>
                <w:noProof/>
                <w:color w:val="000000" w:themeColor="text1"/>
                <w:sz w:val="16"/>
                <w:szCs w:val="16"/>
              </w:rPr>
            </w:pPr>
            <w:r>
              <w:rPr>
                <w:noProof/>
                <w:color w:val="000000"/>
                <w:sz w:val="16"/>
                <w:szCs w:val="16"/>
              </w:rPr>
              <w:t>132</w:t>
            </w:r>
          </w:p>
        </w:tc>
        <w:tc>
          <w:tcPr>
            <w:tcW w:w="885" w:type="dxa"/>
            <w:tcBorders>
              <w:top w:val="single" w:sz="4" w:space="0" w:color="auto"/>
              <w:bottom w:val="nil"/>
            </w:tcBorders>
            <w:noWrap/>
            <w:hideMark/>
          </w:tcPr>
          <w:p w14:paraId="0A51A28D" w14:textId="77777777" w:rsidR="004D45F1" w:rsidRDefault="004D45F1">
            <w:pPr>
              <w:jc w:val="center"/>
              <w:rPr>
                <w:noProof/>
                <w:color w:val="000000" w:themeColor="text1"/>
                <w:sz w:val="16"/>
                <w:szCs w:val="16"/>
              </w:rPr>
            </w:pPr>
            <w:r>
              <w:rPr>
                <w:noProof/>
                <w:color w:val="000000"/>
                <w:sz w:val="16"/>
                <w:szCs w:val="16"/>
              </w:rPr>
              <w:t>102</w:t>
            </w:r>
          </w:p>
        </w:tc>
        <w:tc>
          <w:tcPr>
            <w:tcW w:w="886" w:type="dxa"/>
            <w:tcBorders>
              <w:top w:val="single" w:sz="4" w:space="0" w:color="auto"/>
              <w:bottom w:val="nil"/>
            </w:tcBorders>
            <w:noWrap/>
            <w:hideMark/>
          </w:tcPr>
          <w:p w14:paraId="78D5B750" w14:textId="77777777" w:rsidR="004D45F1" w:rsidRDefault="004D45F1">
            <w:pPr>
              <w:jc w:val="center"/>
              <w:rPr>
                <w:noProof/>
                <w:color w:val="000000" w:themeColor="text1"/>
                <w:sz w:val="16"/>
                <w:szCs w:val="16"/>
              </w:rPr>
            </w:pPr>
            <w:r>
              <w:rPr>
                <w:noProof/>
                <w:color w:val="000000"/>
                <w:sz w:val="16"/>
                <w:szCs w:val="16"/>
              </w:rPr>
              <w:t>79</w:t>
            </w:r>
          </w:p>
        </w:tc>
        <w:tc>
          <w:tcPr>
            <w:tcW w:w="886" w:type="dxa"/>
            <w:tcBorders>
              <w:top w:val="single" w:sz="4" w:space="0" w:color="auto"/>
              <w:bottom w:val="nil"/>
              <w:right w:val="single" w:sz="4" w:space="0" w:color="0055A0"/>
            </w:tcBorders>
            <w:noWrap/>
            <w:hideMark/>
          </w:tcPr>
          <w:p w14:paraId="39E66BD4" w14:textId="77777777" w:rsidR="004D45F1" w:rsidRDefault="004D45F1">
            <w:pPr>
              <w:jc w:val="center"/>
              <w:rPr>
                <w:noProof/>
                <w:color w:val="000000" w:themeColor="text1"/>
                <w:sz w:val="16"/>
                <w:szCs w:val="16"/>
              </w:rPr>
            </w:pPr>
            <w:r>
              <w:rPr>
                <w:noProof/>
                <w:color w:val="000000"/>
                <w:sz w:val="16"/>
                <w:szCs w:val="16"/>
              </w:rPr>
              <w:t>61</w:t>
            </w:r>
          </w:p>
        </w:tc>
      </w:tr>
      <w:tr w:rsidR="004D45F1" w14:paraId="0311CC85"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nil"/>
              <w:right w:val="single" w:sz="4" w:space="0" w:color="0055A0"/>
            </w:tcBorders>
            <w:hideMark/>
          </w:tcPr>
          <w:p w14:paraId="7FA96448"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B8CCE4" w:themeFill="accent1" w:themeFillTint="66"/>
            <w:noWrap/>
            <w:hideMark/>
          </w:tcPr>
          <w:p w14:paraId="20791D29" w14:textId="77777777" w:rsidR="004D45F1" w:rsidRDefault="004D45F1">
            <w:pPr>
              <w:rPr>
                <w:noProof/>
                <w:color w:val="000000"/>
                <w:sz w:val="16"/>
                <w:szCs w:val="16"/>
              </w:rPr>
            </w:pPr>
            <w:r>
              <w:rPr>
                <w:noProof/>
                <w:color w:val="000000"/>
                <w:sz w:val="16"/>
                <w:szCs w:val="16"/>
              </w:rPr>
              <w:t>Emissions</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6160833C" w14:textId="77777777" w:rsidR="004D45F1" w:rsidRDefault="004D45F1">
            <w:pPr>
              <w:jc w:val="center"/>
              <w:rPr>
                <w:noProof/>
                <w:color w:val="000000" w:themeColor="text1"/>
                <w:sz w:val="16"/>
                <w:szCs w:val="16"/>
              </w:rPr>
            </w:pPr>
            <w:r>
              <w:rPr>
                <w:noProof/>
                <w:color w:val="000000"/>
                <w:sz w:val="16"/>
                <w:szCs w:val="16"/>
              </w:rPr>
              <w:t>4</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4E9790BA" w14:textId="77777777" w:rsidR="004D45F1" w:rsidRDefault="004D45F1">
            <w:pPr>
              <w:jc w:val="center"/>
              <w:rPr>
                <w:noProof/>
                <w:color w:val="000000" w:themeColor="text1"/>
                <w:sz w:val="16"/>
                <w:szCs w:val="16"/>
              </w:rPr>
            </w:pPr>
            <w:r>
              <w:rPr>
                <w:noProof/>
                <w:color w:val="000000"/>
                <w:sz w:val="16"/>
                <w:szCs w:val="16"/>
              </w:rPr>
              <w:t>3</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27981A0C" w14:textId="77777777" w:rsidR="004D45F1" w:rsidRDefault="004D45F1">
            <w:pPr>
              <w:jc w:val="center"/>
              <w:rPr>
                <w:noProof/>
                <w:color w:val="000000" w:themeColor="text1"/>
                <w:sz w:val="16"/>
                <w:szCs w:val="16"/>
              </w:rPr>
            </w:pPr>
            <w:r>
              <w:rPr>
                <w:noProof/>
                <w:color w:val="000000"/>
                <w:sz w:val="16"/>
                <w:szCs w:val="16"/>
              </w:rPr>
              <w:t>2</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112BF61C" w14:textId="77777777" w:rsidR="004D45F1" w:rsidRDefault="004D45F1">
            <w:pPr>
              <w:jc w:val="center"/>
              <w:rPr>
                <w:noProof/>
                <w:color w:val="000000" w:themeColor="text1"/>
                <w:sz w:val="16"/>
                <w:szCs w:val="16"/>
              </w:rPr>
            </w:pPr>
            <w:r>
              <w:rPr>
                <w:noProof/>
                <w:color w:val="000000"/>
                <w:sz w:val="16"/>
                <w:szCs w:val="16"/>
              </w:rPr>
              <w:t>2</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5E8D490A" w14:textId="77777777" w:rsidR="004D45F1" w:rsidRDefault="004D45F1">
            <w:pPr>
              <w:jc w:val="center"/>
              <w:rPr>
                <w:noProof/>
                <w:color w:val="000000" w:themeColor="text1"/>
                <w:sz w:val="16"/>
                <w:szCs w:val="16"/>
              </w:rPr>
            </w:pPr>
            <w:r>
              <w:rPr>
                <w:noProof/>
                <w:color w:val="000000"/>
                <w:sz w:val="16"/>
                <w:szCs w:val="16"/>
              </w:rPr>
              <w:t>1</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6D37FFAA" w14:textId="77777777" w:rsidR="004D45F1" w:rsidRDefault="004D45F1">
            <w:pPr>
              <w:jc w:val="center"/>
              <w:rPr>
                <w:noProof/>
                <w:color w:val="000000" w:themeColor="text1"/>
                <w:sz w:val="16"/>
                <w:szCs w:val="16"/>
              </w:rPr>
            </w:pPr>
            <w:r>
              <w:rPr>
                <w:noProof/>
                <w:color w:val="000000"/>
                <w:sz w:val="16"/>
                <w:szCs w:val="16"/>
              </w:rPr>
              <w:t>1</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18580057" w14:textId="77777777" w:rsidR="004D45F1" w:rsidRDefault="004D45F1">
            <w:pPr>
              <w:jc w:val="center"/>
              <w:rPr>
                <w:noProof/>
                <w:color w:val="000000" w:themeColor="text1"/>
                <w:sz w:val="16"/>
                <w:szCs w:val="16"/>
              </w:rPr>
            </w:pPr>
            <w:r>
              <w:rPr>
                <w:noProof/>
                <w:color w:val="000000"/>
                <w:sz w:val="16"/>
                <w:szCs w:val="16"/>
              </w:rPr>
              <w:t>1</w:t>
            </w:r>
          </w:p>
        </w:tc>
      </w:tr>
      <w:tr w:rsidR="004D45F1" w14:paraId="4BFAC61B"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nil"/>
              <w:left w:val="single" w:sz="4" w:space="0" w:color="0055A0"/>
              <w:bottom w:val="single" w:sz="4" w:space="0" w:color="auto"/>
            </w:tcBorders>
            <w:noWrap/>
          </w:tcPr>
          <w:p w14:paraId="5CDFC5A8" w14:textId="77777777" w:rsidR="004D45F1" w:rsidRDefault="004D45F1">
            <w:pPr>
              <w:rPr>
                <w:noProof/>
                <w:color w:val="000000"/>
                <w:sz w:val="16"/>
                <w:szCs w:val="16"/>
              </w:rPr>
            </w:pPr>
          </w:p>
        </w:tc>
        <w:tc>
          <w:tcPr>
            <w:tcW w:w="1253" w:type="dxa"/>
            <w:tcBorders>
              <w:top w:val="nil"/>
              <w:bottom w:val="single" w:sz="4" w:space="0" w:color="auto"/>
            </w:tcBorders>
            <w:shd w:val="clear" w:color="auto" w:fill="FDE9D9" w:themeFill="accent6" w:themeFillTint="33"/>
            <w:noWrap/>
            <w:hideMark/>
          </w:tcPr>
          <w:p w14:paraId="0FAEB8D8" w14:textId="77777777" w:rsidR="004D45F1" w:rsidRDefault="004D45F1">
            <w:pPr>
              <w:rPr>
                <w:noProof/>
                <w:color w:val="000000"/>
                <w:sz w:val="16"/>
                <w:szCs w:val="16"/>
              </w:rPr>
            </w:pPr>
            <w:r>
              <w:rPr>
                <w:noProof/>
                <w:color w:val="000000"/>
                <w:sz w:val="16"/>
                <w:szCs w:val="16"/>
              </w:rPr>
              <w:t>Emissions (tCO2e)</w:t>
            </w:r>
          </w:p>
        </w:tc>
        <w:tc>
          <w:tcPr>
            <w:tcW w:w="885" w:type="dxa"/>
            <w:tcBorders>
              <w:top w:val="nil"/>
              <w:bottom w:val="single" w:sz="4" w:space="0" w:color="auto"/>
            </w:tcBorders>
            <w:shd w:val="clear" w:color="auto" w:fill="FDE9D9" w:themeFill="accent6" w:themeFillTint="33"/>
            <w:noWrap/>
            <w:hideMark/>
          </w:tcPr>
          <w:p w14:paraId="3CF5F5C9" w14:textId="77777777" w:rsidR="004D45F1" w:rsidRDefault="004D45F1">
            <w:pPr>
              <w:jc w:val="center"/>
              <w:rPr>
                <w:noProof/>
                <w:color w:val="000000"/>
                <w:sz w:val="16"/>
                <w:szCs w:val="16"/>
              </w:rPr>
            </w:pPr>
            <w:r>
              <w:rPr>
                <w:noProof/>
                <w:color w:val="000000"/>
                <w:sz w:val="16"/>
                <w:szCs w:val="16"/>
              </w:rPr>
              <w:t>14,200</w:t>
            </w:r>
          </w:p>
        </w:tc>
        <w:tc>
          <w:tcPr>
            <w:tcW w:w="886" w:type="dxa"/>
            <w:tcBorders>
              <w:top w:val="nil"/>
              <w:bottom w:val="single" w:sz="4" w:space="0" w:color="auto"/>
            </w:tcBorders>
            <w:shd w:val="clear" w:color="auto" w:fill="FDE9D9" w:themeFill="accent6" w:themeFillTint="33"/>
            <w:noWrap/>
            <w:hideMark/>
          </w:tcPr>
          <w:p w14:paraId="42E2E627" w14:textId="77777777" w:rsidR="004D45F1" w:rsidRDefault="004D45F1">
            <w:pPr>
              <w:jc w:val="center"/>
              <w:rPr>
                <w:noProof/>
                <w:color w:val="000000"/>
                <w:sz w:val="16"/>
                <w:szCs w:val="16"/>
              </w:rPr>
            </w:pPr>
            <w:r>
              <w:rPr>
                <w:noProof/>
                <w:color w:val="000000"/>
                <w:sz w:val="16"/>
                <w:szCs w:val="16"/>
              </w:rPr>
              <w:t>11,000</w:t>
            </w:r>
          </w:p>
        </w:tc>
        <w:tc>
          <w:tcPr>
            <w:tcW w:w="885" w:type="dxa"/>
            <w:tcBorders>
              <w:top w:val="nil"/>
              <w:bottom w:val="single" w:sz="4" w:space="0" w:color="auto"/>
            </w:tcBorders>
            <w:shd w:val="clear" w:color="auto" w:fill="FDE9D9" w:themeFill="accent6" w:themeFillTint="33"/>
            <w:noWrap/>
            <w:hideMark/>
          </w:tcPr>
          <w:p w14:paraId="15A4409C" w14:textId="77777777" w:rsidR="004D45F1" w:rsidRDefault="004D45F1">
            <w:pPr>
              <w:jc w:val="center"/>
              <w:rPr>
                <w:noProof/>
                <w:color w:val="000000"/>
                <w:sz w:val="16"/>
                <w:szCs w:val="16"/>
              </w:rPr>
            </w:pPr>
            <w:r>
              <w:rPr>
                <w:noProof/>
                <w:color w:val="000000"/>
                <w:sz w:val="16"/>
                <w:szCs w:val="16"/>
              </w:rPr>
              <w:t>7,050</w:t>
            </w:r>
          </w:p>
        </w:tc>
        <w:tc>
          <w:tcPr>
            <w:tcW w:w="886" w:type="dxa"/>
            <w:tcBorders>
              <w:top w:val="nil"/>
              <w:bottom w:val="single" w:sz="4" w:space="0" w:color="auto"/>
            </w:tcBorders>
            <w:shd w:val="clear" w:color="auto" w:fill="FDE9D9" w:themeFill="accent6" w:themeFillTint="33"/>
            <w:noWrap/>
            <w:hideMark/>
          </w:tcPr>
          <w:p w14:paraId="594F5D5D" w14:textId="77777777" w:rsidR="004D45F1" w:rsidRDefault="004D45F1">
            <w:pPr>
              <w:jc w:val="center"/>
              <w:rPr>
                <w:noProof/>
                <w:color w:val="000000"/>
                <w:sz w:val="16"/>
                <w:szCs w:val="16"/>
              </w:rPr>
            </w:pPr>
            <w:r>
              <w:rPr>
                <w:noProof/>
                <w:color w:val="000000"/>
                <w:sz w:val="16"/>
                <w:szCs w:val="16"/>
              </w:rPr>
              <w:t>7,050</w:t>
            </w:r>
          </w:p>
        </w:tc>
        <w:tc>
          <w:tcPr>
            <w:tcW w:w="885" w:type="dxa"/>
            <w:tcBorders>
              <w:top w:val="nil"/>
              <w:bottom w:val="single" w:sz="4" w:space="0" w:color="auto"/>
            </w:tcBorders>
            <w:shd w:val="clear" w:color="auto" w:fill="FDE9D9" w:themeFill="accent6" w:themeFillTint="33"/>
            <w:noWrap/>
            <w:hideMark/>
          </w:tcPr>
          <w:p w14:paraId="54BD9792" w14:textId="77777777" w:rsidR="004D45F1" w:rsidRDefault="004D45F1">
            <w:pPr>
              <w:jc w:val="center"/>
              <w:rPr>
                <w:noProof/>
                <w:color w:val="000000"/>
                <w:sz w:val="16"/>
                <w:szCs w:val="16"/>
              </w:rPr>
            </w:pPr>
            <w:r>
              <w:rPr>
                <w:noProof/>
                <w:color w:val="000000"/>
                <w:sz w:val="16"/>
                <w:szCs w:val="16"/>
              </w:rPr>
              <w:t>3,700</w:t>
            </w:r>
          </w:p>
        </w:tc>
        <w:tc>
          <w:tcPr>
            <w:tcW w:w="886" w:type="dxa"/>
            <w:tcBorders>
              <w:top w:val="nil"/>
              <w:bottom w:val="single" w:sz="4" w:space="0" w:color="auto"/>
            </w:tcBorders>
            <w:shd w:val="clear" w:color="auto" w:fill="FDE9D9" w:themeFill="accent6" w:themeFillTint="33"/>
            <w:noWrap/>
            <w:hideMark/>
          </w:tcPr>
          <w:p w14:paraId="086C8D44" w14:textId="77777777" w:rsidR="004D45F1" w:rsidRDefault="004D45F1">
            <w:pPr>
              <w:jc w:val="center"/>
              <w:rPr>
                <w:noProof/>
                <w:color w:val="000000"/>
                <w:sz w:val="16"/>
                <w:szCs w:val="16"/>
              </w:rPr>
            </w:pPr>
            <w:r>
              <w:rPr>
                <w:noProof/>
                <w:color w:val="000000"/>
                <w:sz w:val="16"/>
                <w:szCs w:val="16"/>
              </w:rPr>
              <w:t>3,700</w:t>
            </w:r>
          </w:p>
        </w:tc>
        <w:tc>
          <w:tcPr>
            <w:tcW w:w="886" w:type="dxa"/>
            <w:tcBorders>
              <w:top w:val="nil"/>
              <w:bottom w:val="single" w:sz="4" w:space="0" w:color="auto"/>
              <w:right w:val="single" w:sz="4" w:space="0" w:color="0055A0"/>
            </w:tcBorders>
            <w:shd w:val="clear" w:color="auto" w:fill="FDE9D9" w:themeFill="accent6" w:themeFillTint="33"/>
            <w:noWrap/>
            <w:hideMark/>
          </w:tcPr>
          <w:p w14:paraId="47741948" w14:textId="77777777" w:rsidR="004D45F1" w:rsidRDefault="004D45F1">
            <w:pPr>
              <w:jc w:val="center"/>
              <w:rPr>
                <w:noProof/>
                <w:color w:val="000000"/>
                <w:sz w:val="16"/>
                <w:szCs w:val="16"/>
              </w:rPr>
            </w:pPr>
            <w:r>
              <w:rPr>
                <w:noProof/>
                <w:color w:val="000000"/>
                <w:sz w:val="16"/>
                <w:szCs w:val="16"/>
              </w:rPr>
              <w:t>3,700</w:t>
            </w:r>
          </w:p>
        </w:tc>
      </w:tr>
      <w:tr w:rsidR="004D45F1" w14:paraId="6BA9D0A7"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right w:val="single" w:sz="4" w:space="0" w:color="0055A0"/>
            </w:tcBorders>
            <w:noWrap/>
            <w:hideMark/>
          </w:tcPr>
          <w:p w14:paraId="6E8EE9AD" w14:textId="77777777" w:rsidR="004D45F1" w:rsidRDefault="004D45F1">
            <w:pPr>
              <w:rPr>
                <w:noProof/>
                <w:color w:val="000000"/>
                <w:sz w:val="16"/>
                <w:szCs w:val="16"/>
              </w:rPr>
            </w:pPr>
            <w:r>
              <w:rPr>
                <w:noProof/>
                <w:color w:val="000000"/>
                <w:sz w:val="16"/>
                <w:szCs w:val="16"/>
              </w:rPr>
              <w:t>Laboratory use</w:t>
            </w:r>
          </w:p>
        </w:tc>
        <w:tc>
          <w:tcPr>
            <w:tcW w:w="1253" w:type="dxa"/>
            <w:tcBorders>
              <w:top w:val="single" w:sz="4" w:space="0" w:color="auto"/>
              <w:left w:val="single" w:sz="4" w:space="0" w:color="0055A0"/>
              <w:bottom w:val="nil"/>
              <w:right w:val="single" w:sz="4" w:space="0" w:color="0055A0"/>
            </w:tcBorders>
            <w:noWrap/>
            <w:hideMark/>
          </w:tcPr>
          <w:p w14:paraId="7BA772F4" w14:textId="77777777" w:rsidR="004D45F1" w:rsidRDefault="004D45F1">
            <w:pPr>
              <w:rPr>
                <w:noProof/>
                <w:color w:val="000000"/>
                <w:sz w:val="16"/>
                <w:szCs w:val="16"/>
              </w:rPr>
            </w:pPr>
            <w:r>
              <w:rPr>
                <w:noProof/>
                <w:color w:val="000000"/>
                <w:sz w:val="16"/>
                <w:szCs w:val="16"/>
              </w:rPr>
              <w:t>Licences (# no annual licences)</w:t>
            </w:r>
          </w:p>
        </w:tc>
        <w:tc>
          <w:tcPr>
            <w:tcW w:w="885" w:type="dxa"/>
            <w:tcBorders>
              <w:top w:val="single" w:sz="4" w:space="0" w:color="auto"/>
              <w:left w:val="single" w:sz="4" w:space="0" w:color="0055A0"/>
              <w:bottom w:val="nil"/>
              <w:right w:val="single" w:sz="4" w:space="0" w:color="0055A0"/>
            </w:tcBorders>
            <w:noWrap/>
            <w:hideMark/>
          </w:tcPr>
          <w:p w14:paraId="61F1E410" w14:textId="77777777" w:rsidR="004D45F1" w:rsidRDefault="004D45F1">
            <w:pPr>
              <w:jc w:val="center"/>
              <w:rPr>
                <w:noProof/>
                <w:color w:val="000000" w:themeColor="text1"/>
                <w:sz w:val="16"/>
                <w:szCs w:val="16"/>
              </w:rPr>
            </w:pPr>
            <w:r>
              <w:rPr>
                <w:noProof/>
                <w:color w:val="000000"/>
                <w:sz w:val="16"/>
                <w:szCs w:val="16"/>
              </w:rPr>
              <w:t>1,200</w:t>
            </w:r>
          </w:p>
        </w:tc>
        <w:tc>
          <w:tcPr>
            <w:tcW w:w="886" w:type="dxa"/>
            <w:tcBorders>
              <w:top w:val="single" w:sz="4" w:space="0" w:color="auto"/>
              <w:left w:val="single" w:sz="4" w:space="0" w:color="0055A0"/>
              <w:bottom w:val="nil"/>
              <w:right w:val="single" w:sz="4" w:space="0" w:color="0055A0"/>
            </w:tcBorders>
            <w:noWrap/>
            <w:hideMark/>
          </w:tcPr>
          <w:p w14:paraId="17C72989" w14:textId="77777777" w:rsidR="004D45F1" w:rsidRDefault="004D45F1">
            <w:pPr>
              <w:jc w:val="center"/>
              <w:rPr>
                <w:noProof/>
                <w:color w:val="000000" w:themeColor="text1"/>
                <w:sz w:val="16"/>
                <w:szCs w:val="16"/>
              </w:rPr>
            </w:pPr>
            <w:r>
              <w:rPr>
                <w:noProof/>
                <w:color w:val="000000"/>
                <w:sz w:val="16"/>
                <w:szCs w:val="16"/>
              </w:rPr>
              <w:t>1,200</w:t>
            </w:r>
          </w:p>
        </w:tc>
        <w:tc>
          <w:tcPr>
            <w:tcW w:w="885" w:type="dxa"/>
            <w:tcBorders>
              <w:top w:val="single" w:sz="4" w:space="0" w:color="auto"/>
              <w:left w:val="single" w:sz="4" w:space="0" w:color="0055A0"/>
              <w:bottom w:val="nil"/>
              <w:right w:val="single" w:sz="4" w:space="0" w:color="0055A0"/>
            </w:tcBorders>
            <w:noWrap/>
            <w:hideMark/>
          </w:tcPr>
          <w:p w14:paraId="4E911993" w14:textId="77777777" w:rsidR="004D45F1" w:rsidRDefault="004D45F1">
            <w:pPr>
              <w:jc w:val="center"/>
              <w:rPr>
                <w:noProof/>
                <w:color w:val="000000" w:themeColor="text1"/>
                <w:sz w:val="16"/>
                <w:szCs w:val="16"/>
              </w:rPr>
            </w:pPr>
            <w:r>
              <w:rPr>
                <w:noProof/>
                <w:color w:val="000000"/>
                <w:sz w:val="16"/>
                <w:szCs w:val="16"/>
              </w:rPr>
              <w:t>1,200</w:t>
            </w:r>
          </w:p>
        </w:tc>
        <w:tc>
          <w:tcPr>
            <w:tcW w:w="886" w:type="dxa"/>
            <w:tcBorders>
              <w:top w:val="single" w:sz="4" w:space="0" w:color="auto"/>
              <w:left w:val="single" w:sz="4" w:space="0" w:color="0055A0"/>
              <w:bottom w:val="nil"/>
              <w:right w:val="single" w:sz="4" w:space="0" w:color="0055A0"/>
            </w:tcBorders>
            <w:noWrap/>
            <w:hideMark/>
          </w:tcPr>
          <w:p w14:paraId="2F8F0E12" w14:textId="77777777" w:rsidR="004D45F1" w:rsidRDefault="004D45F1">
            <w:pPr>
              <w:jc w:val="center"/>
              <w:rPr>
                <w:noProof/>
                <w:color w:val="000000" w:themeColor="text1"/>
                <w:sz w:val="16"/>
                <w:szCs w:val="16"/>
              </w:rPr>
            </w:pPr>
            <w:r>
              <w:rPr>
                <w:noProof/>
                <w:color w:val="000000"/>
                <w:sz w:val="16"/>
                <w:szCs w:val="16"/>
              </w:rPr>
              <w:t>1,200</w:t>
            </w:r>
          </w:p>
        </w:tc>
        <w:tc>
          <w:tcPr>
            <w:tcW w:w="885" w:type="dxa"/>
            <w:tcBorders>
              <w:top w:val="single" w:sz="4" w:space="0" w:color="auto"/>
              <w:left w:val="single" w:sz="4" w:space="0" w:color="0055A0"/>
              <w:bottom w:val="nil"/>
              <w:right w:val="single" w:sz="4" w:space="0" w:color="0055A0"/>
            </w:tcBorders>
            <w:noWrap/>
            <w:hideMark/>
          </w:tcPr>
          <w:p w14:paraId="1E1B9112" w14:textId="77777777" w:rsidR="004D45F1" w:rsidRDefault="004D45F1">
            <w:pPr>
              <w:jc w:val="center"/>
              <w:rPr>
                <w:noProof/>
                <w:color w:val="000000" w:themeColor="text1"/>
                <w:sz w:val="16"/>
                <w:szCs w:val="16"/>
              </w:rPr>
            </w:pPr>
            <w:r>
              <w:rPr>
                <w:noProof/>
                <w:color w:val="000000"/>
                <w:sz w:val="16"/>
                <w:szCs w:val="16"/>
              </w:rPr>
              <w:t>1,200</w:t>
            </w:r>
          </w:p>
        </w:tc>
        <w:tc>
          <w:tcPr>
            <w:tcW w:w="886" w:type="dxa"/>
            <w:tcBorders>
              <w:top w:val="single" w:sz="4" w:space="0" w:color="auto"/>
              <w:left w:val="single" w:sz="4" w:space="0" w:color="0055A0"/>
              <w:bottom w:val="nil"/>
              <w:right w:val="single" w:sz="4" w:space="0" w:color="0055A0"/>
            </w:tcBorders>
            <w:noWrap/>
            <w:hideMark/>
          </w:tcPr>
          <w:p w14:paraId="229932C9" w14:textId="77777777" w:rsidR="004D45F1" w:rsidRDefault="004D45F1">
            <w:pPr>
              <w:jc w:val="center"/>
              <w:rPr>
                <w:noProof/>
                <w:color w:val="000000" w:themeColor="text1"/>
                <w:sz w:val="16"/>
                <w:szCs w:val="16"/>
              </w:rPr>
            </w:pPr>
            <w:r>
              <w:rPr>
                <w:noProof/>
                <w:color w:val="000000"/>
                <w:sz w:val="16"/>
                <w:szCs w:val="16"/>
              </w:rPr>
              <w:t>1,200</w:t>
            </w:r>
          </w:p>
        </w:tc>
        <w:tc>
          <w:tcPr>
            <w:tcW w:w="886" w:type="dxa"/>
            <w:tcBorders>
              <w:top w:val="single" w:sz="4" w:space="0" w:color="auto"/>
              <w:left w:val="single" w:sz="4" w:space="0" w:color="0055A0"/>
              <w:bottom w:val="nil"/>
              <w:right w:val="single" w:sz="4" w:space="0" w:color="0055A0"/>
            </w:tcBorders>
            <w:noWrap/>
            <w:hideMark/>
          </w:tcPr>
          <w:p w14:paraId="6A3E1B4A" w14:textId="77777777" w:rsidR="004D45F1" w:rsidRDefault="004D45F1">
            <w:pPr>
              <w:jc w:val="center"/>
              <w:rPr>
                <w:noProof/>
                <w:color w:val="000000" w:themeColor="text1"/>
                <w:sz w:val="16"/>
                <w:szCs w:val="16"/>
              </w:rPr>
            </w:pPr>
            <w:r>
              <w:rPr>
                <w:noProof/>
                <w:color w:val="000000"/>
                <w:sz w:val="16"/>
                <w:szCs w:val="16"/>
              </w:rPr>
              <w:t>1,200</w:t>
            </w:r>
          </w:p>
        </w:tc>
      </w:tr>
      <w:tr w:rsidR="00124EE6" w14:paraId="217BC907"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6CB690A6" w14:textId="77777777" w:rsidR="004D45F1" w:rsidRDefault="004D45F1">
            <w:pPr>
              <w:spacing w:before="0"/>
              <w:rPr>
                <w:noProof/>
                <w:color w:val="000000"/>
                <w:sz w:val="16"/>
                <w:szCs w:val="16"/>
              </w:rPr>
            </w:pPr>
          </w:p>
        </w:tc>
        <w:tc>
          <w:tcPr>
            <w:tcW w:w="1253" w:type="dxa"/>
            <w:tcBorders>
              <w:top w:val="nil"/>
              <w:bottom w:val="single" w:sz="4" w:space="0" w:color="auto"/>
            </w:tcBorders>
            <w:shd w:val="clear" w:color="auto" w:fill="B8CCE4" w:themeFill="accent1" w:themeFillTint="66"/>
            <w:noWrap/>
            <w:hideMark/>
          </w:tcPr>
          <w:p w14:paraId="32D8256B" w14:textId="77777777" w:rsidR="004D45F1" w:rsidRDefault="004D45F1">
            <w:pPr>
              <w:rPr>
                <w:noProof/>
                <w:color w:val="000000"/>
                <w:sz w:val="16"/>
                <w:szCs w:val="16"/>
              </w:rPr>
            </w:pPr>
            <w:r>
              <w:rPr>
                <w:noProof/>
                <w:color w:val="000000"/>
                <w:sz w:val="16"/>
                <w:szCs w:val="16"/>
              </w:rPr>
              <w:t>Emissions (tODP)</w:t>
            </w:r>
            <w:r>
              <w:rPr>
                <w:rStyle w:val="FootnoteReference"/>
                <w:noProof/>
                <w:color w:val="000000"/>
                <w:sz w:val="16"/>
                <w:szCs w:val="16"/>
              </w:rPr>
              <w:footnoteReference w:id="108"/>
            </w:r>
          </w:p>
        </w:tc>
        <w:tc>
          <w:tcPr>
            <w:tcW w:w="885" w:type="dxa"/>
            <w:tcBorders>
              <w:top w:val="nil"/>
              <w:bottom w:val="single" w:sz="4" w:space="0" w:color="auto"/>
            </w:tcBorders>
            <w:shd w:val="clear" w:color="auto" w:fill="B8CCE4" w:themeFill="accent1" w:themeFillTint="66"/>
            <w:noWrap/>
            <w:hideMark/>
          </w:tcPr>
          <w:p w14:paraId="2920501E" w14:textId="77777777" w:rsidR="004D45F1" w:rsidRDefault="004D45F1">
            <w:pPr>
              <w:jc w:val="center"/>
              <w:rPr>
                <w:noProof/>
                <w:sz w:val="16"/>
                <w:szCs w:val="16"/>
              </w:rPr>
            </w:pPr>
            <w:r>
              <w:rPr>
                <w:noProof/>
                <w:color w:val="000000"/>
                <w:sz w:val="16"/>
                <w:szCs w:val="16"/>
              </w:rPr>
              <w:t>&lt; 1</w:t>
            </w:r>
          </w:p>
        </w:tc>
        <w:tc>
          <w:tcPr>
            <w:tcW w:w="886" w:type="dxa"/>
            <w:tcBorders>
              <w:top w:val="nil"/>
              <w:bottom w:val="single" w:sz="4" w:space="0" w:color="auto"/>
            </w:tcBorders>
            <w:shd w:val="clear" w:color="auto" w:fill="B8CCE4" w:themeFill="accent1" w:themeFillTint="66"/>
            <w:noWrap/>
            <w:hideMark/>
          </w:tcPr>
          <w:p w14:paraId="57AE44FF" w14:textId="77777777" w:rsidR="004D45F1" w:rsidRDefault="004D45F1">
            <w:pPr>
              <w:jc w:val="center"/>
              <w:rPr>
                <w:noProof/>
                <w:sz w:val="16"/>
                <w:szCs w:val="16"/>
              </w:rPr>
            </w:pPr>
            <w:r>
              <w:rPr>
                <w:noProof/>
                <w:color w:val="000000"/>
                <w:sz w:val="16"/>
                <w:szCs w:val="16"/>
              </w:rPr>
              <w:t>&lt; 1</w:t>
            </w:r>
          </w:p>
        </w:tc>
        <w:tc>
          <w:tcPr>
            <w:tcW w:w="885" w:type="dxa"/>
            <w:tcBorders>
              <w:top w:val="nil"/>
              <w:bottom w:val="single" w:sz="4" w:space="0" w:color="auto"/>
            </w:tcBorders>
            <w:shd w:val="clear" w:color="auto" w:fill="B8CCE4" w:themeFill="accent1" w:themeFillTint="66"/>
            <w:noWrap/>
            <w:hideMark/>
          </w:tcPr>
          <w:p w14:paraId="5399CA05" w14:textId="77777777" w:rsidR="004D45F1" w:rsidRDefault="004D45F1">
            <w:pPr>
              <w:jc w:val="center"/>
              <w:rPr>
                <w:noProof/>
                <w:sz w:val="16"/>
                <w:szCs w:val="16"/>
              </w:rPr>
            </w:pPr>
            <w:r>
              <w:rPr>
                <w:noProof/>
                <w:color w:val="000000"/>
                <w:sz w:val="16"/>
                <w:szCs w:val="16"/>
              </w:rPr>
              <w:t>&lt; 1</w:t>
            </w:r>
          </w:p>
        </w:tc>
        <w:tc>
          <w:tcPr>
            <w:tcW w:w="886" w:type="dxa"/>
            <w:tcBorders>
              <w:top w:val="nil"/>
              <w:bottom w:val="single" w:sz="4" w:space="0" w:color="auto"/>
            </w:tcBorders>
            <w:shd w:val="clear" w:color="auto" w:fill="B8CCE4" w:themeFill="accent1" w:themeFillTint="66"/>
            <w:noWrap/>
            <w:hideMark/>
          </w:tcPr>
          <w:p w14:paraId="4DE8046C" w14:textId="77777777" w:rsidR="004D45F1" w:rsidRDefault="004D45F1">
            <w:pPr>
              <w:jc w:val="center"/>
              <w:rPr>
                <w:noProof/>
                <w:sz w:val="16"/>
                <w:szCs w:val="16"/>
              </w:rPr>
            </w:pPr>
            <w:r>
              <w:rPr>
                <w:noProof/>
                <w:color w:val="000000"/>
                <w:sz w:val="16"/>
                <w:szCs w:val="16"/>
              </w:rPr>
              <w:t>&lt; 1</w:t>
            </w:r>
          </w:p>
        </w:tc>
        <w:tc>
          <w:tcPr>
            <w:tcW w:w="885" w:type="dxa"/>
            <w:tcBorders>
              <w:top w:val="nil"/>
              <w:bottom w:val="single" w:sz="4" w:space="0" w:color="auto"/>
            </w:tcBorders>
            <w:shd w:val="clear" w:color="auto" w:fill="B8CCE4" w:themeFill="accent1" w:themeFillTint="66"/>
            <w:noWrap/>
            <w:hideMark/>
          </w:tcPr>
          <w:p w14:paraId="58FE7E92" w14:textId="77777777" w:rsidR="004D45F1" w:rsidRDefault="004D45F1">
            <w:pPr>
              <w:jc w:val="center"/>
              <w:rPr>
                <w:noProof/>
                <w:sz w:val="16"/>
                <w:szCs w:val="16"/>
              </w:rPr>
            </w:pPr>
            <w:r>
              <w:rPr>
                <w:noProof/>
                <w:color w:val="000000"/>
                <w:sz w:val="16"/>
                <w:szCs w:val="16"/>
              </w:rPr>
              <w:t>&lt; 1</w:t>
            </w:r>
          </w:p>
        </w:tc>
        <w:tc>
          <w:tcPr>
            <w:tcW w:w="886" w:type="dxa"/>
            <w:tcBorders>
              <w:top w:val="nil"/>
              <w:bottom w:val="single" w:sz="4" w:space="0" w:color="auto"/>
            </w:tcBorders>
            <w:shd w:val="clear" w:color="auto" w:fill="B8CCE4" w:themeFill="accent1" w:themeFillTint="66"/>
            <w:noWrap/>
            <w:hideMark/>
          </w:tcPr>
          <w:p w14:paraId="364A90FD" w14:textId="77777777" w:rsidR="004D45F1" w:rsidRDefault="004D45F1">
            <w:pPr>
              <w:jc w:val="center"/>
              <w:rPr>
                <w:noProof/>
                <w:sz w:val="16"/>
                <w:szCs w:val="16"/>
              </w:rPr>
            </w:pPr>
            <w:r>
              <w:rPr>
                <w:noProof/>
                <w:color w:val="000000"/>
                <w:sz w:val="16"/>
                <w:szCs w:val="16"/>
              </w:rPr>
              <w:t>&lt; 1</w:t>
            </w:r>
          </w:p>
        </w:tc>
        <w:tc>
          <w:tcPr>
            <w:tcW w:w="886" w:type="dxa"/>
            <w:tcBorders>
              <w:top w:val="nil"/>
              <w:bottom w:val="single" w:sz="4" w:space="0" w:color="auto"/>
              <w:right w:val="single" w:sz="4" w:space="0" w:color="0055A0"/>
            </w:tcBorders>
            <w:shd w:val="clear" w:color="auto" w:fill="B8CCE4" w:themeFill="accent1" w:themeFillTint="66"/>
            <w:noWrap/>
            <w:hideMark/>
          </w:tcPr>
          <w:p w14:paraId="65A90D9A" w14:textId="77777777" w:rsidR="004D45F1" w:rsidRDefault="004D45F1">
            <w:pPr>
              <w:jc w:val="center"/>
              <w:rPr>
                <w:noProof/>
                <w:sz w:val="16"/>
                <w:szCs w:val="16"/>
              </w:rPr>
            </w:pPr>
            <w:r>
              <w:rPr>
                <w:noProof/>
                <w:color w:val="000000"/>
                <w:sz w:val="16"/>
                <w:szCs w:val="16"/>
              </w:rPr>
              <w:t>&lt; 1</w:t>
            </w:r>
          </w:p>
        </w:tc>
      </w:tr>
      <w:tr w:rsidR="00124EE6" w14:paraId="16F3CBFA"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right w:val="single" w:sz="4" w:space="0" w:color="0055A0"/>
            </w:tcBorders>
            <w:noWrap/>
            <w:hideMark/>
          </w:tcPr>
          <w:p w14:paraId="24DBE397" w14:textId="77777777" w:rsidR="004D45F1" w:rsidRDefault="004D45F1">
            <w:pPr>
              <w:rPr>
                <w:noProof/>
                <w:color w:val="000000"/>
                <w:sz w:val="16"/>
                <w:szCs w:val="16"/>
              </w:rPr>
            </w:pPr>
            <w:r>
              <w:rPr>
                <w:noProof/>
                <w:color w:val="000000"/>
                <w:sz w:val="16"/>
                <w:szCs w:val="16"/>
              </w:rPr>
              <w:t>Foam banks</w:t>
            </w:r>
            <w:r>
              <w:rPr>
                <w:noProof/>
                <w:color w:val="000000" w:themeColor="text1"/>
                <w:sz w:val="16"/>
                <w:szCs w:val="16"/>
              </w:rPr>
              <w:t>**</w:t>
            </w:r>
          </w:p>
        </w:tc>
        <w:tc>
          <w:tcPr>
            <w:tcW w:w="1253"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22B6EDBA" w14:textId="77777777" w:rsidR="004D45F1" w:rsidRDefault="004D45F1">
            <w:pPr>
              <w:rPr>
                <w:noProof/>
                <w:color w:val="000000"/>
                <w:sz w:val="16"/>
                <w:szCs w:val="16"/>
              </w:rPr>
            </w:pPr>
            <w:r>
              <w:rPr>
                <w:noProof/>
                <w:color w:val="000000"/>
                <w:sz w:val="16"/>
                <w:szCs w:val="16"/>
              </w:rPr>
              <w:t>Annual release (tODP stock)</w:t>
            </w: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5ECAB230" w14:textId="77777777" w:rsidR="004D45F1" w:rsidRDefault="004D45F1">
            <w:pPr>
              <w:jc w:val="center"/>
              <w:rPr>
                <w:noProof/>
                <w:color w:val="000000" w:themeColor="text1"/>
                <w:sz w:val="16"/>
                <w:szCs w:val="16"/>
              </w:rPr>
            </w:pPr>
            <w:r>
              <w:rPr>
                <w:noProof/>
                <w:color w:val="000000" w:themeColor="text1"/>
                <w:sz w:val="16"/>
                <w:szCs w:val="16"/>
              </w:rPr>
              <w:t>14,000</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tcPr>
          <w:p w14:paraId="2122CF6E" w14:textId="77777777" w:rsidR="004D45F1" w:rsidRDefault="004D45F1">
            <w:pPr>
              <w:jc w:val="center"/>
              <w:rPr>
                <w:noProof/>
                <w:color w:val="000000" w:themeColor="text1"/>
                <w:sz w:val="16"/>
                <w:szCs w:val="16"/>
              </w:rPr>
            </w:pP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4F7C6954" w14:textId="77777777" w:rsidR="004D45F1" w:rsidRDefault="004D45F1">
            <w:pPr>
              <w:jc w:val="center"/>
              <w:rPr>
                <w:noProof/>
                <w:color w:val="000000" w:themeColor="text1"/>
                <w:sz w:val="16"/>
                <w:szCs w:val="16"/>
              </w:rPr>
            </w:pPr>
            <w:r>
              <w:rPr>
                <w:noProof/>
                <w:color w:val="000000" w:themeColor="text1"/>
                <w:sz w:val="16"/>
                <w:szCs w:val="16"/>
              </w:rPr>
              <w:t>14,800</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tcPr>
          <w:p w14:paraId="72E1A875" w14:textId="77777777" w:rsidR="004D45F1" w:rsidRDefault="004D45F1">
            <w:pPr>
              <w:jc w:val="center"/>
              <w:rPr>
                <w:noProof/>
                <w:color w:val="000000" w:themeColor="text1"/>
                <w:sz w:val="16"/>
                <w:szCs w:val="16"/>
              </w:rPr>
            </w:pPr>
          </w:p>
        </w:tc>
        <w:tc>
          <w:tcPr>
            <w:tcW w:w="885"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560894C0" w14:textId="77777777" w:rsidR="004D45F1" w:rsidRDefault="004D45F1">
            <w:pPr>
              <w:jc w:val="center"/>
              <w:rPr>
                <w:noProof/>
                <w:color w:val="000000" w:themeColor="text1"/>
                <w:sz w:val="16"/>
                <w:szCs w:val="16"/>
              </w:rPr>
            </w:pPr>
            <w:r>
              <w:rPr>
                <w:noProof/>
                <w:color w:val="000000" w:themeColor="text1"/>
                <w:sz w:val="16"/>
                <w:szCs w:val="16"/>
              </w:rPr>
              <w:t>8,900</w:t>
            </w: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tcPr>
          <w:p w14:paraId="223F7A85" w14:textId="77777777" w:rsidR="004D45F1" w:rsidRDefault="004D45F1">
            <w:pPr>
              <w:jc w:val="center"/>
              <w:rPr>
                <w:noProof/>
                <w:color w:val="000000" w:themeColor="text1"/>
                <w:sz w:val="16"/>
                <w:szCs w:val="16"/>
              </w:rPr>
            </w:pPr>
          </w:p>
        </w:tc>
        <w:tc>
          <w:tcPr>
            <w:tcW w:w="886" w:type="dxa"/>
            <w:tcBorders>
              <w:top w:val="single" w:sz="4" w:space="0" w:color="auto"/>
              <w:left w:val="single" w:sz="4" w:space="0" w:color="0055A0"/>
              <w:bottom w:val="nil"/>
              <w:right w:val="single" w:sz="4" w:space="0" w:color="0055A0"/>
            </w:tcBorders>
            <w:shd w:val="clear" w:color="auto" w:fill="DAEEF3" w:themeFill="accent5" w:themeFillTint="33"/>
            <w:noWrap/>
            <w:hideMark/>
          </w:tcPr>
          <w:p w14:paraId="784C01F3" w14:textId="77777777" w:rsidR="004D45F1" w:rsidRDefault="004D45F1">
            <w:pPr>
              <w:jc w:val="center"/>
              <w:rPr>
                <w:noProof/>
                <w:color w:val="000000" w:themeColor="text1"/>
                <w:sz w:val="16"/>
                <w:szCs w:val="16"/>
              </w:rPr>
            </w:pPr>
            <w:r>
              <w:rPr>
                <w:noProof/>
                <w:color w:val="000000" w:themeColor="text1"/>
                <w:sz w:val="16"/>
                <w:szCs w:val="16"/>
              </w:rPr>
              <w:t>3,100</w:t>
            </w:r>
          </w:p>
        </w:tc>
      </w:tr>
      <w:tr w:rsidR="00124EE6" w14:paraId="6584E646"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21E503AC" w14:textId="77777777" w:rsidR="004D45F1" w:rsidRDefault="004D45F1">
            <w:pPr>
              <w:spacing w:before="0"/>
              <w:rPr>
                <w:noProof/>
                <w:color w:val="000000"/>
                <w:sz w:val="16"/>
                <w:szCs w:val="16"/>
              </w:rPr>
            </w:pPr>
          </w:p>
        </w:tc>
        <w:tc>
          <w:tcPr>
            <w:tcW w:w="1253" w:type="dxa"/>
            <w:tcBorders>
              <w:top w:val="nil"/>
              <w:bottom w:val="nil"/>
            </w:tcBorders>
            <w:shd w:val="clear" w:color="auto" w:fill="B8CCE4" w:themeFill="accent1" w:themeFillTint="66"/>
            <w:noWrap/>
            <w:hideMark/>
          </w:tcPr>
          <w:p w14:paraId="69CAACC2" w14:textId="77777777" w:rsidR="004D45F1" w:rsidRDefault="004D45F1">
            <w:pPr>
              <w:rPr>
                <w:noProof/>
                <w:color w:val="000000"/>
                <w:sz w:val="16"/>
                <w:szCs w:val="16"/>
              </w:rPr>
            </w:pPr>
            <w:r>
              <w:rPr>
                <w:noProof/>
                <w:color w:val="000000"/>
                <w:sz w:val="16"/>
                <w:szCs w:val="16"/>
              </w:rPr>
              <w:t>Emissions (tODP)</w:t>
            </w:r>
          </w:p>
        </w:tc>
        <w:tc>
          <w:tcPr>
            <w:tcW w:w="885" w:type="dxa"/>
            <w:tcBorders>
              <w:top w:val="nil"/>
              <w:bottom w:val="nil"/>
            </w:tcBorders>
            <w:shd w:val="clear" w:color="auto" w:fill="B8CCE4" w:themeFill="accent1" w:themeFillTint="66"/>
            <w:noWrap/>
            <w:hideMark/>
          </w:tcPr>
          <w:p w14:paraId="1F526F10" w14:textId="77777777" w:rsidR="004D45F1" w:rsidRDefault="004D45F1">
            <w:pPr>
              <w:jc w:val="center"/>
              <w:rPr>
                <w:noProof/>
                <w:color w:val="000000" w:themeColor="text1"/>
                <w:sz w:val="16"/>
                <w:szCs w:val="16"/>
              </w:rPr>
            </w:pPr>
            <w:r>
              <w:rPr>
                <w:noProof/>
                <w:color w:val="000000" w:themeColor="text1"/>
                <w:sz w:val="16"/>
                <w:szCs w:val="16"/>
              </w:rPr>
              <w:t>6,000</w:t>
            </w:r>
          </w:p>
        </w:tc>
        <w:tc>
          <w:tcPr>
            <w:tcW w:w="886" w:type="dxa"/>
            <w:tcBorders>
              <w:top w:val="nil"/>
              <w:bottom w:val="nil"/>
            </w:tcBorders>
            <w:shd w:val="clear" w:color="auto" w:fill="B8CCE4" w:themeFill="accent1" w:themeFillTint="66"/>
            <w:noWrap/>
            <w:hideMark/>
          </w:tcPr>
          <w:p w14:paraId="387B7176" w14:textId="77777777" w:rsidR="004D45F1" w:rsidRDefault="004D45F1">
            <w:pPr>
              <w:rPr>
                <w:noProof/>
                <w:color w:val="000000" w:themeColor="text1"/>
                <w:sz w:val="16"/>
                <w:szCs w:val="16"/>
              </w:rPr>
            </w:pPr>
          </w:p>
        </w:tc>
        <w:tc>
          <w:tcPr>
            <w:tcW w:w="885" w:type="dxa"/>
            <w:tcBorders>
              <w:top w:val="nil"/>
              <w:bottom w:val="nil"/>
            </w:tcBorders>
            <w:shd w:val="clear" w:color="auto" w:fill="B8CCE4" w:themeFill="accent1" w:themeFillTint="66"/>
            <w:noWrap/>
            <w:hideMark/>
          </w:tcPr>
          <w:p w14:paraId="72BC7BA1" w14:textId="77777777" w:rsidR="004D45F1" w:rsidRDefault="004D45F1">
            <w:pPr>
              <w:jc w:val="center"/>
              <w:rPr>
                <w:noProof/>
                <w:color w:val="000000" w:themeColor="text1"/>
                <w:sz w:val="16"/>
                <w:szCs w:val="16"/>
              </w:rPr>
            </w:pPr>
            <w:r>
              <w:rPr>
                <w:noProof/>
                <w:color w:val="000000" w:themeColor="text1"/>
                <w:sz w:val="16"/>
                <w:szCs w:val="16"/>
              </w:rPr>
              <w:t>6,700</w:t>
            </w:r>
          </w:p>
        </w:tc>
        <w:tc>
          <w:tcPr>
            <w:tcW w:w="886" w:type="dxa"/>
            <w:tcBorders>
              <w:top w:val="nil"/>
              <w:bottom w:val="nil"/>
            </w:tcBorders>
            <w:shd w:val="clear" w:color="auto" w:fill="B8CCE4" w:themeFill="accent1" w:themeFillTint="66"/>
            <w:noWrap/>
            <w:hideMark/>
          </w:tcPr>
          <w:p w14:paraId="43DFBF6E" w14:textId="77777777" w:rsidR="004D45F1" w:rsidRDefault="004D45F1">
            <w:pPr>
              <w:rPr>
                <w:noProof/>
                <w:color w:val="000000" w:themeColor="text1"/>
                <w:sz w:val="16"/>
                <w:szCs w:val="16"/>
              </w:rPr>
            </w:pPr>
          </w:p>
        </w:tc>
        <w:tc>
          <w:tcPr>
            <w:tcW w:w="885" w:type="dxa"/>
            <w:tcBorders>
              <w:top w:val="nil"/>
              <w:bottom w:val="nil"/>
            </w:tcBorders>
            <w:shd w:val="clear" w:color="auto" w:fill="B8CCE4" w:themeFill="accent1" w:themeFillTint="66"/>
            <w:noWrap/>
            <w:hideMark/>
          </w:tcPr>
          <w:p w14:paraId="79BFC72F" w14:textId="77777777" w:rsidR="004D45F1" w:rsidRDefault="004D45F1">
            <w:pPr>
              <w:jc w:val="center"/>
              <w:rPr>
                <w:noProof/>
                <w:color w:val="000000" w:themeColor="text1"/>
                <w:sz w:val="16"/>
                <w:szCs w:val="16"/>
              </w:rPr>
            </w:pPr>
            <w:r>
              <w:rPr>
                <w:noProof/>
                <w:color w:val="000000" w:themeColor="text1"/>
                <w:sz w:val="16"/>
                <w:szCs w:val="16"/>
              </w:rPr>
              <w:t>5,700</w:t>
            </w:r>
          </w:p>
        </w:tc>
        <w:tc>
          <w:tcPr>
            <w:tcW w:w="886" w:type="dxa"/>
            <w:tcBorders>
              <w:top w:val="nil"/>
              <w:bottom w:val="nil"/>
            </w:tcBorders>
            <w:shd w:val="clear" w:color="auto" w:fill="B8CCE4" w:themeFill="accent1" w:themeFillTint="66"/>
            <w:noWrap/>
            <w:hideMark/>
          </w:tcPr>
          <w:p w14:paraId="4D494950" w14:textId="77777777" w:rsidR="004D45F1" w:rsidRDefault="004D45F1">
            <w:pPr>
              <w:rPr>
                <w:noProof/>
                <w:color w:val="000000" w:themeColor="text1"/>
                <w:sz w:val="16"/>
                <w:szCs w:val="16"/>
              </w:rPr>
            </w:pPr>
          </w:p>
        </w:tc>
        <w:tc>
          <w:tcPr>
            <w:tcW w:w="886" w:type="dxa"/>
            <w:tcBorders>
              <w:top w:val="nil"/>
              <w:bottom w:val="nil"/>
              <w:right w:val="nil"/>
            </w:tcBorders>
            <w:shd w:val="clear" w:color="auto" w:fill="B8CCE4" w:themeFill="accent1" w:themeFillTint="66"/>
            <w:noWrap/>
            <w:hideMark/>
          </w:tcPr>
          <w:p w14:paraId="0F8E69FE" w14:textId="77777777" w:rsidR="004D45F1" w:rsidRDefault="004D45F1">
            <w:pPr>
              <w:jc w:val="center"/>
              <w:rPr>
                <w:noProof/>
                <w:color w:val="000000" w:themeColor="text1"/>
                <w:sz w:val="16"/>
                <w:szCs w:val="16"/>
              </w:rPr>
            </w:pPr>
            <w:r>
              <w:rPr>
                <w:noProof/>
                <w:color w:val="000000" w:themeColor="text1"/>
                <w:sz w:val="16"/>
                <w:szCs w:val="16"/>
              </w:rPr>
              <w:t>4,200</w:t>
            </w:r>
          </w:p>
        </w:tc>
      </w:tr>
      <w:tr w:rsidR="00124EE6" w14:paraId="0D768876"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right w:val="single" w:sz="4" w:space="0" w:color="0055A0"/>
            </w:tcBorders>
            <w:hideMark/>
          </w:tcPr>
          <w:p w14:paraId="368303B1" w14:textId="77777777" w:rsidR="004D45F1" w:rsidRDefault="004D45F1">
            <w:pPr>
              <w:spacing w:before="0"/>
              <w:rPr>
                <w:noProof/>
                <w:color w:val="000000"/>
                <w:sz w:val="16"/>
                <w:szCs w:val="16"/>
              </w:rPr>
            </w:pPr>
          </w:p>
        </w:tc>
        <w:tc>
          <w:tcPr>
            <w:tcW w:w="1253"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5B31653B" w14:textId="77777777" w:rsidR="004D45F1" w:rsidRDefault="004D45F1">
            <w:pPr>
              <w:rPr>
                <w:noProof/>
                <w:color w:val="000000"/>
                <w:sz w:val="16"/>
                <w:szCs w:val="16"/>
              </w:rPr>
            </w:pPr>
            <w:r>
              <w:rPr>
                <w:noProof/>
                <w:color w:val="000000"/>
                <w:sz w:val="16"/>
                <w:szCs w:val="16"/>
              </w:rPr>
              <w:t>Emissions   (tCO2e)</w:t>
            </w: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110570A9" w14:textId="77777777" w:rsidR="004D45F1" w:rsidRDefault="004D45F1">
            <w:pPr>
              <w:jc w:val="center"/>
              <w:rPr>
                <w:noProof/>
                <w:color w:val="000000" w:themeColor="text1"/>
                <w:sz w:val="16"/>
                <w:szCs w:val="16"/>
                <w:vertAlign w:val="superscript"/>
              </w:rPr>
            </w:pPr>
            <w:r>
              <w:rPr>
                <w:noProof/>
                <w:color w:val="000000" w:themeColor="text1"/>
                <w:sz w:val="16"/>
                <w:szCs w:val="16"/>
              </w:rPr>
              <w:t>37 * 10</w:t>
            </w:r>
            <w:r>
              <w:rPr>
                <w:noProof/>
                <w:color w:val="000000" w:themeColor="text1"/>
                <w:sz w:val="16"/>
                <w:szCs w:val="16"/>
                <w:vertAlign w:val="superscript"/>
              </w:rPr>
              <w:t>6</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tcPr>
          <w:p w14:paraId="18BFD046" w14:textId="77777777" w:rsidR="004D45F1" w:rsidRDefault="004D45F1">
            <w:pPr>
              <w:jc w:val="center"/>
              <w:rPr>
                <w:noProof/>
                <w:color w:val="000000" w:themeColor="text1"/>
                <w:sz w:val="16"/>
                <w:szCs w:val="16"/>
              </w:rPr>
            </w:pP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11A5CED8" w14:textId="77777777" w:rsidR="004D45F1" w:rsidRDefault="004D45F1">
            <w:pPr>
              <w:jc w:val="center"/>
              <w:rPr>
                <w:noProof/>
                <w:color w:val="000000" w:themeColor="text1"/>
                <w:sz w:val="16"/>
                <w:szCs w:val="16"/>
              </w:rPr>
            </w:pPr>
            <w:r>
              <w:rPr>
                <w:noProof/>
                <w:color w:val="000000" w:themeColor="text1"/>
                <w:sz w:val="16"/>
                <w:szCs w:val="16"/>
              </w:rPr>
              <w:t>42 * 10</w:t>
            </w:r>
            <w:r>
              <w:rPr>
                <w:noProof/>
                <w:color w:val="000000" w:themeColor="text1"/>
                <w:sz w:val="16"/>
                <w:szCs w:val="16"/>
                <w:vertAlign w:val="superscript"/>
              </w:rPr>
              <w:t>6</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tcPr>
          <w:p w14:paraId="20FCFDE7" w14:textId="77777777" w:rsidR="004D45F1" w:rsidRDefault="004D45F1">
            <w:pPr>
              <w:jc w:val="center"/>
              <w:rPr>
                <w:noProof/>
                <w:color w:val="000000" w:themeColor="text1"/>
                <w:sz w:val="16"/>
                <w:szCs w:val="16"/>
              </w:rPr>
            </w:pPr>
          </w:p>
        </w:tc>
        <w:tc>
          <w:tcPr>
            <w:tcW w:w="885"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24A53AB2" w14:textId="77777777" w:rsidR="004D45F1" w:rsidRDefault="004D45F1">
            <w:pPr>
              <w:jc w:val="center"/>
              <w:rPr>
                <w:noProof/>
                <w:color w:val="000000" w:themeColor="text1"/>
                <w:sz w:val="16"/>
                <w:szCs w:val="16"/>
                <w:vertAlign w:val="subscript"/>
              </w:rPr>
            </w:pPr>
            <w:r>
              <w:rPr>
                <w:noProof/>
                <w:color w:val="000000" w:themeColor="text1"/>
                <w:sz w:val="16"/>
                <w:szCs w:val="16"/>
              </w:rPr>
              <w:t>38 * 10</w:t>
            </w:r>
            <w:r>
              <w:rPr>
                <w:noProof/>
                <w:color w:val="000000" w:themeColor="text1"/>
                <w:sz w:val="16"/>
                <w:szCs w:val="16"/>
                <w:vertAlign w:val="superscript"/>
              </w:rPr>
              <w:t>6</w:t>
            </w: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tcPr>
          <w:p w14:paraId="71C985D8" w14:textId="77777777" w:rsidR="004D45F1" w:rsidRDefault="004D45F1">
            <w:pPr>
              <w:jc w:val="center"/>
              <w:rPr>
                <w:noProof/>
                <w:color w:val="000000" w:themeColor="text1"/>
                <w:sz w:val="16"/>
                <w:szCs w:val="16"/>
              </w:rPr>
            </w:pPr>
          </w:p>
        </w:tc>
        <w:tc>
          <w:tcPr>
            <w:tcW w:w="886" w:type="dxa"/>
            <w:tcBorders>
              <w:top w:val="nil"/>
              <w:left w:val="single" w:sz="4" w:space="0" w:color="0055A0"/>
              <w:bottom w:val="single" w:sz="4" w:space="0" w:color="auto"/>
              <w:right w:val="single" w:sz="4" w:space="0" w:color="0055A0"/>
            </w:tcBorders>
            <w:shd w:val="clear" w:color="auto" w:fill="FDE9D9" w:themeFill="accent6" w:themeFillTint="33"/>
            <w:noWrap/>
            <w:hideMark/>
          </w:tcPr>
          <w:p w14:paraId="5B209EBC" w14:textId="77777777" w:rsidR="004D45F1" w:rsidRDefault="004D45F1">
            <w:pPr>
              <w:jc w:val="center"/>
              <w:rPr>
                <w:noProof/>
                <w:color w:val="000000" w:themeColor="text1"/>
                <w:sz w:val="16"/>
                <w:szCs w:val="16"/>
              </w:rPr>
            </w:pPr>
            <w:r>
              <w:rPr>
                <w:noProof/>
                <w:color w:val="000000" w:themeColor="text1"/>
                <w:sz w:val="16"/>
                <w:szCs w:val="16"/>
              </w:rPr>
              <w:t>27 * 10</w:t>
            </w:r>
            <w:r>
              <w:rPr>
                <w:noProof/>
                <w:color w:val="000000" w:themeColor="text1"/>
                <w:sz w:val="16"/>
                <w:szCs w:val="16"/>
                <w:vertAlign w:val="superscript"/>
              </w:rPr>
              <w:t>6</w:t>
            </w:r>
          </w:p>
        </w:tc>
      </w:tr>
      <w:tr w:rsidR="004D45F1" w14:paraId="69E694CD"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val="restart"/>
            <w:tcBorders>
              <w:top w:val="single" w:sz="4" w:space="0" w:color="auto"/>
              <w:left w:val="single" w:sz="4" w:space="0" w:color="0055A0"/>
              <w:bottom w:val="single" w:sz="4" w:space="0" w:color="auto"/>
            </w:tcBorders>
            <w:noWrap/>
            <w:hideMark/>
          </w:tcPr>
          <w:p w14:paraId="175DDB81" w14:textId="77777777" w:rsidR="004D45F1" w:rsidRDefault="004D45F1">
            <w:pPr>
              <w:rPr>
                <w:noProof/>
                <w:color w:val="000000"/>
                <w:sz w:val="16"/>
                <w:szCs w:val="16"/>
              </w:rPr>
            </w:pPr>
            <w:r>
              <w:rPr>
                <w:noProof/>
                <w:color w:val="000000"/>
                <w:sz w:val="16"/>
                <w:szCs w:val="16"/>
              </w:rPr>
              <w:t>Critical use halons</w:t>
            </w:r>
          </w:p>
        </w:tc>
        <w:tc>
          <w:tcPr>
            <w:tcW w:w="1253" w:type="dxa"/>
            <w:tcBorders>
              <w:top w:val="single" w:sz="4" w:space="0" w:color="auto"/>
              <w:bottom w:val="nil"/>
            </w:tcBorders>
            <w:noWrap/>
            <w:hideMark/>
          </w:tcPr>
          <w:p w14:paraId="06BAA607" w14:textId="77777777" w:rsidR="004D45F1" w:rsidRDefault="004D45F1">
            <w:pPr>
              <w:rPr>
                <w:noProof/>
                <w:color w:val="000000"/>
                <w:sz w:val="16"/>
                <w:szCs w:val="16"/>
              </w:rPr>
            </w:pPr>
            <w:r>
              <w:rPr>
                <w:noProof/>
                <w:color w:val="000000"/>
                <w:sz w:val="16"/>
                <w:szCs w:val="16"/>
              </w:rPr>
              <w:t>Stock</w:t>
            </w:r>
          </w:p>
        </w:tc>
        <w:tc>
          <w:tcPr>
            <w:tcW w:w="885" w:type="dxa"/>
            <w:tcBorders>
              <w:top w:val="single" w:sz="4" w:space="0" w:color="auto"/>
              <w:bottom w:val="nil"/>
            </w:tcBorders>
            <w:noWrap/>
            <w:hideMark/>
          </w:tcPr>
          <w:p w14:paraId="41801CEE" w14:textId="77777777" w:rsidR="004D45F1" w:rsidRDefault="004D45F1">
            <w:pPr>
              <w:jc w:val="center"/>
              <w:rPr>
                <w:noProof/>
                <w:color w:val="000000" w:themeColor="text1"/>
                <w:sz w:val="16"/>
                <w:szCs w:val="16"/>
              </w:rPr>
            </w:pPr>
            <w:r>
              <w:rPr>
                <w:noProof/>
                <w:sz w:val="16"/>
                <w:szCs w:val="16"/>
              </w:rPr>
              <w:t>5,586</w:t>
            </w:r>
          </w:p>
        </w:tc>
        <w:tc>
          <w:tcPr>
            <w:tcW w:w="886" w:type="dxa"/>
            <w:tcBorders>
              <w:top w:val="single" w:sz="4" w:space="0" w:color="auto"/>
              <w:bottom w:val="nil"/>
            </w:tcBorders>
            <w:noWrap/>
            <w:hideMark/>
          </w:tcPr>
          <w:p w14:paraId="6AE2ADC0" w14:textId="77777777" w:rsidR="004D45F1" w:rsidRDefault="004D45F1">
            <w:pPr>
              <w:jc w:val="center"/>
              <w:rPr>
                <w:noProof/>
                <w:color w:val="000000" w:themeColor="text1"/>
                <w:sz w:val="16"/>
                <w:szCs w:val="16"/>
              </w:rPr>
            </w:pPr>
            <w:r>
              <w:rPr>
                <w:noProof/>
                <w:sz w:val="16"/>
                <w:szCs w:val="16"/>
              </w:rPr>
              <w:t>5,210</w:t>
            </w:r>
          </w:p>
        </w:tc>
        <w:tc>
          <w:tcPr>
            <w:tcW w:w="885" w:type="dxa"/>
            <w:tcBorders>
              <w:top w:val="single" w:sz="4" w:space="0" w:color="auto"/>
              <w:bottom w:val="nil"/>
            </w:tcBorders>
            <w:noWrap/>
            <w:hideMark/>
          </w:tcPr>
          <w:p w14:paraId="1530900B" w14:textId="77777777" w:rsidR="004D45F1" w:rsidRDefault="004D45F1">
            <w:pPr>
              <w:jc w:val="center"/>
              <w:rPr>
                <w:noProof/>
                <w:color w:val="000000" w:themeColor="text1"/>
                <w:sz w:val="16"/>
                <w:szCs w:val="16"/>
              </w:rPr>
            </w:pPr>
            <w:r>
              <w:rPr>
                <w:noProof/>
                <w:sz w:val="16"/>
                <w:szCs w:val="16"/>
              </w:rPr>
              <w:t>4,866</w:t>
            </w:r>
          </w:p>
        </w:tc>
        <w:tc>
          <w:tcPr>
            <w:tcW w:w="886" w:type="dxa"/>
            <w:tcBorders>
              <w:top w:val="single" w:sz="4" w:space="0" w:color="auto"/>
              <w:bottom w:val="nil"/>
            </w:tcBorders>
            <w:noWrap/>
            <w:hideMark/>
          </w:tcPr>
          <w:p w14:paraId="0312C20D" w14:textId="77777777" w:rsidR="004D45F1" w:rsidRDefault="004D45F1">
            <w:pPr>
              <w:jc w:val="center"/>
              <w:rPr>
                <w:noProof/>
                <w:color w:val="000000" w:themeColor="text1"/>
                <w:sz w:val="16"/>
                <w:szCs w:val="16"/>
              </w:rPr>
            </w:pPr>
            <w:r>
              <w:rPr>
                <w:noProof/>
                <w:sz w:val="16"/>
                <w:szCs w:val="16"/>
              </w:rPr>
              <w:t>4,549</w:t>
            </w:r>
          </w:p>
        </w:tc>
        <w:tc>
          <w:tcPr>
            <w:tcW w:w="885" w:type="dxa"/>
            <w:tcBorders>
              <w:top w:val="single" w:sz="4" w:space="0" w:color="auto"/>
              <w:bottom w:val="nil"/>
            </w:tcBorders>
            <w:noWrap/>
            <w:hideMark/>
          </w:tcPr>
          <w:p w14:paraId="01AB2E37" w14:textId="77777777" w:rsidR="004D45F1" w:rsidRDefault="004D45F1">
            <w:pPr>
              <w:jc w:val="center"/>
              <w:rPr>
                <w:noProof/>
                <w:color w:val="000000" w:themeColor="text1"/>
                <w:sz w:val="16"/>
                <w:szCs w:val="16"/>
              </w:rPr>
            </w:pPr>
            <w:r>
              <w:rPr>
                <w:noProof/>
                <w:sz w:val="16"/>
                <w:szCs w:val="16"/>
              </w:rPr>
              <w:t>3,247</w:t>
            </w:r>
          </w:p>
        </w:tc>
        <w:tc>
          <w:tcPr>
            <w:tcW w:w="886" w:type="dxa"/>
            <w:tcBorders>
              <w:top w:val="single" w:sz="4" w:space="0" w:color="auto"/>
              <w:bottom w:val="nil"/>
            </w:tcBorders>
            <w:noWrap/>
            <w:hideMark/>
          </w:tcPr>
          <w:p w14:paraId="1F189E05" w14:textId="77777777" w:rsidR="004D45F1" w:rsidRDefault="004D45F1">
            <w:pPr>
              <w:jc w:val="center"/>
              <w:rPr>
                <w:noProof/>
                <w:color w:val="000000" w:themeColor="text1"/>
                <w:sz w:val="16"/>
                <w:szCs w:val="16"/>
              </w:rPr>
            </w:pPr>
            <w:r>
              <w:rPr>
                <w:noProof/>
                <w:sz w:val="16"/>
                <w:szCs w:val="16"/>
              </w:rPr>
              <w:t>0</w:t>
            </w:r>
          </w:p>
        </w:tc>
        <w:tc>
          <w:tcPr>
            <w:tcW w:w="886" w:type="dxa"/>
            <w:tcBorders>
              <w:top w:val="single" w:sz="4" w:space="0" w:color="auto"/>
              <w:bottom w:val="nil"/>
              <w:right w:val="single" w:sz="4" w:space="0" w:color="0055A0"/>
            </w:tcBorders>
            <w:noWrap/>
            <w:hideMark/>
          </w:tcPr>
          <w:p w14:paraId="0E72EC79" w14:textId="77777777" w:rsidR="004D45F1" w:rsidRDefault="004D45F1">
            <w:pPr>
              <w:jc w:val="center"/>
              <w:rPr>
                <w:noProof/>
                <w:color w:val="000000" w:themeColor="text1"/>
                <w:sz w:val="16"/>
                <w:szCs w:val="16"/>
              </w:rPr>
            </w:pPr>
            <w:r>
              <w:rPr>
                <w:noProof/>
                <w:sz w:val="16"/>
                <w:szCs w:val="16"/>
              </w:rPr>
              <w:t>0</w:t>
            </w:r>
          </w:p>
        </w:tc>
      </w:tr>
      <w:tr w:rsidR="004D45F1" w14:paraId="340EFDF0"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right w:val="single" w:sz="4" w:space="0" w:color="0055A0"/>
            </w:tcBorders>
            <w:hideMark/>
          </w:tcPr>
          <w:p w14:paraId="4DE77B2D" w14:textId="77777777" w:rsidR="004D45F1" w:rsidRDefault="004D45F1">
            <w:pPr>
              <w:spacing w:before="0"/>
              <w:rPr>
                <w:noProof/>
                <w:color w:val="000000"/>
                <w:sz w:val="16"/>
                <w:szCs w:val="16"/>
              </w:rPr>
            </w:pPr>
          </w:p>
        </w:tc>
        <w:tc>
          <w:tcPr>
            <w:tcW w:w="1253" w:type="dxa"/>
            <w:tcBorders>
              <w:top w:val="nil"/>
              <w:left w:val="single" w:sz="4" w:space="0" w:color="0055A0"/>
              <w:bottom w:val="nil"/>
              <w:right w:val="single" w:sz="4" w:space="0" w:color="0055A0"/>
            </w:tcBorders>
            <w:shd w:val="clear" w:color="auto" w:fill="B8CCE4" w:themeFill="accent1" w:themeFillTint="66"/>
            <w:noWrap/>
            <w:hideMark/>
          </w:tcPr>
          <w:p w14:paraId="446D4D1B" w14:textId="77777777" w:rsidR="004D45F1" w:rsidRDefault="004D45F1">
            <w:pPr>
              <w:rPr>
                <w:iCs/>
                <w:noProof/>
                <w:color w:val="000000"/>
                <w:sz w:val="16"/>
                <w:szCs w:val="16"/>
              </w:rPr>
            </w:pPr>
            <w:r>
              <w:rPr>
                <w:iCs/>
                <w:noProof/>
                <w:color w:val="000000"/>
                <w:sz w:val="16"/>
                <w:szCs w:val="16"/>
              </w:rPr>
              <w:t>Emissions (tODP)</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3033E3E5" w14:textId="77777777" w:rsidR="004D45F1" w:rsidRDefault="004D45F1">
            <w:pPr>
              <w:jc w:val="center"/>
              <w:rPr>
                <w:iCs/>
                <w:noProof/>
                <w:color w:val="000000"/>
                <w:sz w:val="16"/>
                <w:szCs w:val="16"/>
              </w:rPr>
            </w:pPr>
            <w:r>
              <w:rPr>
                <w:noProof/>
                <w:sz w:val="16"/>
                <w:szCs w:val="16"/>
              </w:rPr>
              <w:t>42.8</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51BA8EEC" w14:textId="77777777" w:rsidR="004D45F1" w:rsidRDefault="004D45F1">
            <w:pPr>
              <w:jc w:val="center"/>
              <w:rPr>
                <w:i/>
                <w:iCs/>
                <w:noProof/>
                <w:color w:val="000000"/>
                <w:sz w:val="16"/>
                <w:szCs w:val="16"/>
              </w:rPr>
            </w:pPr>
            <w:r>
              <w:rPr>
                <w:noProof/>
                <w:sz w:val="16"/>
                <w:szCs w:val="16"/>
              </w:rPr>
              <w:t>40.2</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7D09DF8E" w14:textId="77777777" w:rsidR="004D45F1" w:rsidRDefault="004D45F1">
            <w:pPr>
              <w:jc w:val="center"/>
              <w:rPr>
                <w:noProof/>
                <w:color w:val="000000"/>
                <w:sz w:val="16"/>
                <w:szCs w:val="16"/>
              </w:rPr>
            </w:pPr>
            <w:r>
              <w:rPr>
                <w:noProof/>
                <w:sz w:val="16"/>
                <w:szCs w:val="16"/>
              </w:rPr>
              <w:t>38.0</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7ED23308" w14:textId="77777777" w:rsidR="004D45F1" w:rsidRDefault="004D45F1">
            <w:pPr>
              <w:jc w:val="center"/>
              <w:rPr>
                <w:noProof/>
                <w:color w:val="000000"/>
                <w:sz w:val="16"/>
                <w:szCs w:val="16"/>
              </w:rPr>
            </w:pPr>
            <w:r>
              <w:rPr>
                <w:noProof/>
                <w:sz w:val="16"/>
                <w:szCs w:val="16"/>
              </w:rPr>
              <w:t>36.0</w:t>
            </w:r>
          </w:p>
        </w:tc>
        <w:tc>
          <w:tcPr>
            <w:tcW w:w="885" w:type="dxa"/>
            <w:tcBorders>
              <w:top w:val="nil"/>
              <w:left w:val="single" w:sz="4" w:space="0" w:color="0055A0"/>
              <w:bottom w:val="nil"/>
              <w:right w:val="single" w:sz="4" w:space="0" w:color="0055A0"/>
            </w:tcBorders>
            <w:shd w:val="clear" w:color="auto" w:fill="B8CCE4" w:themeFill="accent1" w:themeFillTint="66"/>
            <w:noWrap/>
            <w:hideMark/>
          </w:tcPr>
          <w:p w14:paraId="60FCC233" w14:textId="77777777" w:rsidR="004D45F1" w:rsidRDefault="004D45F1">
            <w:pPr>
              <w:jc w:val="center"/>
              <w:rPr>
                <w:noProof/>
                <w:color w:val="000000"/>
                <w:sz w:val="16"/>
                <w:szCs w:val="16"/>
              </w:rPr>
            </w:pPr>
            <w:r>
              <w:rPr>
                <w:noProof/>
                <w:sz w:val="16"/>
                <w:szCs w:val="16"/>
              </w:rPr>
              <w:t>22.6</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5BB307F3" w14:textId="77777777" w:rsidR="004D45F1" w:rsidRDefault="004D45F1">
            <w:pPr>
              <w:jc w:val="center"/>
              <w:rPr>
                <w:noProof/>
                <w:color w:val="000000"/>
                <w:sz w:val="16"/>
                <w:szCs w:val="16"/>
              </w:rPr>
            </w:pPr>
            <w:r>
              <w:rPr>
                <w:noProof/>
                <w:color w:val="000000"/>
                <w:sz w:val="16"/>
                <w:szCs w:val="16"/>
              </w:rPr>
              <w:t>0</w:t>
            </w:r>
          </w:p>
        </w:tc>
        <w:tc>
          <w:tcPr>
            <w:tcW w:w="886" w:type="dxa"/>
            <w:tcBorders>
              <w:top w:val="nil"/>
              <w:left w:val="single" w:sz="4" w:space="0" w:color="0055A0"/>
              <w:bottom w:val="nil"/>
              <w:right w:val="single" w:sz="4" w:space="0" w:color="0055A0"/>
            </w:tcBorders>
            <w:shd w:val="clear" w:color="auto" w:fill="B8CCE4" w:themeFill="accent1" w:themeFillTint="66"/>
            <w:noWrap/>
            <w:hideMark/>
          </w:tcPr>
          <w:p w14:paraId="7E44E4EB" w14:textId="77777777" w:rsidR="004D45F1" w:rsidRDefault="004D45F1">
            <w:pPr>
              <w:jc w:val="center"/>
              <w:rPr>
                <w:noProof/>
                <w:color w:val="000000"/>
                <w:sz w:val="16"/>
                <w:szCs w:val="16"/>
              </w:rPr>
            </w:pPr>
            <w:r>
              <w:rPr>
                <w:noProof/>
                <w:color w:val="000000"/>
                <w:sz w:val="16"/>
                <w:szCs w:val="16"/>
              </w:rPr>
              <w:t>0</w:t>
            </w:r>
          </w:p>
        </w:tc>
      </w:tr>
      <w:tr w:rsidR="00124EE6" w14:paraId="40C48761"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vMerge/>
            <w:tcBorders>
              <w:top w:val="single" w:sz="4" w:space="0" w:color="auto"/>
              <w:left w:val="single" w:sz="4" w:space="0" w:color="0055A0"/>
              <w:bottom w:val="single" w:sz="4" w:space="0" w:color="auto"/>
            </w:tcBorders>
            <w:hideMark/>
          </w:tcPr>
          <w:p w14:paraId="3E30AFB0" w14:textId="77777777" w:rsidR="004D45F1" w:rsidRDefault="004D45F1">
            <w:pPr>
              <w:spacing w:before="0"/>
              <w:rPr>
                <w:noProof/>
                <w:color w:val="000000"/>
                <w:sz w:val="16"/>
                <w:szCs w:val="16"/>
              </w:rPr>
            </w:pPr>
          </w:p>
        </w:tc>
        <w:tc>
          <w:tcPr>
            <w:tcW w:w="1253" w:type="dxa"/>
            <w:tcBorders>
              <w:top w:val="nil"/>
              <w:bottom w:val="single" w:sz="4" w:space="0" w:color="auto"/>
            </w:tcBorders>
            <w:shd w:val="clear" w:color="auto" w:fill="FDE9D9" w:themeFill="accent6" w:themeFillTint="33"/>
            <w:noWrap/>
            <w:hideMark/>
          </w:tcPr>
          <w:p w14:paraId="6CD0C20F" w14:textId="77777777" w:rsidR="004D45F1" w:rsidRDefault="004D45F1">
            <w:pPr>
              <w:rPr>
                <w:iCs/>
                <w:noProof/>
                <w:color w:val="000000"/>
                <w:sz w:val="16"/>
                <w:szCs w:val="16"/>
              </w:rPr>
            </w:pPr>
            <w:r>
              <w:rPr>
                <w:iCs/>
                <w:noProof/>
                <w:color w:val="000000"/>
                <w:sz w:val="16"/>
                <w:szCs w:val="16"/>
              </w:rPr>
              <w:t>Emissions (tCO2e)</w:t>
            </w:r>
          </w:p>
        </w:tc>
        <w:tc>
          <w:tcPr>
            <w:tcW w:w="885" w:type="dxa"/>
            <w:tcBorders>
              <w:top w:val="nil"/>
              <w:bottom w:val="single" w:sz="4" w:space="0" w:color="auto"/>
            </w:tcBorders>
            <w:shd w:val="clear" w:color="auto" w:fill="FDE9D9" w:themeFill="accent6" w:themeFillTint="33"/>
            <w:noWrap/>
            <w:hideMark/>
          </w:tcPr>
          <w:p w14:paraId="1FB1B276" w14:textId="77777777" w:rsidR="004D45F1" w:rsidRDefault="004D45F1">
            <w:pPr>
              <w:jc w:val="center"/>
              <w:rPr>
                <w:noProof/>
                <w:color w:val="000000"/>
                <w:sz w:val="16"/>
                <w:szCs w:val="16"/>
              </w:rPr>
            </w:pPr>
            <w:r>
              <w:rPr>
                <w:noProof/>
                <w:sz w:val="16"/>
                <w:szCs w:val="16"/>
              </w:rPr>
              <w:t>26,619</w:t>
            </w:r>
          </w:p>
        </w:tc>
        <w:tc>
          <w:tcPr>
            <w:tcW w:w="886" w:type="dxa"/>
            <w:tcBorders>
              <w:top w:val="nil"/>
              <w:bottom w:val="single" w:sz="4" w:space="0" w:color="auto"/>
            </w:tcBorders>
            <w:shd w:val="clear" w:color="auto" w:fill="FDE9D9" w:themeFill="accent6" w:themeFillTint="33"/>
            <w:noWrap/>
            <w:hideMark/>
          </w:tcPr>
          <w:p w14:paraId="7F1819D4" w14:textId="77777777" w:rsidR="004D45F1" w:rsidRDefault="004D45F1">
            <w:pPr>
              <w:jc w:val="center"/>
              <w:rPr>
                <w:noProof/>
                <w:color w:val="000000"/>
                <w:sz w:val="16"/>
                <w:szCs w:val="16"/>
              </w:rPr>
            </w:pPr>
            <w:r>
              <w:rPr>
                <w:noProof/>
                <w:sz w:val="16"/>
                <w:szCs w:val="16"/>
              </w:rPr>
              <w:t>25,017</w:t>
            </w:r>
          </w:p>
        </w:tc>
        <w:tc>
          <w:tcPr>
            <w:tcW w:w="885" w:type="dxa"/>
            <w:tcBorders>
              <w:top w:val="nil"/>
              <w:bottom w:val="single" w:sz="4" w:space="0" w:color="auto"/>
            </w:tcBorders>
            <w:shd w:val="clear" w:color="auto" w:fill="FDE9D9" w:themeFill="accent6" w:themeFillTint="33"/>
            <w:noWrap/>
            <w:hideMark/>
          </w:tcPr>
          <w:p w14:paraId="5AA3C65C" w14:textId="77777777" w:rsidR="004D45F1" w:rsidRDefault="004D45F1">
            <w:pPr>
              <w:jc w:val="center"/>
              <w:rPr>
                <w:noProof/>
                <w:color w:val="000000"/>
                <w:sz w:val="16"/>
                <w:szCs w:val="16"/>
              </w:rPr>
            </w:pPr>
            <w:r>
              <w:rPr>
                <w:noProof/>
                <w:sz w:val="16"/>
                <w:szCs w:val="16"/>
              </w:rPr>
              <w:t>23,653</w:t>
            </w:r>
          </w:p>
        </w:tc>
        <w:tc>
          <w:tcPr>
            <w:tcW w:w="886" w:type="dxa"/>
            <w:tcBorders>
              <w:top w:val="nil"/>
              <w:bottom w:val="single" w:sz="4" w:space="0" w:color="auto"/>
            </w:tcBorders>
            <w:shd w:val="clear" w:color="auto" w:fill="FDE9D9" w:themeFill="accent6" w:themeFillTint="33"/>
            <w:noWrap/>
            <w:hideMark/>
          </w:tcPr>
          <w:p w14:paraId="57FDAA70" w14:textId="77777777" w:rsidR="004D45F1" w:rsidRDefault="004D45F1">
            <w:pPr>
              <w:jc w:val="center"/>
              <w:rPr>
                <w:noProof/>
                <w:color w:val="000000"/>
                <w:sz w:val="16"/>
                <w:szCs w:val="16"/>
              </w:rPr>
            </w:pPr>
            <w:r>
              <w:rPr>
                <w:noProof/>
                <w:sz w:val="16"/>
                <w:szCs w:val="16"/>
              </w:rPr>
              <w:t>22,400</w:t>
            </w:r>
          </w:p>
        </w:tc>
        <w:tc>
          <w:tcPr>
            <w:tcW w:w="885" w:type="dxa"/>
            <w:tcBorders>
              <w:top w:val="nil"/>
              <w:bottom w:val="single" w:sz="4" w:space="0" w:color="auto"/>
            </w:tcBorders>
            <w:shd w:val="clear" w:color="auto" w:fill="FDE9D9" w:themeFill="accent6" w:themeFillTint="33"/>
            <w:noWrap/>
            <w:hideMark/>
          </w:tcPr>
          <w:p w14:paraId="39805D8F" w14:textId="77777777" w:rsidR="004D45F1" w:rsidRDefault="004D45F1">
            <w:pPr>
              <w:jc w:val="center"/>
              <w:rPr>
                <w:noProof/>
                <w:color w:val="000000"/>
                <w:sz w:val="16"/>
                <w:szCs w:val="16"/>
              </w:rPr>
            </w:pPr>
            <w:r>
              <w:rPr>
                <w:noProof/>
                <w:sz w:val="16"/>
                <w:szCs w:val="16"/>
              </w:rPr>
              <w:t>14,095</w:t>
            </w:r>
          </w:p>
        </w:tc>
        <w:tc>
          <w:tcPr>
            <w:tcW w:w="886" w:type="dxa"/>
            <w:tcBorders>
              <w:top w:val="nil"/>
              <w:bottom w:val="single" w:sz="4" w:space="0" w:color="auto"/>
            </w:tcBorders>
            <w:shd w:val="clear" w:color="auto" w:fill="FDE9D9" w:themeFill="accent6" w:themeFillTint="33"/>
            <w:noWrap/>
            <w:hideMark/>
          </w:tcPr>
          <w:p w14:paraId="0C920CBF" w14:textId="77777777" w:rsidR="004D45F1" w:rsidRDefault="004D45F1">
            <w:pPr>
              <w:jc w:val="center"/>
              <w:rPr>
                <w:noProof/>
                <w:color w:val="000000"/>
                <w:sz w:val="16"/>
                <w:szCs w:val="16"/>
              </w:rPr>
            </w:pPr>
            <w:r>
              <w:rPr>
                <w:noProof/>
                <w:sz w:val="16"/>
                <w:szCs w:val="16"/>
              </w:rPr>
              <w:t>0</w:t>
            </w:r>
          </w:p>
        </w:tc>
        <w:tc>
          <w:tcPr>
            <w:tcW w:w="886" w:type="dxa"/>
            <w:tcBorders>
              <w:top w:val="nil"/>
              <w:bottom w:val="single" w:sz="4" w:space="0" w:color="auto"/>
              <w:right w:val="single" w:sz="4" w:space="0" w:color="0055A0"/>
            </w:tcBorders>
            <w:shd w:val="clear" w:color="auto" w:fill="FDE9D9" w:themeFill="accent6" w:themeFillTint="33"/>
            <w:noWrap/>
            <w:hideMark/>
          </w:tcPr>
          <w:p w14:paraId="59FFAE09" w14:textId="77777777" w:rsidR="004D45F1" w:rsidRDefault="004D45F1">
            <w:pPr>
              <w:jc w:val="center"/>
              <w:rPr>
                <w:noProof/>
                <w:color w:val="000000"/>
                <w:sz w:val="16"/>
                <w:szCs w:val="16"/>
              </w:rPr>
            </w:pPr>
            <w:r>
              <w:rPr>
                <w:noProof/>
                <w:sz w:val="16"/>
                <w:szCs w:val="16"/>
              </w:rPr>
              <w:t>0</w:t>
            </w:r>
          </w:p>
        </w:tc>
      </w:tr>
      <w:tr w:rsidR="004D45F1" w14:paraId="26A071CE" w14:textId="77777777" w:rsidTr="004D45F1">
        <w:trPr>
          <w:cnfStyle w:val="000000100000" w:firstRow="0" w:lastRow="0" w:firstColumn="0" w:lastColumn="0" w:oddVBand="0" w:evenVBand="0" w:oddHBand="1" w:evenHBand="0" w:firstRowFirstColumn="0" w:firstRowLastColumn="0" w:lastRowFirstColumn="0" w:lastRowLastColumn="0"/>
          <w:trHeight w:val="255"/>
        </w:trPr>
        <w:tc>
          <w:tcPr>
            <w:tcW w:w="1555" w:type="dxa"/>
            <w:tcBorders>
              <w:top w:val="single" w:sz="4" w:space="0" w:color="auto"/>
              <w:left w:val="single" w:sz="4" w:space="0" w:color="0055A0"/>
              <w:bottom w:val="single" w:sz="4" w:space="0" w:color="auto"/>
              <w:right w:val="single" w:sz="4" w:space="0" w:color="0055A0"/>
            </w:tcBorders>
            <w:noWrap/>
            <w:hideMark/>
          </w:tcPr>
          <w:p w14:paraId="4E8A7498" w14:textId="77777777" w:rsidR="004D45F1" w:rsidRDefault="004D45F1">
            <w:pPr>
              <w:rPr>
                <w:noProof/>
                <w:color w:val="000000"/>
                <w:sz w:val="16"/>
                <w:szCs w:val="16"/>
              </w:rPr>
            </w:pPr>
            <w:r>
              <w:rPr>
                <w:noProof/>
                <w:color w:val="000000"/>
                <w:sz w:val="16"/>
                <w:szCs w:val="16"/>
              </w:rPr>
              <w:t>Imports</w:t>
            </w:r>
          </w:p>
        </w:tc>
        <w:tc>
          <w:tcPr>
            <w:tcW w:w="1253" w:type="dxa"/>
            <w:tcBorders>
              <w:top w:val="single" w:sz="4" w:space="0" w:color="auto"/>
              <w:left w:val="single" w:sz="4" w:space="0" w:color="0055A0"/>
              <w:bottom w:val="single" w:sz="4" w:space="0" w:color="auto"/>
              <w:right w:val="single" w:sz="4" w:space="0" w:color="0055A0"/>
            </w:tcBorders>
            <w:noWrap/>
            <w:hideMark/>
          </w:tcPr>
          <w:p w14:paraId="30A7DBB0" w14:textId="77777777" w:rsidR="004D45F1" w:rsidRDefault="004D45F1">
            <w:pPr>
              <w:rPr>
                <w:noProof/>
                <w:color w:val="000000"/>
                <w:sz w:val="16"/>
                <w:szCs w:val="16"/>
              </w:rPr>
            </w:pPr>
            <w:r>
              <w:rPr>
                <w:noProof/>
                <w:color w:val="000000"/>
                <w:sz w:val="16"/>
                <w:szCs w:val="16"/>
              </w:rPr>
              <w:t>Annual flow</w:t>
            </w:r>
          </w:p>
        </w:tc>
        <w:tc>
          <w:tcPr>
            <w:tcW w:w="885" w:type="dxa"/>
            <w:tcBorders>
              <w:top w:val="single" w:sz="4" w:space="0" w:color="auto"/>
              <w:left w:val="single" w:sz="4" w:space="0" w:color="0055A0"/>
              <w:bottom w:val="single" w:sz="4" w:space="0" w:color="auto"/>
              <w:right w:val="single" w:sz="4" w:space="0" w:color="0055A0"/>
            </w:tcBorders>
            <w:noWrap/>
            <w:hideMark/>
          </w:tcPr>
          <w:p w14:paraId="32A3BB11" w14:textId="77777777" w:rsidR="004D45F1" w:rsidRDefault="004D45F1">
            <w:pPr>
              <w:jc w:val="center"/>
              <w:rPr>
                <w:noProof/>
                <w:color w:val="000000" w:themeColor="text1"/>
                <w:sz w:val="16"/>
                <w:szCs w:val="16"/>
              </w:rPr>
            </w:pPr>
            <w:r>
              <w:rPr>
                <w:noProof/>
                <w:sz w:val="16"/>
                <w:szCs w:val="16"/>
              </w:rPr>
              <w:t>4,202</w:t>
            </w:r>
          </w:p>
        </w:tc>
        <w:tc>
          <w:tcPr>
            <w:tcW w:w="886" w:type="dxa"/>
            <w:tcBorders>
              <w:top w:val="single" w:sz="4" w:space="0" w:color="auto"/>
              <w:left w:val="single" w:sz="4" w:space="0" w:color="0055A0"/>
              <w:bottom w:val="single" w:sz="4" w:space="0" w:color="auto"/>
              <w:right w:val="single" w:sz="4" w:space="0" w:color="0055A0"/>
            </w:tcBorders>
            <w:noWrap/>
            <w:hideMark/>
          </w:tcPr>
          <w:p w14:paraId="4E4C43A2" w14:textId="77777777" w:rsidR="004D45F1" w:rsidRDefault="004D45F1">
            <w:pPr>
              <w:jc w:val="center"/>
              <w:rPr>
                <w:noProof/>
                <w:color w:val="000000" w:themeColor="text1"/>
                <w:sz w:val="16"/>
                <w:szCs w:val="16"/>
              </w:rPr>
            </w:pPr>
            <w:r>
              <w:rPr>
                <w:noProof/>
                <w:sz w:val="16"/>
                <w:szCs w:val="16"/>
              </w:rPr>
              <w:t>4,096</w:t>
            </w:r>
          </w:p>
        </w:tc>
        <w:tc>
          <w:tcPr>
            <w:tcW w:w="885" w:type="dxa"/>
            <w:tcBorders>
              <w:top w:val="single" w:sz="4" w:space="0" w:color="auto"/>
              <w:left w:val="single" w:sz="4" w:space="0" w:color="0055A0"/>
              <w:bottom w:val="single" w:sz="4" w:space="0" w:color="auto"/>
              <w:right w:val="single" w:sz="4" w:space="0" w:color="0055A0"/>
            </w:tcBorders>
            <w:noWrap/>
            <w:hideMark/>
          </w:tcPr>
          <w:p w14:paraId="5ECB6A21" w14:textId="77777777" w:rsidR="004D45F1" w:rsidRDefault="004D45F1">
            <w:pPr>
              <w:jc w:val="center"/>
              <w:rPr>
                <w:noProof/>
                <w:color w:val="000000" w:themeColor="text1"/>
                <w:sz w:val="16"/>
                <w:szCs w:val="16"/>
              </w:rPr>
            </w:pPr>
            <w:r>
              <w:rPr>
                <w:noProof/>
                <w:sz w:val="16"/>
                <w:szCs w:val="16"/>
              </w:rPr>
              <w:t>3,961</w:t>
            </w:r>
          </w:p>
        </w:tc>
        <w:tc>
          <w:tcPr>
            <w:tcW w:w="886" w:type="dxa"/>
            <w:tcBorders>
              <w:top w:val="single" w:sz="4" w:space="0" w:color="auto"/>
              <w:left w:val="single" w:sz="4" w:space="0" w:color="0055A0"/>
              <w:bottom w:val="single" w:sz="4" w:space="0" w:color="auto"/>
              <w:right w:val="single" w:sz="4" w:space="0" w:color="0055A0"/>
            </w:tcBorders>
            <w:noWrap/>
            <w:hideMark/>
          </w:tcPr>
          <w:p w14:paraId="3CB34A62" w14:textId="77777777" w:rsidR="004D45F1" w:rsidRDefault="004D45F1">
            <w:pPr>
              <w:jc w:val="center"/>
              <w:rPr>
                <w:noProof/>
                <w:color w:val="000000" w:themeColor="text1"/>
                <w:sz w:val="16"/>
                <w:szCs w:val="16"/>
              </w:rPr>
            </w:pPr>
            <w:r>
              <w:rPr>
                <w:noProof/>
                <w:sz w:val="16"/>
                <w:szCs w:val="16"/>
              </w:rPr>
              <w:t>3,826</w:t>
            </w:r>
          </w:p>
        </w:tc>
        <w:tc>
          <w:tcPr>
            <w:tcW w:w="885" w:type="dxa"/>
            <w:tcBorders>
              <w:top w:val="single" w:sz="4" w:space="0" w:color="auto"/>
              <w:left w:val="single" w:sz="4" w:space="0" w:color="0055A0"/>
              <w:bottom w:val="single" w:sz="4" w:space="0" w:color="auto"/>
              <w:right w:val="single" w:sz="4" w:space="0" w:color="0055A0"/>
            </w:tcBorders>
            <w:noWrap/>
            <w:hideMark/>
          </w:tcPr>
          <w:p w14:paraId="453955A3" w14:textId="77777777" w:rsidR="004D45F1" w:rsidRDefault="004D45F1">
            <w:pPr>
              <w:jc w:val="center"/>
              <w:rPr>
                <w:noProof/>
                <w:color w:val="000000" w:themeColor="text1"/>
                <w:sz w:val="16"/>
                <w:szCs w:val="16"/>
              </w:rPr>
            </w:pPr>
            <w:r>
              <w:rPr>
                <w:noProof/>
                <w:sz w:val="16"/>
                <w:szCs w:val="16"/>
              </w:rPr>
              <w:t>3,695</w:t>
            </w:r>
          </w:p>
        </w:tc>
        <w:tc>
          <w:tcPr>
            <w:tcW w:w="886" w:type="dxa"/>
            <w:tcBorders>
              <w:top w:val="single" w:sz="4" w:space="0" w:color="auto"/>
              <w:left w:val="single" w:sz="4" w:space="0" w:color="0055A0"/>
              <w:bottom w:val="single" w:sz="4" w:space="0" w:color="auto"/>
              <w:right w:val="single" w:sz="4" w:space="0" w:color="0055A0"/>
            </w:tcBorders>
            <w:noWrap/>
            <w:hideMark/>
          </w:tcPr>
          <w:p w14:paraId="4397255B" w14:textId="77777777" w:rsidR="004D45F1" w:rsidRDefault="004D45F1">
            <w:pPr>
              <w:jc w:val="center"/>
              <w:rPr>
                <w:noProof/>
                <w:color w:val="000000" w:themeColor="text1"/>
                <w:sz w:val="16"/>
                <w:szCs w:val="16"/>
              </w:rPr>
            </w:pPr>
            <w:r>
              <w:rPr>
                <w:noProof/>
                <w:sz w:val="16"/>
                <w:szCs w:val="16"/>
              </w:rPr>
              <w:t>3,569</w:t>
            </w:r>
          </w:p>
        </w:tc>
        <w:tc>
          <w:tcPr>
            <w:tcW w:w="886" w:type="dxa"/>
            <w:tcBorders>
              <w:top w:val="single" w:sz="4" w:space="0" w:color="auto"/>
              <w:left w:val="single" w:sz="4" w:space="0" w:color="0055A0"/>
              <w:bottom w:val="single" w:sz="4" w:space="0" w:color="auto"/>
              <w:right w:val="single" w:sz="4" w:space="0" w:color="0055A0"/>
            </w:tcBorders>
            <w:noWrap/>
            <w:hideMark/>
          </w:tcPr>
          <w:p w14:paraId="1880F76B" w14:textId="77777777" w:rsidR="004D45F1" w:rsidRDefault="004D45F1">
            <w:pPr>
              <w:jc w:val="center"/>
              <w:rPr>
                <w:noProof/>
                <w:color w:val="000000" w:themeColor="text1"/>
                <w:sz w:val="16"/>
                <w:szCs w:val="16"/>
              </w:rPr>
            </w:pPr>
            <w:r>
              <w:rPr>
                <w:noProof/>
                <w:sz w:val="16"/>
                <w:szCs w:val="16"/>
              </w:rPr>
              <w:t>3,447</w:t>
            </w:r>
          </w:p>
        </w:tc>
      </w:tr>
      <w:tr w:rsidR="004D45F1" w14:paraId="77CDABCE" w14:textId="77777777" w:rsidTr="004D45F1">
        <w:trPr>
          <w:cnfStyle w:val="000000010000" w:firstRow="0" w:lastRow="0" w:firstColumn="0" w:lastColumn="0" w:oddVBand="0" w:evenVBand="0" w:oddHBand="0" w:evenHBand="1" w:firstRowFirstColumn="0" w:firstRowLastColumn="0" w:lastRowFirstColumn="0" w:lastRowLastColumn="0"/>
          <w:trHeight w:val="255"/>
        </w:trPr>
        <w:tc>
          <w:tcPr>
            <w:tcW w:w="1555" w:type="dxa"/>
            <w:tcBorders>
              <w:top w:val="single" w:sz="4" w:space="0" w:color="auto"/>
              <w:left w:val="single" w:sz="4" w:space="0" w:color="0055A0"/>
              <w:bottom w:val="single" w:sz="4" w:space="0" w:color="0055A0"/>
            </w:tcBorders>
            <w:noWrap/>
            <w:hideMark/>
          </w:tcPr>
          <w:p w14:paraId="743AAC92" w14:textId="77777777" w:rsidR="004D45F1" w:rsidRDefault="004D45F1">
            <w:pPr>
              <w:rPr>
                <w:noProof/>
                <w:color w:val="000000"/>
                <w:sz w:val="16"/>
                <w:szCs w:val="16"/>
              </w:rPr>
            </w:pPr>
            <w:r>
              <w:rPr>
                <w:noProof/>
                <w:color w:val="000000"/>
                <w:sz w:val="16"/>
                <w:szCs w:val="16"/>
              </w:rPr>
              <w:t>Exports</w:t>
            </w:r>
          </w:p>
        </w:tc>
        <w:tc>
          <w:tcPr>
            <w:tcW w:w="1253" w:type="dxa"/>
            <w:tcBorders>
              <w:top w:val="single" w:sz="4" w:space="0" w:color="auto"/>
              <w:bottom w:val="single" w:sz="4" w:space="0" w:color="0055A0"/>
            </w:tcBorders>
            <w:noWrap/>
            <w:hideMark/>
          </w:tcPr>
          <w:p w14:paraId="09FB5AD9" w14:textId="77777777" w:rsidR="004D45F1" w:rsidRDefault="004D45F1">
            <w:pPr>
              <w:rPr>
                <w:noProof/>
                <w:color w:val="000000"/>
                <w:sz w:val="16"/>
                <w:szCs w:val="16"/>
              </w:rPr>
            </w:pPr>
            <w:r>
              <w:rPr>
                <w:noProof/>
                <w:color w:val="000000"/>
                <w:sz w:val="16"/>
                <w:szCs w:val="16"/>
              </w:rPr>
              <w:t>Annual flow</w:t>
            </w:r>
          </w:p>
        </w:tc>
        <w:tc>
          <w:tcPr>
            <w:tcW w:w="885" w:type="dxa"/>
            <w:tcBorders>
              <w:top w:val="single" w:sz="4" w:space="0" w:color="auto"/>
              <w:bottom w:val="single" w:sz="4" w:space="0" w:color="0055A0"/>
            </w:tcBorders>
            <w:noWrap/>
            <w:vAlign w:val="top"/>
            <w:hideMark/>
          </w:tcPr>
          <w:p w14:paraId="0AD8E96A" w14:textId="77777777" w:rsidR="004D45F1" w:rsidRDefault="004D45F1">
            <w:pPr>
              <w:jc w:val="center"/>
              <w:rPr>
                <w:noProof/>
                <w:color w:val="000000" w:themeColor="text1"/>
                <w:sz w:val="16"/>
                <w:szCs w:val="16"/>
              </w:rPr>
            </w:pPr>
            <w:r>
              <w:rPr>
                <w:noProof/>
                <w:sz w:val="16"/>
                <w:szCs w:val="16"/>
              </w:rPr>
              <w:t xml:space="preserve"> 15,970 </w:t>
            </w:r>
          </w:p>
        </w:tc>
        <w:tc>
          <w:tcPr>
            <w:tcW w:w="886" w:type="dxa"/>
            <w:tcBorders>
              <w:top w:val="single" w:sz="4" w:space="0" w:color="auto"/>
              <w:bottom w:val="single" w:sz="4" w:space="0" w:color="0055A0"/>
            </w:tcBorders>
            <w:noWrap/>
            <w:vAlign w:val="top"/>
            <w:hideMark/>
          </w:tcPr>
          <w:p w14:paraId="3E7F2BEC" w14:textId="77777777" w:rsidR="004D45F1" w:rsidRDefault="004D45F1">
            <w:pPr>
              <w:jc w:val="center"/>
              <w:rPr>
                <w:noProof/>
                <w:color w:val="000000" w:themeColor="text1"/>
                <w:sz w:val="16"/>
                <w:szCs w:val="16"/>
              </w:rPr>
            </w:pPr>
            <w:r>
              <w:rPr>
                <w:noProof/>
                <w:sz w:val="16"/>
                <w:szCs w:val="16"/>
              </w:rPr>
              <w:t xml:space="preserve"> 16,272 </w:t>
            </w:r>
          </w:p>
        </w:tc>
        <w:tc>
          <w:tcPr>
            <w:tcW w:w="885" w:type="dxa"/>
            <w:tcBorders>
              <w:top w:val="single" w:sz="4" w:space="0" w:color="auto"/>
              <w:bottom w:val="single" w:sz="4" w:space="0" w:color="0055A0"/>
            </w:tcBorders>
            <w:noWrap/>
            <w:vAlign w:val="top"/>
            <w:hideMark/>
          </w:tcPr>
          <w:p w14:paraId="2FC4E137" w14:textId="77777777" w:rsidR="004D45F1" w:rsidRDefault="004D45F1">
            <w:pPr>
              <w:jc w:val="center"/>
              <w:rPr>
                <w:noProof/>
                <w:color w:val="000000" w:themeColor="text1"/>
                <w:sz w:val="16"/>
                <w:szCs w:val="16"/>
              </w:rPr>
            </w:pPr>
            <w:r>
              <w:rPr>
                <w:noProof/>
                <w:sz w:val="16"/>
                <w:szCs w:val="16"/>
              </w:rPr>
              <w:t xml:space="preserve"> 16,166 </w:t>
            </w:r>
          </w:p>
        </w:tc>
        <w:tc>
          <w:tcPr>
            <w:tcW w:w="886" w:type="dxa"/>
            <w:tcBorders>
              <w:top w:val="single" w:sz="4" w:space="0" w:color="auto"/>
              <w:bottom w:val="single" w:sz="4" w:space="0" w:color="0055A0"/>
            </w:tcBorders>
            <w:noWrap/>
            <w:vAlign w:val="top"/>
            <w:hideMark/>
          </w:tcPr>
          <w:p w14:paraId="2F00C4B6" w14:textId="77777777" w:rsidR="004D45F1" w:rsidRDefault="004D45F1">
            <w:pPr>
              <w:jc w:val="center"/>
              <w:rPr>
                <w:noProof/>
                <w:color w:val="000000" w:themeColor="text1"/>
                <w:sz w:val="16"/>
                <w:szCs w:val="16"/>
              </w:rPr>
            </w:pPr>
            <w:r>
              <w:rPr>
                <w:noProof/>
                <w:sz w:val="16"/>
                <w:szCs w:val="16"/>
              </w:rPr>
              <w:t xml:space="preserve"> 16,031 </w:t>
            </w:r>
          </w:p>
        </w:tc>
        <w:tc>
          <w:tcPr>
            <w:tcW w:w="885" w:type="dxa"/>
            <w:tcBorders>
              <w:top w:val="single" w:sz="4" w:space="0" w:color="auto"/>
              <w:bottom w:val="single" w:sz="4" w:space="0" w:color="0055A0"/>
            </w:tcBorders>
            <w:noWrap/>
            <w:vAlign w:val="top"/>
            <w:hideMark/>
          </w:tcPr>
          <w:p w14:paraId="4B8749C4" w14:textId="77777777" w:rsidR="004D45F1" w:rsidRDefault="004D45F1">
            <w:pPr>
              <w:jc w:val="center"/>
              <w:rPr>
                <w:noProof/>
                <w:color w:val="000000" w:themeColor="text1"/>
                <w:sz w:val="16"/>
                <w:szCs w:val="16"/>
              </w:rPr>
            </w:pPr>
            <w:r>
              <w:rPr>
                <w:noProof/>
                <w:sz w:val="16"/>
                <w:szCs w:val="16"/>
              </w:rPr>
              <w:t xml:space="preserve"> 15,896 </w:t>
            </w:r>
          </w:p>
        </w:tc>
        <w:tc>
          <w:tcPr>
            <w:tcW w:w="886" w:type="dxa"/>
            <w:tcBorders>
              <w:top w:val="single" w:sz="4" w:space="0" w:color="auto"/>
              <w:bottom w:val="single" w:sz="4" w:space="0" w:color="0055A0"/>
            </w:tcBorders>
            <w:noWrap/>
            <w:vAlign w:val="top"/>
            <w:hideMark/>
          </w:tcPr>
          <w:p w14:paraId="2025C144" w14:textId="77777777" w:rsidR="004D45F1" w:rsidRDefault="004D45F1">
            <w:pPr>
              <w:jc w:val="center"/>
              <w:rPr>
                <w:noProof/>
                <w:color w:val="000000" w:themeColor="text1"/>
                <w:sz w:val="16"/>
                <w:szCs w:val="16"/>
              </w:rPr>
            </w:pPr>
            <w:r>
              <w:rPr>
                <w:noProof/>
                <w:sz w:val="16"/>
                <w:szCs w:val="16"/>
              </w:rPr>
              <w:t xml:space="preserve"> 15,765 </w:t>
            </w:r>
          </w:p>
        </w:tc>
        <w:tc>
          <w:tcPr>
            <w:tcW w:w="886" w:type="dxa"/>
            <w:tcBorders>
              <w:top w:val="single" w:sz="4" w:space="0" w:color="auto"/>
              <w:bottom w:val="single" w:sz="4" w:space="0" w:color="0055A0"/>
              <w:right w:val="single" w:sz="4" w:space="0" w:color="0055A0"/>
            </w:tcBorders>
            <w:noWrap/>
            <w:vAlign w:val="top"/>
            <w:hideMark/>
          </w:tcPr>
          <w:p w14:paraId="6374181B" w14:textId="77777777" w:rsidR="004D45F1" w:rsidRDefault="004D45F1">
            <w:pPr>
              <w:jc w:val="center"/>
              <w:rPr>
                <w:noProof/>
                <w:color w:val="000000" w:themeColor="text1"/>
                <w:sz w:val="16"/>
                <w:szCs w:val="16"/>
              </w:rPr>
            </w:pPr>
            <w:r>
              <w:rPr>
                <w:noProof/>
                <w:sz w:val="16"/>
                <w:szCs w:val="16"/>
              </w:rPr>
              <w:t xml:space="preserve"> 15,639 </w:t>
            </w:r>
          </w:p>
        </w:tc>
      </w:tr>
    </w:tbl>
    <w:p w14:paraId="28450289" w14:textId="77777777" w:rsidR="004D45F1" w:rsidRDefault="004D45F1" w:rsidP="004D45F1">
      <w:pPr>
        <w:spacing w:after="0"/>
        <w:jc w:val="both"/>
        <w:rPr>
          <w:rFonts w:ascii="Arial" w:eastAsia="Calibri" w:hAnsi="Arial" w:cs="Arial"/>
          <w:i/>
          <w:noProof/>
          <w:color w:val="7F7F7F"/>
          <w:sz w:val="16"/>
          <w:szCs w:val="16"/>
        </w:rPr>
      </w:pPr>
      <w:r>
        <w:rPr>
          <w:rFonts w:ascii="Arial" w:eastAsia="Calibri" w:hAnsi="Arial" w:cs="Arial"/>
          <w:i/>
          <w:noProof/>
          <w:color w:val="7F7F7F"/>
          <w:sz w:val="18"/>
          <w:szCs w:val="18"/>
        </w:rPr>
        <w:t>*</w:t>
      </w:r>
      <w:r>
        <w:rPr>
          <w:rFonts w:ascii="Arial" w:eastAsia="Calibri" w:hAnsi="Arial" w:cs="Arial"/>
          <w:i/>
          <w:noProof/>
          <w:color w:val="7F7F7F"/>
          <w:sz w:val="16"/>
          <w:szCs w:val="16"/>
        </w:rPr>
        <w:t>For Annex II substances, 99% of production is assumed to go to feedstock use. Imports of Annex II substances are unknown, so not included.</w:t>
      </w:r>
    </w:p>
    <w:p w14:paraId="7A7F0F9E" w14:textId="77777777" w:rsidR="004D45F1" w:rsidRDefault="004D45F1" w:rsidP="004D45F1">
      <w:pPr>
        <w:spacing w:after="120"/>
        <w:jc w:val="both"/>
        <w:rPr>
          <w:rFonts w:ascii="Arial" w:eastAsia="Calibri" w:hAnsi="Arial" w:cs="Arial"/>
          <w:i/>
          <w:iCs/>
          <w:noProof/>
          <w:color w:val="7F7F7F"/>
          <w:sz w:val="16"/>
          <w:szCs w:val="16"/>
        </w:rPr>
      </w:pPr>
      <w:r>
        <w:rPr>
          <w:rFonts w:ascii="Arial" w:eastAsia="Calibri" w:hAnsi="Arial" w:cs="Arial"/>
          <w:i/>
          <w:noProof/>
          <w:color w:val="7F7F7F"/>
          <w:sz w:val="16"/>
          <w:szCs w:val="16"/>
        </w:rPr>
        <w:t>** For foam banks, data is from SKM Enviros (2012)</w:t>
      </w:r>
    </w:p>
    <w:p w14:paraId="77871608" w14:textId="77777777" w:rsidR="004D45F1" w:rsidRDefault="004D45F1" w:rsidP="004D45F1">
      <w:pPr>
        <w:spacing w:after="120"/>
        <w:jc w:val="both"/>
        <w:rPr>
          <w:rFonts w:ascii="Arial" w:eastAsia="Calibri" w:hAnsi="Arial" w:cs="Arial"/>
          <w:noProof/>
          <w:sz w:val="20"/>
          <w:highlight w:val="yellow"/>
        </w:rPr>
      </w:pPr>
    </w:p>
    <w:p w14:paraId="14653801" w14:textId="77777777" w:rsidR="004D45F1" w:rsidRDefault="004D45F1" w:rsidP="00AD73CF">
      <w:pPr>
        <w:pStyle w:val="ListParagraph"/>
        <w:keepNext/>
        <w:numPr>
          <w:ilvl w:val="0"/>
          <w:numId w:val="37"/>
        </w:numPr>
        <w:spacing w:after="240" w:line="240" w:lineRule="auto"/>
        <w:jc w:val="both"/>
        <w:outlineLvl w:val="1"/>
        <w:rPr>
          <w:rFonts w:ascii="Times New Roman" w:eastAsia="Times New Roman" w:hAnsi="Times New Roman" w:cs="Times New Roman"/>
          <w:b/>
          <w:i/>
          <w:noProof/>
          <w:sz w:val="24"/>
          <w:szCs w:val="20"/>
        </w:rPr>
      </w:pPr>
      <w:bookmarkStart w:id="384" w:name="_Toc71561884"/>
      <w:bookmarkStart w:id="385" w:name="_Toc71559447"/>
      <w:r>
        <w:rPr>
          <w:rFonts w:ascii="Times New Roman" w:eastAsia="Times New Roman" w:hAnsi="Times New Roman" w:cs="Times New Roman"/>
          <w:b/>
          <w:i/>
          <w:noProof/>
          <w:sz w:val="24"/>
          <w:szCs w:val="20"/>
        </w:rPr>
        <w:t>Economic baseline drivers</w:t>
      </w:r>
      <w:bookmarkEnd w:id="384"/>
      <w:bookmarkEnd w:id="385"/>
    </w:p>
    <w:p w14:paraId="0A224506"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rPr>
        <w:t>Economic impacts</w:t>
      </w:r>
      <w:r>
        <w:rPr>
          <w:rFonts w:ascii="Times New Roman" w:eastAsia="Calibri" w:hAnsi="Times New Roman" w:cs="Times New Roman"/>
          <w:noProof/>
          <w:sz w:val="24"/>
          <w:szCs w:val="24"/>
        </w:rPr>
        <w:t xml:space="preserve"> are the baseline costs for businesses and laboratories, Member States as well as costs for the European Commission, without any change to the legislation. These costs are split by actors and measures that pertain to monitoring, reporting, licencing, etc. Some of these costs depend on the outputs of the environmental drivers above, as they depend on ODS use and emission projections as drivers of costs. Many economic costs are related to administrative costs, which are taken from the evaluation and stakeholder feedback. </w:t>
      </w:r>
    </w:p>
    <w:p w14:paraId="5FBEB5AB"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It is recognised that there may be additional categories of costs that may be incurred by companies as a result of the policy options, such as operational costs for a small number of businesses due to possible requirement of halon substitutes, that includes airlines using halons for fire protection or costs of reconversion on feedstock alternatives. These costs are included in the subsequent analysis of the policies by looking at the relative change (as the added costs for the policy scenarios versus the baseline of not having such costs). </w:t>
      </w:r>
    </w:p>
    <w:p w14:paraId="324C4DB1"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cost estimates are based on data provided in the Evaluation and the related external study by Ramboll (2019), which give data on the estimated number of days spent by authorities and the businesses across an 8-year period (2010-2017) on the various actions associated with the Regulation. Time series data was available for most cost categories, though for some categories related to the time investment from the European Commission, only one data point was available. However, for most time series across 2010 – 2017, costs did not change significantly, and the average has been used to forecast. The exception to this is costs of licencing to business, which decreased sharply in 2014 after the introduction of the current ODS Licensing system and the bulk licence for aviation companies, and stayed at this lower point for the following 4 years up until 2017. Therefore, for the costs of licencing, the average of the 2014 – 2017 has been used for forecasting.</w:t>
      </w:r>
    </w:p>
    <w:p w14:paraId="344D60B5"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cost categories for which only time investment was provided, the estimated number of days was then used to devise a monetary impact of these costs. The number of days spent per cost centre was assumed to be constant over the 8-year period, and for business stakeholders, 1 hour of labour was estimated at €40 (consistently with the assumption made in the same study in case of businesses), and it was assumed that a person worked 7.5 hours per day. By combining these assumptions, the annual cost estimations were produced. In the baseline, this is done for all stakeholders to provide a full overview of all costs. However in the impact assessment of specific options, the costs for the EC are estimated in person-days in line with the Evaluation.</w:t>
      </w:r>
    </w:p>
    <w:p w14:paraId="1783DEB1"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baseline scenario for the costs has been developed by extrapolating timelines of cost data based on key drivers out to 2050. The lack of data over time on some cost categories associated with the Regulation has meant that other, secondary variables have been necessary to assess how costs change over time. Each regulatory cost was assigned a ‘driver’ which it was assumed to have a linear relationship with, for example, the ‘registration requirements for laboratories’ was assumed to be correlated with the use of ODS in laboratories. The selection of drivers is limited to the information available and thus are primarily an output of the environmental impact assessment module (with information projected up to 2050). Given this, the drivers used are intentionally broad and are intended to provide an indication to understand how the cost may vary rather than an exact projection of costs. </w:t>
      </w:r>
    </w:p>
    <w:p w14:paraId="3902E519"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Each of the cost components is assigned a specific driver, according to the underlying activities performed by businesses, Member State or EU authorities and how they are expected to respond to the expected trends in the baseline (or, how they are expected not to respond and could stay constant). For the analysis of the policy options, we have introduced additional cost variations, to reflect expected changes that these polices will likely introduce to the costs.</w:t>
      </w:r>
    </w:p>
    <w:p w14:paraId="3F1BBDC8" w14:textId="77777777" w:rsidR="004D45F1" w:rsidRDefault="004D45F1" w:rsidP="004D45F1">
      <w:pPr>
        <w:spacing w:after="120"/>
        <w:jc w:val="both"/>
        <w:rPr>
          <w:rFonts w:ascii="Arial" w:eastAsia="Calibri" w:hAnsi="Arial" w:cs="Arial"/>
          <w:noProof/>
          <w:sz w:val="20"/>
          <w:highlight w:val="yellow"/>
        </w:rPr>
      </w:pPr>
      <w:r>
        <w:rPr>
          <w:rFonts w:ascii="Times New Roman" w:eastAsia="Calibri" w:hAnsi="Times New Roman" w:cs="Times New Roman"/>
          <w:noProof/>
          <w:sz w:val="24"/>
          <w:szCs w:val="24"/>
        </w:rPr>
        <w:t xml:space="preserve">The assessment of the environmental and economic impacts in the respective modules is then used to </w:t>
      </w:r>
      <w:r>
        <w:rPr>
          <w:rFonts w:ascii="Times New Roman" w:eastAsia="Calibri" w:hAnsi="Times New Roman" w:cs="Times New Roman"/>
          <w:b/>
          <w:bCs/>
          <w:noProof/>
          <w:sz w:val="24"/>
          <w:szCs w:val="24"/>
        </w:rPr>
        <w:t>assess the remaining impacts</w:t>
      </w:r>
      <w:r>
        <w:rPr>
          <w:rFonts w:ascii="Times New Roman" w:eastAsia="Calibri" w:hAnsi="Times New Roman" w:cs="Times New Roman"/>
          <w:noProof/>
          <w:sz w:val="24"/>
          <w:szCs w:val="24"/>
        </w:rPr>
        <w:t xml:space="preserve"> (i.e. impacts on employment are derived from the economic impacts). These impacts are not assessed quantitatively, due to the small expected magnitude and lack of quantitative data to underpin any significant changes. Where the remaining impacts cannot be directly linked to the environmental or economic ones, the impacts have been assessed qualitatively.</w:t>
      </w:r>
    </w:p>
    <w:p w14:paraId="264C895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Table A4.5 and A4.6 describe how for each driver used in the economic baseline, the source data and how this was projected up until 2050.</w:t>
      </w:r>
    </w:p>
    <w:p w14:paraId="613E50E2" w14:textId="77777777" w:rsidR="004D45F1" w:rsidRDefault="004D45F1" w:rsidP="004D45F1">
      <w:pPr>
        <w:spacing w:after="120"/>
        <w:jc w:val="both"/>
        <w:rPr>
          <w:rFonts w:ascii="Arial" w:eastAsia="Calibri" w:hAnsi="Arial" w:cs="Arial"/>
          <w:noProof/>
          <w:sz w:val="20"/>
        </w:rPr>
      </w:pPr>
    </w:p>
    <w:p w14:paraId="2EB1CC5D" w14:textId="77777777" w:rsidR="004D45F1" w:rsidRDefault="004D45F1" w:rsidP="004D45F1">
      <w:pPr>
        <w:keepNext/>
        <w:spacing w:after="120" w:line="240" w:lineRule="auto"/>
        <w:jc w:val="both"/>
        <w:rPr>
          <w:rFonts w:eastAsia="Calibri" w:cstheme="minorHAnsi"/>
          <w:iCs/>
          <w:noProof/>
          <w:color w:val="006BB7"/>
          <w:sz w:val="20"/>
          <w:szCs w:val="18"/>
        </w:rPr>
      </w:pPr>
      <w:bookmarkStart w:id="386" w:name="_Ref69281240"/>
      <w:bookmarkStart w:id="387" w:name="_Ref69281236"/>
      <w:r>
        <w:rPr>
          <w:rFonts w:eastAsia="Calibri" w:cstheme="minorHAnsi"/>
          <w:iCs/>
          <w:noProof/>
          <w:color w:val="006BB7"/>
          <w:sz w:val="20"/>
          <w:szCs w:val="18"/>
        </w:rPr>
        <w:t xml:space="preserve">Table </w:t>
      </w:r>
      <w:bookmarkEnd w:id="386"/>
      <w:r>
        <w:rPr>
          <w:rFonts w:eastAsia="Calibri" w:cstheme="minorHAnsi"/>
          <w:iCs/>
          <w:noProof/>
          <w:color w:val="006BB7"/>
          <w:sz w:val="20"/>
          <w:szCs w:val="18"/>
        </w:rPr>
        <w:t>A4.5 Description of baseline cost drivers for Business</w:t>
      </w:r>
      <w:bookmarkEnd w:id="387"/>
    </w:p>
    <w:tbl>
      <w:tblPr>
        <w:tblStyle w:val="TableGrid1213"/>
        <w:tblW w:w="5000" w:type="pct"/>
        <w:tblInd w:w="0" w:type="dxa"/>
        <w:tblLook w:val="04A0" w:firstRow="1" w:lastRow="0" w:firstColumn="1" w:lastColumn="0" w:noHBand="0" w:noVBand="1"/>
      </w:tblPr>
      <w:tblGrid>
        <w:gridCol w:w="1593"/>
        <w:gridCol w:w="7649"/>
      </w:tblGrid>
      <w:tr w:rsidR="004D45F1" w14:paraId="7E13E744" w14:textId="77777777" w:rsidTr="004D45F1">
        <w:trPr>
          <w:cnfStyle w:val="100000000000" w:firstRow="1" w:lastRow="0" w:firstColumn="0" w:lastColumn="0" w:oddVBand="0" w:evenVBand="0" w:oddHBand="0" w:evenHBand="0" w:firstRowFirstColumn="0" w:firstRowLastColumn="0" w:lastRowFirstColumn="0" w:lastRowLastColumn="0"/>
          <w:tblHeader/>
        </w:trPr>
        <w:tc>
          <w:tcPr>
            <w:tcW w:w="862" w:type="pct"/>
            <w:hideMark/>
          </w:tcPr>
          <w:p w14:paraId="75F9D297" w14:textId="77777777" w:rsidR="004D45F1" w:rsidRDefault="004D45F1">
            <w:pPr>
              <w:jc w:val="both"/>
              <w:rPr>
                <w:rFonts w:cs="Arial"/>
                <w:noProof/>
                <w:sz w:val="16"/>
                <w:szCs w:val="16"/>
                <w:lang w:val="en-GB" w:eastAsia="en-GB"/>
              </w:rPr>
            </w:pPr>
            <w:r>
              <w:rPr>
                <w:rFonts w:cs="Arial"/>
                <w:noProof/>
                <w:sz w:val="16"/>
                <w:szCs w:val="16"/>
                <w:lang w:val="en-GB" w:eastAsia="en-GB"/>
              </w:rPr>
              <w:t>Description of cost</w:t>
            </w:r>
            <w:r>
              <w:rPr>
                <w:rFonts w:cs="Arial"/>
                <w:noProof/>
                <w:sz w:val="16"/>
                <w:szCs w:val="16"/>
                <w:lang w:val="en-GB" w:eastAsia="en-GB"/>
              </w:rPr>
              <w:br/>
            </w:r>
          </w:p>
        </w:tc>
        <w:tc>
          <w:tcPr>
            <w:tcW w:w="4138" w:type="pct"/>
            <w:hideMark/>
          </w:tcPr>
          <w:p w14:paraId="0C10DDA6" w14:textId="77777777" w:rsidR="004D45F1" w:rsidRDefault="004D45F1">
            <w:pPr>
              <w:jc w:val="center"/>
              <w:rPr>
                <w:rFonts w:cs="Arial"/>
                <w:noProof/>
                <w:sz w:val="16"/>
                <w:szCs w:val="16"/>
                <w:lang w:val="en-GB" w:eastAsia="en-GB"/>
              </w:rPr>
            </w:pPr>
            <w:r>
              <w:rPr>
                <w:rFonts w:cs="Arial"/>
                <w:noProof/>
                <w:sz w:val="16"/>
                <w:szCs w:val="16"/>
                <w:lang w:val="en-GB" w:eastAsia="en-GB"/>
              </w:rPr>
              <w:t>Description of driver methodology used to forecast from 2020 to 2050</w:t>
            </w:r>
            <w:r>
              <w:rPr>
                <w:rFonts w:cs="Arial"/>
                <w:noProof/>
                <w:sz w:val="16"/>
                <w:szCs w:val="16"/>
                <w:lang w:val="en-GB" w:eastAsia="en-GB"/>
              </w:rPr>
              <w:br/>
            </w:r>
          </w:p>
        </w:tc>
      </w:tr>
      <w:tr w:rsidR="004D45F1" w14:paraId="77A667A2" w14:textId="77777777" w:rsidTr="004D45F1">
        <w:trPr>
          <w:cnfStyle w:val="000000100000" w:firstRow="0" w:lastRow="0" w:firstColumn="0" w:lastColumn="0" w:oddVBand="0" w:evenVBand="0" w:oddHBand="1" w:evenHBand="0" w:firstRowFirstColumn="0" w:firstRowLastColumn="0" w:lastRowFirstColumn="0" w:lastRowLastColumn="0"/>
        </w:trPr>
        <w:tc>
          <w:tcPr>
            <w:tcW w:w="862" w:type="pct"/>
            <w:tcBorders>
              <w:top w:val="nil"/>
              <w:left w:val="single" w:sz="4" w:space="0" w:color="0055A0"/>
              <w:bottom w:val="nil"/>
              <w:right w:val="single" w:sz="4" w:space="0" w:color="0055A0"/>
            </w:tcBorders>
            <w:hideMark/>
          </w:tcPr>
          <w:p w14:paraId="5C9C2439" w14:textId="77777777" w:rsidR="004D45F1" w:rsidRDefault="004D45F1">
            <w:pPr>
              <w:jc w:val="both"/>
              <w:rPr>
                <w:rFonts w:cs="Arial"/>
                <w:b/>
                <w:bCs/>
                <w:noProof/>
                <w:sz w:val="18"/>
                <w:szCs w:val="18"/>
                <w:lang w:val="en-GB" w:eastAsia="en-GB"/>
              </w:rPr>
            </w:pPr>
            <w:r>
              <w:rPr>
                <w:rFonts w:cs="Arial"/>
                <w:noProof/>
                <w:sz w:val="18"/>
                <w:szCs w:val="18"/>
                <w:lang w:val="en-GB" w:eastAsia="en-GB"/>
              </w:rPr>
              <w:t>Licensing requirements</w:t>
            </w:r>
          </w:p>
        </w:tc>
        <w:tc>
          <w:tcPr>
            <w:tcW w:w="4138" w:type="pct"/>
            <w:tcBorders>
              <w:top w:val="nil"/>
              <w:left w:val="single" w:sz="4" w:space="0" w:color="0055A0"/>
              <w:bottom w:val="nil"/>
              <w:right w:val="single" w:sz="4" w:space="0" w:color="0055A0"/>
            </w:tcBorders>
            <w:hideMark/>
          </w:tcPr>
          <w:p w14:paraId="6D2676BF" w14:textId="77777777" w:rsidR="004D45F1" w:rsidRDefault="004D45F1">
            <w:pPr>
              <w:rPr>
                <w:rFonts w:cs="Arial"/>
                <w:noProof/>
                <w:sz w:val="18"/>
                <w:szCs w:val="18"/>
                <w:lang w:val="en-GB" w:eastAsia="en-GB"/>
              </w:rPr>
            </w:pPr>
            <w:r>
              <w:rPr>
                <w:rFonts w:cs="Arial"/>
                <w:noProof/>
                <w:sz w:val="18"/>
                <w:szCs w:val="18"/>
                <w:lang w:val="en-GB" w:eastAsia="en-GB"/>
              </w:rPr>
              <w:t xml:space="preserve">Licencing requirements are driven by predicted imports and exports over the 2020 to 2050 period. Imports and exports increase in the first 5 years, then very slowly decrease), in line with the proxy global chemical industry scenario from the IEA (SDS, Sustainable Development Scenario) for global ammonia demand. </w:t>
            </w:r>
          </w:p>
        </w:tc>
      </w:tr>
      <w:tr w:rsidR="004D45F1" w14:paraId="6C388FCA" w14:textId="77777777" w:rsidTr="004D45F1">
        <w:trPr>
          <w:cnfStyle w:val="000000010000" w:firstRow="0" w:lastRow="0" w:firstColumn="0" w:lastColumn="0" w:oddVBand="0" w:evenVBand="0" w:oddHBand="0" w:evenHBand="1" w:firstRowFirstColumn="0" w:firstRowLastColumn="0" w:lastRowFirstColumn="0" w:lastRowLastColumn="0"/>
        </w:trPr>
        <w:tc>
          <w:tcPr>
            <w:tcW w:w="862" w:type="pct"/>
            <w:tcBorders>
              <w:top w:val="nil"/>
              <w:left w:val="single" w:sz="4" w:space="0" w:color="0055A0"/>
              <w:bottom w:val="nil"/>
            </w:tcBorders>
            <w:hideMark/>
          </w:tcPr>
          <w:p w14:paraId="45E2A192" w14:textId="77777777" w:rsidR="004D45F1" w:rsidRDefault="004D45F1">
            <w:pPr>
              <w:jc w:val="both"/>
              <w:rPr>
                <w:rFonts w:cs="Arial"/>
                <w:b/>
                <w:bCs/>
                <w:noProof/>
                <w:sz w:val="18"/>
                <w:szCs w:val="18"/>
                <w:lang w:val="en-GB" w:eastAsia="en-GB"/>
              </w:rPr>
            </w:pPr>
            <w:r>
              <w:rPr>
                <w:rFonts w:cs="Arial"/>
                <w:noProof/>
                <w:sz w:val="18"/>
                <w:szCs w:val="18"/>
                <w:lang w:val="en-GB" w:eastAsia="en-GB"/>
              </w:rPr>
              <w:t>Quotas</w:t>
            </w:r>
          </w:p>
        </w:tc>
        <w:tc>
          <w:tcPr>
            <w:tcW w:w="4138" w:type="pct"/>
            <w:tcBorders>
              <w:top w:val="nil"/>
              <w:bottom w:val="nil"/>
              <w:right w:val="single" w:sz="4" w:space="0" w:color="0055A0"/>
            </w:tcBorders>
            <w:hideMark/>
          </w:tcPr>
          <w:p w14:paraId="225D3149" w14:textId="77777777" w:rsidR="004D45F1" w:rsidRDefault="004D45F1">
            <w:pPr>
              <w:rPr>
                <w:rFonts w:cs="Arial"/>
                <w:noProof/>
                <w:sz w:val="18"/>
                <w:szCs w:val="18"/>
                <w:lang w:val="en-GB" w:eastAsia="en-GB"/>
              </w:rPr>
            </w:pPr>
            <w:r>
              <w:rPr>
                <w:rFonts w:cs="Arial"/>
                <w:noProof/>
                <w:sz w:val="18"/>
                <w:szCs w:val="18"/>
                <w:lang w:val="en-GB" w:eastAsia="en-GB"/>
              </w:rPr>
              <w:t>Quotas are expected to go down by up to 16%, reflecting the trend of market concentration of actors in the chemical industry, so less entities are likely to interact with the quotas over time.</w:t>
            </w:r>
          </w:p>
        </w:tc>
      </w:tr>
      <w:tr w:rsidR="004D45F1" w14:paraId="6D434BC9" w14:textId="77777777" w:rsidTr="004D45F1">
        <w:trPr>
          <w:cnfStyle w:val="000000100000" w:firstRow="0" w:lastRow="0" w:firstColumn="0" w:lastColumn="0" w:oddVBand="0" w:evenVBand="0" w:oddHBand="1" w:evenHBand="0" w:firstRowFirstColumn="0" w:firstRowLastColumn="0" w:lastRowFirstColumn="0" w:lastRowLastColumn="0"/>
        </w:trPr>
        <w:tc>
          <w:tcPr>
            <w:tcW w:w="862" w:type="pct"/>
            <w:tcBorders>
              <w:top w:val="nil"/>
              <w:left w:val="single" w:sz="4" w:space="0" w:color="0055A0"/>
              <w:bottom w:val="nil"/>
              <w:right w:val="single" w:sz="4" w:space="0" w:color="0055A0"/>
            </w:tcBorders>
            <w:hideMark/>
          </w:tcPr>
          <w:p w14:paraId="50F12328" w14:textId="77777777" w:rsidR="004D45F1" w:rsidRDefault="004D45F1">
            <w:pPr>
              <w:jc w:val="both"/>
              <w:rPr>
                <w:rFonts w:cs="Arial"/>
                <w:b/>
                <w:bCs/>
                <w:noProof/>
                <w:sz w:val="18"/>
                <w:szCs w:val="18"/>
                <w:lang w:val="en-GB" w:eastAsia="en-GB"/>
              </w:rPr>
            </w:pPr>
            <w:r>
              <w:rPr>
                <w:rFonts w:cs="Arial"/>
                <w:noProof/>
                <w:sz w:val="18"/>
                <w:szCs w:val="18"/>
                <w:lang w:val="en-GB" w:eastAsia="en-GB"/>
              </w:rPr>
              <w:t>Registration requirements for laboratories</w:t>
            </w:r>
          </w:p>
        </w:tc>
        <w:tc>
          <w:tcPr>
            <w:tcW w:w="4138" w:type="pct"/>
            <w:tcBorders>
              <w:top w:val="nil"/>
              <w:left w:val="single" w:sz="4" w:space="0" w:color="0055A0"/>
              <w:bottom w:val="nil"/>
              <w:right w:val="single" w:sz="4" w:space="0" w:color="0055A0"/>
            </w:tcBorders>
            <w:hideMark/>
          </w:tcPr>
          <w:p w14:paraId="4DDE893A" w14:textId="77777777" w:rsidR="004D45F1" w:rsidRDefault="004D45F1">
            <w:pPr>
              <w:rPr>
                <w:rFonts w:cs="Arial"/>
                <w:noProof/>
                <w:sz w:val="18"/>
                <w:szCs w:val="18"/>
                <w:lang w:val="en-GB" w:eastAsia="en-GB"/>
              </w:rPr>
            </w:pPr>
            <w:r>
              <w:rPr>
                <w:rFonts w:cs="Arial"/>
                <w:noProof/>
                <w:sz w:val="18"/>
                <w:szCs w:val="18"/>
                <w:lang w:val="en-GB" w:eastAsia="en-GB"/>
              </w:rPr>
              <w:t>Data from the Evaluation is used from Table III.6 in the Evaluation, only the last 4 years as costs went down significantly in 2014. Registration requirements are expected to remain constant, as there is no historic time series available to verify its link to any other driver.</w:t>
            </w:r>
          </w:p>
        </w:tc>
      </w:tr>
      <w:tr w:rsidR="004D45F1" w14:paraId="229477DF" w14:textId="77777777" w:rsidTr="004D45F1">
        <w:trPr>
          <w:cnfStyle w:val="000000010000" w:firstRow="0" w:lastRow="0" w:firstColumn="0" w:lastColumn="0" w:oddVBand="0" w:evenVBand="0" w:oddHBand="0" w:evenHBand="1" w:firstRowFirstColumn="0" w:firstRowLastColumn="0" w:lastRowFirstColumn="0" w:lastRowLastColumn="0"/>
        </w:trPr>
        <w:tc>
          <w:tcPr>
            <w:tcW w:w="862" w:type="pct"/>
            <w:tcBorders>
              <w:top w:val="nil"/>
              <w:left w:val="single" w:sz="4" w:space="0" w:color="0055A0"/>
              <w:bottom w:val="single" w:sz="4" w:space="0" w:color="0055A0"/>
            </w:tcBorders>
            <w:hideMark/>
          </w:tcPr>
          <w:p w14:paraId="49BF566E" w14:textId="77777777" w:rsidR="004D45F1" w:rsidRDefault="004D45F1">
            <w:pPr>
              <w:jc w:val="both"/>
              <w:rPr>
                <w:rFonts w:cs="Arial"/>
                <w:b/>
                <w:bCs/>
                <w:noProof/>
                <w:sz w:val="18"/>
                <w:szCs w:val="18"/>
                <w:lang w:val="en-GB" w:eastAsia="en-GB"/>
              </w:rPr>
            </w:pPr>
            <w:r>
              <w:rPr>
                <w:rFonts w:cs="Arial"/>
                <w:noProof/>
                <w:sz w:val="18"/>
                <w:szCs w:val="18"/>
                <w:lang w:val="en-GB" w:eastAsia="en-GB"/>
              </w:rPr>
              <w:t>Reporting requirements</w:t>
            </w:r>
          </w:p>
        </w:tc>
        <w:tc>
          <w:tcPr>
            <w:tcW w:w="4138" w:type="pct"/>
            <w:tcBorders>
              <w:top w:val="nil"/>
              <w:bottom w:val="single" w:sz="4" w:space="0" w:color="0055A0"/>
              <w:right w:val="single" w:sz="4" w:space="0" w:color="0055A0"/>
            </w:tcBorders>
            <w:hideMark/>
          </w:tcPr>
          <w:p w14:paraId="4C638FE7" w14:textId="77777777" w:rsidR="004D45F1" w:rsidRDefault="004D45F1">
            <w:pPr>
              <w:rPr>
                <w:rFonts w:cs="Arial"/>
                <w:noProof/>
                <w:sz w:val="18"/>
                <w:szCs w:val="18"/>
                <w:lang w:val="en-GB" w:eastAsia="en-GB"/>
              </w:rPr>
            </w:pPr>
            <w:r>
              <w:rPr>
                <w:rFonts w:cs="Arial"/>
                <w:noProof/>
                <w:sz w:val="18"/>
                <w:szCs w:val="18"/>
                <w:lang w:val="en-GB" w:eastAsia="en-GB"/>
              </w:rPr>
              <w:t>Reporting requirements are expected to go down in line with an expected concentration of the market, as global economic trends favour market concentration with a reducing number of market players across the chemical industry. Costs baseline is from Table III.6 in the evaluation.</w:t>
            </w:r>
          </w:p>
        </w:tc>
      </w:tr>
    </w:tbl>
    <w:p w14:paraId="34C76F84" w14:textId="77777777" w:rsidR="004D45F1" w:rsidRDefault="004D45F1" w:rsidP="004D45F1">
      <w:pPr>
        <w:spacing w:after="120"/>
        <w:jc w:val="both"/>
        <w:rPr>
          <w:rFonts w:ascii="Arial" w:eastAsia="Calibri" w:hAnsi="Arial" w:cs="Arial"/>
          <w:noProof/>
          <w:sz w:val="20"/>
        </w:rPr>
      </w:pPr>
    </w:p>
    <w:p w14:paraId="620DFC0F" w14:textId="77777777" w:rsidR="004D45F1" w:rsidRDefault="004D45F1" w:rsidP="004D45F1">
      <w:pPr>
        <w:keepNext/>
        <w:spacing w:after="120" w:line="240" w:lineRule="auto"/>
        <w:jc w:val="both"/>
        <w:rPr>
          <w:rFonts w:eastAsia="Calibri" w:cstheme="minorHAnsi"/>
          <w:iCs/>
          <w:noProof/>
          <w:color w:val="006BB7"/>
          <w:sz w:val="20"/>
          <w:szCs w:val="18"/>
        </w:rPr>
      </w:pPr>
      <w:bookmarkStart w:id="388" w:name="_Ref69281252"/>
      <w:r>
        <w:rPr>
          <w:rFonts w:eastAsia="Calibri" w:cstheme="minorHAnsi"/>
          <w:iCs/>
          <w:noProof/>
          <w:color w:val="006BB7"/>
          <w:sz w:val="20"/>
          <w:szCs w:val="18"/>
        </w:rPr>
        <w:t xml:space="preserve">Table </w:t>
      </w:r>
      <w:bookmarkEnd w:id="388"/>
      <w:r>
        <w:rPr>
          <w:rFonts w:eastAsia="Calibri" w:cstheme="minorHAnsi"/>
          <w:iCs/>
          <w:noProof/>
          <w:color w:val="006BB7"/>
          <w:sz w:val="20"/>
          <w:szCs w:val="18"/>
        </w:rPr>
        <w:t>A4.6 Description of baseline cost drivers for Member State authorities and the European Commission/EEA</w:t>
      </w:r>
    </w:p>
    <w:tbl>
      <w:tblPr>
        <w:tblStyle w:val="TableGrid1213"/>
        <w:tblW w:w="5000" w:type="pct"/>
        <w:tblInd w:w="5" w:type="dxa"/>
        <w:tblLook w:val="04A0" w:firstRow="1" w:lastRow="0" w:firstColumn="1" w:lastColumn="0" w:noHBand="0" w:noVBand="1"/>
      </w:tblPr>
      <w:tblGrid>
        <w:gridCol w:w="1658"/>
        <w:gridCol w:w="7584"/>
      </w:tblGrid>
      <w:tr w:rsidR="004D45F1" w14:paraId="2EECFF3C" w14:textId="77777777" w:rsidTr="004D45F1">
        <w:trPr>
          <w:cnfStyle w:val="100000000000" w:firstRow="1" w:lastRow="0" w:firstColumn="0" w:lastColumn="0" w:oddVBand="0" w:evenVBand="0" w:oddHBand="0" w:evenHBand="0" w:firstRowFirstColumn="0" w:firstRowLastColumn="0" w:lastRowFirstColumn="0" w:lastRowLastColumn="0"/>
          <w:trHeight w:val="437"/>
          <w:tblHeader/>
        </w:trPr>
        <w:tc>
          <w:tcPr>
            <w:tcW w:w="897" w:type="pct"/>
            <w:shd w:val="clear" w:color="auto" w:fill="0070C0"/>
            <w:hideMark/>
          </w:tcPr>
          <w:p w14:paraId="4D8BB4DF" w14:textId="77777777" w:rsidR="004D45F1" w:rsidRDefault="004D45F1">
            <w:pPr>
              <w:jc w:val="both"/>
              <w:rPr>
                <w:rFonts w:cs="Arial"/>
                <w:noProof/>
                <w:sz w:val="16"/>
                <w:szCs w:val="16"/>
                <w:lang w:val="en-GB" w:eastAsia="en-GB"/>
              </w:rPr>
            </w:pPr>
            <w:r>
              <w:rPr>
                <w:rFonts w:cs="Arial"/>
                <w:noProof/>
                <w:sz w:val="16"/>
                <w:szCs w:val="16"/>
                <w:lang w:val="en-GB" w:eastAsia="en-GB"/>
              </w:rPr>
              <w:t>Description of cost</w:t>
            </w:r>
            <w:r>
              <w:rPr>
                <w:rFonts w:cs="Arial"/>
                <w:noProof/>
                <w:sz w:val="16"/>
                <w:szCs w:val="16"/>
                <w:lang w:val="en-GB" w:eastAsia="en-GB"/>
              </w:rPr>
              <w:br/>
            </w:r>
          </w:p>
        </w:tc>
        <w:tc>
          <w:tcPr>
            <w:tcW w:w="4103" w:type="pct"/>
            <w:shd w:val="clear" w:color="auto" w:fill="0070C0"/>
            <w:hideMark/>
          </w:tcPr>
          <w:p w14:paraId="03A6BEA9" w14:textId="77777777" w:rsidR="004D45F1" w:rsidRDefault="004D45F1">
            <w:pPr>
              <w:jc w:val="center"/>
              <w:rPr>
                <w:rFonts w:cs="Arial"/>
                <w:noProof/>
                <w:sz w:val="16"/>
                <w:szCs w:val="16"/>
                <w:lang w:val="en-GB" w:eastAsia="en-GB"/>
              </w:rPr>
            </w:pPr>
            <w:r>
              <w:rPr>
                <w:rFonts w:cs="Arial"/>
                <w:noProof/>
                <w:sz w:val="16"/>
                <w:szCs w:val="16"/>
                <w:lang w:val="en-GB" w:eastAsia="en-GB"/>
              </w:rPr>
              <w:t>Description of driver methodology used to forecast from 2020 to 2050</w:t>
            </w:r>
            <w:r>
              <w:rPr>
                <w:rFonts w:cs="Arial"/>
                <w:noProof/>
                <w:sz w:val="16"/>
                <w:szCs w:val="16"/>
                <w:lang w:val="en-GB" w:eastAsia="en-GB"/>
              </w:rPr>
              <w:br/>
            </w:r>
          </w:p>
        </w:tc>
      </w:tr>
      <w:tr w:rsidR="004D45F1" w14:paraId="3FC602DD" w14:textId="77777777" w:rsidTr="004D45F1">
        <w:trPr>
          <w:cnfStyle w:val="000000100000" w:firstRow="0" w:lastRow="0" w:firstColumn="0" w:lastColumn="0" w:oddVBand="0" w:evenVBand="0" w:oddHBand="1" w:evenHBand="0" w:firstRowFirstColumn="0" w:firstRowLastColumn="0" w:lastRowFirstColumn="0" w:lastRowLastColumn="0"/>
          <w:trHeight w:val="256"/>
        </w:trPr>
        <w:tc>
          <w:tcPr>
            <w:tcW w:w="5000" w:type="pct"/>
            <w:gridSpan w:val="2"/>
            <w:tcBorders>
              <w:top w:val="nil"/>
              <w:left w:val="single" w:sz="4" w:space="0" w:color="0055A0"/>
              <w:bottom w:val="nil"/>
              <w:right w:val="single" w:sz="4" w:space="0" w:color="0055A0"/>
            </w:tcBorders>
            <w:shd w:val="clear" w:color="auto" w:fill="FFE599"/>
            <w:hideMark/>
          </w:tcPr>
          <w:p w14:paraId="55087038" w14:textId="77777777" w:rsidR="004D45F1" w:rsidRDefault="004D45F1">
            <w:pPr>
              <w:rPr>
                <w:rFonts w:cs="Arial"/>
                <w:b/>
                <w:bCs/>
                <w:noProof/>
                <w:sz w:val="18"/>
                <w:szCs w:val="18"/>
                <w:lang w:val="en-GB" w:eastAsia="en-GB"/>
              </w:rPr>
            </w:pPr>
            <w:r>
              <w:rPr>
                <w:rFonts w:cs="Arial"/>
                <w:b/>
                <w:bCs/>
                <w:noProof/>
                <w:sz w:val="18"/>
                <w:szCs w:val="18"/>
                <w:lang w:val="en-GB" w:eastAsia="en-GB"/>
              </w:rPr>
              <w:t>Member State Authorities</w:t>
            </w:r>
          </w:p>
        </w:tc>
      </w:tr>
      <w:tr w:rsidR="004D45F1" w14:paraId="4A23127B"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nil"/>
            </w:tcBorders>
            <w:hideMark/>
          </w:tcPr>
          <w:p w14:paraId="2A68AF0E" w14:textId="77777777" w:rsidR="004D45F1" w:rsidRDefault="004D45F1">
            <w:pPr>
              <w:jc w:val="both"/>
              <w:rPr>
                <w:rFonts w:cs="Arial"/>
                <w:noProof/>
                <w:sz w:val="18"/>
                <w:szCs w:val="18"/>
                <w:lang w:val="en-GB" w:eastAsia="en-GB"/>
              </w:rPr>
            </w:pPr>
            <w:r>
              <w:rPr>
                <w:rFonts w:cs="Arial"/>
                <w:noProof/>
                <w:sz w:val="18"/>
                <w:szCs w:val="18"/>
                <w:lang w:val="en-GB" w:eastAsia="en-GB"/>
              </w:rPr>
              <w:t>Reporting</w:t>
            </w:r>
          </w:p>
        </w:tc>
        <w:tc>
          <w:tcPr>
            <w:tcW w:w="4103" w:type="pct"/>
            <w:tcBorders>
              <w:top w:val="nil"/>
              <w:bottom w:val="nil"/>
              <w:right w:val="single" w:sz="4" w:space="0" w:color="0055A0"/>
            </w:tcBorders>
            <w:hideMark/>
          </w:tcPr>
          <w:p w14:paraId="0D106C9A" w14:textId="77777777" w:rsidR="004D45F1" w:rsidRDefault="004D45F1">
            <w:pPr>
              <w:rPr>
                <w:rFonts w:cs="Arial"/>
                <w:noProof/>
                <w:sz w:val="18"/>
                <w:szCs w:val="18"/>
                <w:lang w:val="en-GB" w:eastAsia="en-GB"/>
              </w:rPr>
            </w:pPr>
            <w:r>
              <w:rPr>
                <w:rFonts w:cs="Arial"/>
                <w:noProof/>
                <w:sz w:val="18"/>
                <w:szCs w:val="18"/>
                <w:lang w:val="en-GB" w:eastAsia="en-GB"/>
              </w:rPr>
              <w:t>Totals are taken from Evaluation table III.8, average across 8 years. We then multiply by 27 and divide by 28 to 'take away' the UK part. This is expected to remain constant in the future</w:t>
            </w:r>
          </w:p>
        </w:tc>
      </w:tr>
      <w:tr w:rsidR="004D45F1" w14:paraId="1C77A578" w14:textId="77777777" w:rsidTr="004D45F1">
        <w:trPr>
          <w:cnfStyle w:val="000000100000" w:firstRow="0" w:lastRow="0" w:firstColumn="0" w:lastColumn="0" w:oddVBand="0" w:evenVBand="0" w:oddHBand="1" w:evenHBand="0" w:firstRowFirstColumn="0" w:firstRowLastColumn="0" w:lastRowFirstColumn="0" w:lastRowLastColumn="0"/>
          <w:trHeight w:val="1311"/>
        </w:trPr>
        <w:tc>
          <w:tcPr>
            <w:tcW w:w="897" w:type="pct"/>
            <w:tcBorders>
              <w:top w:val="nil"/>
              <w:left w:val="single" w:sz="4" w:space="0" w:color="0055A0"/>
              <w:bottom w:val="nil"/>
              <w:right w:val="single" w:sz="4" w:space="0" w:color="0055A0"/>
            </w:tcBorders>
            <w:hideMark/>
          </w:tcPr>
          <w:p w14:paraId="3E88DDEA" w14:textId="77777777" w:rsidR="004D45F1" w:rsidRDefault="004D45F1">
            <w:pPr>
              <w:jc w:val="both"/>
              <w:rPr>
                <w:rFonts w:cs="Arial"/>
                <w:noProof/>
                <w:sz w:val="18"/>
                <w:szCs w:val="18"/>
                <w:lang w:val="en-GB" w:eastAsia="en-GB"/>
              </w:rPr>
            </w:pPr>
            <w:r>
              <w:rPr>
                <w:rFonts w:cs="Arial"/>
                <w:noProof/>
                <w:sz w:val="18"/>
                <w:szCs w:val="18"/>
                <w:lang w:val="en-GB" w:eastAsia="en-GB"/>
              </w:rPr>
              <w:t>Other costs, including inspections, customs, and promotion of recycling</w:t>
            </w:r>
          </w:p>
        </w:tc>
        <w:tc>
          <w:tcPr>
            <w:tcW w:w="4103" w:type="pct"/>
            <w:tcBorders>
              <w:top w:val="nil"/>
              <w:left w:val="single" w:sz="4" w:space="0" w:color="0055A0"/>
              <w:bottom w:val="nil"/>
              <w:right w:val="single" w:sz="4" w:space="0" w:color="0055A0"/>
            </w:tcBorders>
            <w:hideMark/>
          </w:tcPr>
          <w:p w14:paraId="23B61CB2" w14:textId="77777777" w:rsidR="004D45F1" w:rsidRDefault="004D45F1">
            <w:pPr>
              <w:rPr>
                <w:rFonts w:cs="Arial"/>
                <w:noProof/>
                <w:sz w:val="18"/>
                <w:szCs w:val="18"/>
                <w:lang w:val="en-GB" w:eastAsia="en-GB"/>
              </w:rPr>
            </w:pPr>
            <w:r>
              <w:rPr>
                <w:rFonts w:cs="Arial"/>
                <w:noProof/>
                <w:sz w:val="18"/>
                <w:szCs w:val="18"/>
                <w:lang w:val="en-GB" w:eastAsia="en-GB"/>
              </w:rPr>
              <w:t>Using Evaluation Table III.7, it can be assumed that &gt; 80% of movements came from the countries who provided data here. The NL figure from Table III.7 is likely repeated and it is unlikely the time would be spend double for "checking imports and exports" and "conducting inspections", so therefore this has only been counted once. This total is then upgraded to 100% and divided by 8.</w:t>
            </w:r>
          </w:p>
        </w:tc>
      </w:tr>
      <w:tr w:rsidR="004D45F1" w14:paraId="4DFBF82F" w14:textId="77777777" w:rsidTr="004D45F1">
        <w:trPr>
          <w:cnfStyle w:val="000000010000" w:firstRow="0" w:lastRow="0" w:firstColumn="0" w:lastColumn="0" w:oddVBand="0" w:evenVBand="0" w:oddHBand="0" w:evenHBand="1" w:firstRowFirstColumn="0" w:firstRowLastColumn="0" w:lastRowFirstColumn="0" w:lastRowLastColumn="0"/>
          <w:trHeight w:val="256"/>
        </w:trPr>
        <w:tc>
          <w:tcPr>
            <w:tcW w:w="5000" w:type="pct"/>
            <w:gridSpan w:val="2"/>
            <w:tcBorders>
              <w:top w:val="nil"/>
              <w:left w:val="single" w:sz="4" w:space="0" w:color="0055A0"/>
              <w:bottom w:val="nil"/>
              <w:right w:val="single" w:sz="4" w:space="0" w:color="0055A0"/>
            </w:tcBorders>
            <w:shd w:val="clear" w:color="auto" w:fill="FFE599"/>
            <w:hideMark/>
          </w:tcPr>
          <w:p w14:paraId="3513A70A" w14:textId="77777777" w:rsidR="004D45F1" w:rsidRDefault="004D45F1">
            <w:pPr>
              <w:rPr>
                <w:rFonts w:cs="Arial"/>
                <w:b/>
                <w:bCs/>
                <w:noProof/>
                <w:sz w:val="18"/>
                <w:szCs w:val="18"/>
                <w:lang w:val="en-GB" w:eastAsia="en-GB"/>
              </w:rPr>
            </w:pPr>
            <w:r>
              <w:rPr>
                <w:rFonts w:cs="Arial"/>
                <w:b/>
                <w:bCs/>
                <w:noProof/>
                <w:sz w:val="18"/>
                <w:szCs w:val="18"/>
                <w:lang w:val="en-GB" w:eastAsia="en-GB"/>
              </w:rPr>
              <w:t>Admin costs to the European Commission</w:t>
            </w:r>
          </w:p>
        </w:tc>
      </w:tr>
      <w:tr w:rsidR="004D45F1" w14:paraId="7E6F78B5" w14:textId="77777777" w:rsidTr="004D45F1">
        <w:trPr>
          <w:cnfStyle w:val="000000100000" w:firstRow="0" w:lastRow="0" w:firstColumn="0" w:lastColumn="0" w:oddVBand="0" w:evenVBand="0" w:oddHBand="1" w:evenHBand="0" w:firstRowFirstColumn="0" w:firstRowLastColumn="0" w:lastRowFirstColumn="0" w:lastRowLastColumn="0"/>
          <w:trHeight w:val="693"/>
        </w:trPr>
        <w:tc>
          <w:tcPr>
            <w:tcW w:w="897" w:type="pct"/>
            <w:tcBorders>
              <w:top w:val="nil"/>
              <w:left w:val="single" w:sz="4" w:space="0" w:color="0055A0"/>
              <w:bottom w:val="nil"/>
              <w:right w:val="single" w:sz="4" w:space="0" w:color="0055A0"/>
            </w:tcBorders>
            <w:hideMark/>
          </w:tcPr>
          <w:p w14:paraId="566CFCD6" w14:textId="77777777" w:rsidR="004D45F1" w:rsidRDefault="004D45F1">
            <w:pPr>
              <w:jc w:val="both"/>
              <w:rPr>
                <w:rFonts w:cs="Arial"/>
                <w:noProof/>
                <w:sz w:val="18"/>
                <w:szCs w:val="18"/>
                <w:lang w:val="en-GB" w:eastAsia="en-GB"/>
              </w:rPr>
            </w:pPr>
            <w:r>
              <w:rPr>
                <w:rFonts w:cs="Arial"/>
                <w:noProof/>
                <w:sz w:val="18"/>
                <w:szCs w:val="18"/>
                <w:lang w:val="en-GB" w:eastAsia="en-GB"/>
              </w:rPr>
              <w:t>Licencing requirements</w:t>
            </w:r>
          </w:p>
        </w:tc>
        <w:tc>
          <w:tcPr>
            <w:tcW w:w="4103" w:type="pct"/>
            <w:tcBorders>
              <w:top w:val="nil"/>
              <w:left w:val="single" w:sz="4" w:space="0" w:color="0055A0"/>
              <w:bottom w:val="nil"/>
              <w:right w:val="single" w:sz="4" w:space="0" w:color="0055A0"/>
            </w:tcBorders>
            <w:vAlign w:val="top"/>
            <w:hideMark/>
          </w:tcPr>
          <w:p w14:paraId="2E2C8ECF" w14:textId="77777777" w:rsidR="004D45F1" w:rsidRDefault="004D45F1">
            <w:pPr>
              <w:rPr>
                <w:rFonts w:cs="Arial"/>
                <w:noProof/>
                <w:sz w:val="18"/>
                <w:szCs w:val="18"/>
                <w:lang w:val="en-GB" w:eastAsia="en-GB"/>
              </w:rPr>
            </w:pPr>
            <w:r>
              <w:rPr>
                <w:rFonts w:cs="Arial"/>
                <w:noProof/>
                <w:sz w:val="18"/>
                <w:szCs w:val="18"/>
                <w:lang w:val="en-GB" w:eastAsia="en-GB"/>
              </w:rPr>
              <w:t>Baseline data from Evaluation, in line with the trend for licences for businesses, costs for processing of licences are expected to decrease in line with Annex I import and exports. The trend driver is the same as used for business.</w:t>
            </w:r>
          </w:p>
        </w:tc>
      </w:tr>
      <w:tr w:rsidR="004D45F1" w14:paraId="72A68E99" w14:textId="77777777" w:rsidTr="004D45F1">
        <w:trPr>
          <w:cnfStyle w:val="000000010000" w:firstRow="0" w:lastRow="0" w:firstColumn="0" w:lastColumn="0" w:oddVBand="0" w:evenVBand="0" w:oddHBand="0" w:evenHBand="1" w:firstRowFirstColumn="0" w:firstRowLastColumn="0" w:lastRowFirstColumn="0" w:lastRowLastColumn="0"/>
          <w:trHeight w:val="271"/>
        </w:trPr>
        <w:tc>
          <w:tcPr>
            <w:tcW w:w="897" w:type="pct"/>
            <w:tcBorders>
              <w:top w:val="nil"/>
              <w:left w:val="single" w:sz="4" w:space="0" w:color="0055A0"/>
              <w:bottom w:val="nil"/>
            </w:tcBorders>
            <w:hideMark/>
          </w:tcPr>
          <w:p w14:paraId="1576ABF8" w14:textId="77777777" w:rsidR="004D45F1" w:rsidRDefault="004D45F1">
            <w:pPr>
              <w:jc w:val="both"/>
              <w:rPr>
                <w:rFonts w:cs="Arial"/>
                <w:noProof/>
                <w:sz w:val="18"/>
                <w:szCs w:val="18"/>
                <w:lang w:val="en-GB" w:eastAsia="en-GB"/>
              </w:rPr>
            </w:pPr>
            <w:r>
              <w:rPr>
                <w:rFonts w:cs="Arial"/>
                <w:noProof/>
                <w:sz w:val="18"/>
                <w:szCs w:val="18"/>
                <w:lang w:val="en-GB" w:eastAsia="en-GB"/>
              </w:rPr>
              <w:t>Quota allocation</w:t>
            </w:r>
          </w:p>
        </w:tc>
        <w:tc>
          <w:tcPr>
            <w:tcW w:w="4103" w:type="pct"/>
            <w:tcBorders>
              <w:top w:val="nil"/>
              <w:bottom w:val="nil"/>
              <w:right w:val="single" w:sz="4" w:space="0" w:color="0055A0"/>
            </w:tcBorders>
            <w:vAlign w:val="top"/>
            <w:hideMark/>
          </w:tcPr>
          <w:p w14:paraId="04B01872" w14:textId="77777777" w:rsidR="004D45F1" w:rsidRDefault="004D45F1">
            <w:pPr>
              <w:rPr>
                <w:rFonts w:cs="Arial"/>
                <w:noProof/>
                <w:sz w:val="18"/>
                <w:szCs w:val="18"/>
                <w:lang w:val="en-GB" w:eastAsia="en-GB"/>
              </w:rPr>
            </w:pPr>
            <w:r>
              <w:rPr>
                <w:rFonts w:cs="Arial"/>
                <w:noProof/>
                <w:sz w:val="18"/>
                <w:szCs w:val="18"/>
                <w:lang w:val="en-GB" w:eastAsia="en-GB"/>
              </w:rPr>
              <w:t>Baseline data from Evaluation. Drivers are Annex I imports and production. In line with the cost trend for businesses.</w:t>
            </w:r>
          </w:p>
        </w:tc>
      </w:tr>
      <w:tr w:rsidR="004D45F1" w14:paraId="6F9C151A" w14:textId="77777777" w:rsidTr="004D45F1">
        <w:trPr>
          <w:cnfStyle w:val="000000100000" w:firstRow="0" w:lastRow="0" w:firstColumn="0" w:lastColumn="0" w:oddVBand="0" w:evenVBand="0" w:oddHBand="1" w:evenHBand="0" w:firstRowFirstColumn="0" w:firstRowLastColumn="0" w:lastRowFirstColumn="0" w:lastRowLastColumn="0"/>
          <w:trHeight w:val="1100"/>
        </w:trPr>
        <w:tc>
          <w:tcPr>
            <w:tcW w:w="897" w:type="pct"/>
            <w:tcBorders>
              <w:top w:val="nil"/>
              <w:left w:val="single" w:sz="4" w:space="0" w:color="0055A0"/>
              <w:bottom w:val="nil"/>
              <w:right w:val="single" w:sz="4" w:space="0" w:color="0055A0"/>
            </w:tcBorders>
            <w:hideMark/>
          </w:tcPr>
          <w:p w14:paraId="7AB984D5" w14:textId="77777777" w:rsidR="004D45F1" w:rsidRDefault="004D45F1">
            <w:pPr>
              <w:jc w:val="both"/>
              <w:rPr>
                <w:rFonts w:cs="Arial"/>
                <w:noProof/>
                <w:sz w:val="18"/>
                <w:szCs w:val="18"/>
                <w:lang w:val="en-GB" w:eastAsia="en-GB"/>
              </w:rPr>
            </w:pPr>
            <w:r>
              <w:rPr>
                <w:rFonts w:cs="Arial"/>
                <w:noProof/>
                <w:sz w:val="18"/>
                <w:szCs w:val="18"/>
                <w:lang w:val="en-GB" w:eastAsia="en-GB"/>
              </w:rPr>
              <w:t>Registration requirements for laboratories (LabODS registry)</w:t>
            </w:r>
          </w:p>
        </w:tc>
        <w:tc>
          <w:tcPr>
            <w:tcW w:w="4103" w:type="pct"/>
            <w:tcBorders>
              <w:top w:val="nil"/>
              <w:left w:val="single" w:sz="4" w:space="0" w:color="0055A0"/>
              <w:bottom w:val="nil"/>
              <w:right w:val="single" w:sz="4" w:space="0" w:color="0055A0"/>
            </w:tcBorders>
            <w:vAlign w:val="top"/>
            <w:hideMark/>
          </w:tcPr>
          <w:p w14:paraId="3A29C5F5" w14:textId="77777777" w:rsidR="004D45F1" w:rsidRDefault="004D45F1">
            <w:pPr>
              <w:rPr>
                <w:rFonts w:cs="Arial"/>
                <w:noProof/>
                <w:sz w:val="18"/>
                <w:szCs w:val="18"/>
                <w:lang w:val="en-GB" w:eastAsia="en-GB"/>
              </w:rPr>
            </w:pPr>
            <w:r>
              <w:rPr>
                <w:rFonts w:cs="Arial"/>
                <w:noProof/>
                <w:sz w:val="18"/>
                <w:szCs w:val="18"/>
                <w:lang w:val="en-GB" w:eastAsia="en-GB"/>
              </w:rPr>
              <w:t>Baseline data from the Evaluation, expected to stay constant in line with the trend for businesses.</w:t>
            </w:r>
          </w:p>
        </w:tc>
      </w:tr>
      <w:tr w:rsidR="004D45F1" w14:paraId="53056259" w14:textId="77777777" w:rsidTr="004D45F1">
        <w:trPr>
          <w:cnfStyle w:val="000000010000" w:firstRow="0" w:lastRow="0" w:firstColumn="0" w:lastColumn="0" w:oddVBand="0" w:evenVBand="0" w:oddHBand="0" w:evenHBand="1" w:firstRowFirstColumn="0" w:firstRowLastColumn="0" w:lastRowFirstColumn="0" w:lastRowLastColumn="0"/>
          <w:trHeight w:val="1100"/>
        </w:trPr>
        <w:tc>
          <w:tcPr>
            <w:tcW w:w="897" w:type="pct"/>
            <w:tcBorders>
              <w:top w:val="nil"/>
              <w:left w:val="single" w:sz="4" w:space="0" w:color="0055A0"/>
              <w:bottom w:val="nil"/>
            </w:tcBorders>
            <w:hideMark/>
          </w:tcPr>
          <w:p w14:paraId="51E28320" w14:textId="77777777" w:rsidR="004D45F1" w:rsidRDefault="004D45F1">
            <w:pPr>
              <w:jc w:val="both"/>
              <w:rPr>
                <w:rFonts w:cs="Arial"/>
                <w:noProof/>
                <w:sz w:val="18"/>
                <w:szCs w:val="18"/>
                <w:lang w:val="en-GB" w:eastAsia="en-GB"/>
              </w:rPr>
            </w:pPr>
            <w:r>
              <w:rPr>
                <w:rFonts w:cs="Arial"/>
                <w:noProof/>
                <w:sz w:val="18"/>
                <w:szCs w:val="18"/>
                <w:lang w:val="en-GB" w:eastAsia="en-GB"/>
              </w:rPr>
              <w:t>Registration for ODS companies and customs (ODS licencing system)</w:t>
            </w:r>
            <w:r>
              <w:rPr>
                <w:noProof/>
                <w:vertAlign w:val="superscript"/>
              </w:rPr>
              <w:footnoteReference w:id="109"/>
            </w:r>
          </w:p>
        </w:tc>
        <w:tc>
          <w:tcPr>
            <w:tcW w:w="4103" w:type="pct"/>
            <w:tcBorders>
              <w:top w:val="nil"/>
              <w:bottom w:val="nil"/>
              <w:right w:val="single" w:sz="4" w:space="0" w:color="0055A0"/>
            </w:tcBorders>
            <w:vAlign w:val="top"/>
            <w:hideMark/>
          </w:tcPr>
          <w:p w14:paraId="79CD460D" w14:textId="77777777" w:rsidR="004D45F1" w:rsidRDefault="004D45F1">
            <w:pPr>
              <w:rPr>
                <w:rFonts w:cs="Arial"/>
                <w:noProof/>
                <w:sz w:val="18"/>
                <w:szCs w:val="18"/>
                <w:lang w:val="en-GB" w:eastAsia="en-GB"/>
              </w:rPr>
            </w:pPr>
            <w:r>
              <w:rPr>
                <w:rFonts w:cs="Arial"/>
                <w:noProof/>
                <w:sz w:val="18"/>
                <w:szCs w:val="18"/>
                <w:lang w:val="en-GB" w:eastAsia="en-GB"/>
              </w:rPr>
              <w:t>Baseline data from the Evaluation, expected to go down as import and export movements slightly decrease every year up until 2050. The trend driver is the same as used for business.</w:t>
            </w:r>
          </w:p>
        </w:tc>
      </w:tr>
      <w:tr w:rsidR="004D45F1" w14:paraId="438F0FDD" w14:textId="77777777" w:rsidTr="004D45F1">
        <w:trPr>
          <w:cnfStyle w:val="000000100000" w:firstRow="0" w:lastRow="0" w:firstColumn="0" w:lastColumn="0" w:oddVBand="0" w:evenVBand="0" w:oddHBand="1" w:evenHBand="0" w:firstRowFirstColumn="0" w:firstRowLastColumn="0" w:lastRowFirstColumn="0" w:lastRowLastColumn="0"/>
          <w:trHeight w:val="1085"/>
        </w:trPr>
        <w:tc>
          <w:tcPr>
            <w:tcW w:w="897" w:type="pct"/>
            <w:tcBorders>
              <w:top w:val="nil"/>
              <w:left w:val="single" w:sz="4" w:space="0" w:color="0055A0"/>
              <w:bottom w:val="nil"/>
              <w:right w:val="single" w:sz="4" w:space="0" w:color="0055A0"/>
            </w:tcBorders>
            <w:hideMark/>
          </w:tcPr>
          <w:p w14:paraId="109AD377" w14:textId="77777777" w:rsidR="004D45F1" w:rsidRDefault="004D45F1">
            <w:pPr>
              <w:jc w:val="both"/>
              <w:rPr>
                <w:rFonts w:cs="Arial"/>
                <w:noProof/>
                <w:sz w:val="18"/>
                <w:szCs w:val="18"/>
                <w:lang w:val="en-GB" w:eastAsia="en-GB"/>
              </w:rPr>
            </w:pPr>
            <w:r>
              <w:rPr>
                <w:rFonts w:cs="Arial"/>
                <w:noProof/>
                <w:sz w:val="18"/>
                <w:szCs w:val="18"/>
                <w:lang w:val="en-GB" w:eastAsia="en-GB"/>
              </w:rPr>
              <w:t>IT system (cross-cutting: licencing, registration for labs)</w:t>
            </w:r>
          </w:p>
        </w:tc>
        <w:tc>
          <w:tcPr>
            <w:tcW w:w="4103" w:type="pct"/>
            <w:tcBorders>
              <w:top w:val="nil"/>
              <w:left w:val="single" w:sz="4" w:space="0" w:color="0055A0"/>
              <w:bottom w:val="nil"/>
              <w:right w:val="single" w:sz="4" w:space="0" w:color="0055A0"/>
            </w:tcBorders>
            <w:vAlign w:val="top"/>
            <w:hideMark/>
          </w:tcPr>
          <w:p w14:paraId="1EAF3B9F" w14:textId="77777777" w:rsidR="004D45F1" w:rsidRDefault="004D45F1">
            <w:pPr>
              <w:rPr>
                <w:rFonts w:cs="Arial"/>
                <w:noProof/>
                <w:sz w:val="18"/>
                <w:szCs w:val="18"/>
                <w:lang w:val="en-GB" w:eastAsia="en-GB"/>
              </w:rPr>
            </w:pPr>
            <w:r>
              <w:rPr>
                <w:rFonts w:cs="Arial"/>
                <w:noProof/>
                <w:sz w:val="18"/>
                <w:szCs w:val="18"/>
                <w:lang w:val="en-GB" w:eastAsia="en-GB"/>
              </w:rPr>
              <w:t>Baseline data from the Evaluation, IT system costs are increased by 50% between 2020 and 2030, in line with IT cost development in the EC. A large cost driver are concerns on data security and (personal) data protection. This is not expected to increase further after 2030.</w:t>
            </w:r>
          </w:p>
        </w:tc>
      </w:tr>
      <w:tr w:rsidR="004D45F1" w14:paraId="1091D824" w14:textId="77777777" w:rsidTr="004D45F1">
        <w:trPr>
          <w:cnfStyle w:val="000000010000" w:firstRow="0" w:lastRow="0" w:firstColumn="0" w:lastColumn="0" w:oddVBand="0" w:evenVBand="0" w:oddHBand="0" w:evenHBand="1" w:firstRowFirstColumn="0" w:firstRowLastColumn="0" w:lastRowFirstColumn="0" w:lastRowLastColumn="0"/>
          <w:trHeight w:val="482"/>
        </w:trPr>
        <w:tc>
          <w:tcPr>
            <w:tcW w:w="897" w:type="pct"/>
            <w:tcBorders>
              <w:top w:val="nil"/>
              <w:left w:val="single" w:sz="4" w:space="0" w:color="0055A0"/>
              <w:bottom w:val="nil"/>
            </w:tcBorders>
            <w:hideMark/>
          </w:tcPr>
          <w:p w14:paraId="6260679A"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Reporting requirements</w:t>
            </w:r>
          </w:p>
        </w:tc>
        <w:tc>
          <w:tcPr>
            <w:tcW w:w="4103" w:type="pct"/>
            <w:tcBorders>
              <w:top w:val="nil"/>
              <w:bottom w:val="nil"/>
              <w:right w:val="single" w:sz="4" w:space="0" w:color="0055A0"/>
            </w:tcBorders>
            <w:vAlign w:val="top"/>
            <w:hideMark/>
          </w:tcPr>
          <w:p w14:paraId="27736261" w14:textId="77777777" w:rsidR="004D45F1" w:rsidRDefault="004D45F1">
            <w:pPr>
              <w:rPr>
                <w:rFonts w:cs="Arial"/>
                <w:noProof/>
                <w:sz w:val="18"/>
                <w:szCs w:val="18"/>
                <w:lang w:val="en-GB" w:eastAsia="en-GB"/>
              </w:rPr>
            </w:pPr>
            <w:r>
              <w:rPr>
                <w:rFonts w:cs="Arial"/>
                <w:noProof/>
                <w:sz w:val="18"/>
                <w:szCs w:val="18"/>
                <w:lang w:val="en-GB" w:eastAsia="en-GB"/>
              </w:rPr>
              <w:t xml:space="preserve">Baseline data from the Evaluation, and use a combined driver that includes the combined average of all imports, exports, production, feedstock and process agent reports. </w:t>
            </w:r>
          </w:p>
        </w:tc>
      </w:tr>
      <w:tr w:rsidR="004D45F1" w14:paraId="64445906" w14:textId="77777777" w:rsidTr="004D45F1">
        <w:trPr>
          <w:cnfStyle w:val="000000100000" w:firstRow="0" w:lastRow="0" w:firstColumn="0" w:lastColumn="0" w:oddVBand="0" w:evenVBand="0" w:oddHBand="1" w:evenHBand="0" w:firstRowFirstColumn="0" w:firstRowLastColumn="0" w:lastRowFirstColumn="0" w:lastRowLastColumn="0"/>
          <w:trHeight w:val="678"/>
        </w:trPr>
        <w:tc>
          <w:tcPr>
            <w:tcW w:w="897" w:type="pct"/>
            <w:tcBorders>
              <w:top w:val="nil"/>
              <w:left w:val="single" w:sz="4" w:space="0" w:color="0055A0"/>
              <w:bottom w:val="nil"/>
              <w:right w:val="single" w:sz="4" w:space="0" w:color="0055A0"/>
            </w:tcBorders>
            <w:hideMark/>
          </w:tcPr>
          <w:p w14:paraId="461D99B2"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Phase-out schedules</w:t>
            </w:r>
            <w:r>
              <w:rPr>
                <w:noProof/>
                <w:vertAlign w:val="superscript"/>
              </w:rPr>
              <w:footnoteReference w:id="110"/>
            </w:r>
          </w:p>
        </w:tc>
        <w:tc>
          <w:tcPr>
            <w:tcW w:w="4103" w:type="pct"/>
            <w:tcBorders>
              <w:top w:val="nil"/>
              <w:left w:val="single" w:sz="4" w:space="0" w:color="0055A0"/>
              <w:bottom w:val="nil"/>
              <w:right w:val="single" w:sz="4" w:space="0" w:color="0055A0"/>
            </w:tcBorders>
            <w:vAlign w:val="top"/>
            <w:hideMark/>
          </w:tcPr>
          <w:p w14:paraId="789E197A" w14:textId="77777777" w:rsidR="004D45F1" w:rsidRDefault="004D45F1">
            <w:pPr>
              <w:rPr>
                <w:rFonts w:cs="Arial"/>
                <w:noProof/>
                <w:sz w:val="18"/>
                <w:szCs w:val="18"/>
                <w:lang w:val="en-GB" w:eastAsia="en-GB"/>
              </w:rPr>
            </w:pPr>
            <w:r>
              <w:rPr>
                <w:rFonts w:cs="Arial"/>
                <w:noProof/>
                <w:sz w:val="18"/>
                <w:szCs w:val="18"/>
                <w:lang w:val="en-GB" w:eastAsia="en-GB"/>
              </w:rPr>
              <w:t>Costs move in line with the phase out schedule for critical use halons, which is defined by use case and quantity in the evaluation up until 2040. No more costs after 2040 as all phase out schedules have passed.</w:t>
            </w:r>
          </w:p>
        </w:tc>
      </w:tr>
      <w:tr w:rsidR="004D45F1" w14:paraId="3A695CF1" w14:textId="77777777" w:rsidTr="004D45F1">
        <w:trPr>
          <w:cnfStyle w:val="000000010000" w:firstRow="0" w:lastRow="0" w:firstColumn="0" w:lastColumn="0" w:oddVBand="0" w:evenVBand="0" w:oddHBand="0" w:evenHBand="1" w:firstRowFirstColumn="0" w:firstRowLastColumn="0" w:lastRowFirstColumn="0" w:lastRowLastColumn="0"/>
          <w:trHeight w:val="482"/>
        </w:trPr>
        <w:tc>
          <w:tcPr>
            <w:tcW w:w="897" w:type="pct"/>
            <w:tcBorders>
              <w:top w:val="nil"/>
              <w:left w:val="single" w:sz="4" w:space="0" w:color="0055A0"/>
              <w:bottom w:val="nil"/>
            </w:tcBorders>
            <w:hideMark/>
          </w:tcPr>
          <w:p w14:paraId="2D183730"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Illegal trade &amp; customs</w:t>
            </w:r>
          </w:p>
        </w:tc>
        <w:tc>
          <w:tcPr>
            <w:tcW w:w="4103" w:type="pct"/>
            <w:tcBorders>
              <w:top w:val="nil"/>
              <w:bottom w:val="nil"/>
              <w:right w:val="single" w:sz="4" w:space="0" w:color="0055A0"/>
            </w:tcBorders>
            <w:vAlign w:val="top"/>
            <w:hideMark/>
          </w:tcPr>
          <w:p w14:paraId="1509F785" w14:textId="77777777" w:rsidR="004D45F1" w:rsidRDefault="004D45F1">
            <w:pPr>
              <w:rPr>
                <w:rFonts w:cs="Arial"/>
                <w:noProof/>
                <w:sz w:val="18"/>
                <w:szCs w:val="18"/>
                <w:lang w:val="en-GB" w:eastAsia="en-GB"/>
              </w:rPr>
            </w:pPr>
            <w:r>
              <w:rPr>
                <w:rFonts w:cs="Arial"/>
                <w:noProof/>
                <w:sz w:val="18"/>
                <w:szCs w:val="18"/>
                <w:lang w:val="en-GB" w:eastAsia="en-GB"/>
              </w:rPr>
              <w:t>Baseline data from the Evaluation, where the trend is defined by import + export movements.</w:t>
            </w:r>
          </w:p>
        </w:tc>
      </w:tr>
      <w:tr w:rsidR="004D45F1" w14:paraId="50A4440B" w14:textId="77777777" w:rsidTr="004D45F1">
        <w:trPr>
          <w:cnfStyle w:val="000000100000" w:firstRow="0" w:lastRow="0" w:firstColumn="0" w:lastColumn="0" w:oddVBand="0" w:evenVBand="0" w:oddHBand="1" w:evenHBand="0" w:firstRowFirstColumn="0" w:firstRowLastColumn="0" w:lastRowFirstColumn="0" w:lastRowLastColumn="0"/>
          <w:trHeight w:val="678"/>
        </w:trPr>
        <w:tc>
          <w:tcPr>
            <w:tcW w:w="897" w:type="pct"/>
            <w:tcBorders>
              <w:top w:val="nil"/>
              <w:left w:val="single" w:sz="4" w:space="0" w:color="0055A0"/>
              <w:bottom w:val="nil"/>
              <w:right w:val="single" w:sz="4" w:space="0" w:color="0055A0"/>
            </w:tcBorders>
            <w:hideMark/>
          </w:tcPr>
          <w:p w14:paraId="771F6928"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Technical requirements for destructions</w:t>
            </w:r>
          </w:p>
        </w:tc>
        <w:tc>
          <w:tcPr>
            <w:tcW w:w="4103" w:type="pct"/>
            <w:tcBorders>
              <w:top w:val="nil"/>
              <w:left w:val="single" w:sz="4" w:space="0" w:color="0055A0"/>
              <w:bottom w:val="nil"/>
              <w:right w:val="single" w:sz="4" w:space="0" w:color="0055A0"/>
            </w:tcBorders>
            <w:vAlign w:val="top"/>
            <w:hideMark/>
          </w:tcPr>
          <w:p w14:paraId="0B121B0C"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stay constant with no evidence to the contrary.</w:t>
            </w:r>
          </w:p>
        </w:tc>
      </w:tr>
      <w:tr w:rsidR="004D45F1" w14:paraId="6E6ED894"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nil"/>
            </w:tcBorders>
            <w:hideMark/>
          </w:tcPr>
          <w:p w14:paraId="48D34C09"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Technical requirements for labelling</w:t>
            </w:r>
          </w:p>
        </w:tc>
        <w:tc>
          <w:tcPr>
            <w:tcW w:w="4103" w:type="pct"/>
            <w:tcBorders>
              <w:top w:val="nil"/>
              <w:bottom w:val="nil"/>
              <w:right w:val="single" w:sz="4" w:space="0" w:color="0055A0"/>
            </w:tcBorders>
            <w:vAlign w:val="top"/>
            <w:hideMark/>
          </w:tcPr>
          <w:p w14:paraId="6D18E0A4"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stay constant with no evidence to the contrary.</w:t>
            </w:r>
          </w:p>
        </w:tc>
      </w:tr>
      <w:tr w:rsidR="004D45F1" w14:paraId="4D7164C6" w14:textId="77777777" w:rsidTr="004D45F1">
        <w:trPr>
          <w:cnfStyle w:val="000000100000" w:firstRow="0" w:lastRow="0" w:firstColumn="0" w:lastColumn="0" w:oddVBand="0" w:evenVBand="0" w:oddHBand="1" w:evenHBand="0" w:firstRowFirstColumn="0" w:firstRowLastColumn="0" w:lastRowFirstColumn="0" w:lastRowLastColumn="0"/>
          <w:trHeight w:val="1717"/>
        </w:trPr>
        <w:tc>
          <w:tcPr>
            <w:tcW w:w="897" w:type="pct"/>
            <w:tcBorders>
              <w:top w:val="nil"/>
              <w:left w:val="single" w:sz="4" w:space="0" w:color="0055A0"/>
              <w:bottom w:val="nil"/>
              <w:right w:val="single" w:sz="4" w:space="0" w:color="0055A0"/>
            </w:tcBorders>
            <w:hideMark/>
          </w:tcPr>
          <w:p w14:paraId="2D77A046"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Technical requirements for leakage, emission control and related Member State implementation measures</w:t>
            </w:r>
          </w:p>
        </w:tc>
        <w:tc>
          <w:tcPr>
            <w:tcW w:w="4103" w:type="pct"/>
            <w:tcBorders>
              <w:top w:val="nil"/>
              <w:left w:val="single" w:sz="4" w:space="0" w:color="0055A0"/>
              <w:bottom w:val="nil"/>
              <w:right w:val="single" w:sz="4" w:space="0" w:color="0055A0"/>
            </w:tcBorders>
            <w:vAlign w:val="top"/>
            <w:hideMark/>
          </w:tcPr>
          <w:p w14:paraId="614C76AB"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stay constant with no evidence to the contrary.</w:t>
            </w:r>
          </w:p>
        </w:tc>
      </w:tr>
      <w:tr w:rsidR="004D45F1" w14:paraId="21D7B614" w14:textId="77777777" w:rsidTr="004D45F1">
        <w:trPr>
          <w:cnfStyle w:val="000000010000" w:firstRow="0" w:lastRow="0" w:firstColumn="0" w:lastColumn="0" w:oddVBand="0" w:evenVBand="0" w:oddHBand="0" w:evenHBand="1" w:firstRowFirstColumn="0" w:firstRowLastColumn="0" w:lastRowFirstColumn="0" w:lastRowLastColumn="0"/>
          <w:trHeight w:val="482"/>
        </w:trPr>
        <w:tc>
          <w:tcPr>
            <w:tcW w:w="897" w:type="pct"/>
            <w:tcBorders>
              <w:top w:val="nil"/>
              <w:left w:val="single" w:sz="4" w:space="0" w:color="0055A0"/>
              <w:bottom w:val="nil"/>
            </w:tcBorders>
            <w:hideMark/>
          </w:tcPr>
          <w:p w14:paraId="1233D3ED"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Derogation decisions</w:t>
            </w:r>
          </w:p>
        </w:tc>
        <w:tc>
          <w:tcPr>
            <w:tcW w:w="4103" w:type="pct"/>
            <w:tcBorders>
              <w:top w:val="nil"/>
              <w:bottom w:val="nil"/>
              <w:right w:val="single" w:sz="4" w:space="0" w:color="0055A0"/>
            </w:tcBorders>
            <w:vAlign w:val="top"/>
            <w:hideMark/>
          </w:tcPr>
          <w:p w14:paraId="6955F653" w14:textId="77777777" w:rsidR="004D45F1" w:rsidRDefault="004D45F1">
            <w:pPr>
              <w:rPr>
                <w:rFonts w:cs="Arial"/>
                <w:noProof/>
                <w:sz w:val="18"/>
                <w:szCs w:val="18"/>
                <w:lang w:val="en-GB" w:eastAsia="en-GB"/>
              </w:rPr>
            </w:pPr>
            <w:r>
              <w:rPr>
                <w:rFonts w:cs="Arial"/>
                <w:noProof/>
                <w:sz w:val="18"/>
                <w:szCs w:val="18"/>
                <w:lang w:val="en-GB" w:eastAsia="en-GB"/>
              </w:rPr>
              <w:t>Data from Evaluation, projected using knowledge of prohibition dates for remaining uses subject to derogations or future derogations</w:t>
            </w:r>
          </w:p>
        </w:tc>
      </w:tr>
      <w:tr w:rsidR="004D45F1" w14:paraId="4506D9C2" w14:textId="77777777" w:rsidTr="004D45F1">
        <w:trPr>
          <w:cnfStyle w:val="000000100000" w:firstRow="0" w:lastRow="0" w:firstColumn="0" w:lastColumn="0" w:oddVBand="0" w:evenVBand="0" w:oddHBand="1" w:evenHBand="0" w:firstRowFirstColumn="0" w:firstRowLastColumn="0" w:lastRowFirstColumn="0" w:lastRowLastColumn="0"/>
          <w:trHeight w:val="678"/>
        </w:trPr>
        <w:tc>
          <w:tcPr>
            <w:tcW w:w="897" w:type="pct"/>
            <w:tcBorders>
              <w:top w:val="nil"/>
              <w:left w:val="single" w:sz="4" w:space="0" w:color="0055A0"/>
              <w:bottom w:val="nil"/>
              <w:right w:val="single" w:sz="4" w:space="0" w:color="0055A0"/>
            </w:tcBorders>
            <w:hideMark/>
          </w:tcPr>
          <w:p w14:paraId="6B70F4A1"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General correspondence and advice</w:t>
            </w:r>
          </w:p>
        </w:tc>
        <w:tc>
          <w:tcPr>
            <w:tcW w:w="4103" w:type="pct"/>
            <w:tcBorders>
              <w:top w:val="nil"/>
              <w:left w:val="single" w:sz="4" w:space="0" w:color="0055A0"/>
              <w:bottom w:val="nil"/>
              <w:right w:val="single" w:sz="4" w:space="0" w:color="0055A0"/>
            </w:tcBorders>
            <w:vAlign w:val="top"/>
            <w:hideMark/>
          </w:tcPr>
          <w:p w14:paraId="6765BCBF"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47E03D4A"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nil"/>
            </w:tcBorders>
            <w:hideMark/>
          </w:tcPr>
          <w:p w14:paraId="32DCB04F"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Ensuring data security and data protection</w:t>
            </w:r>
          </w:p>
        </w:tc>
        <w:tc>
          <w:tcPr>
            <w:tcW w:w="4103" w:type="pct"/>
            <w:tcBorders>
              <w:top w:val="nil"/>
              <w:bottom w:val="nil"/>
              <w:right w:val="single" w:sz="4" w:space="0" w:color="0055A0"/>
            </w:tcBorders>
            <w:vAlign w:val="top"/>
            <w:hideMark/>
          </w:tcPr>
          <w:p w14:paraId="57648F74"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5513153B" w14:textId="77777777" w:rsidTr="004D45F1">
        <w:trPr>
          <w:cnfStyle w:val="000000100000" w:firstRow="0" w:lastRow="0" w:firstColumn="0" w:lastColumn="0" w:oddVBand="0" w:evenVBand="0" w:oddHBand="1" w:evenHBand="0" w:firstRowFirstColumn="0" w:firstRowLastColumn="0" w:lastRowFirstColumn="0" w:lastRowLastColumn="0"/>
          <w:trHeight w:val="889"/>
        </w:trPr>
        <w:tc>
          <w:tcPr>
            <w:tcW w:w="897" w:type="pct"/>
            <w:tcBorders>
              <w:top w:val="nil"/>
              <w:left w:val="single" w:sz="4" w:space="0" w:color="0055A0"/>
              <w:bottom w:val="nil"/>
              <w:right w:val="single" w:sz="4" w:space="0" w:color="0055A0"/>
            </w:tcBorders>
            <w:hideMark/>
          </w:tcPr>
          <w:p w14:paraId="009C2C29"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Outreach activities (meetings and brochures)</w:t>
            </w:r>
          </w:p>
        </w:tc>
        <w:tc>
          <w:tcPr>
            <w:tcW w:w="4103" w:type="pct"/>
            <w:tcBorders>
              <w:top w:val="nil"/>
              <w:left w:val="single" w:sz="4" w:space="0" w:color="0055A0"/>
              <w:bottom w:val="nil"/>
              <w:right w:val="single" w:sz="4" w:space="0" w:color="0055A0"/>
            </w:tcBorders>
            <w:vAlign w:val="top"/>
            <w:hideMark/>
          </w:tcPr>
          <w:p w14:paraId="0256C012"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338D621D" w14:textId="77777777" w:rsidTr="004D45F1">
        <w:trPr>
          <w:cnfStyle w:val="000000010000" w:firstRow="0" w:lastRow="0" w:firstColumn="0" w:lastColumn="0" w:oddVBand="0" w:evenVBand="0" w:oddHBand="0" w:evenHBand="1" w:firstRowFirstColumn="0" w:firstRowLastColumn="0" w:lastRowFirstColumn="0" w:lastRowLastColumn="0"/>
          <w:trHeight w:val="889"/>
        </w:trPr>
        <w:tc>
          <w:tcPr>
            <w:tcW w:w="897" w:type="pct"/>
            <w:tcBorders>
              <w:top w:val="nil"/>
              <w:left w:val="single" w:sz="4" w:space="0" w:color="0055A0"/>
              <w:bottom w:val="nil"/>
            </w:tcBorders>
            <w:hideMark/>
          </w:tcPr>
          <w:p w14:paraId="58226198"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Assuring compliance in the Member States</w:t>
            </w:r>
          </w:p>
        </w:tc>
        <w:tc>
          <w:tcPr>
            <w:tcW w:w="4103" w:type="pct"/>
            <w:tcBorders>
              <w:top w:val="nil"/>
              <w:bottom w:val="nil"/>
              <w:right w:val="single" w:sz="4" w:space="0" w:color="0055A0"/>
            </w:tcBorders>
            <w:vAlign w:val="top"/>
            <w:hideMark/>
          </w:tcPr>
          <w:p w14:paraId="3A06D7B1"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41401F94" w14:textId="77777777" w:rsidTr="004D45F1">
        <w:trPr>
          <w:cnfStyle w:val="000000100000" w:firstRow="0" w:lastRow="0" w:firstColumn="0" w:lastColumn="0" w:oddVBand="0" w:evenVBand="0" w:oddHBand="1" w:evenHBand="0" w:firstRowFirstColumn="0" w:firstRowLastColumn="0" w:lastRowFirstColumn="0" w:lastRowLastColumn="0"/>
          <w:trHeight w:val="678"/>
        </w:trPr>
        <w:tc>
          <w:tcPr>
            <w:tcW w:w="897" w:type="pct"/>
            <w:tcBorders>
              <w:top w:val="nil"/>
              <w:left w:val="single" w:sz="4" w:space="0" w:color="0055A0"/>
              <w:bottom w:val="nil"/>
              <w:right w:val="single" w:sz="4" w:space="0" w:color="0055A0"/>
            </w:tcBorders>
            <w:hideMark/>
          </w:tcPr>
          <w:p w14:paraId="51F9D0F2"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Providing access to documents</w:t>
            </w:r>
          </w:p>
        </w:tc>
        <w:tc>
          <w:tcPr>
            <w:tcW w:w="4103" w:type="pct"/>
            <w:tcBorders>
              <w:top w:val="nil"/>
              <w:left w:val="single" w:sz="4" w:space="0" w:color="0055A0"/>
              <w:bottom w:val="nil"/>
              <w:right w:val="single" w:sz="4" w:space="0" w:color="0055A0"/>
            </w:tcBorders>
            <w:vAlign w:val="top"/>
            <w:hideMark/>
          </w:tcPr>
          <w:p w14:paraId="77D1A8A8"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19DF6EF5"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nil"/>
            </w:tcBorders>
            <w:hideMark/>
          </w:tcPr>
          <w:p w14:paraId="540855FE"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IT implementation costs</w:t>
            </w:r>
          </w:p>
        </w:tc>
        <w:tc>
          <w:tcPr>
            <w:tcW w:w="4103" w:type="pct"/>
            <w:tcBorders>
              <w:top w:val="nil"/>
              <w:bottom w:val="nil"/>
              <w:right w:val="single" w:sz="4" w:space="0" w:color="0055A0"/>
            </w:tcBorders>
            <w:vAlign w:val="top"/>
            <w:hideMark/>
          </w:tcPr>
          <w:p w14:paraId="5ED7DA52" w14:textId="77777777" w:rsidR="004D45F1" w:rsidRDefault="004D45F1">
            <w:pPr>
              <w:rPr>
                <w:rFonts w:cs="Arial"/>
                <w:noProof/>
                <w:sz w:val="18"/>
                <w:szCs w:val="18"/>
                <w:lang w:val="en-GB" w:eastAsia="en-GB"/>
              </w:rPr>
            </w:pPr>
            <w:r>
              <w:rPr>
                <w:rFonts w:cs="Arial"/>
                <w:noProof/>
                <w:sz w:val="18"/>
                <w:szCs w:val="18"/>
                <w:lang w:val="en-GB" w:eastAsia="en-GB"/>
              </w:rPr>
              <w:t>Data from Evaluation. The trend is expected to remain constant as this concerns overhead IT implementation costs. The expected increase in IT costs is already covered in the IT system data row.</w:t>
            </w:r>
          </w:p>
        </w:tc>
      </w:tr>
      <w:tr w:rsidR="004D45F1" w14:paraId="4CE49447" w14:textId="77777777" w:rsidTr="004D45F1">
        <w:trPr>
          <w:cnfStyle w:val="000000100000" w:firstRow="0" w:lastRow="0" w:firstColumn="0" w:lastColumn="0" w:oddVBand="0" w:evenVBand="0" w:oddHBand="1" w:evenHBand="0" w:firstRowFirstColumn="0" w:firstRowLastColumn="0" w:lastRowFirstColumn="0" w:lastRowLastColumn="0"/>
          <w:trHeight w:val="271"/>
        </w:trPr>
        <w:tc>
          <w:tcPr>
            <w:tcW w:w="897" w:type="pct"/>
            <w:tcBorders>
              <w:top w:val="nil"/>
              <w:left w:val="single" w:sz="4" w:space="0" w:color="0055A0"/>
              <w:bottom w:val="nil"/>
              <w:right w:val="single" w:sz="4" w:space="0" w:color="0055A0"/>
            </w:tcBorders>
            <w:hideMark/>
          </w:tcPr>
          <w:p w14:paraId="2BB06773"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External support</w:t>
            </w:r>
          </w:p>
        </w:tc>
        <w:tc>
          <w:tcPr>
            <w:tcW w:w="4103" w:type="pct"/>
            <w:tcBorders>
              <w:top w:val="nil"/>
              <w:left w:val="single" w:sz="4" w:space="0" w:color="0055A0"/>
              <w:bottom w:val="nil"/>
              <w:right w:val="single" w:sz="4" w:space="0" w:color="0055A0"/>
            </w:tcBorders>
            <w:vAlign w:val="top"/>
            <w:hideMark/>
          </w:tcPr>
          <w:p w14:paraId="297D7454" w14:textId="77777777" w:rsidR="004D45F1" w:rsidRDefault="004D45F1">
            <w:pPr>
              <w:rPr>
                <w:rFonts w:cs="Arial"/>
                <w:noProof/>
                <w:sz w:val="18"/>
                <w:szCs w:val="18"/>
                <w:lang w:val="en-GB" w:eastAsia="en-GB"/>
              </w:rPr>
            </w:pPr>
            <w:r>
              <w:rPr>
                <w:rFonts w:cs="Arial"/>
                <w:noProof/>
                <w:sz w:val="18"/>
                <w:szCs w:val="18"/>
                <w:lang w:val="en-GB" w:eastAsia="en-GB"/>
              </w:rPr>
              <w:t>Data from Evaluation, expected to remain constant.</w:t>
            </w:r>
          </w:p>
        </w:tc>
      </w:tr>
      <w:tr w:rsidR="004D45F1" w14:paraId="7F72CD6E" w14:textId="77777777" w:rsidTr="004D45F1">
        <w:trPr>
          <w:cnfStyle w:val="000000010000" w:firstRow="0" w:lastRow="0" w:firstColumn="0" w:lastColumn="0" w:oddVBand="0" w:evenVBand="0" w:oddHBand="0" w:evenHBand="1" w:firstRowFirstColumn="0" w:firstRowLastColumn="0" w:lastRowFirstColumn="0" w:lastRowLastColumn="0"/>
          <w:trHeight w:val="256"/>
        </w:trPr>
        <w:tc>
          <w:tcPr>
            <w:tcW w:w="5000" w:type="pct"/>
            <w:gridSpan w:val="2"/>
            <w:tcBorders>
              <w:top w:val="nil"/>
              <w:left w:val="single" w:sz="4" w:space="0" w:color="0055A0"/>
              <w:bottom w:val="nil"/>
              <w:right w:val="single" w:sz="4" w:space="0" w:color="0055A0"/>
            </w:tcBorders>
            <w:shd w:val="clear" w:color="auto" w:fill="FFD966"/>
            <w:hideMark/>
          </w:tcPr>
          <w:p w14:paraId="781958DB" w14:textId="77777777" w:rsidR="004D45F1" w:rsidRDefault="004D45F1">
            <w:pPr>
              <w:rPr>
                <w:rFonts w:cs="Arial"/>
                <w:noProof/>
                <w:sz w:val="18"/>
                <w:szCs w:val="18"/>
                <w:lang w:val="en-GB" w:eastAsia="en-GB"/>
              </w:rPr>
            </w:pPr>
            <w:r>
              <w:rPr>
                <w:rFonts w:cs="Arial"/>
                <w:b/>
                <w:bCs/>
                <w:noProof/>
                <w:sz w:val="18"/>
                <w:szCs w:val="18"/>
                <w:lang w:val="en-GB" w:eastAsia="en-GB"/>
              </w:rPr>
              <w:t>Admin costs to EEA</w:t>
            </w:r>
          </w:p>
        </w:tc>
      </w:tr>
      <w:tr w:rsidR="004D45F1" w14:paraId="1262BE4B" w14:textId="77777777" w:rsidTr="004D45F1">
        <w:trPr>
          <w:cnfStyle w:val="000000100000" w:firstRow="0" w:lastRow="0" w:firstColumn="0" w:lastColumn="0" w:oddVBand="0" w:evenVBand="0" w:oddHBand="1" w:evenHBand="0" w:firstRowFirstColumn="0" w:firstRowLastColumn="0" w:lastRowFirstColumn="0" w:lastRowLastColumn="0"/>
          <w:trHeight w:val="693"/>
        </w:trPr>
        <w:tc>
          <w:tcPr>
            <w:tcW w:w="897" w:type="pct"/>
            <w:tcBorders>
              <w:top w:val="nil"/>
              <w:left w:val="single" w:sz="4" w:space="0" w:color="0055A0"/>
              <w:bottom w:val="nil"/>
              <w:right w:val="single" w:sz="4" w:space="0" w:color="0055A0"/>
            </w:tcBorders>
            <w:hideMark/>
          </w:tcPr>
          <w:p w14:paraId="723FE92C" w14:textId="77777777" w:rsidR="004D45F1" w:rsidRDefault="004D45F1">
            <w:pPr>
              <w:jc w:val="both"/>
              <w:rPr>
                <w:rFonts w:cs="Arial"/>
                <w:noProof/>
                <w:color w:val="000000"/>
                <w:sz w:val="18"/>
                <w:szCs w:val="18"/>
                <w:lang w:val="en-GB" w:eastAsia="en-GB"/>
              </w:rPr>
            </w:pPr>
            <w:r>
              <w:rPr>
                <w:rFonts w:cs="Arial"/>
                <w:noProof/>
                <w:sz w:val="18"/>
                <w:szCs w:val="18"/>
                <w:lang w:val="en-GB" w:eastAsia="en-GB"/>
              </w:rPr>
              <w:t>IEEA Admin costs</w:t>
            </w:r>
          </w:p>
        </w:tc>
        <w:tc>
          <w:tcPr>
            <w:tcW w:w="4103" w:type="pct"/>
            <w:tcBorders>
              <w:top w:val="nil"/>
              <w:left w:val="single" w:sz="4" w:space="0" w:color="0055A0"/>
              <w:bottom w:val="nil"/>
              <w:right w:val="single" w:sz="4" w:space="0" w:color="0055A0"/>
            </w:tcBorders>
            <w:vAlign w:val="top"/>
            <w:hideMark/>
          </w:tcPr>
          <w:p w14:paraId="18E132B3" w14:textId="77777777" w:rsidR="004D45F1" w:rsidRDefault="004D45F1">
            <w:pPr>
              <w:rPr>
                <w:rFonts w:cs="Arial"/>
                <w:noProof/>
                <w:sz w:val="18"/>
                <w:szCs w:val="18"/>
                <w:lang w:val="en-GB" w:eastAsia="en-GB"/>
              </w:rPr>
            </w:pPr>
            <w:r>
              <w:rPr>
                <w:rFonts w:cs="Arial"/>
                <w:noProof/>
                <w:sz w:val="18"/>
                <w:szCs w:val="18"/>
                <w:lang w:val="en-GB" w:eastAsia="en-GB"/>
              </w:rPr>
              <w:t>Costs increase by 25% to account for expected cost increases in by 2030</w:t>
            </w:r>
          </w:p>
        </w:tc>
      </w:tr>
      <w:tr w:rsidR="004D45F1" w14:paraId="312C1B81"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nil"/>
            </w:tcBorders>
            <w:hideMark/>
          </w:tcPr>
          <w:p w14:paraId="712AFEBD" w14:textId="77777777" w:rsidR="004D45F1" w:rsidRDefault="004D45F1">
            <w:pPr>
              <w:jc w:val="both"/>
              <w:rPr>
                <w:rFonts w:cs="Arial"/>
                <w:noProof/>
                <w:sz w:val="18"/>
                <w:szCs w:val="18"/>
                <w:lang w:val="en-GB" w:eastAsia="en-GB"/>
              </w:rPr>
            </w:pPr>
            <w:r>
              <w:rPr>
                <w:rFonts w:cs="Arial"/>
                <w:noProof/>
                <w:sz w:val="18"/>
                <w:szCs w:val="18"/>
                <w:lang w:val="en-GB" w:eastAsia="en-GB"/>
              </w:rPr>
              <w:t>EEA Topic centre</w:t>
            </w:r>
          </w:p>
        </w:tc>
        <w:tc>
          <w:tcPr>
            <w:tcW w:w="4103" w:type="pct"/>
            <w:tcBorders>
              <w:top w:val="nil"/>
              <w:bottom w:val="nil"/>
              <w:right w:val="single" w:sz="4" w:space="0" w:color="0055A0"/>
            </w:tcBorders>
            <w:vAlign w:val="top"/>
            <w:hideMark/>
          </w:tcPr>
          <w:p w14:paraId="197B7B0B" w14:textId="77777777" w:rsidR="004D45F1" w:rsidRDefault="004D45F1">
            <w:pPr>
              <w:rPr>
                <w:rFonts w:cs="Arial"/>
                <w:noProof/>
                <w:sz w:val="18"/>
                <w:szCs w:val="18"/>
                <w:lang w:val="en-GB" w:eastAsia="en-GB"/>
              </w:rPr>
            </w:pPr>
            <w:r>
              <w:rPr>
                <w:rFonts w:cs="Arial"/>
                <w:noProof/>
                <w:sz w:val="18"/>
                <w:szCs w:val="18"/>
                <w:lang w:val="en-GB" w:eastAsia="en-GB"/>
              </w:rPr>
              <w:t>Constant</w:t>
            </w:r>
          </w:p>
        </w:tc>
      </w:tr>
      <w:tr w:rsidR="004D45F1" w14:paraId="201A8178" w14:textId="77777777" w:rsidTr="004D45F1">
        <w:trPr>
          <w:cnfStyle w:val="000000100000" w:firstRow="0" w:lastRow="0" w:firstColumn="0" w:lastColumn="0" w:oddVBand="0" w:evenVBand="0" w:oddHBand="1" w:evenHBand="0" w:firstRowFirstColumn="0" w:firstRowLastColumn="0" w:lastRowFirstColumn="0" w:lastRowLastColumn="0"/>
          <w:trHeight w:val="693"/>
        </w:trPr>
        <w:tc>
          <w:tcPr>
            <w:tcW w:w="897" w:type="pct"/>
            <w:tcBorders>
              <w:top w:val="nil"/>
              <w:left w:val="single" w:sz="4" w:space="0" w:color="0055A0"/>
              <w:bottom w:val="nil"/>
              <w:right w:val="single" w:sz="4" w:space="0" w:color="0055A0"/>
            </w:tcBorders>
            <w:hideMark/>
          </w:tcPr>
          <w:p w14:paraId="0427FAC9" w14:textId="77777777" w:rsidR="004D45F1" w:rsidRDefault="004D45F1">
            <w:pPr>
              <w:jc w:val="both"/>
              <w:rPr>
                <w:rFonts w:cs="Arial"/>
                <w:noProof/>
                <w:sz w:val="18"/>
                <w:szCs w:val="18"/>
                <w:lang w:val="en-GB" w:eastAsia="en-GB"/>
              </w:rPr>
            </w:pPr>
            <w:r>
              <w:rPr>
                <w:rFonts w:cs="Arial"/>
                <w:noProof/>
                <w:sz w:val="18"/>
                <w:szCs w:val="18"/>
                <w:lang w:val="en-GB" w:eastAsia="en-GB"/>
              </w:rPr>
              <w:t>EEA External IT support consultancy for ODS webform</w:t>
            </w:r>
          </w:p>
        </w:tc>
        <w:tc>
          <w:tcPr>
            <w:tcW w:w="4103" w:type="pct"/>
            <w:tcBorders>
              <w:top w:val="nil"/>
              <w:left w:val="single" w:sz="4" w:space="0" w:color="0055A0"/>
              <w:bottom w:val="nil"/>
              <w:right w:val="single" w:sz="4" w:space="0" w:color="0055A0"/>
            </w:tcBorders>
            <w:vAlign w:val="top"/>
            <w:hideMark/>
          </w:tcPr>
          <w:p w14:paraId="0CCC991C" w14:textId="77777777" w:rsidR="004D45F1" w:rsidRDefault="004D45F1">
            <w:pPr>
              <w:rPr>
                <w:rFonts w:cs="Arial"/>
                <w:noProof/>
                <w:sz w:val="18"/>
                <w:szCs w:val="18"/>
                <w:lang w:val="en-GB" w:eastAsia="en-GB"/>
              </w:rPr>
            </w:pPr>
            <w:r>
              <w:rPr>
                <w:rFonts w:cs="Arial"/>
                <w:noProof/>
                <w:sz w:val="18"/>
                <w:szCs w:val="18"/>
                <w:lang w:val="en-GB" w:eastAsia="en-GB"/>
              </w:rPr>
              <w:t>ODS development cost. As the webform now exists, expected to only need 50% of this for maintenance from 2025 onwards. Costs remain the same in 2020 due to data security and protection.</w:t>
            </w:r>
          </w:p>
        </w:tc>
      </w:tr>
      <w:tr w:rsidR="004D45F1" w14:paraId="3175D34C" w14:textId="77777777" w:rsidTr="004D45F1">
        <w:trPr>
          <w:cnfStyle w:val="000000010000" w:firstRow="0" w:lastRow="0" w:firstColumn="0" w:lastColumn="0" w:oddVBand="0" w:evenVBand="0" w:oddHBand="0" w:evenHBand="1" w:firstRowFirstColumn="0" w:firstRowLastColumn="0" w:lastRowFirstColumn="0" w:lastRowLastColumn="0"/>
          <w:trHeight w:val="693"/>
        </w:trPr>
        <w:tc>
          <w:tcPr>
            <w:tcW w:w="897" w:type="pct"/>
            <w:tcBorders>
              <w:top w:val="nil"/>
              <w:left w:val="single" w:sz="4" w:space="0" w:color="0055A0"/>
              <w:bottom w:val="single" w:sz="4" w:space="0" w:color="0055A0"/>
            </w:tcBorders>
            <w:hideMark/>
          </w:tcPr>
          <w:p w14:paraId="33E59835" w14:textId="77777777" w:rsidR="004D45F1" w:rsidRDefault="004D45F1">
            <w:pPr>
              <w:jc w:val="both"/>
              <w:rPr>
                <w:rFonts w:cs="Arial"/>
                <w:noProof/>
                <w:sz w:val="18"/>
                <w:szCs w:val="18"/>
                <w:lang w:val="en-GB" w:eastAsia="en-GB"/>
              </w:rPr>
            </w:pPr>
            <w:r>
              <w:rPr>
                <w:rFonts w:cs="Arial"/>
                <w:noProof/>
                <w:sz w:val="18"/>
                <w:szCs w:val="18"/>
                <w:lang w:val="en-GB" w:eastAsia="en-GB"/>
              </w:rPr>
              <w:t>EEA External IT consultancy for BDR system</w:t>
            </w:r>
          </w:p>
        </w:tc>
        <w:tc>
          <w:tcPr>
            <w:tcW w:w="4103" w:type="pct"/>
            <w:tcBorders>
              <w:top w:val="nil"/>
              <w:bottom w:val="single" w:sz="4" w:space="0" w:color="0055A0"/>
              <w:right w:val="single" w:sz="4" w:space="0" w:color="0055A0"/>
            </w:tcBorders>
            <w:vAlign w:val="top"/>
            <w:hideMark/>
          </w:tcPr>
          <w:p w14:paraId="0A0D0B44" w14:textId="77777777" w:rsidR="004D45F1" w:rsidRDefault="004D45F1">
            <w:pPr>
              <w:rPr>
                <w:rFonts w:cs="Arial"/>
                <w:noProof/>
                <w:sz w:val="18"/>
                <w:szCs w:val="18"/>
                <w:lang w:val="en-GB" w:eastAsia="en-GB"/>
              </w:rPr>
            </w:pPr>
            <w:r>
              <w:rPr>
                <w:rFonts w:cs="Arial"/>
                <w:noProof/>
                <w:sz w:val="18"/>
                <w:szCs w:val="18"/>
                <w:lang w:val="en-GB" w:eastAsia="en-GB"/>
              </w:rPr>
              <w:t>Constant</w:t>
            </w:r>
          </w:p>
        </w:tc>
      </w:tr>
    </w:tbl>
    <w:p w14:paraId="1037C8CE" w14:textId="77777777" w:rsidR="004D45F1" w:rsidRDefault="004D45F1" w:rsidP="004D45F1">
      <w:pPr>
        <w:spacing w:after="120"/>
        <w:jc w:val="both"/>
        <w:rPr>
          <w:rFonts w:ascii="Arial" w:eastAsia="Calibri" w:hAnsi="Arial" w:cs="Arial"/>
          <w:noProof/>
          <w:sz w:val="20"/>
        </w:rPr>
      </w:pPr>
    </w:p>
    <w:p w14:paraId="471F312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Table A4.7 shows that total costs for businesses are expected to decline slightly in the baseline. Although the costs associated with registration requirements for laboratories are not expected to change, the rest of the costs are expected to be declining in line with the declining overall use of ODS. Two most important cost categories are licencing and reporting requirements. The baseline assumes that, with a decline in the use of ODS, less businesses will need to apply for licences and report. At the same time, those businesses that still do will spend less time on these activities due to lower ODS volumes (and lower number of substances) to licence and report.</w:t>
      </w:r>
    </w:p>
    <w:p w14:paraId="12AE3084"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Many components of the costs are projected to decrease, following the trends on declining use of ODS in the EU (approximately by 5% every 5 years, following the trends described above), so the total costs are also expected to fall overall. </w:t>
      </w:r>
    </w:p>
    <w:p w14:paraId="3F87EF07" w14:textId="77777777" w:rsidR="004D45F1" w:rsidRDefault="004D45F1" w:rsidP="004D45F1">
      <w:pPr>
        <w:spacing w:after="120"/>
        <w:jc w:val="both"/>
        <w:rPr>
          <w:rFonts w:ascii="Times New Roman" w:eastAsia="Calibri" w:hAnsi="Times New Roman" w:cs="Times New Roman"/>
          <w:noProof/>
          <w:sz w:val="24"/>
          <w:szCs w:val="24"/>
        </w:rPr>
      </w:pPr>
    </w:p>
    <w:p w14:paraId="5CE9A66C" w14:textId="77777777" w:rsidR="004D45F1" w:rsidRDefault="004D45F1" w:rsidP="004D45F1">
      <w:pPr>
        <w:keepNext/>
        <w:spacing w:after="120" w:line="240" w:lineRule="auto"/>
        <w:jc w:val="both"/>
        <w:rPr>
          <w:rFonts w:ascii="Arial" w:eastAsia="Calibri" w:hAnsi="Arial" w:cs="Arial"/>
          <w:iCs/>
          <w:noProof/>
          <w:color w:val="006BB7"/>
          <w:sz w:val="20"/>
          <w:szCs w:val="18"/>
        </w:rPr>
      </w:pPr>
      <w:r>
        <w:rPr>
          <w:rFonts w:ascii="Arial" w:eastAsia="Calibri" w:hAnsi="Arial" w:cs="Arial"/>
          <w:iCs/>
          <w:noProof/>
          <w:color w:val="006BB7"/>
          <w:sz w:val="20"/>
          <w:szCs w:val="18"/>
        </w:rPr>
        <w:t>Table A4.7 Baseline projected administrative costs to businesses associated with the ODS regulation, EUR 2020</w:t>
      </w:r>
    </w:p>
    <w:tbl>
      <w:tblPr>
        <w:tblStyle w:val="TableGrid1214"/>
        <w:tblW w:w="3800" w:type="pct"/>
        <w:tblInd w:w="0" w:type="dxa"/>
        <w:tblLook w:val="04A0" w:firstRow="1" w:lastRow="0" w:firstColumn="1" w:lastColumn="0" w:noHBand="0" w:noVBand="1"/>
      </w:tblPr>
      <w:tblGrid>
        <w:gridCol w:w="1591"/>
        <w:gridCol w:w="1018"/>
        <w:gridCol w:w="1104"/>
        <w:gridCol w:w="1106"/>
        <w:gridCol w:w="1106"/>
        <w:gridCol w:w="1099"/>
      </w:tblGrid>
      <w:tr w:rsidR="004D45F1" w14:paraId="4DD3BAE6" w14:textId="77777777" w:rsidTr="004D45F1">
        <w:trPr>
          <w:cnfStyle w:val="100000000000" w:firstRow="1" w:lastRow="0" w:firstColumn="0" w:lastColumn="0" w:oddVBand="0" w:evenVBand="0" w:oddHBand="0" w:evenHBand="0" w:firstRowFirstColumn="0" w:firstRowLastColumn="0" w:lastRowFirstColumn="0" w:lastRowLastColumn="0"/>
          <w:tblHeader/>
        </w:trPr>
        <w:tc>
          <w:tcPr>
            <w:tcW w:w="1133" w:type="pct"/>
            <w:hideMark/>
          </w:tcPr>
          <w:p w14:paraId="0AA276FF" w14:textId="77777777" w:rsidR="004D45F1" w:rsidRDefault="004D45F1">
            <w:pPr>
              <w:jc w:val="both"/>
              <w:rPr>
                <w:rFonts w:cs="Arial"/>
                <w:noProof/>
                <w:sz w:val="16"/>
                <w:szCs w:val="16"/>
                <w:lang w:val="en-GB" w:eastAsia="en-GB"/>
              </w:rPr>
            </w:pPr>
            <w:r>
              <w:rPr>
                <w:rFonts w:cs="Arial"/>
                <w:noProof/>
                <w:sz w:val="16"/>
                <w:szCs w:val="16"/>
                <w:lang w:val="en-GB" w:eastAsia="en-GB"/>
              </w:rPr>
              <w:t>Description of cost</w:t>
            </w:r>
          </w:p>
        </w:tc>
        <w:tc>
          <w:tcPr>
            <w:tcW w:w="725" w:type="pct"/>
            <w:hideMark/>
          </w:tcPr>
          <w:p w14:paraId="15BBCE7C" w14:textId="77777777" w:rsidR="004D45F1" w:rsidRDefault="004D45F1">
            <w:pPr>
              <w:jc w:val="center"/>
              <w:rPr>
                <w:rFonts w:cs="Arial"/>
                <w:noProof/>
                <w:sz w:val="16"/>
                <w:szCs w:val="16"/>
                <w:lang w:val="en-GB" w:eastAsia="en-GB"/>
              </w:rPr>
            </w:pPr>
            <w:r>
              <w:rPr>
                <w:rFonts w:cs="Arial"/>
                <w:noProof/>
                <w:sz w:val="16"/>
                <w:szCs w:val="16"/>
                <w:lang w:val="en-GB" w:eastAsia="en-GB"/>
              </w:rPr>
              <w:t>2020</w:t>
            </w:r>
          </w:p>
        </w:tc>
        <w:tc>
          <w:tcPr>
            <w:tcW w:w="786" w:type="pct"/>
            <w:hideMark/>
          </w:tcPr>
          <w:p w14:paraId="60ED2736" w14:textId="77777777" w:rsidR="004D45F1" w:rsidRDefault="004D45F1">
            <w:pPr>
              <w:jc w:val="center"/>
              <w:rPr>
                <w:rFonts w:cs="Arial"/>
                <w:noProof/>
                <w:sz w:val="16"/>
                <w:szCs w:val="16"/>
                <w:lang w:val="en-GB" w:eastAsia="en-GB"/>
              </w:rPr>
            </w:pPr>
            <w:r>
              <w:rPr>
                <w:rFonts w:cs="Arial"/>
                <w:noProof/>
                <w:sz w:val="16"/>
                <w:szCs w:val="16"/>
                <w:lang w:val="en-GB" w:eastAsia="en-GB"/>
              </w:rPr>
              <w:t>2025</w:t>
            </w:r>
          </w:p>
        </w:tc>
        <w:tc>
          <w:tcPr>
            <w:tcW w:w="787" w:type="pct"/>
            <w:hideMark/>
          </w:tcPr>
          <w:p w14:paraId="05063D5B" w14:textId="77777777" w:rsidR="004D45F1" w:rsidRDefault="004D45F1">
            <w:pPr>
              <w:jc w:val="center"/>
              <w:rPr>
                <w:rFonts w:cs="Arial"/>
                <w:noProof/>
                <w:sz w:val="16"/>
                <w:szCs w:val="16"/>
                <w:lang w:val="en-GB" w:eastAsia="en-GB"/>
              </w:rPr>
            </w:pPr>
            <w:r>
              <w:rPr>
                <w:rFonts w:cs="Arial"/>
                <w:noProof/>
                <w:sz w:val="16"/>
                <w:szCs w:val="16"/>
                <w:lang w:val="en-GB" w:eastAsia="en-GB"/>
              </w:rPr>
              <w:t>2030</w:t>
            </w:r>
          </w:p>
        </w:tc>
        <w:tc>
          <w:tcPr>
            <w:tcW w:w="787" w:type="pct"/>
            <w:hideMark/>
          </w:tcPr>
          <w:p w14:paraId="5B6C6D66" w14:textId="77777777" w:rsidR="004D45F1" w:rsidRDefault="004D45F1">
            <w:pPr>
              <w:jc w:val="center"/>
              <w:rPr>
                <w:rFonts w:cs="Arial"/>
                <w:noProof/>
                <w:sz w:val="16"/>
                <w:szCs w:val="16"/>
                <w:lang w:val="en-GB" w:eastAsia="en-GB"/>
              </w:rPr>
            </w:pPr>
            <w:r>
              <w:rPr>
                <w:rFonts w:cs="Arial"/>
                <w:noProof/>
                <w:sz w:val="16"/>
                <w:szCs w:val="16"/>
                <w:lang w:val="en-GB" w:eastAsia="en-GB"/>
              </w:rPr>
              <w:t>2040</w:t>
            </w:r>
          </w:p>
        </w:tc>
        <w:tc>
          <w:tcPr>
            <w:tcW w:w="782" w:type="pct"/>
            <w:hideMark/>
          </w:tcPr>
          <w:p w14:paraId="69ADDBBC" w14:textId="77777777" w:rsidR="004D45F1" w:rsidRDefault="004D45F1">
            <w:pPr>
              <w:jc w:val="center"/>
              <w:rPr>
                <w:rFonts w:cs="Arial"/>
                <w:noProof/>
                <w:sz w:val="16"/>
                <w:szCs w:val="16"/>
                <w:lang w:val="en-GB" w:eastAsia="en-GB"/>
              </w:rPr>
            </w:pPr>
            <w:r>
              <w:rPr>
                <w:rFonts w:cs="Arial"/>
                <w:noProof/>
                <w:sz w:val="16"/>
                <w:szCs w:val="16"/>
                <w:lang w:val="en-GB" w:eastAsia="en-GB"/>
              </w:rPr>
              <w:t>2050</w:t>
            </w:r>
          </w:p>
        </w:tc>
      </w:tr>
      <w:tr w:rsidR="004D45F1" w14:paraId="7AADA785" w14:textId="77777777" w:rsidTr="004D45F1">
        <w:trPr>
          <w:cnfStyle w:val="000000100000" w:firstRow="0" w:lastRow="0" w:firstColumn="0" w:lastColumn="0" w:oddVBand="0" w:evenVBand="0" w:oddHBand="1" w:evenHBand="0" w:firstRowFirstColumn="0" w:firstRowLastColumn="0" w:lastRowFirstColumn="0" w:lastRowLastColumn="0"/>
        </w:trPr>
        <w:tc>
          <w:tcPr>
            <w:tcW w:w="1133" w:type="pct"/>
            <w:tcBorders>
              <w:top w:val="nil"/>
              <w:left w:val="single" w:sz="4" w:space="0" w:color="0055A0"/>
              <w:bottom w:val="nil"/>
              <w:right w:val="single" w:sz="4" w:space="0" w:color="0055A0"/>
            </w:tcBorders>
            <w:shd w:val="clear" w:color="auto" w:fill="FFC000"/>
            <w:hideMark/>
          </w:tcPr>
          <w:p w14:paraId="4EB5F035" w14:textId="77777777" w:rsidR="004D45F1" w:rsidRDefault="004D45F1">
            <w:pPr>
              <w:jc w:val="both"/>
              <w:rPr>
                <w:rFonts w:cs="Arial"/>
                <w:b/>
                <w:bCs/>
                <w:noProof/>
                <w:sz w:val="18"/>
                <w:szCs w:val="18"/>
                <w:lang w:val="en-GB" w:eastAsia="en-GB"/>
              </w:rPr>
            </w:pPr>
            <w:r>
              <w:rPr>
                <w:rFonts w:cs="Arial"/>
                <w:b/>
                <w:bCs/>
                <w:noProof/>
                <w:sz w:val="18"/>
                <w:szCs w:val="18"/>
                <w:lang w:val="en-GB" w:eastAsia="en-GB"/>
              </w:rPr>
              <w:t>Total Cost for businesses</w:t>
            </w:r>
          </w:p>
        </w:tc>
        <w:tc>
          <w:tcPr>
            <w:tcW w:w="725" w:type="pct"/>
            <w:tcBorders>
              <w:top w:val="nil"/>
              <w:left w:val="single" w:sz="4" w:space="0" w:color="0055A0"/>
              <w:bottom w:val="nil"/>
              <w:right w:val="single" w:sz="4" w:space="0" w:color="0055A0"/>
            </w:tcBorders>
            <w:shd w:val="clear" w:color="auto" w:fill="FFC000"/>
            <w:hideMark/>
          </w:tcPr>
          <w:p w14:paraId="34CCF540"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303,486</w:t>
            </w:r>
          </w:p>
        </w:tc>
        <w:tc>
          <w:tcPr>
            <w:tcW w:w="786" w:type="pct"/>
            <w:tcBorders>
              <w:top w:val="nil"/>
              <w:left w:val="single" w:sz="4" w:space="0" w:color="0055A0"/>
              <w:bottom w:val="nil"/>
              <w:right w:val="single" w:sz="4" w:space="0" w:color="0055A0"/>
            </w:tcBorders>
            <w:shd w:val="clear" w:color="auto" w:fill="FFC000"/>
            <w:hideMark/>
          </w:tcPr>
          <w:p w14:paraId="35E9637B"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303,428</w:t>
            </w:r>
          </w:p>
        </w:tc>
        <w:tc>
          <w:tcPr>
            <w:tcW w:w="787" w:type="pct"/>
            <w:tcBorders>
              <w:top w:val="nil"/>
              <w:left w:val="single" w:sz="4" w:space="0" w:color="0055A0"/>
              <w:bottom w:val="nil"/>
              <w:right w:val="single" w:sz="4" w:space="0" w:color="0055A0"/>
            </w:tcBorders>
            <w:shd w:val="clear" w:color="auto" w:fill="FFC000"/>
            <w:hideMark/>
          </w:tcPr>
          <w:p w14:paraId="559A273F"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297,391</w:t>
            </w:r>
          </w:p>
        </w:tc>
        <w:tc>
          <w:tcPr>
            <w:tcW w:w="787" w:type="pct"/>
            <w:tcBorders>
              <w:top w:val="nil"/>
              <w:left w:val="single" w:sz="4" w:space="0" w:color="0055A0"/>
              <w:bottom w:val="nil"/>
              <w:right w:val="single" w:sz="4" w:space="0" w:color="0055A0"/>
            </w:tcBorders>
            <w:shd w:val="clear" w:color="auto" w:fill="FFC000"/>
            <w:hideMark/>
          </w:tcPr>
          <w:p w14:paraId="15E07342"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285,658</w:t>
            </w:r>
          </w:p>
        </w:tc>
        <w:tc>
          <w:tcPr>
            <w:tcW w:w="782" w:type="pct"/>
            <w:tcBorders>
              <w:top w:val="nil"/>
              <w:left w:val="single" w:sz="4" w:space="0" w:color="0055A0"/>
              <w:bottom w:val="nil"/>
              <w:right w:val="single" w:sz="4" w:space="0" w:color="0055A0"/>
            </w:tcBorders>
            <w:shd w:val="clear" w:color="auto" w:fill="FFC000"/>
            <w:hideMark/>
          </w:tcPr>
          <w:p w14:paraId="5EB25682"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274,892</w:t>
            </w:r>
          </w:p>
        </w:tc>
      </w:tr>
      <w:tr w:rsidR="004D45F1" w14:paraId="1A1A4F4A" w14:textId="77777777" w:rsidTr="004D45F1">
        <w:trPr>
          <w:cnfStyle w:val="000000010000" w:firstRow="0" w:lastRow="0" w:firstColumn="0" w:lastColumn="0" w:oddVBand="0" w:evenVBand="0" w:oddHBand="0" w:evenHBand="1" w:firstRowFirstColumn="0" w:firstRowLastColumn="0" w:lastRowFirstColumn="0" w:lastRowLastColumn="0"/>
        </w:trPr>
        <w:tc>
          <w:tcPr>
            <w:tcW w:w="1133" w:type="pct"/>
            <w:tcBorders>
              <w:top w:val="nil"/>
              <w:left w:val="single" w:sz="4" w:space="0" w:color="0055A0"/>
              <w:bottom w:val="nil"/>
            </w:tcBorders>
            <w:hideMark/>
          </w:tcPr>
          <w:p w14:paraId="7300818A" w14:textId="77777777" w:rsidR="004D45F1" w:rsidRDefault="004D45F1">
            <w:pPr>
              <w:jc w:val="both"/>
              <w:rPr>
                <w:rFonts w:cs="Arial"/>
                <w:b/>
                <w:bCs/>
                <w:noProof/>
                <w:sz w:val="18"/>
                <w:szCs w:val="18"/>
                <w:lang w:val="en-GB" w:eastAsia="en-GB"/>
              </w:rPr>
            </w:pPr>
            <w:r>
              <w:rPr>
                <w:rFonts w:cs="Arial"/>
                <w:noProof/>
                <w:sz w:val="18"/>
                <w:szCs w:val="18"/>
                <w:lang w:val="en-GB" w:eastAsia="en-GB"/>
              </w:rPr>
              <w:t>Licensing requirements</w:t>
            </w:r>
          </w:p>
        </w:tc>
        <w:tc>
          <w:tcPr>
            <w:tcW w:w="725" w:type="pct"/>
            <w:tcBorders>
              <w:top w:val="nil"/>
              <w:bottom w:val="nil"/>
            </w:tcBorders>
            <w:hideMark/>
          </w:tcPr>
          <w:p w14:paraId="75767E72" w14:textId="77777777" w:rsidR="004D45F1" w:rsidRDefault="004D45F1">
            <w:pPr>
              <w:jc w:val="center"/>
              <w:rPr>
                <w:rFonts w:cs="Arial"/>
                <w:noProof/>
                <w:sz w:val="18"/>
                <w:szCs w:val="18"/>
                <w:lang w:val="en-GB" w:eastAsia="en-GB"/>
              </w:rPr>
            </w:pPr>
            <w:r>
              <w:rPr>
                <w:rFonts w:cs="Arial"/>
                <w:noProof/>
                <w:sz w:val="18"/>
                <w:szCs w:val="18"/>
                <w:lang w:val="en-GB" w:eastAsia="en-GB"/>
              </w:rPr>
              <w:t>113,731</w:t>
            </w:r>
          </w:p>
        </w:tc>
        <w:tc>
          <w:tcPr>
            <w:tcW w:w="786" w:type="pct"/>
            <w:tcBorders>
              <w:top w:val="nil"/>
              <w:bottom w:val="nil"/>
            </w:tcBorders>
            <w:hideMark/>
          </w:tcPr>
          <w:p w14:paraId="5DDDCA3B" w14:textId="77777777" w:rsidR="004D45F1" w:rsidRDefault="004D45F1">
            <w:pPr>
              <w:jc w:val="center"/>
              <w:rPr>
                <w:rFonts w:cs="Arial"/>
                <w:noProof/>
                <w:sz w:val="18"/>
                <w:szCs w:val="18"/>
                <w:lang w:val="en-GB" w:eastAsia="en-GB"/>
              </w:rPr>
            </w:pPr>
            <w:r>
              <w:rPr>
                <w:rFonts w:cs="Arial"/>
                <w:noProof/>
                <w:sz w:val="18"/>
                <w:szCs w:val="18"/>
                <w:lang w:val="en-GB" w:eastAsia="en-GB"/>
              </w:rPr>
              <w:t>114,836</w:t>
            </w:r>
          </w:p>
        </w:tc>
        <w:tc>
          <w:tcPr>
            <w:tcW w:w="787" w:type="pct"/>
            <w:tcBorders>
              <w:top w:val="nil"/>
              <w:bottom w:val="nil"/>
            </w:tcBorders>
            <w:hideMark/>
          </w:tcPr>
          <w:p w14:paraId="20A42C27" w14:textId="77777777" w:rsidR="004D45F1" w:rsidRDefault="004D45F1">
            <w:pPr>
              <w:jc w:val="center"/>
              <w:rPr>
                <w:rFonts w:cs="Arial"/>
                <w:noProof/>
                <w:sz w:val="18"/>
                <w:szCs w:val="18"/>
                <w:lang w:val="en-GB" w:eastAsia="en-GB"/>
              </w:rPr>
            </w:pPr>
            <w:r>
              <w:rPr>
                <w:rFonts w:cs="Arial"/>
                <w:noProof/>
                <w:sz w:val="18"/>
                <w:szCs w:val="18"/>
                <w:lang w:val="en-GB" w:eastAsia="en-GB"/>
              </w:rPr>
              <w:t>113,477</w:t>
            </w:r>
          </w:p>
        </w:tc>
        <w:tc>
          <w:tcPr>
            <w:tcW w:w="787" w:type="pct"/>
            <w:tcBorders>
              <w:top w:val="nil"/>
              <w:bottom w:val="nil"/>
            </w:tcBorders>
            <w:hideMark/>
          </w:tcPr>
          <w:p w14:paraId="553E8B2A" w14:textId="77777777" w:rsidR="004D45F1" w:rsidRDefault="004D45F1">
            <w:pPr>
              <w:jc w:val="center"/>
              <w:rPr>
                <w:rFonts w:cs="Arial"/>
                <w:noProof/>
                <w:sz w:val="18"/>
                <w:szCs w:val="18"/>
                <w:lang w:val="en-GB" w:eastAsia="en-GB"/>
              </w:rPr>
            </w:pPr>
            <w:r>
              <w:rPr>
                <w:rFonts w:cs="Arial"/>
                <w:noProof/>
                <w:sz w:val="18"/>
                <w:szCs w:val="18"/>
                <w:lang w:val="en-GB" w:eastAsia="en-GB"/>
              </w:rPr>
              <w:t>110,455</w:t>
            </w:r>
          </w:p>
        </w:tc>
        <w:tc>
          <w:tcPr>
            <w:tcW w:w="782" w:type="pct"/>
            <w:tcBorders>
              <w:top w:val="nil"/>
              <w:bottom w:val="nil"/>
              <w:right w:val="single" w:sz="4" w:space="0" w:color="0055A0"/>
            </w:tcBorders>
            <w:hideMark/>
          </w:tcPr>
          <w:p w14:paraId="5B6DB089" w14:textId="77777777" w:rsidR="004D45F1" w:rsidRDefault="004D45F1">
            <w:pPr>
              <w:jc w:val="center"/>
              <w:rPr>
                <w:rFonts w:cs="Arial"/>
                <w:noProof/>
                <w:sz w:val="18"/>
                <w:szCs w:val="18"/>
                <w:lang w:val="en-GB" w:eastAsia="en-GB"/>
              </w:rPr>
            </w:pPr>
            <w:r>
              <w:rPr>
                <w:rFonts w:cs="Arial"/>
                <w:noProof/>
                <w:sz w:val="18"/>
                <w:szCs w:val="18"/>
                <w:lang w:val="en-GB" w:eastAsia="en-GB"/>
              </w:rPr>
              <w:t>107,608</w:t>
            </w:r>
          </w:p>
        </w:tc>
      </w:tr>
      <w:tr w:rsidR="004D45F1" w14:paraId="5DA3C153" w14:textId="77777777" w:rsidTr="004D45F1">
        <w:trPr>
          <w:cnfStyle w:val="000000100000" w:firstRow="0" w:lastRow="0" w:firstColumn="0" w:lastColumn="0" w:oddVBand="0" w:evenVBand="0" w:oddHBand="1" w:evenHBand="0" w:firstRowFirstColumn="0" w:firstRowLastColumn="0" w:lastRowFirstColumn="0" w:lastRowLastColumn="0"/>
        </w:trPr>
        <w:tc>
          <w:tcPr>
            <w:tcW w:w="1133" w:type="pct"/>
            <w:tcBorders>
              <w:top w:val="nil"/>
              <w:left w:val="single" w:sz="4" w:space="0" w:color="0055A0"/>
              <w:bottom w:val="nil"/>
              <w:right w:val="single" w:sz="4" w:space="0" w:color="0055A0"/>
            </w:tcBorders>
            <w:hideMark/>
          </w:tcPr>
          <w:p w14:paraId="7E608359" w14:textId="77777777" w:rsidR="004D45F1" w:rsidRDefault="004D45F1">
            <w:pPr>
              <w:jc w:val="both"/>
              <w:rPr>
                <w:rFonts w:cs="Arial"/>
                <w:b/>
                <w:bCs/>
                <w:noProof/>
                <w:sz w:val="18"/>
                <w:szCs w:val="18"/>
                <w:lang w:val="en-GB" w:eastAsia="en-GB"/>
              </w:rPr>
            </w:pPr>
            <w:r>
              <w:rPr>
                <w:rFonts w:cs="Arial"/>
                <w:noProof/>
                <w:sz w:val="18"/>
                <w:szCs w:val="18"/>
                <w:lang w:val="en-GB" w:eastAsia="en-GB"/>
              </w:rPr>
              <w:t>Quotas</w:t>
            </w:r>
          </w:p>
        </w:tc>
        <w:tc>
          <w:tcPr>
            <w:tcW w:w="725" w:type="pct"/>
            <w:tcBorders>
              <w:top w:val="nil"/>
              <w:left w:val="single" w:sz="4" w:space="0" w:color="0055A0"/>
              <w:bottom w:val="nil"/>
              <w:right w:val="single" w:sz="4" w:space="0" w:color="0055A0"/>
            </w:tcBorders>
            <w:hideMark/>
          </w:tcPr>
          <w:p w14:paraId="579BF9BF" w14:textId="77777777" w:rsidR="004D45F1" w:rsidRDefault="004D45F1">
            <w:pPr>
              <w:jc w:val="center"/>
              <w:rPr>
                <w:rFonts w:cs="Arial"/>
                <w:noProof/>
                <w:sz w:val="18"/>
                <w:szCs w:val="18"/>
                <w:lang w:val="en-GB" w:eastAsia="en-GB"/>
              </w:rPr>
            </w:pPr>
            <w:r>
              <w:rPr>
                <w:rFonts w:cs="Arial"/>
                <w:noProof/>
                <w:sz w:val="18"/>
                <w:szCs w:val="18"/>
                <w:lang w:val="en-GB" w:eastAsia="en-GB"/>
              </w:rPr>
              <w:t>10,961</w:t>
            </w:r>
          </w:p>
        </w:tc>
        <w:tc>
          <w:tcPr>
            <w:tcW w:w="786" w:type="pct"/>
            <w:tcBorders>
              <w:top w:val="nil"/>
              <w:left w:val="single" w:sz="4" w:space="0" w:color="0055A0"/>
              <w:bottom w:val="nil"/>
              <w:right w:val="single" w:sz="4" w:space="0" w:color="0055A0"/>
            </w:tcBorders>
            <w:hideMark/>
          </w:tcPr>
          <w:p w14:paraId="15C8FD84" w14:textId="77777777" w:rsidR="004D45F1" w:rsidRDefault="004D45F1">
            <w:pPr>
              <w:jc w:val="center"/>
              <w:rPr>
                <w:rFonts w:cs="Arial"/>
                <w:noProof/>
                <w:sz w:val="18"/>
                <w:szCs w:val="18"/>
                <w:lang w:val="en-GB" w:eastAsia="en-GB"/>
              </w:rPr>
            </w:pPr>
            <w:r>
              <w:rPr>
                <w:rFonts w:cs="Arial"/>
                <w:noProof/>
                <w:sz w:val="18"/>
                <w:szCs w:val="18"/>
                <w:lang w:val="en-GB" w:eastAsia="en-GB"/>
              </w:rPr>
              <w:t>10,871</w:t>
            </w:r>
          </w:p>
        </w:tc>
        <w:tc>
          <w:tcPr>
            <w:tcW w:w="787" w:type="pct"/>
            <w:tcBorders>
              <w:top w:val="nil"/>
              <w:left w:val="single" w:sz="4" w:space="0" w:color="0055A0"/>
              <w:bottom w:val="nil"/>
              <w:right w:val="single" w:sz="4" w:space="0" w:color="0055A0"/>
            </w:tcBorders>
            <w:hideMark/>
          </w:tcPr>
          <w:p w14:paraId="5AB25E5C" w14:textId="77777777" w:rsidR="004D45F1" w:rsidRDefault="004D45F1">
            <w:pPr>
              <w:jc w:val="center"/>
              <w:rPr>
                <w:rFonts w:cs="Arial"/>
                <w:noProof/>
                <w:sz w:val="18"/>
                <w:szCs w:val="18"/>
                <w:lang w:val="en-GB" w:eastAsia="en-GB"/>
              </w:rPr>
            </w:pPr>
            <w:r>
              <w:rPr>
                <w:rFonts w:cs="Arial"/>
                <w:noProof/>
                <w:sz w:val="18"/>
                <w:szCs w:val="18"/>
                <w:lang w:val="en-GB" w:eastAsia="en-GB"/>
              </w:rPr>
              <w:t>10,511</w:t>
            </w:r>
          </w:p>
        </w:tc>
        <w:tc>
          <w:tcPr>
            <w:tcW w:w="787" w:type="pct"/>
            <w:tcBorders>
              <w:top w:val="nil"/>
              <w:left w:val="single" w:sz="4" w:space="0" w:color="0055A0"/>
              <w:bottom w:val="nil"/>
              <w:right w:val="single" w:sz="4" w:space="0" w:color="0055A0"/>
            </w:tcBorders>
            <w:hideMark/>
          </w:tcPr>
          <w:p w14:paraId="07DACC1D" w14:textId="77777777" w:rsidR="004D45F1" w:rsidRDefault="004D45F1">
            <w:pPr>
              <w:jc w:val="center"/>
              <w:rPr>
                <w:rFonts w:cs="Arial"/>
                <w:noProof/>
                <w:sz w:val="18"/>
                <w:szCs w:val="18"/>
                <w:lang w:val="en-GB" w:eastAsia="en-GB"/>
              </w:rPr>
            </w:pPr>
            <w:r>
              <w:rPr>
                <w:rFonts w:cs="Arial"/>
                <w:noProof/>
                <w:sz w:val="18"/>
                <w:szCs w:val="18"/>
                <w:lang w:val="en-GB" w:eastAsia="en-GB"/>
              </w:rPr>
              <w:t>9,841</w:t>
            </w:r>
          </w:p>
        </w:tc>
        <w:tc>
          <w:tcPr>
            <w:tcW w:w="782" w:type="pct"/>
            <w:tcBorders>
              <w:top w:val="nil"/>
              <w:left w:val="single" w:sz="4" w:space="0" w:color="0055A0"/>
              <w:bottom w:val="nil"/>
              <w:right w:val="single" w:sz="4" w:space="0" w:color="0055A0"/>
            </w:tcBorders>
            <w:hideMark/>
          </w:tcPr>
          <w:p w14:paraId="6FD51C18" w14:textId="77777777" w:rsidR="004D45F1" w:rsidRDefault="004D45F1">
            <w:pPr>
              <w:jc w:val="center"/>
              <w:rPr>
                <w:rFonts w:cs="Arial"/>
                <w:noProof/>
                <w:sz w:val="18"/>
                <w:szCs w:val="18"/>
                <w:lang w:val="en-GB" w:eastAsia="en-GB"/>
              </w:rPr>
            </w:pPr>
            <w:r>
              <w:rPr>
                <w:rFonts w:cs="Arial"/>
                <w:noProof/>
                <w:sz w:val="18"/>
                <w:szCs w:val="18"/>
                <w:lang w:val="en-GB" w:eastAsia="en-GB"/>
              </w:rPr>
              <w:t>9,232</w:t>
            </w:r>
          </w:p>
        </w:tc>
      </w:tr>
      <w:tr w:rsidR="004D45F1" w14:paraId="498D0B38" w14:textId="77777777" w:rsidTr="004D45F1">
        <w:trPr>
          <w:cnfStyle w:val="000000010000" w:firstRow="0" w:lastRow="0" w:firstColumn="0" w:lastColumn="0" w:oddVBand="0" w:evenVBand="0" w:oddHBand="0" w:evenHBand="1" w:firstRowFirstColumn="0" w:firstRowLastColumn="0" w:lastRowFirstColumn="0" w:lastRowLastColumn="0"/>
        </w:trPr>
        <w:tc>
          <w:tcPr>
            <w:tcW w:w="1133" w:type="pct"/>
            <w:tcBorders>
              <w:top w:val="nil"/>
              <w:left w:val="single" w:sz="4" w:space="0" w:color="0055A0"/>
              <w:bottom w:val="nil"/>
            </w:tcBorders>
            <w:hideMark/>
          </w:tcPr>
          <w:p w14:paraId="6E3C69B0" w14:textId="77777777" w:rsidR="004D45F1" w:rsidRDefault="004D45F1">
            <w:pPr>
              <w:jc w:val="both"/>
              <w:rPr>
                <w:rFonts w:cs="Arial"/>
                <w:b/>
                <w:bCs/>
                <w:noProof/>
                <w:sz w:val="18"/>
                <w:szCs w:val="18"/>
                <w:lang w:val="en-GB" w:eastAsia="en-GB"/>
              </w:rPr>
            </w:pPr>
            <w:r>
              <w:rPr>
                <w:rFonts w:cs="Arial"/>
                <w:noProof/>
                <w:sz w:val="18"/>
                <w:szCs w:val="18"/>
                <w:lang w:val="en-GB" w:eastAsia="en-GB"/>
              </w:rPr>
              <w:t>Registration requirements for laboratories</w:t>
            </w:r>
          </w:p>
        </w:tc>
        <w:tc>
          <w:tcPr>
            <w:tcW w:w="725" w:type="pct"/>
            <w:tcBorders>
              <w:top w:val="nil"/>
              <w:bottom w:val="nil"/>
            </w:tcBorders>
            <w:hideMark/>
          </w:tcPr>
          <w:p w14:paraId="1EAF6B4B" w14:textId="77777777" w:rsidR="004D45F1" w:rsidRDefault="004D45F1">
            <w:pPr>
              <w:jc w:val="center"/>
              <w:rPr>
                <w:rFonts w:cs="Arial"/>
                <w:noProof/>
                <w:sz w:val="18"/>
                <w:szCs w:val="18"/>
                <w:lang w:val="en-GB" w:eastAsia="en-GB"/>
              </w:rPr>
            </w:pPr>
            <w:r>
              <w:rPr>
                <w:rFonts w:cs="Arial"/>
                <w:noProof/>
                <w:sz w:val="18"/>
                <w:szCs w:val="18"/>
                <w:lang w:val="en-GB" w:eastAsia="en-GB"/>
              </w:rPr>
              <w:t>47,297</w:t>
            </w:r>
          </w:p>
        </w:tc>
        <w:tc>
          <w:tcPr>
            <w:tcW w:w="786" w:type="pct"/>
            <w:tcBorders>
              <w:top w:val="nil"/>
              <w:bottom w:val="nil"/>
            </w:tcBorders>
            <w:hideMark/>
          </w:tcPr>
          <w:p w14:paraId="4AB3D484" w14:textId="77777777" w:rsidR="004D45F1" w:rsidRDefault="004D45F1">
            <w:pPr>
              <w:jc w:val="center"/>
              <w:rPr>
                <w:rFonts w:cs="Arial"/>
                <w:noProof/>
                <w:sz w:val="18"/>
                <w:szCs w:val="18"/>
                <w:lang w:val="en-GB" w:eastAsia="en-GB"/>
              </w:rPr>
            </w:pPr>
            <w:r>
              <w:rPr>
                <w:rFonts w:cs="Arial"/>
                <w:noProof/>
                <w:sz w:val="18"/>
                <w:szCs w:val="18"/>
                <w:lang w:val="en-GB" w:eastAsia="en-GB"/>
              </w:rPr>
              <w:t>47,297</w:t>
            </w:r>
          </w:p>
        </w:tc>
        <w:tc>
          <w:tcPr>
            <w:tcW w:w="787" w:type="pct"/>
            <w:tcBorders>
              <w:top w:val="nil"/>
              <w:bottom w:val="nil"/>
            </w:tcBorders>
            <w:hideMark/>
          </w:tcPr>
          <w:p w14:paraId="6FECB599" w14:textId="77777777" w:rsidR="004D45F1" w:rsidRDefault="004D45F1">
            <w:pPr>
              <w:jc w:val="center"/>
              <w:rPr>
                <w:rFonts w:cs="Arial"/>
                <w:noProof/>
                <w:sz w:val="18"/>
                <w:szCs w:val="18"/>
                <w:lang w:val="en-GB" w:eastAsia="en-GB"/>
              </w:rPr>
            </w:pPr>
            <w:r>
              <w:rPr>
                <w:rFonts w:cs="Arial"/>
                <w:noProof/>
                <w:sz w:val="18"/>
                <w:szCs w:val="18"/>
                <w:lang w:val="en-GB" w:eastAsia="en-GB"/>
              </w:rPr>
              <w:t>47,297</w:t>
            </w:r>
          </w:p>
        </w:tc>
        <w:tc>
          <w:tcPr>
            <w:tcW w:w="787" w:type="pct"/>
            <w:tcBorders>
              <w:top w:val="nil"/>
              <w:bottom w:val="nil"/>
            </w:tcBorders>
            <w:hideMark/>
          </w:tcPr>
          <w:p w14:paraId="66FFB321" w14:textId="77777777" w:rsidR="004D45F1" w:rsidRDefault="004D45F1">
            <w:pPr>
              <w:jc w:val="center"/>
              <w:rPr>
                <w:rFonts w:cs="Arial"/>
                <w:noProof/>
                <w:sz w:val="18"/>
                <w:szCs w:val="18"/>
                <w:lang w:val="en-GB" w:eastAsia="en-GB"/>
              </w:rPr>
            </w:pPr>
            <w:r>
              <w:rPr>
                <w:rFonts w:cs="Arial"/>
                <w:noProof/>
                <w:sz w:val="18"/>
                <w:szCs w:val="18"/>
                <w:lang w:val="en-GB" w:eastAsia="en-GB"/>
              </w:rPr>
              <w:t>47,297</w:t>
            </w:r>
          </w:p>
        </w:tc>
        <w:tc>
          <w:tcPr>
            <w:tcW w:w="782" w:type="pct"/>
            <w:tcBorders>
              <w:top w:val="nil"/>
              <w:bottom w:val="nil"/>
              <w:right w:val="single" w:sz="4" w:space="0" w:color="0055A0"/>
            </w:tcBorders>
            <w:hideMark/>
          </w:tcPr>
          <w:p w14:paraId="7A87DF43" w14:textId="77777777" w:rsidR="004D45F1" w:rsidRDefault="004D45F1">
            <w:pPr>
              <w:jc w:val="center"/>
              <w:rPr>
                <w:rFonts w:cs="Arial"/>
                <w:noProof/>
                <w:sz w:val="18"/>
                <w:szCs w:val="18"/>
                <w:lang w:val="en-GB" w:eastAsia="en-GB"/>
              </w:rPr>
            </w:pPr>
            <w:r>
              <w:rPr>
                <w:rFonts w:cs="Arial"/>
                <w:noProof/>
                <w:sz w:val="18"/>
                <w:szCs w:val="18"/>
                <w:lang w:val="en-GB" w:eastAsia="en-GB"/>
              </w:rPr>
              <w:t>47,297</w:t>
            </w:r>
          </w:p>
        </w:tc>
      </w:tr>
      <w:tr w:rsidR="004D45F1" w14:paraId="5B4A3E31" w14:textId="77777777" w:rsidTr="004D45F1">
        <w:trPr>
          <w:cnfStyle w:val="000000100000" w:firstRow="0" w:lastRow="0" w:firstColumn="0" w:lastColumn="0" w:oddVBand="0" w:evenVBand="0" w:oddHBand="1" w:evenHBand="0" w:firstRowFirstColumn="0" w:firstRowLastColumn="0" w:lastRowFirstColumn="0" w:lastRowLastColumn="0"/>
        </w:trPr>
        <w:tc>
          <w:tcPr>
            <w:tcW w:w="1133" w:type="pct"/>
            <w:tcBorders>
              <w:top w:val="nil"/>
              <w:left w:val="single" w:sz="4" w:space="0" w:color="0055A0"/>
              <w:bottom w:val="single" w:sz="4" w:space="0" w:color="0055A0"/>
              <w:right w:val="single" w:sz="4" w:space="0" w:color="0055A0"/>
            </w:tcBorders>
            <w:hideMark/>
          </w:tcPr>
          <w:p w14:paraId="42F4432D" w14:textId="77777777" w:rsidR="004D45F1" w:rsidRDefault="004D45F1">
            <w:pPr>
              <w:jc w:val="both"/>
              <w:rPr>
                <w:rFonts w:cs="Arial"/>
                <w:b/>
                <w:bCs/>
                <w:noProof/>
                <w:sz w:val="18"/>
                <w:szCs w:val="18"/>
                <w:lang w:val="en-GB" w:eastAsia="en-GB"/>
              </w:rPr>
            </w:pPr>
            <w:r>
              <w:rPr>
                <w:rFonts w:cs="Arial"/>
                <w:noProof/>
                <w:sz w:val="18"/>
                <w:szCs w:val="18"/>
                <w:lang w:val="en-GB" w:eastAsia="en-GB"/>
              </w:rPr>
              <w:t>Reporting requirements</w:t>
            </w:r>
          </w:p>
        </w:tc>
        <w:tc>
          <w:tcPr>
            <w:tcW w:w="725" w:type="pct"/>
            <w:tcBorders>
              <w:top w:val="nil"/>
              <w:left w:val="single" w:sz="4" w:space="0" w:color="0055A0"/>
              <w:bottom w:val="single" w:sz="4" w:space="0" w:color="0055A0"/>
              <w:right w:val="single" w:sz="4" w:space="0" w:color="0055A0"/>
            </w:tcBorders>
            <w:hideMark/>
          </w:tcPr>
          <w:p w14:paraId="2FC1FB67" w14:textId="77777777" w:rsidR="004D45F1" w:rsidRDefault="004D45F1">
            <w:pPr>
              <w:jc w:val="center"/>
              <w:rPr>
                <w:rFonts w:cs="Arial"/>
                <w:noProof/>
                <w:sz w:val="18"/>
                <w:szCs w:val="18"/>
                <w:lang w:val="en-GB" w:eastAsia="en-GB"/>
              </w:rPr>
            </w:pPr>
            <w:r>
              <w:rPr>
                <w:rFonts w:cs="Arial"/>
                <w:noProof/>
                <w:sz w:val="18"/>
                <w:szCs w:val="18"/>
                <w:lang w:val="en-GB" w:eastAsia="en-GB"/>
              </w:rPr>
              <w:t>131,498</w:t>
            </w:r>
          </w:p>
        </w:tc>
        <w:tc>
          <w:tcPr>
            <w:tcW w:w="786" w:type="pct"/>
            <w:tcBorders>
              <w:top w:val="nil"/>
              <w:left w:val="single" w:sz="4" w:space="0" w:color="0055A0"/>
              <w:bottom w:val="single" w:sz="4" w:space="0" w:color="0055A0"/>
              <w:right w:val="single" w:sz="4" w:space="0" w:color="0055A0"/>
            </w:tcBorders>
            <w:hideMark/>
          </w:tcPr>
          <w:p w14:paraId="3FD66108" w14:textId="77777777" w:rsidR="004D45F1" w:rsidRDefault="004D45F1">
            <w:pPr>
              <w:jc w:val="center"/>
              <w:rPr>
                <w:rFonts w:cs="Arial"/>
                <w:noProof/>
                <w:sz w:val="18"/>
                <w:szCs w:val="18"/>
                <w:lang w:val="en-GB" w:eastAsia="en-GB"/>
              </w:rPr>
            </w:pPr>
            <w:r>
              <w:rPr>
                <w:rFonts w:cs="Arial"/>
                <w:noProof/>
                <w:sz w:val="18"/>
                <w:szCs w:val="18"/>
                <w:lang w:val="en-GB" w:eastAsia="en-GB"/>
              </w:rPr>
              <w:t>130,425</w:t>
            </w:r>
          </w:p>
        </w:tc>
        <w:tc>
          <w:tcPr>
            <w:tcW w:w="787" w:type="pct"/>
            <w:tcBorders>
              <w:top w:val="nil"/>
              <w:left w:val="single" w:sz="4" w:space="0" w:color="0055A0"/>
              <w:bottom w:val="single" w:sz="4" w:space="0" w:color="0055A0"/>
              <w:right w:val="single" w:sz="4" w:space="0" w:color="0055A0"/>
            </w:tcBorders>
            <w:hideMark/>
          </w:tcPr>
          <w:p w14:paraId="1E5535BE" w14:textId="77777777" w:rsidR="004D45F1" w:rsidRDefault="004D45F1">
            <w:pPr>
              <w:jc w:val="center"/>
              <w:rPr>
                <w:rFonts w:cs="Arial"/>
                <w:noProof/>
                <w:sz w:val="18"/>
                <w:szCs w:val="18"/>
                <w:lang w:val="en-GB" w:eastAsia="en-GB"/>
              </w:rPr>
            </w:pPr>
            <w:r>
              <w:rPr>
                <w:rFonts w:cs="Arial"/>
                <w:noProof/>
                <w:sz w:val="18"/>
                <w:szCs w:val="18"/>
                <w:lang w:val="en-GB" w:eastAsia="en-GB"/>
              </w:rPr>
              <w:t>126,106</w:t>
            </w:r>
          </w:p>
        </w:tc>
        <w:tc>
          <w:tcPr>
            <w:tcW w:w="787" w:type="pct"/>
            <w:tcBorders>
              <w:top w:val="nil"/>
              <w:left w:val="single" w:sz="4" w:space="0" w:color="0055A0"/>
              <w:bottom w:val="single" w:sz="4" w:space="0" w:color="0055A0"/>
              <w:right w:val="single" w:sz="4" w:space="0" w:color="0055A0"/>
            </w:tcBorders>
            <w:hideMark/>
          </w:tcPr>
          <w:p w14:paraId="45FB7897" w14:textId="77777777" w:rsidR="004D45F1" w:rsidRDefault="004D45F1">
            <w:pPr>
              <w:jc w:val="center"/>
              <w:rPr>
                <w:rFonts w:cs="Arial"/>
                <w:noProof/>
                <w:sz w:val="18"/>
                <w:szCs w:val="18"/>
                <w:lang w:val="en-GB" w:eastAsia="en-GB"/>
              </w:rPr>
            </w:pPr>
            <w:r>
              <w:rPr>
                <w:rFonts w:cs="Arial"/>
                <w:noProof/>
                <w:sz w:val="18"/>
                <w:szCs w:val="18"/>
                <w:lang w:val="en-GB" w:eastAsia="en-GB"/>
              </w:rPr>
              <w:t>118,066</w:t>
            </w:r>
          </w:p>
        </w:tc>
        <w:tc>
          <w:tcPr>
            <w:tcW w:w="782" w:type="pct"/>
            <w:tcBorders>
              <w:top w:val="nil"/>
              <w:left w:val="single" w:sz="4" w:space="0" w:color="0055A0"/>
              <w:bottom w:val="single" w:sz="4" w:space="0" w:color="0055A0"/>
              <w:right w:val="single" w:sz="4" w:space="0" w:color="0055A0"/>
            </w:tcBorders>
            <w:hideMark/>
          </w:tcPr>
          <w:p w14:paraId="5B4E0608" w14:textId="77777777" w:rsidR="004D45F1" w:rsidRDefault="004D45F1">
            <w:pPr>
              <w:jc w:val="center"/>
              <w:rPr>
                <w:rFonts w:cs="Arial"/>
                <w:noProof/>
                <w:sz w:val="18"/>
                <w:szCs w:val="18"/>
                <w:lang w:val="en-GB" w:eastAsia="en-GB"/>
              </w:rPr>
            </w:pPr>
            <w:r>
              <w:rPr>
                <w:rFonts w:cs="Arial"/>
                <w:noProof/>
                <w:sz w:val="18"/>
                <w:szCs w:val="18"/>
                <w:lang w:val="en-GB" w:eastAsia="en-GB"/>
              </w:rPr>
              <w:t>110,756</w:t>
            </w:r>
          </w:p>
        </w:tc>
      </w:tr>
    </w:tbl>
    <w:p w14:paraId="4A40BD1C" w14:textId="77777777" w:rsidR="004D45F1" w:rsidRDefault="004D45F1" w:rsidP="004D45F1">
      <w:pPr>
        <w:spacing w:after="120"/>
        <w:jc w:val="both"/>
        <w:rPr>
          <w:rFonts w:ascii="Arial" w:eastAsia="Calibri" w:hAnsi="Arial" w:cs="Arial"/>
          <w:i/>
          <w:noProof/>
          <w:color w:val="808080"/>
          <w:sz w:val="18"/>
          <w:szCs w:val="20"/>
        </w:rPr>
      </w:pPr>
      <w:bookmarkStart w:id="389" w:name="_Ref53504977"/>
      <w:bookmarkStart w:id="390" w:name="_Ref54344162"/>
      <w:r>
        <w:rPr>
          <w:rFonts w:ascii="Arial" w:eastAsia="Calibri" w:hAnsi="Arial" w:cs="Arial"/>
          <w:i/>
          <w:noProof/>
          <w:color w:val="808080"/>
          <w:sz w:val="18"/>
          <w:szCs w:val="20"/>
        </w:rPr>
        <w:t>Source: Derivation from Table III.6 in the ODS Evaluation</w:t>
      </w:r>
    </w:p>
    <w:p w14:paraId="30A3B6CF" w14:textId="77777777" w:rsidR="004D45F1" w:rsidRDefault="004D45F1" w:rsidP="004D45F1">
      <w:pPr>
        <w:spacing w:after="120"/>
        <w:jc w:val="both"/>
        <w:rPr>
          <w:rFonts w:ascii="Arial" w:eastAsia="Calibri" w:hAnsi="Arial" w:cs="Arial"/>
          <w:noProof/>
          <w:color w:val="2B579A"/>
          <w:sz w:val="20"/>
          <w:shd w:val="clear" w:color="auto" w:fill="E6E6E6"/>
        </w:rPr>
      </w:pPr>
    </w:p>
    <w:p w14:paraId="13A902A9" w14:textId="77777777" w:rsidR="004D45F1" w:rsidRDefault="004D45F1" w:rsidP="004D45F1">
      <w:pPr>
        <w:spacing w:after="120"/>
        <w:jc w:val="both"/>
        <w:rPr>
          <w:rFonts w:ascii="Arial" w:eastAsia="Calibri" w:hAnsi="Arial" w:cs="Arial"/>
          <w:noProof/>
          <w:sz w:val="20"/>
        </w:rPr>
      </w:pPr>
      <w:r>
        <w:rPr>
          <w:rFonts w:ascii="Times New Roman" w:eastAsia="Calibri" w:hAnsi="Times New Roman" w:cs="Times New Roman"/>
          <w:noProof/>
          <w:color w:val="000000" w:themeColor="text1"/>
          <w:sz w:val="24"/>
          <w:szCs w:val="24"/>
          <w:shd w:val="clear" w:color="auto" w:fill="E6E6E6"/>
        </w:rPr>
        <w:t xml:space="preserve">Table A4.8 </w:t>
      </w:r>
      <w:r>
        <w:rPr>
          <w:rFonts w:ascii="Times New Roman" w:eastAsia="Calibri" w:hAnsi="Times New Roman" w:cs="Times New Roman"/>
          <w:noProof/>
          <w:sz w:val="24"/>
          <w:szCs w:val="24"/>
        </w:rPr>
        <w:t>presents the estimated baseline administrative costs associated with ODS Regulation between 2020 and 2050 for Member State Authorities and the European Commission/EEA. These costs are presented in real terms of 2020 currency in EUR or in person-days. As described above, the costs are based on the recent cost data primarily sourced from the Evaluation. Most cost categories are expected to stay constant or decline slightly, due to declining use of ODS. There are, however, some cost categories that are expected to increase in the baseline scenario. For example, IT system costs are expected to go up, as the result of strengthening data and security requirements</w:t>
      </w:r>
      <w:r>
        <w:rPr>
          <w:rFonts w:ascii="Arial" w:eastAsia="Calibri" w:hAnsi="Arial" w:cs="Arial"/>
          <w:noProof/>
          <w:sz w:val="20"/>
        </w:rPr>
        <w:t xml:space="preserve">. </w:t>
      </w:r>
    </w:p>
    <w:p w14:paraId="55D7D09B" w14:textId="77777777" w:rsidR="004D45F1" w:rsidRDefault="004D45F1" w:rsidP="004D45F1">
      <w:pPr>
        <w:rPr>
          <w:rFonts w:ascii="Arial" w:eastAsia="Calibri" w:hAnsi="Arial" w:cs="Arial"/>
          <w:noProof/>
          <w:sz w:val="20"/>
        </w:rPr>
      </w:pPr>
      <w:r>
        <w:rPr>
          <w:rFonts w:ascii="Arial" w:eastAsia="Calibri" w:hAnsi="Arial" w:cs="Arial"/>
          <w:noProof/>
          <w:sz w:val="20"/>
        </w:rPr>
        <w:br w:type="page"/>
      </w:r>
    </w:p>
    <w:p w14:paraId="536AA186" w14:textId="77777777" w:rsidR="004D45F1" w:rsidRDefault="004D45F1" w:rsidP="004D45F1">
      <w:pPr>
        <w:keepNext/>
        <w:spacing w:after="120" w:line="240" w:lineRule="auto"/>
        <w:jc w:val="both"/>
        <w:rPr>
          <w:rFonts w:eastAsia="Calibri" w:cstheme="minorHAnsi"/>
          <w:iCs/>
          <w:noProof/>
          <w:color w:val="006BB7"/>
          <w:sz w:val="20"/>
          <w:szCs w:val="18"/>
        </w:rPr>
      </w:pPr>
      <w:bookmarkStart w:id="391" w:name="_Ref66701791"/>
      <w:r>
        <w:rPr>
          <w:rFonts w:eastAsia="Calibri" w:cstheme="minorHAnsi"/>
          <w:iCs/>
          <w:noProof/>
          <w:color w:val="006BB7"/>
          <w:sz w:val="20"/>
          <w:szCs w:val="18"/>
        </w:rPr>
        <w:t xml:space="preserve">Table </w:t>
      </w:r>
      <w:bookmarkEnd w:id="389"/>
      <w:bookmarkEnd w:id="390"/>
      <w:bookmarkEnd w:id="391"/>
      <w:r>
        <w:rPr>
          <w:rFonts w:eastAsia="Calibri" w:cstheme="minorHAnsi"/>
          <w:iCs/>
          <w:noProof/>
          <w:color w:val="006BB7"/>
          <w:sz w:val="20"/>
          <w:szCs w:val="18"/>
        </w:rPr>
        <w:t xml:space="preserve">A4.8: Baseline projected administrative costs associated with ODS Regulation for Member State authorities, the European Commission, and the EEA, in EUR 2020 and days, depending on the cost category </w:t>
      </w:r>
    </w:p>
    <w:tbl>
      <w:tblPr>
        <w:tblStyle w:val="TableGrid1214"/>
        <w:tblW w:w="4750" w:type="pct"/>
        <w:tblInd w:w="5" w:type="dxa"/>
        <w:tblLook w:val="04A0" w:firstRow="1" w:lastRow="0" w:firstColumn="1" w:lastColumn="0" w:noHBand="0" w:noVBand="1"/>
      </w:tblPr>
      <w:tblGrid>
        <w:gridCol w:w="1576"/>
        <w:gridCol w:w="904"/>
        <w:gridCol w:w="1050"/>
        <w:gridCol w:w="1050"/>
        <w:gridCol w:w="1050"/>
        <w:gridCol w:w="1050"/>
        <w:gridCol w:w="1050"/>
        <w:gridCol w:w="1050"/>
      </w:tblGrid>
      <w:tr w:rsidR="004D45F1" w14:paraId="73BC1697" w14:textId="77777777" w:rsidTr="004D45F1">
        <w:trPr>
          <w:cnfStyle w:val="100000000000" w:firstRow="1" w:lastRow="0" w:firstColumn="0" w:lastColumn="0" w:oddVBand="0" w:evenVBand="0" w:oddHBand="0" w:evenHBand="0" w:firstRowFirstColumn="0" w:firstRowLastColumn="0" w:lastRowFirstColumn="0" w:lastRowLastColumn="0"/>
          <w:tblHeader/>
        </w:trPr>
        <w:tc>
          <w:tcPr>
            <w:tcW w:w="897" w:type="pct"/>
            <w:shd w:val="clear" w:color="auto" w:fill="0070C0"/>
            <w:hideMark/>
          </w:tcPr>
          <w:p w14:paraId="3CC37C01" w14:textId="77777777" w:rsidR="004D45F1" w:rsidRDefault="004D45F1">
            <w:pPr>
              <w:jc w:val="both"/>
              <w:rPr>
                <w:rFonts w:cs="Arial"/>
                <w:noProof/>
                <w:sz w:val="16"/>
                <w:szCs w:val="16"/>
                <w:lang w:val="en-GB" w:eastAsia="en-GB"/>
              </w:rPr>
            </w:pPr>
            <w:r>
              <w:rPr>
                <w:rFonts w:cs="Arial"/>
                <w:noProof/>
                <w:sz w:val="16"/>
                <w:szCs w:val="16"/>
                <w:lang w:val="en-GB" w:eastAsia="en-GB"/>
              </w:rPr>
              <w:t>Description of cost</w:t>
            </w:r>
          </w:p>
        </w:tc>
        <w:tc>
          <w:tcPr>
            <w:tcW w:w="515" w:type="pct"/>
            <w:shd w:val="clear" w:color="auto" w:fill="0070C0"/>
            <w:hideMark/>
          </w:tcPr>
          <w:p w14:paraId="3279028A" w14:textId="77777777" w:rsidR="004D45F1" w:rsidRDefault="004D45F1">
            <w:pPr>
              <w:jc w:val="center"/>
              <w:rPr>
                <w:rFonts w:cs="Arial"/>
                <w:noProof/>
                <w:sz w:val="16"/>
                <w:szCs w:val="16"/>
                <w:lang w:val="en-GB" w:eastAsia="en-GB"/>
              </w:rPr>
            </w:pPr>
            <w:r>
              <w:rPr>
                <w:rFonts w:cs="Arial"/>
                <w:noProof/>
                <w:sz w:val="16"/>
                <w:szCs w:val="16"/>
                <w:lang w:val="en-GB" w:eastAsia="en-GB"/>
              </w:rPr>
              <w:t>2020</w:t>
            </w:r>
          </w:p>
        </w:tc>
        <w:tc>
          <w:tcPr>
            <w:tcW w:w="598" w:type="pct"/>
            <w:shd w:val="clear" w:color="auto" w:fill="0070C0"/>
            <w:hideMark/>
          </w:tcPr>
          <w:p w14:paraId="6763293E" w14:textId="77777777" w:rsidR="004D45F1" w:rsidRDefault="004D45F1">
            <w:pPr>
              <w:jc w:val="center"/>
              <w:rPr>
                <w:rFonts w:cs="Arial"/>
                <w:noProof/>
                <w:sz w:val="16"/>
                <w:szCs w:val="16"/>
                <w:lang w:val="en-GB" w:eastAsia="en-GB"/>
              </w:rPr>
            </w:pPr>
            <w:r>
              <w:rPr>
                <w:rFonts w:cs="Arial"/>
                <w:noProof/>
                <w:sz w:val="16"/>
                <w:szCs w:val="16"/>
                <w:lang w:val="en-GB" w:eastAsia="en-GB"/>
              </w:rPr>
              <w:t>2025</w:t>
            </w:r>
          </w:p>
        </w:tc>
        <w:tc>
          <w:tcPr>
            <w:tcW w:w="598" w:type="pct"/>
            <w:shd w:val="clear" w:color="auto" w:fill="0070C0"/>
            <w:hideMark/>
          </w:tcPr>
          <w:p w14:paraId="623229CE" w14:textId="77777777" w:rsidR="004D45F1" w:rsidRDefault="004D45F1">
            <w:pPr>
              <w:jc w:val="center"/>
              <w:rPr>
                <w:rFonts w:cs="Arial"/>
                <w:noProof/>
                <w:sz w:val="16"/>
                <w:szCs w:val="16"/>
                <w:lang w:val="en-GB" w:eastAsia="en-GB"/>
              </w:rPr>
            </w:pPr>
            <w:r>
              <w:rPr>
                <w:rFonts w:cs="Arial"/>
                <w:noProof/>
                <w:sz w:val="16"/>
                <w:szCs w:val="16"/>
                <w:lang w:val="en-GB" w:eastAsia="en-GB"/>
              </w:rPr>
              <w:t>2030</w:t>
            </w:r>
          </w:p>
        </w:tc>
        <w:tc>
          <w:tcPr>
            <w:tcW w:w="598" w:type="pct"/>
            <w:shd w:val="clear" w:color="auto" w:fill="0070C0"/>
            <w:hideMark/>
          </w:tcPr>
          <w:p w14:paraId="397AAE76" w14:textId="77777777" w:rsidR="004D45F1" w:rsidRDefault="004D45F1">
            <w:pPr>
              <w:jc w:val="center"/>
              <w:rPr>
                <w:rFonts w:cs="Arial"/>
                <w:noProof/>
                <w:sz w:val="16"/>
                <w:szCs w:val="16"/>
                <w:lang w:val="en-GB" w:eastAsia="en-GB"/>
              </w:rPr>
            </w:pPr>
            <w:r>
              <w:rPr>
                <w:rFonts w:cs="Arial"/>
                <w:noProof/>
                <w:sz w:val="16"/>
                <w:szCs w:val="16"/>
                <w:lang w:val="en-GB" w:eastAsia="en-GB"/>
              </w:rPr>
              <w:t>2035</w:t>
            </w:r>
          </w:p>
        </w:tc>
        <w:tc>
          <w:tcPr>
            <w:tcW w:w="598" w:type="pct"/>
            <w:shd w:val="clear" w:color="auto" w:fill="0070C0"/>
            <w:hideMark/>
          </w:tcPr>
          <w:p w14:paraId="3283AA8D" w14:textId="77777777" w:rsidR="004D45F1" w:rsidRDefault="004D45F1">
            <w:pPr>
              <w:jc w:val="center"/>
              <w:rPr>
                <w:rFonts w:cs="Arial"/>
                <w:noProof/>
                <w:sz w:val="16"/>
                <w:szCs w:val="16"/>
                <w:lang w:val="en-GB" w:eastAsia="en-GB"/>
              </w:rPr>
            </w:pPr>
            <w:r>
              <w:rPr>
                <w:rFonts w:cs="Arial"/>
                <w:noProof/>
                <w:sz w:val="16"/>
                <w:szCs w:val="16"/>
                <w:lang w:val="en-GB" w:eastAsia="en-GB"/>
              </w:rPr>
              <w:t>2040</w:t>
            </w:r>
          </w:p>
        </w:tc>
        <w:tc>
          <w:tcPr>
            <w:tcW w:w="598" w:type="pct"/>
            <w:shd w:val="clear" w:color="auto" w:fill="0070C0"/>
            <w:hideMark/>
          </w:tcPr>
          <w:p w14:paraId="0032BA38" w14:textId="77777777" w:rsidR="004D45F1" w:rsidRDefault="004D45F1">
            <w:pPr>
              <w:jc w:val="center"/>
              <w:rPr>
                <w:rFonts w:cs="Arial"/>
                <w:noProof/>
                <w:sz w:val="16"/>
                <w:szCs w:val="16"/>
                <w:lang w:val="en-GB" w:eastAsia="en-GB"/>
              </w:rPr>
            </w:pPr>
            <w:r>
              <w:rPr>
                <w:rFonts w:cs="Arial"/>
                <w:noProof/>
                <w:sz w:val="16"/>
                <w:szCs w:val="16"/>
                <w:lang w:val="en-GB" w:eastAsia="en-GB"/>
              </w:rPr>
              <w:t>2045</w:t>
            </w:r>
          </w:p>
        </w:tc>
        <w:tc>
          <w:tcPr>
            <w:tcW w:w="598" w:type="pct"/>
            <w:shd w:val="clear" w:color="auto" w:fill="0070C0"/>
            <w:hideMark/>
          </w:tcPr>
          <w:p w14:paraId="351EA566" w14:textId="77777777" w:rsidR="004D45F1" w:rsidRDefault="004D45F1">
            <w:pPr>
              <w:jc w:val="center"/>
              <w:rPr>
                <w:rFonts w:cs="Arial"/>
                <w:noProof/>
                <w:sz w:val="16"/>
                <w:szCs w:val="16"/>
                <w:lang w:val="en-GB" w:eastAsia="en-GB"/>
              </w:rPr>
            </w:pPr>
            <w:r>
              <w:rPr>
                <w:rFonts w:cs="Arial"/>
                <w:noProof/>
                <w:sz w:val="16"/>
                <w:szCs w:val="16"/>
                <w:lang w:val="en-GB" w:eastAsia="en-GB"/>
              </w:rPr>
              <w:t>2050</w:t>
            </w:r>
          </w:p>
        </w:tc>
      </w:tr>
      <w:tr w:rsidR="004D45F1" w14:paraId="641A080E" w14:textId="77777777" w:rsidTr="004D45F1">
        <w:trPr>
          <w:cnfStyle w:val="000000100000" w:firstRow="0" w:lastRow="0" w:firstColumn="0" w:lastColumn="0" w:oddVBand="0" w:evenVBand="0" w:oddHBand="1" w:evenHBand="0" w:firstRowFirstColumn="0" w:firstRowLastColumn="0" w:lastRowFirstColumn="0" w:lastRowLastColumn="0"/>
        </w:trPr>
        <w:tc>
          <w:tcPr>
            <w:tcW w:w="5000" w:type="pct"/>
            <w:gridSpan w:val="8"/>
            <w:tcBorders>
              <w:top w:val="nil"/>
              <w:left w:val="single" w:sz="4" w:space="0" w:color="0055A0"/>
              <w:bottom w:val="nil"/>
              <w:right w:val="single" w:sz="4" w:space="0" w:color="0055A0"/>
            </w:tcBorders>
            <w:shd w:val="clear" w:color="auto" w:fill="FFE599"/>
            <w:hideMark/>
          </w:tcPr>
          <w:p w14:paraId="11BB9399" w14:textId="77777777" w:rsidR="004D45F1" w:rsidRDefault="004D45F1">
            <w:pPr>
              <w:rPr>
                <w:rFonts w:cs="Arial"/>
                <w:b/>
                <w:bCs/>
                <w:noProof/>
                <w:sz w:val="18"/>
                <w:szCs w:val="18"/>
                <w:lang w:val="en-GB" w:eastAsia="en-GB"/>
              </w:rPr>
            </w:pPr>
            <w:r>
              <w:rPr>
                <w:rFonts w:cs="Arial"/>
                <w:b/>
                <w:bCs/>
                <w:noProof/>
                <w:sz w:val="18"/>
                <w:szCs w:val="18"/>
                <w:lang w:val="en-GB" w:eastAsia="en-GB"/>
              </w:rPr>
              <w:t>Total admin costs to Member State authorities</w:t>
            </w:r>
          </w:p>
        </w:tc>
      </w:tr>
      <w:tr w:rsidR="004D45F1" w14:paraId="21AFD74D"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55B3F91F" w14:textId="77777777" w:rsidR="004D45F1" w:rsidRDefault="004D45F1">
            <w:pPr>
              <w:jc w:val="both"/>
              <w:rPr>
                <w:rFonts w:cs="Arial"/>
                <w:noProof/>
                <w:sz w:val="18"/>
                <w:szCs w:val="18"/>
                <w:lang w:val="en-GB" w:eastAsia="en-GB"/>
              </w:rPr>
            </w:pPr>
            <w:r>
              <w:rPr>
                <w:rFonts w:cs="Arial"/>
                <w:noProof/>
                <w:sz w:val="18"/>
                <w:szCs w:val="18"/>
                <w:lang w:val="en-GB" w:eastAsia="en-GB"/>
              </w:rPr>
              <w:t xml:space="preserve">Reporting </w:t>
            </w:r>
            <w:r>
              <w:rPr>
                <w:rFonts w:cs="Arial"/>
                <w:b/>
                <w:bCs/>
                <w:noProof/>
                <w:sz w:val="18"/>
                <w:szCs w:val="18"/>
                <w:lang w:val="en-GB" w:eastAsia="en-GB"/>
              </w:rPr>
              <w:t>(EUR)</w:t>
            </w:r>
          </w:p>
        </w:tc>
        <w:tc>
          <w:tcPr>
            <w:tcW w:w="515" w:type="pct"/>
            <w:tcBorders>
              <w:top w:val="nil"/>
              <w:bottom w:val="nil"/>
            </w:tcBorders>
            <w:hideMark/>
          </w:tcPr>
          <w:p w14:paraId="7468F3A6"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tcBorders>
            <w:hideMark/>
          </w:tcPr>
          <w:p w14:paraId="79581BE4"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tcBorders>
            <w:hideMark/>
          </w:tcPr>
          <w:p w14:paraId="4432EBF2"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tcBorders>
            <w:hideMark/>
          </w:tcPr>
          <w:p w14:paraId="70926EF7"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tcBorders>
            <w:hideMark/>
          </w:tcPr>
          <w:p w14:paraId="3CB7E195"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tcBorders>
            <w:hideMark/>
          </w:tcPr>
          <w:p w14:paraId="7555E1AD"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c>
          <w:tcPr>
            <w:tcW w:w="598" w:type="pct"/>
            <w:tcBorders>
              <w:top w:val="nil"/>
              <w:bottom w:val="nil"/>
              <w:right w:val="single" w:sz="4" w:space="0" w:color="0055A0"/>
            </w:tcBorders>
            <w:hideMark/>
          </w:tcPr>
          <w:p w14:paraId="7ABF8DCC" w14:textId="77777777" w:rsidR="004D45F1" w:rsidRDefault="004D45F1">
            <w:pPr>
              <w:jc w:val="center"/>
              <w:rPr>
                <w:rFonts w:cs="Arial"/>
                <w:noProof/>
                <w:sz w:val="18"/>
                <w:szCs w:val="18"/>
                <w:lang w:val="en-GB" w:eastAsia="en-GB"/>
              </w:rPr>
            </w:pPr>
            <w:r>
              <w:rPr>
                <w:rFonts w:cs="Arial"/>
                <w:noProof/>
                <w:sz w:val="18"/>
                <w:szCs w:val="18"/>
                <w:lang w:val="en-GB" w:eastAsia="en-GB"/>
              </w:rPr>
              <w:t>38,133</w:t>
            </w:r>
          </w:p>
        </w:tc>
      </w:tr>
      <w:tr w:rsidR="004D45F1" w14:paraId="02024CEA"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71E3791D" w14:textId="77777777" w:rsidR="004D45F1" w:rsidRDefault="004D45F1">
            <w:pPr>
              <w:jc w:val="both"/>
              <w:rPr>
                <w:rFonts w:cs="Arial"/>
                <w:noProof/>
                <w:sz w:val="18"/>
                <w:szCs w:val="18"/>
                <w:lang w:val="en-GB" w:eastAsia="en-GB"/>
              </w:rPr>
            </w:pPr>
            <w:r>
              <w:rPr>
                <w:rFonts w:cs="Arial"/>
                <w:noProof/>
                <w:sz w:val="18"/>
                <w:szCs w:val="18"/>
                <w:lang w:val="en-GB" w:eastAsia="en-GB"/>
              </w:rPr>
              <w:t xml:space="preserve">Other costs, including inspections, customs, and promotion of recycling </w:t>
            </w:r>
            <w:r>
              <w:rPr>
                <w:rFonts w:cs="Arial"/>
                <w:b/>
                <w:bCs/>
                <w:noProof/>
                <w:sz w:val="18"/>
                <w:szCs w:val="18"/>
                <w:lang w:val="en-GB" w:eastAsia="en-GB"/>
              </w:rPr>
              <w:t>(days)</w:t>
            </w:r>
          </w:p>
        </w:tc>
        <w:tc>
          <w:tcPr>
            <w:tcW w:w="515" w:type="pct"/>
            <w:tcBorders>
              <w:top w:val="nil"/>
              <w:left w:val="single" w:sz="4" w:space="0" w:color="0055A0"/>
              <w:bottom w:val="nil"/>
              <w:right w:val="single" w:sz="4" w:space="0" w:color="0055A0"/>
            </w:tcBorders>
            <w:hideMark/>
          </w:tcPr>
          <w:p w14:paraId="3EAA4D1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 xml:space="preserve">507 </w:t>
            </w:r>
          </w:p>
        </w:tc>
        <w:tc>
          <w:tcPr>
            <w:tcW w:w="598" w:type="pct"/>
            <w:tcBorders>
              <w:top w:val="nil"/>
              <w:left w:val="single" w:sz="4" w:space="0" w:color="0055A0"/>
              <w:bottom w:val="nil"/>
              <w:right w:val="single" w:sz="4" w:space="0" w:color="0055A0"/>
            </w:tcBorders>
            <w:hideMark/>
          </w:tcPr>
          <w:p w14:paraId="265B3EA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c>
          <w:tcPr>
            <w:tcW w:w="598" w:type="pct"/>
            <w:tcBorders>
              <w:top w:val="nil"/>
              <w:left w:val="single" w:sz="4" w:space="0" w:color="0055A0"/>
              <w:bottom w:val="nil"/>
              <w:right w:val="single" w:sz="4" w:space="0" w:color="0055A0"/>
            </w:tcBorders>
            <w:hideMark/>
          </w:tcPr>
          <w:p w14:paraId="157F25F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c>
          <w:tcPr>
            <w:tcW w:w="598" w:type="pct"/>
            <w:tcBorders>
              <w:top w:val="nil"/>
              <w:left w:val="single" w:sz="4" w:space="0" w:color="0055A0"/>
              <w:bottom w:val="nil"/>
              <w:right w:val="single" w:sz="4" w:space="0" w:color="0055A0"/>
            </w:tcBorders>
            <w:hideMark/>
          </w:tcPr>
          <w:p w14:paraId="49E16A3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c>
          <w:tcPr>
            <w:tcW w:w="598" w:type="pct"/>
            <w:tcBorders>
              <w:top w:val="nil"/>
              <w:left w:val="single" w:sz="4" w:space="0" w:color="0055A0"/>
              <w:bottom w:val="nil"/>
              <w:right w:val="single" w:sz="4" w:space="0" w:color="0055A0"/>
            </w:tcBorders>
            <w:hideMark/>
          </w:tcPr>
          <w:p w14:paraId="67B5DF1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c>
          <w:tcPr>
            <w:tcW w:w="598" w:type="pct"/>
            <w:tcBorders>
              <w:top w:val="nil"/>
              <w:left w:val="single" w:sz="4" w:space="0" w:color="0055A0"/>
              <w:bottom w:val="nil"/>
              <w:right w:val="single" w:sz="4" w:space="0" w:color="0055A0"/>
            </w:tcBorders>
            <w:hideMark/>
          </w:tcPr>
          <w:p w14:paraId="473C0D8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c>
          <w:tcPr>
            <w:tcW w:w="598" w:type="pct"/>
            <w:tcBorders>
              <w:top w:val="nil"/>
              <w:left w:val="single" w:sz="4" w:space="0" w:color="0055A0"/>
              <w:bottom w:val="nil"/>
              <w:right w:val="single" w:sz="4" w:space="0" w:color="0055A0"/>
            </w:tcBorders>
            <w:hideMark/>
          </w:tcPr>
          <w:p w14:paraId="65E0F42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507</w:t>
            </w:r>
          </w:p>
        </w:tc>
      </w:tr>
      <w:tr w:rsidR="004D45F1" w14:paraId="0D4D1D49" w14:textId="77777777" w:rsidTr="004D45F1">
        <w:trPr>
          <w:cnfStyle w:val="000000010000" w:firstRow="0" w:lastRow="0" w:firstColumn="0" w:lastColumn="0" w:oddVBand="0" w:evenVBand="0" w:oddHBand="0" w:evenHBand="1" w:firstRowFirstColumn="0" w:firstRowLastColumn="0" w:lastRowFirstColumn="0" w:lastRowLastColumn="0"/>
        </w:trPr>
        <w:tc>
          <w:tcPr>
            <w:tcW w:w="5000" w:type="pct"/>
            <w:gridSpan w:val="8"/>
            <w:tcBorders>
              <w:top w:val="nil"/>
              <w:left w:val="single" w:sz="4" w:space="0" w:color="0055A0"/>
              <w:bottom w:val="nil"/>
              <w:right w:val="single" w:sz="4" w:space="0" w:color="0055A0"/>
            </w:tcBorders>
            <w:shd w:val="clear" w:color="auto" w:fill="FFE599"/>
            <w:hideMark/>
          </w:tcPr>
          <w:p w14:paraId="2D4D65F4" w14:textId="77777777" w:rsidR="004D45F1" w:rsidRDefault="004D45F1">
            <w:pPr>
              <w:rPr>
                <w:rFonts w:cs="Arial"/>
                <w:b/>
                <w:bCs/>
                <w:noProof/>
                <w:sz w:val="18"/>
                <w:szCs w:val="18"/>
                <w:lang w:val="en-GB" w:eastAsia="en-GB"/>
              </w:rPr>
            </w:pPr>
            <w:r>
              <w:rPr>
                <w:rFonts w:cs="Arial"/>
                <w:b/>
                <w:bCs/>
                <w:noProof/>
                <w:sz w:val="18"/>
                <w:szCs w:val="18"/>
                <w:lang w:val="en-GB" w:eastAsia="en-GB"/>
              </w:rPr>
              <w:t>Admin costs to the European Commission</w:t>
            </w:r>
          </w:p>
        </w:tc>
      </w:tr>
      <w:tr w:rsidR="004D45F1" w14:paraId="6D4E33DF"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shd w:val="clear" w:color="auto" w:fill="FFF2CC"/>
            <w:hideMark/>
          </w:tcPr>
          <w:p w14:paraId="62692341" w14:textId="77777777" w:rsidR="004D45F1" w:rsidRDefault="004D45F1">
            <w:pPr>
              <w:jc w:val="both"/>
              <w:rPr>
                <w:rFonts w:cs="Arial"/>
                <w:b/>
                <w:bCs/>
                <w:noProof/>
                <w:sz w:val="18"/>
                <w:szCs w:val="18"/>
                <w:lang w:val="en-GB" w:eastAsia="en-GB"/>
              </w:rPr>
            </w:pPr>
            <w:r>
              <w:rPr>
                <w:rFonts w:cs="Arial"/>
                <w:b/>
                <w:bCs/>
                <w:noProof/>
                <w:sz w:val="18"/>
                <w:szCs w:val="18"/>
                <w:lang w:val="en-GB" w:eastAsia="en-GB"/>
              </w:rPr>
              <w:t>Total EC admin costs for categories expressed in person days</w:t>
            </w:r>
          </w:p>
        </w:tc>
        <w:tc>
          <w:tcPr>
            <w:tcW w:w="515" w:type="pct"/>
            <w:tcBorders>
              <w:top w:val="nil"/>
              <w:left w:val="single" w:sz="4" w:space="0" w:color="0055A0"/>
              <w:bottom w:val="nil"/>
              <w:right w:val="single" w:sz="4" w:space="0" w:color="0055A0"/>
            </w:tcBorders>
            <w:shd w:val="clear" w:color="auto" w:fill="FFF2CC"/>
            <w:hideMark/>
          </w:tcPr>
          <w:p w14:paraId="767A551E" w14:textId="77777777" w:rsidR="004D45F1" w:rsidRDefault="004D45F1">
            <w:pPr>
              <w:jc w:val="center"/>
              <w:rPr>
                <w:rFonts w:cs="Arial"/>
                <w:b/>
                <w:bCs/>
                <w:noProof/>
                <w:sz w:val="18"/>
                <w:szCs w:val="18"/>
                <w:lang w:val="en-GB" w:eastAsia="en-GB"/>
              </w:rPr>
            </w:pPr>
            <w:r>
              <w:rPr>
                <w:rFonts w:cs="Arial"/>
                <w:noProof/>
                <w:sz w:val="18"/>
                <w:szCs w:val="18"/>
                <w:lang w:val="en-GB" w:eastAsia="en-GB"/>
              </w:rPr>
              <w:t>788</w:t>
            </w:r>
          </w:p>
        </w:tc>
        <w:tc>
          <w:tcPr>
            <w:tcW w:w="598" w:type="pct"/>
            <w:tcBorders>
              <w:top w:val="nil"/>
              <w:left w:val="single" w:sz="4" w:space="0" w:color="0055A0"/>
              <w:bottom w:val="nil"/>
              <w:right w:val="single" w:sz="4" w:space="0" w:color="0055A0"/>
            </w:tcBorders>
            <w:shd w:val="clear" w:color="auto" w:fill="FFF2CC"/>
            <w:hideMark/>
          </w:tcPr>
          <w:p w14:paraId="4E205E4D" w14:textId="77777777" w:rsidR="004D45F1" w:rsidRDefault="004D45F1">
            <w:pPr>
              <w:jc w:val="center"/>
              <w:rPr>
                <w:rFonts w:cs="Arial"/>
                <w:b/>
                <w:bCs/>
                <w:noProof/>
                <w:sz w:val="18"/>
                <w:szCs w:val="18"/>
                <w:lang w:val="en-GB" w:eastAsia="en-GB"/>
              </w:rPr>
            </w:pPr>
            <w:r>
              <w:rPr>
                <w:rFonts w:cs="Arial"/>
                <w:noProof/>
                <w:sz w:val="18"/>
                <w:szCs w:val="18"/>
                <w:lang w:val="en-GB" w:eastAsia="en-GB"/>
              </w:rPr>
              <w:t>827</w:t>
            </w:r>
          </w:p>
        </w:tc>
        <w:tc>
          <w:tcPr>
            <w:tcW w:w="598" w:type="pct"/>
            <w:tcBorders>
              <w:top w:val="nil"/>
              <w:left w:val="single" w:sz="4" w:space="0" w:color="0055A0"/>
              <w:bottom w:val="nil"/>
              <w:right w:val="single" w:sz="4" w:space="0" w:color="0055A0"/>
            </w:tcBorders>
            <w:shd w:val="clear" w:color="auto" w:fill="FFF2CC"/>
            <w:hideMark/>
          </w:tcPr>
          <w:p w14:paraId="4ACE9A4C" w14:textId="77777777" w:rsidR="004D45F1" w:rsidRDefault="004D45F1">
            <w:pPr>
              <w:jc w:val="center"/>
              <w:rPr>
                <w:rFonts w:cs="Arial"/>
                <w:b/>
                <w:bCs/>
                <w:noProof/>
                <w:sz w:val="18"/>
                <w:szCs w:val="18"/>
                <w:lang w:val="en-GB" w:eastAsia="en-GB"/>
              </w:rPr>
            </w:pPr>
            <w:r>
              <w:rPr>
                <w:rFonts w:cs="Arial"/>
                <w:noProof/>
                <w:sz w:val="18"/>
                <w:szCs w:val="18"/>
                <w:lang w:val="en-GB" w:eastAsia="en-GB"/>
              </w:rPr>
              <w:t>825</w:t>
            </w:r>
          </w:p>
        </w:tc>
        <w:tc>
          <w:tcPr>
            <w:tcW w:w="598" w:type="pct"/>
            <w:tcBorders>
              <w:top w:val="nil"/>
              <w:left w:val="single" w:sz="4" w:space="0" w:color="0055A0"/>
              <w:bottom w:val="nil"/>
              <w:right w:val="single" w:sz="4" w:space="0" w:color="0055A0"/>
            </w:tcBorders>
            <w:shd w:val="clear" w:color="auto" w:fill="FFF2CC"/>
            <w:hideMark/>
          </w:tcPr>
          <w:p w14:paraId="730225C8" w14:textId="77777777" w:rsidR="004D45F1" w:rsidRDefault="004D45F1">
            <w:pPr>
              <w:jc w:val="center"/>
              <w:rPr>
                <w:rFonts w:cs="Arial"/>
                <w:b/>
                <w:bCs/>
                <w:noProof/>
                <w:sz w:val="18"/>
                <w:szCs w:val="18"/>
                <w:lang w:val="en-GB" w:eastAsia="en-GB"/>
              </w:rPr>
            </w:pPr>
            <w:r>
              <w:rPr>
                <w:rFonts w:cs="Arial"/>
                <w:noProof/>
                <w:sz w:val="18"/>
                <w:szCs w:val="18"/>
                <w:lang w:val="en-GB" w:eastAsia="en-GB"/>
              </w:rPr>
              <w:t>817</w:t>
            </w:r>
          </w:p>
        </w:tc>
        <w:tc>
          <w:tcPr>
            <w:tcW w:w="598" w:type="pct"/>
            <w:tcBorders>
              <w:top w:val="nil"/>
              <w:left w:val="single" w:sz="4" w:space="0" w:color="0055A0"/>
              <w:bottom w:val="nil"/>
              <w:right w:val="single" w:sz="4" w:space="0" w:color="0055A0"/>
            </w:tcBorders>
            <w:shd w:val="clear" w:color="auto" w:fill="FFF2CC"/>
            <w:hideMark/>
          </w:tcPr>
          <w:p w14:paraId="34705122" w14:textId="77777777" w:rsidR="004D45F1" w:rsidRDefault="004D45F1">
            <w:pPr>
              <w:jc w:val="center"/>
              <w:rPr>
                <w:rFonts w:cs="Arial"/>
                <w:b/>
                <w:bCs/>
                <w:noProof/>
                <w:sz w:val="18"/>
                <w:szCs w:val="18"/>
                <w:lang w:val="en-GB" w:eastAsia="en-GB"/>
              </w:rPr>
            </w:pPr>
            <w:r>
              <w:rPr>
                <w:rFonts w:cs="Arial"/>
                <w:noProof/>
                <w:sz w:val="18"/>
                <w:szCs w:val="18"/>
                <w:lang w:val="en-GB" w:eastAsia="en-GB"/>
              </w:rPr>
              <w:t>803</w:t>
            </w:r>
          </w:p>
        </w:tc>
        <w:tc>
          <w:tcPr>
            <w:tcW w:w="598" w:type="pct"/>
            <w:tcBorders>
              <w:top w:val="nil"/>
              <w:left w:val="single" w:sz="4" w:space="0" w:color="0055A0"/>
              <w:bottom w:val="nil"/>
              <w:right w:val="single" w:sz="4" w:space="0" w:color="0055A0"/>
            </w:tcBorders>
            <w:shd w:val="clear" w:color="auto" w:fill="FFF2CC"/>
            <w:hideMark/>
          </w:tcPr>
          <w:p w14:paraId="53E55958" w14:textId="77777777" w:rsidR="004D45F1" w:rsidRDefault="004D45F1">
            <w:pPr>
              <w:jc w:val="center"/>
              <w:rPr>
                <w:rFonts w:cs="Arial"/>
                <w:b/>
                <w:bCs/>
                <w:noProof/>
                <w:sz w:val="18"/>
                <w:szCs w:val="18"/>
                <w:lang w:val="en-GB" w:eastAsia="en-GB"/>
              </w:rPr>
            </w:pPr>
            <w:r>
              <w:rPr>
                <w:rFonts w:cs="Arial"/>
                <w:noProof/>
                <w:sz w:val="18"/>
                <w:szCs w:val="18"/>
                <w:lang w:val="en-GB" w:eastAsia="en-GB"/>
              </w:rPr>
              <w:t>768</w:t>
            </w:r>
          </w:p>
        </w:tc>
        <w:tc>
          <w:tcPr>
            <w:tcW w:w="598" w:type="pct"/>
            <w:tcBorders>
              <w:top w:val="nil"/>
              <w:left w:val="single" w:sz="4" w:space="0" w:color="0055A0"/>
              <w:bottom w:val="nil"/>
              <w:right w:val="single" w:sz="4" w:space="0" w:color="0055A0"/>
            </w:tcBorders>
            <w:shd w:val="clear" w:color="auto" w:fill="FFF2CC"/>
            <w:hideMark/>
          </w:tcPr>
          <w:p w14:paraId="20A17690" w14:textId="77777777" w:rsidR="004D45F1" w:rsidRDefault="004D45F1">
            <w:pPr>
              <w:jc w:val="center"/>
              <w:rPr>
                <w:rFonts w:cs="Arial"/>
                <w:b/>
                <w:bCs/>
                <w:noProof/>
                <w:sz w:val="18"/>
                <w:szCs w:val="18"/>
                <w:lang w:val="en-GB" w:eastAsia="en-GB"/>
              </w:rPr>
            </w:pPr>
            <w:r>
              <w:rPr>
                <w:rFonts w:cs="Arial"/>
                <w:noProof/>
                <w:sz w:val="18"/>
                <w:szCs w:val="18"/>
                <w:lang w:val="en-GB" w:eastAsia="en-GB"/>
              </w:rPr>
              <w:t>762</w:t>
            </w:r>
          </w:p>
        </w:tc>
      </w:tr>
      <w:tr w:rsidR="004D45F1" w14:paraId="13E93E99"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6C28EFBD" w14:textId="77777777" w:rsidR="004D45F1" w:rsidRDefault="004D45F1">
            <w:pPr>
              <w:jc w:val="both"/>
              <w:rPr>
                <w:rFonts w:cs="Arial"/>
                <w:noProof/>
                <w:sz w:val="18"/>
                <w:szCs w:val="18"/>
                <w:lang w:val="en-GB" w:eastAsia="en-GB"/>
              </w:rPr>
            </w:pPr>
            <w:r>
              <w:rPr>
                <w:rFonts w:cs="Arial"/>
                <w:noProof/>
                <w:sz w:val="18"/>
                <w:szCs w:val="18"/>
                <w:lang w:val="en-GB" w:eastAsia="en-GB"/>
              </w:rPr>
              <w:t>Licencing requirements (days)</w:t>
            </w:r>
          </w:p>
        </w:tc>
        <w:tc>
          <w:tcPr>
            <w:tcW w:w="515" w:type="pct"/>
            <w:tcBorders>
              <w:top w:val="nil"/>
              <w:bottom w:val="nil"/>
            </w:tcBorders>
            <w:hideMark/>
          </w:tcPr>
          <w:p w14:paraId="79821E11" w14:textId="77777777" w:rsidR="004D45F1" w:rsidRDefault="004D45F1">
            <w:pPr>
              <w:jc w:val="center"/>
              <w:rPr>
                <w:rFonts w:cs="Arial"/>
                <w:noProof/>
                <w:sz w:val="18"/>
                <w:szCs w:val="18"/>
                <w:lang w:val="en-GB" w:eastAsia="en-GB"/>
              </w:rPr>
            </w:pPr>
            <w:r>
              <w:rPr>
                <w:rFonts w:cs="Arial"/>
                <w:noProof/>
                <w:sz w:val="18"/>
                <w:szCs w:val="18"/>
                <w:lang w:val="en-GB" w:eastAsia="en-GB"/>
              </w:rPr>
              <w:t>132</w:t>
            </w:r>
          </w:p>
        </w:tc>
        <w:tc>
          <w:tcPr>
            <w:tcW w:w="598" w:type="pct"/>
            <w:tcBorders>
              <w:top w:val="nil"/>
              <w:bottom w:val="nil"/>
            </w:tcBorders>
            <w:vAlign w:val="top"/>
            <w:hideMark/>
          </w:tcPr>
          <w:p w14:paraId="0FC86E7C" w14:textId="77777777" w:rsidR="004D45F1" w:rsidRDefault="004D45F1">
            <w:pPr>
              <w:jc w:val="center"/>
              <w:rPr>
                <w:rFonts w:cs="Arial"/>
                <w:noProof/>
                <w:sz w:val="18"/>
                <w:szCs w:val="18"/>
                <w:lang w:val="en-GB" w:eastAsia="en-GB"/>
              </w:rPr>
            </w:pPr>
            <w:r>
              <w:rPr>
                <w:noProof/>
                <w:sz w:val="18"/>
                <w:szCs w:val="18"/>
                <w:lang w:val="en-GB" w:eastAsia="en-GB"/>
              </w:rPr>
              <w:t>133</w:t>
            </w:r>
          </w:p>
        </w:tc>
        <w:tc>
          <w:tcPr>
            <w:tcW w:w="598" w:type="pct"/>
            <w:tcBorders>
              <w:top w:val="nil"/>
              <w:bottom w:val="nil"/>
            </w:tcBorders>
            <w:vAlign w:val="top"/>
            <w:hideMark/>
          </w:tcPr>
          <w:p w14:paraId="17434BB6" w14:textId="77777777" w:rsidR="004D45F1" w:rsidRDefault="004D45F1">
            <w:pPr>
              <w:jc w:val="center"/>
              <w:rPr>
                <w:rFonts w:cs="Arial"/>
                <w:noProof/>
                <w:sz w:val="18"/>
                <w:szCs w:val="18"/>
                <w:lang w:val="en-GB" w:eastAsia="en-GB"/>
              </w:rPr>
            </w:pPr>
            <w:r>
              <w:rPr>
                <w:noProof/>
                <w:sz w:val="18"/>
                <w:szCs w:val="18"/>
                <w:lang w:val="en-GB" w:eastAsia="en-GB"/>
              </w:rPr>
              <w:t>132</w:t>
            </w:r>
          </w:p>
        </w:tc>
        <w:tc>
          <w:tcPr>
            <w:tcW w:w="598" w:type="pct"/>
            <w:tcBorders>
              <w:top w:val="nil"/>
              <w:bottom w:val="nil"/>
            </w:tcBorders>
            <w:vAlign w:val="top"/>
            <w:hideMark/>
          </w:tcPr>
          <w:p w14:paraId="0BBC5598" w14:textId="77777777" w:rsidR="004D45F1" w:rsidRDefault="004D45F1">
            <w:pPr>
              <w:jc w:val="center"/>
              <w:rPr>
                <w:rFonts w:cs="Arial"/>
                <w:noProof/>
                <w:sz w:val="18"/>
                <w:szCs w:val="18"/>
                <w:lang w:val="en-GB" w:eastAsia="en-GB"/>
              </w:rPr>
            </w:pPr>
            <w:r>
              <w:rPr>
                <w:noProof/>
                <w:sz w:val="18"/>
                <w:szCs w:val="18"/>
                <w:lang w:val="en-GB" w:eastAsia="en-GB"/>
              </w:rPr>
              <w:t>130</w:t>
            </w:r>
          </w:p>
        </w:tc>
        <w:tc>
          <w:tcPr>
            <w:tcW w:w="598" w:type="pct"/>
            <w:tcBorders>
              <w:top w:val="nil"/>
              <w:bottom w:val="nil"/>
            </w:tcBorders>
            <w:vAlign w:val="top"/>
            <w:hideMark/>
          </w:tcPr>
          <w:p w14:paraId="532C5ED7" w14:textId="77777777" w:rsidR="004D45F1" w:rsidRDefault="004D45F1">
            <w:pPr>
              <w:jc w:val="center"/>
              <w:rPr>
                <w:rFonts w:cs="Arial"/>
                <w:noProof/>
                <w:sz w:val="18"/>
                <w:szCs w:val="18"/>
                <w:lang w:val="en-GB" w:eastAsia="en-GB"/>
              </w:rPr>
            </w:pPr>
            <w:r>
              <w:rPr>
                <w:noProof/>
                <w:sz w:val="18"/>
                <w:szCs w:val="18"/>
                <w:lang w:val="en-GB" w:eastAsia="en-GB"/>
              </w:rPr>
              <w:t>128</w:t>
            </w:r>
          </w:p>
        </w:tc>
        <w:tc>
          <w:tcPr>
            <w:tcW w:w="598" w:type="pct"/>
            <w:tcBorders>
              <w:top w:val="nil"/>
              <w:bottom w:val="nil"/>
            </w:tcBorders>
            <w:vAlign w:val="top"/>
            <w:hideMark/>
          </w:tcPr>
          <w:p w14:paraId="683F47E7" w14:textId="77777777" w:rsidR="004D45F1" w:rsidRDefault="004D45F1">
            <w:pPr>
              <w:jc w:val="center"/>
              <w:rPr>
                <w:rFonts w:cs="Arial"/>
                <w:noProof/>
                <w:sz w:val="18"/>
                <w:szCs w:val="18"/>
                <w:lang w:val="en-GB" w:eastAsia="en-GB"/>
              </w:rPr>
            </w:pPr>
            <w:r>
              <w:rPr>
                <w:noProof/>
                <w:sz w:val="18"/>
                <w:szCs w:val="18"/>
                <w:lang w:val="en-GB" w:eastAsia="en-GB"/>
              </w:rPr>
              <w:t>127</w:t>
            </w:r>
          </w:p>
        </w:tc>
        <w:tc>
          <w:tcPr>
            <w:tcW w:w="598" w:type="pct"/>
            <w:tcBorders>
              <w:top w:val="nil"/>
              <w:bottom w:val="nil"/>
              <w:right w:val="single" w:sz="4" w:space="0" w:color="0055A0"/>
            </w:tcBorders>
            <w:vAlign w:val="top"/>
            <w:hideMark/>
          </w:tcPr>
          <w:p w14:paraId="5EB6550A" w14:textId="77777777" w:rsidR="004D45F1" w:rsidRDefault="004D45F1">
            <w:pPr>
              <w:jc w:val="center"/>
              <w:rPr>
                <w:rFonts w:cs="Arial"/>
                <w:noProof/>
                <w:sz w:val="18"/>
                <w:szCs w:val="18"/>
                <w:lang w:val="en-GB" w:eastAsia="en-GB"/>
              </w:rPr>
            </w:pPr>
            <w:r>
              <w:rPr>
                <w:noProof/>
                <w:sz w:val="18"/>
                <w:szCs w:val="18"/>
                <w:lang w:val="en-GB" w:eastAsia="en-GB"/>
              </w:rPr>
              <w:t>125</w:t>
            </w:r>
          </w:p>
        </w:tc>
      </w:tr>
      <w:tr w:rsidR="004D45F1" w14:paraId="16C8894E"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76131E83" w14:textId="77777777" w:rsidR="004D45F1" w:rsidRDefault="004D45F1">
            <w:pPr>
              <w:jc w:val="both"/>
              <w:rPr>
                <w:rFonts w:cs="Arial"/>
                <w:noProof/>
                <w:sz w:val="18"/>
                <w:szCs w:val="18"/>
                <w:lang w:val="en-GB" w:eastAsia="en-GB"/>
              </w:rPr>
            </w:pPr>
            <w:r>
              <w:rPr>
                <w:rFonts w:cs="Arial"/>
                <w:noProof/>
                <w:sz w:val="18"/>
                <w:szCs w:val="18"/>
                <w:lang w:val="en-GB" w:eastAsia="en-GB"/>
              </w:rPr>
              <w:t>Quota allocation (days)</w:t>
            </w:r>
          </w:p>
        </w:tc>
        <w:tc>
          <w:tcPr>
            <w:tcW w:w="515" w:type="pct"/>
            <w:tcBorders>
              <w:top w:val="nil"/>
              <w:left w:val="single" w:sz="4" w:space="0" w:color="0055A0"/>
              <w:bottom w:val="nil"/>
              <w:right w:val="single" w:sz="4" w:space="0" w:color="0055A0"/>
            </w:tcBorders>
            <w:hideMark/>
          </w:tcPr>
          <w:p w14:paraId="56868ADD" w14:textId="77777777" w:rsidR="004D45F1" w:rsidRDefault="004D45F1">
            <w:pPr>
              <w:jc w:val="center"/>
              <w:rPr>
                <w:rFonts w:cs="Arial"/>
                <w:noProof/>
                <w:sz w:val="18"/>
                <w:szCs w:val="18"/>
                <w:lang w:val="en-GB" w:eastAsia="en-GB"/>
              </w:rPr>
            </w:pPr>
            <w:r>
              <w:rPr>
                <w:rFonts w:cs="Arial"/>
                <w:noProof/>
                <w:sz w:val="18"/>
                <w:szCs w:val="18"/>
                <w:lang w:val="en-GB" w:eastAsia="en-GB"/>
              </w:rPr>
              <w:t>60</w:t>
            </w:r>
          </w:p>
        </w:tc>
        <w:tc>
          <w:tcPr>
            <w:tcW w:w="598" w:type="pct"/>
            <w:tcBorders>
              <w:top w:val="nil"/>
              <w:left w:val="single" w:sz="4" w:space="0" w:color="0055A0"/>
              <w:bottom w:val="nil"/>
              <w:right w:val="single" w:sz="4" w:space="0" w:color="0055A0"/>
            </w:tcBorders>
            <w:vAlign w:val="top"/>
            <w:hideMark/>
          </w:tcPr>
          <w:p w14:paraId="028A231F" w14:textId="77777777" w:rsidR="004D45F1" w:rsidRDefault="004D45F1">
            <w:pPr>
              <w:jc w:val="center"/>
              <w:rPr>
                <w:rFonts w:cs="Arial"/>
                <w:noProof/>
                <w:sz w:val="18"/>
                <w:szCs w:val="18"/>
                <w:lang w:val="en-GB" w:eastAsia="en-GB"/>
              </w:rPr>
            </w:pPr>
            <w:r>
              <w:rPr>
                <w:noProof/>
                <w:sz w:val="18"/>
                <w:szCs w:val="18"/>
                <w:lang w:val="en-GB" w:eastAsia="en-GB"/>
              </w:rPr>
              <w:t>60</w:t>
            </w:r>
          </w:p>
        </w:tc>
        <w:tc>
          <w:tcPr>
            <w:tcW w:w="598" w:type="pct"/>
            <w:tcBorders>
              <w:top w:val="nil"/>
              <w:left w:val="single" w:sz="4" w:space="0" w:color="0055A0"/>
              <w:bottom w:val="nil"/>
              <w:right w:val="single" w:sz="4" w:space="0" w:color="0055A0"/>
            </w:tcBorders>
            <w:vAlign w:val="top"/>
            <w:hideMark/>
          </w:tcPr>
          <w:p w14:paraId="0871FFC8" w14:textId="77777777" w:rsidR="004D45F1" w:rsidRDefault="004D45F1">
            <w:pPr>
              <w:jc w:val="center"/>
              <w:rPr>
                <w:rFonts w:cs="Arial"/>
                <w:noProof/>
                <w:sz w:val="18"/>
                <w:szCs w:val="18"/>
                <w:lang w:val="en-GB" w:eastAsia="en-GB"/>
              </w:rPr>
            </w:pPr>
            <w:r>
              <w:rPr>
                <w:noProof/>
                <w:sz w:val="18"/>
                <w:szCs w:val="18"/>
                <w:lang w:val="en-GB" w:eastAsia="en-GB"/>
              </w:rPr>
              <w:t>58</w:t>
            </w:r>
          </w:p>
        </w:tc>
        <w:tc>
          <w:tcPr>
            <w:tcW w:w="598" w:type="pct"/>
            <w:tcBorders>
              <w:top w:val="nil"/>
              <w:left w:val="single" w:sz="4" w:space="0" w:color="0055A0"/>
              <w:bottom w:val="nil"/>
              <w:right w:val="single" w:sz="4" w:space="0" w:color="0055A0"/>
            </w:tcBorders>
            <w:vAlign w:val="top"/>
            <w:hideMark/>
          </w:tcPr>
          <w:p w14:paraId="186E52E2" w14:textId="77777777" w:rsidR="004D45F1" w:rsidRDefault="004D45F1">
            <w:pPr>
              <w:jc w:val="center"/>
              <w:rPr>
                <w:rFonts w:cs="Arial"/>
                <w:noProof/>
                <w:sz w:val="18"/>
                <w:szCs w:val="18"/>
                <w:lang w:val="en-GB" w:eastAsia="en-GB"/>
              </w:rPr>
            </w:pPr>
            <w:r>
              <w:rPr>
                <w:noProof/>
                <w:sz w:val="18"/>
                <w:szCs w:val="18"/>
                <w:lang w:val="en-GB" w:eastAsia="en-GB"/>
              </w:rPr>
              <w:t>56</w:t>
            </w:r>
          </w:p>
        </w:tc>
        <w:tc>
          <w:tcPr>
            <w:tcW w:w="598" w:type="pct"/>
            <w:tcBorders>
              <w:top w:val="nil"/>
              <w:left w:val="single" w:sz="4" w:space="0" w:color="0055A0"/>
              <w:bottom w:val="nil"/>
              <w:right w:val="single" w:sz="4" w:space="0" w:color="0055A0"/>
            </w:tcBorders>
            <w:vAlign w:val="top"/>
            <w:hideMark/>
          </w:tcPr>
          <w:p w14:paraId="5B6E6D8D" w14:textId="77777777" w:rsidR="004D45F1" w:rsidRDefault="004D45F1">
            <w:pPr>
              <w:jc w:val="center"/>
              <w:rPr>
                <w:rFonts w:cs="Arial"/>
                <w:noProof/>
                <w:sz w:val="18"/>
                <w:szCs w:val="18"/>
                <w:lang w:val="en-GB" w:eastAsia="en-GB"/>
              </w:rPr>
            </w:pPr>
            <w:r>
              <w:rPr>
                <w:noProof/>
                <w:sz w:val="18"/>
                <w:szCs w:val="18"/>
                <w:lang w:val="en-GB" w:eastAsia="en-GB"/>
              </w:rPr>
              <w:t>54</w:t>
            </w:r>
          </w:p>
        </w:tc>
        <w:tc>
          <w:tcPr>
            <w:tcW w:w="598" w:type="pct"/>
            <w:tcBorders>
              <w:top w:val="nil"/>
              <w:left w:val="single" w:sz="4" w:space="0" w:color="0055A0"/>
              <w:bottom w:val="nil"/>
              <w:right w:val="single" w:sz="4" w:space="0" w:color="0055A0"/>
            </w:tcBorders>
            <w:vAlign w:val="top"/>
            <w:hideMark/>
          </w:tcPr>
          <w:p w14:paraId="366D936D" w14:textId="77777777" w:rsidR="004D45F1" w:rsidRDefault="004D45F1">
            <w:pPr>
              <w:jc w:val="center"/>
              <w:rPr>
                <w:rFonts w:cs="Arial"/>
                <w:noProof/>
                <w:sz w:val="18"/>
                <w:szCs w:val="18"/>
                <w:lang w:val="en-GB" w:eastAsia="en-GB"/>
              </w:rPr>
            </w:pPr>
            <w:r>
              <w:rPr>
                <w:noProof/>
                <w:sz w:val="18"/>
                <w:szCs w:val="18"/>
                <w:lang w:val="en-GB" w:eastAsia="en-GB"/>
              </w:rPr>
              <w:t>52</w:t>
            </w:r>
          </w:p>
        </w:tc>
        <w:tc>
          <w:tcPr>
            <w:tcW w:w="598" w:type="pct"/>
            <w:tcBorders>
              <w:top w:val="nil"/>
              <w:left w:val="single" w:sz="4" w:space="0" w:color="0055A0"/>
              <w:bottom w:val="nil"/>
              <w:right w:val="single" w:sz="4" w:space="0" w:color="0055A0"/>
            </w:tcBorders>
            <w:vAlign w:val="top"/>
            <w:hideMark/>
          </w:tcPr>
          <w:p w14:paraId="24BD8CA0" w14:textId="77777777" w:rsidR="004D45F1" w:rsidRDefault="004D45F1">
            <w:pPr>
              <w:jc w:val="center"/>
              <w:rPr>
                <w:rFonts w:cs="Arial"/>
                <w:noProof/>
                <w:sz w:val="18"/>
                <w:szCs w:val="18"/>
                <w:lang w:val="en-GB" w:eastAsia="en-GB"/>
              </w:rPr>
            </w:pPr>
            <w:r>
              <w:rPr>
                <w:noProof/>
                <w:sz w:val="18"/>
                <w:szCs w:val="18"/>
                <w:lang w:val="en-GB" w:eastAsia="en-GB"/>
              </w:rPr>
              <w:t>51</w:t>
            </w:r>
          </w:p>
        </w:tc>
      </w:tr>
      <w:tr w:rsidR="004D45F1" w14:paraId="376BC2F8"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26482B23" w14:textId="77777777" w:rsidR="004D45F1" w:rsidRDefault="004D45F1">
            <w:pPr>
              <w:jc w:val="both"/>
              <w:rPr>
                <w:rFonts w:cs="Arial"/>
                <w:noProof/>
                <w:sz w:val="18"/>
                <w:szCs w:val="18"/>
                <w:lang w:val="en-GB" w:eastAsia="en-GB"/>
              </w:rPr>
            </w:pPr>
            <w:r>
              <w:rPr>
                <w:rFonts w:cs="Arial"/>
                <w:noProof/>
                <w:sz w:val="18"/>
                <w:szCs w:val="18"/>
                <w:lang w:val="en-GB" w:eastAsia="en-GB"/>
              </w:rPr>
              <w:t>Registration requirements for laboratories (LabODS registry) (days)</w:t>
            </w:r>
          </w:p>
        </w:tc>
        <w:tc>
          <w:tcPr>
            <w:tcW w:w="515" w:type="pct"/>
            <w:tcBorders>
              <w:top w:val="nil"/>
              <w:bottom w:val="nil"/>
            </w:tcBorders>
            <w:hideMark/>
          </w:tcPr>
          <w:p w14:paraId="39ABA13A"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tcBorders>
            <w:hideMark/>
          </w:tcPr>
          <w:p w14:paraId="0854FACD"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tcBorders>
            <w:hideMark/>
          </w:tcPr>
          <w:p w14:paraId="3F263DF3"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tcBorders>
            <w:hideMark/>
          </w:tcPr>
          <w:p w14:paraId="392364F3"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tcBorders>
            <w:hideMark/>
          </w:tcPr>
          <w:p w14:paraId="1DE497AB"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tcBorders>
            <w:hideMark/>
          </w:tcPr>
          <w:p w14:paraId="659B4958"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c>
          <w:tcPr>
            <w:tcW w:w="598" w:type="pct"/>
            <w:tcBorders>
              <w:top w:val="nil"/>
              <w:bottom w:val="nil"/>
              <w:right w:val="single" w:sz="4" w:space="0" w:color="0055A0"/>
            </w:tcBorders>
            <w:hideMark/>
          </w:tcPr>
          <w:p w14:paraId="1159A716" w14:textId="77777777" w:rsidR="004D45F1" w:rsidRDefault="004D45F1">
            <w:pPr>
              <w:jc w:val="center"/>
              <w:rPr>
                <w:rFonts w:cs="Arial"/>
                <w:noProof/>
                <w:sz w:val="18"/>
                <w:szCs w:val="18"/>
                <w:lang w:val="en-GB" w:eastAsia="en-GB"/>
              </w:rPr>
            </w:pPr>
            <w:r>
              <w:rPr>
                <w:rFonts w:cs="Arial"/>
                <w:noProof/>
                <w:sz w:val="18"/>
                <w:szCs w:val="18"/>
                <w:lang w:val="en-GB" w:eastAsia="en-GB"/>
              </w:rPr>
              <w:t>73</w:t>
            </w:r>
          </w:p>
        </w:tc>
      </w:tr>
      <w:tr w:rsidR="004D45F1" w14:paraId="611E5101"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3C2384FA" w14:textId="77777777" w:rsidR="004D45F1" w:rsidRDefault="004D45F1">
            <w:pPr>
              <w:jc w:val="both"/>
              <w:rPr>
                <w:rFonts w:cs="Arial"/>
                <w:noProof/>
                <w:sz w:val="18"/>
                <w:szCs w:val="18"/>
                <w:lang w:val="en-GB" w:eastAsia="en-GB"/>
              </w:rPr>
            </w:pPr>
            <w:r>
              <w:rPr>
                <w:rFonts w:cs="Arial"/>
                <w:noProof/>
                <w:sz w:val="18"/>
                <w:szCs w:val="18"/>
                <w:lang w:val="en-GB" w:eastAsia="en-GB"/>
              </w:rPr>
              <w:t>Registration for ODS companies and customs (ODS licencing system)</w:t>
            </w:r>
            <w:r>
              <w:rPr>
                <w:noProof/>
                <w:vertAlign w:val="superscript"/>
              </w:rPr>
              <w:footnoteReference w:id="111"/>
            </w:r>
            <w:r>
              <w:rPr>
                <w:rFonts w:cs="Arial"/>
                <w:noProof/>
                <w:sz w:val="18"/>
                <w:szCs w:val="18"/>
                <w:lang w:val="en-GB" w:eastAsia="en-GB"/>
              </w:rPr>
              <w:t xml:space="preserve"> (days)</w:t>
            </w:r>
          </w:p>
        </w:tc>
        <w:tc>
          <w:tcPr>
            <w:tcW w:w="515" w:type="pct"/>
            <w:tcBorders>
              <w:top w:val="nil"/>
              <w:left w:val="single" w:sz="4" w:space="0" w:color="0055A0"/>
              <w:bottom w:val="nil"/>
              <w:right w:val="single" w:sz="4" w:space="0" w:color="0055A0"/>
            </w:tcBorders>
            <w:hideMark/>
          </w:tcPr>
          <w:p w14:paraId="39B13F57" w14:textId="77777777" w:rsidR="004D45F1" w:rsidRDefault="004D45F1">
            <w:pPr>
              <w:jc w:val="center"/>
              <w:rPr>
                <w:rFonts w:cs="Arial"/>
                <w:noProof/>
                <w:sz w:val="18"/>
                <w:szCs w:val="18"/>
                <w:lang w:val="en-GB" w:eastAsia="en-GB"/>
              </w:rPr>
            </w:pPr>
            <w:r>
              <w:rPr>
                <w:rFonts w:cs="Arial"/>
                <w:noProof/>
                <w:sz w:val="18"/>
                <w:szCs w:val="18"/>
                <w:lang w:val="en-GB" w:eastAsia="en-GB"/>
              </w:rPr>
              <w:t>63</w:t>
            </w:r>
          </w:p>
        </w:tc>
        <w:tc>
          <w:tcPr>
            <w:tcW w:w="598" w:type="pct"/>
            <w:tcBorders>
              <w:top w:val="nil"/>
              <w:left w:val="single" w:sz="4" w:space="0" w:color="0055A0"/>
              <w:bottom w:val="nil"/>
              <w:right w:val="single" w:sz="4" w:space="0" w:color="0055A0"/>
            </w:tcBorders>
            <w:hideMark/>
          </w:tcPr>
          <w:p w14:paraId="5FD7C23F" w14:textId="77777777" w:rsidR="004D45F1" w:rsidRDefault="004D45F1">
            <w:pPr>
              <w:jc w:val="center"/>
              <w:rPr>
                <w:rFonts w:cs="Arial"/>
                <w:noProof/>
                <w:sz w:val="18"/>
                <w:szCs w:val="18"/>
                <w:lang w:val="en-GB" w:eastAsia="en-GB"/>
              </w:rPr>
            </w:pPr>
            <w:r>
              <w:rPr>
                <w:rFonts w:cs="Arial"/>
                <w:noProof/>
                <w:sz w:val="18"/>
                <w:szCs w:val="18"/>
                <w:lang w:val="en-GB" w:eastAsia="en-GB"/>
              </w:rPr>
              <w:t>63</w:t>
            </w:r>
          </w:p>
        </w:tc>
        <w:tc>
          <w:tcPr>
            <w:tcW w:w="598" w:type="pct"/>
            <w:tcBorders>
              <w:top w:val="nil"/>
              <w:left w:val="single" w:sz="4" w:space="0" w:color="0055A0"/>
              <w:bottom w:val="nil"/>
              <w:right w:val="single" w:sz="4" w:space="0" w:color="0055A0"/>
            </w:tcBorders>
            <w:hideMark/>
          </w:tcPr>
          <w:p w14:paraId="7343DC53" w14:textId="77777777" w:rsidR="004D45F1" w:rsidRDefault="004D45F1">
            <w:pPr>
              <w:jc w:val="center"/>
              <w:rPr>
                <w:rFonts w:cs="Arial"/>
                <w:noProof/>
                <w:sz w:val="18"/>
                <w:szCs w:val="18"/>
                <w:lang w:val="en-GB" w:eastAsia="en-GB"/>
              </w:rPr>
            </w:pPr>
            <w:r>
              <w:rPr>
                <w:rFonts w:cs="Arial"/>
                <w:noProof/>
                <w:sz w:val="18"/>
                <w:szCs w:val="18"/>
                <w:lang w:val="en-GB" w:eastAsia="en-GB"/>
              </w:rPr>
              <w:t>63</w:t>
            </w:r>
          </w:p>
        </w:tc>
        <w:tc>
          <w:tcPr>
            <w:tcW w:w="598" w:type="pct"/>
            <w:tcBorders>
              <w:top w:val="nil"/>
              <w:left w:val="single" w:sz="4" w:space="0" w:color="0055A0"/>
              <w:bottom w:val="nil"/>
              <w:right w:val="single" w:sz="4" w:space="0" w:color="0055A0"/>
            </w:tcBorders>
            <w:hideMark/>
          </w:tcPr>
          <w:p w14:paraId="0D685C82" w14:textId="77777777" w:rsidR="004D45F1" w:rsidRDefault="004D45F1">
            <w:pPr>
              <w:jc w:val="center"/>
              <w:rPr>
                <w:rFonts w:cs="Arial"/>
                <w:noProof/>
                <w:sz w:val="18"/>
                <w:szCs w:val="18"/>
                <w:lang w:val="en-GB" w:eastAsia="en-GB"/>
              </w:rPr>
            </w:pPr>
            <w:r>
              <w:rPr>
                <w:rFonts w:cs="Arial"/>
                <w:noProof/>
                <w:sz w:val="18"/>
                <w:szCs w:val="18"/>
                <w:lang w:val="en-GB" w:eastAsia="en-GB"/>
              </w:rPr>
              <w:t>62</w:t>
            </w:r>
          </w:p>
        </w:tc>
        <w:tc>
          <w:tcPr>
            <w:tcW w:w="598" w:type="pct"/>
            <w:tcBorders>
              <w:top w:val="nil"/>
              <w:left w:val="single" w:sz="4" w:space="0" w:color="0055A0"/>
              <w:bottom w:val="nil"/>
              <w:right w:val="single" w:sz="4" w:space="0" w:color="0055A0"/>
            </w:tcBorders>
            <w:hideMark/>
          </w:tcPr>
          <w:p w14:paraId="77B1A08B" w14:textId="77777777" w:rsidR="004D45F1" w:rsidRDefault="004D45F1">
            <w:pPr>
              <w:jc w:val="center"/>
              <w:rPr>
                <w:rFonts w:cs="Arial"/>
                <w:noProof/>
                <w:sz w:val="18"/>
                <w:szCs w:val="18"/>
                <w:lang w:val="en-GB" w:eastAsia="en-GB"/>
              </w:rPr>
            </w:pPr>
            <w:r>
              <w:rPr>
                <w:rFonts w:cs="Arial"/>
                <w:noProof/>
                <w:sz w:val="18"/>
                <w:szCs w:val="18"/>
                <w:lang w:val="en-GB" w:eastAsia="en-GB"/>
              </w:rPr>
              <w:t>61</w:t>
            </w:r>
          </w:p>
        </w:tc>
        <w:tc>
          <w:tcPr>
            <w:tcW w:w="598" w:type="pct"/>
            <w:tcBorders>
              <w:top w:val="nil"/>
              <w:left w:val="single" w:sz="4" w:space="0" w:color="0055A0"/>
              <w:bottom w:val="nil"/>
              <w:right w:val="single" w:sz="4" w:space="0" w:color="0055A0"/>
            </w:tcBorders>
            <w:hideMark/>
          </w:tcPr>
          <w:p w14:paraId="7468F2F9" w14:textId="77777777" w:rsidR="004D45F1" w:rsidRDefault="004D45F1">
            <w:pPr>
              <w:jc w:val="center"/>
              <w:rPr>
                <w:rFonts w:cs="Arial"/>
                <w:noProof/>
                <w:sz w:val="18"/>
                <w:szCs w:val="18"/>
                <w:lang w:val="en-GB" w:eastAsia="en-GB"/>
              </w:rPr>
            </w:pPr>
            <w:r>
              <w:rPr>
                <w:rFonts w:cs="Arial"/>
                <w:noProof/>
                <w:sz w:val="18"/>
                <w:szCs w:val="18"/>
                <w:lang w:val="en-GB" w:eastAsia="en-GB"/>
              </w:rPr>
              <w:t>60</w:t>
            </w:r>
          </w:p>
        </w:tc>
        <w:tc>
          <w:tcPr>
            <w:tcW w:w="598" w:type="pct"/>
            <w:tcBorders>
              <w:top w:val="nil"/>
              <w:left w:val="single" w:sz="4" w:space="0" w:color="0055A0"/>
              <w:bottom w:val="nil"/>
              <w:right w:val="single" w:sz="4" w:space="0" w:color="0055A0"/>
            </w:tcBorders>
            <w:hideMark/>
          </w:tcPr>
          <w:p w14:paraId="793E2BAC" w14:textId="77777777" w:rsidR="004D45F1" w:rsidRDefault="004D45F1">
            <w:pPr>
              <w:jc w:val="center"/>
              <w:rPr>
                <w:rFonts w:cs="Arial"/>
                <w:noProof/>
                <w:sz w:val="18"/>
                <w:szCs w:val="18"/>
                <w:lang w:val="en-GB" w:eastAsia="en-GB"/>
              </w:rPr>
            </w:pPr>
            <w:r>
              <w:rPr>
                <w:rFonts w:cs="Arial"/>
                <w:noProof/>
                <w:sz w:val="18"/>
                <w:szCs w:val="18"/>
                <w:lang w:val="en-GB" w:eastAsia="en-GB"/>
              </w:rPr>
              <w:t>59</w:t>
            </w:r>
          </w:p>
        </w:tc>
      </w:tr>
      <w:tr w:rsidR="004D45F1" w14:paraId="3754E858"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63168660" w14:textId="77777777" w:rsidR="004D45F1" w:rsidRDefault="004D45F1">
            <w:pPr>
              <w:jc w:val="both"/>
              <w:rPr>
                <w:rFonts w:cs="Arial"/>
                <w:noProof/>
                <w:sz w:val="18"/>
                <w:szCs w:val="18"/>
                <w:lang w:val="en-GB" w:eastAsia="en-GB"/>
              </w:rPr>
            </w:pPr>
            <w:r>
              <w:rPr>
                <w:rFonts w:cs="Arial"/>
                <w:noProof/>
                <w:sz w:val="18"/>
                <w:szCs w:val="18"/>
                <w:lang w:val="en-GB" w:eastAsia="en-GB"/>
              </w:rPr>
              <w:t>IT system (cross-cutting: licencing, registration for labs) (days)</w:t>
            </w:r>
          </w:p>
        </w:tc>
        <w:tc>
          <w:tcPr>
            <w:tcW w:w="515" w:type="pct"/>
            <w:tcBorders>
              <w:top w:val="nil"/>
              <w:bottom w:val="nil"/>
            </w:tcBorders>
            <w:hideMark/>
          </w:tcPr>
          <w:p w14:paraId="722E0A1B" w14:textId="77777777" w:rsidR="004D45F1" w:rsidRDefault="004D45F1">
            <w:pPr>
              <w:jc w:val="center"/>
              <w:rPr>
                <w:rFonts w:cs="Arial"/>
                <w:noProof/>
                <w:sz w:val="18"/>
                <w:szCs w:val="18"/>
                <w:lang w:val="en-GB" w:eastAsia="en-GB"/>
              </w:rPr>
            </w:pPr>
            <w:r>
              <w:rPr>
                <w:rFonts w:cs="Arial"/>
                <w:noProof/>
                <w:sz w:val="18"/>
                <w:szCs w:val="18"/>
                <w:lang w:val="en-GB" w:eastAsia="en-GB"/>
              </w:rPr>
              <w:t>168</w:t>
            </w:r>
          </w:p>
        </w:tc>
        <w:tc>
          <w:tcPr>
            <w:tcW w:w="598" w:type="pct"/>
            <w:tcBorders>
              <w:top w:val="nil"/>
              <w:bottom w:val="nil"/>
            </w:tcBorders>
            <w:hideMark/>
          </w:tcPr>
          <w:p w14:paraId="6B46A9F6"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c>
          <w:tcPr>
            <w:tcW w:w="598" w:type="pct"/>
            <w:tcBorders>
              <w:top w:val="nil"/>
              <w:bottom w:val="nil"/>
            </w:tcBorders>
            <w:hideMark/>
          </w:tcPr>
          <w:p w14:paraId="10F341D3"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c>
          <w:tcPr>
            <w:tcW w:w="598" w:type="pct"/>
            <w:tcBorders>
              <w:top w:val="nil"/>
              <w:bottom w:val="nil"/>
            </w:tcBorders>
            <w:hideMark/>
          </w:tcPr>
          <w:p w14:paraId="5F30EE14"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c>
          <w:tcPr>
            <w:tcW w:w="598" w:type="pct"/>
            <w:tcBorders>
              <w:top w:val="nil"/>
              <w:bottom w:val="nil"/>
            </w:tcBorders>
            <w:hideMark/>
          </w:tcPr>
          <w:p w14:paraId="732A5878"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c>
          <w:tcPr>
            <w:tcW w:w="598" w:type="pct"/>
            <w:tcBorders>
              <w:top w:val="nil"/>
              <w:bottom w:val="nil"/>
            </w:tcBorders>
            <w:hideMark/>
          </w:tcPr>
          <w:p w14:paraId="3A90E051"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c>
          <w:tcPr>
            <w:tcW w:w="598" w:type="pct"/>
            <w:tcBorders>
              <w:top w:val="nil"/>
              <w:bottom w:val="nil"/>
              <w:right w:val="single" w:sz="4" w:space="0" w:color="0055A0"/>
            </w:tcBorders>
            <w:hideMark/>
          </w:tcPr>
          <w:p w14:paraId="62FA4C7B" w14:textId="77777777" w:rsidR="004D45F1" w:rsidRDefault="004D45F1">
            <w:pPr>
              <w:jc w:val="center"/>
              <w:rPr>
                <w:rFonts w:cs="Arial"/>
                <w:noProof/>
                <w:sz w:val="18"/>
                <w:szCs w:val="18"/>
                <w:lang w:val="en-GB" w:eastAsia="en-GB"/>
              </w:rPr>
            </w:pPr>
            <w:r>
              <w:rPr>
                <w:rFonts w:cs="Arial"/>
                <w:noProof/>
                <w:sz w:val="18"/>
                <w:szCs w:val="18"/>
                <w:lang w:val="en-GB" w:eastAsia="en-GB"/>
              </w:rPr>
              <w:t>202</w:t>
            </w:r>
          </w:p>
        </w:tc>
      </w:tr>
      <w:tr w:rsidR="004D45F1" w14:paraId="4B4D365A"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4F6253C1"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Reporting requirements (days)</w:t>
            </w:r>
          </w:p>
        </w:tc>
        <w:tc>
          <w:tcPr>
            <w:tcW w:w="515" w:type="pct"/>
            <w:tcBorders>
              <w:top w:val="nil"/>
              <w:left w:val="single" w:sz="4" w:space="0" w:color="0055A0"/>
              <w:bottom w:val="nil"/>
              <w:right w:val="single" w:sz="4" w:space="0" w:color="0055A0"/>
            </w:tcBorders>
            <w:hideMark/>
          </w:tcPr>
          <w:p w14:paraId="0A34008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52</w:t>
            </w:r>
          </w:p>
        </w:tc>
        <w:tc>
          <w:tcPr>
            <w:tcW w:w="598" w:type="pct"/>
            <w:tcBorders>
              <w:top w:val="nil"/>
              <w:left w:val="single" w:sz="4" w:space="0" w:color="0055A0"/>
              <w:bottom w:val="nil"/>
              <w:right w:val="single" w:sz="4" w:space="0" w:color="0055A0"/>
            </w:tcBorders>
            <w:hideMark/>
          </w:tcPr>
          <w:p w14:paraId="08045C9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51</w:t>
            </w:r>
          </w:p>
        </w:tc>
        <w:tc>
          <w:tcPr>
            <w:tcW w:w="598" w:type="pct"/>
            <w:tcBorders>
              <w:top w:val="nil"/>
              <w:left w:val="single" w:sz="4" w:space="0" w:color="0055A0"/>
              <w:bottom w:val="nil"/>
              <w:right w:val="single" w:sz="4" w:space="0" w:color="0055A0"/>
            </w:tcBorders>
            <w:hideMark/>
          </w:tcPr>
          <w:p w14:paraId="2A5FB1EB"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50</w:t>
            </w:r>
          </w:p>
        </w:tc>
        <w:tc>
          <w:tcPr>
            <w:tcW w:w="598" w:type="pct"/>
            <w:tcBorders>
              <w:top w:val="nil"/>
              <w:left w:val="single" w:sz="4" w:space="0" w:color="0055A0"/>
              <w:bottom w:val="nil"/>
              <w:right w:val="single" w:sz="4" w:space="0" w:color="0055A0"/>
            </w:tcBorders>
            <w:hideMark/>
          </w:tcPr>
          <w:p w14:paraId="3439414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49</w:t>
            </w:r>
          </w:p>
        </w:tc>
        <w:tc>
          <w:tcPr>
            <w:tcW w:w="598" w:type="pct"/>
            <w:tcBorders>
              <w:top w:val="nil"/>
              <w:left w:val="single" w:sz="4" w:space="0" w:color="0055A0"/>
              <w:bottom w:val="nil"/>
              <w:right w:val="single" w:sz="4" w:space="0" w:color="0055A0"/>
            </w:tcBorders>
            <w:hideMark/>
          </w:tcPr>
          <w:p w14:paraId="138A813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47</w:t>
            </w:r>
          </w:p>
        </w:tc>
        <w:tc>
          <w:tcPr>
            <w:tcW w:w="598" w:type="pct"/>
            <w:tcBorders>
              <w:top w:val="nil"/>
              <w:left w:val="single" w:sz="4" w:space="0" w:color="0055A0"/>
              <w:bottom w:val="nil"/>
              <w:right w:val="single" w:sz="4" w:space="0" w:color="0055A0"/>
            </w:tcBorders>
            <w:hideMark/>
          </w:tcPr>
          <w:p w14:paraId="438BB97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46</w:t>
            </w:r>
          </w:p>
        </w:tc>
        <w:tc>
          <w:tcPr>
            <w:tcW w:w="598" w:type="pct"/>
            <w:tcBorders>
              <w:top w:val="nil"/>
              <w:left w:val="single" w:sz="4" w:space="0" w:color="0055A0"/>
              <w:bottom w:val="nil"/>
              <w:right w:val="single" w:sz="4" w:space="0" w:color="0055A0"/>
            </w:tcBorders>
            <w:hideMark/>
          </w:tcPr>
          <w:p w14:paraId="6257546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45</w:t>
            </w:r>
          </w:p>
        </w:tc>
      </w:tr>
      <w:tr w:rsidR="004D45F1" w14:paraId="7A32D894"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6C2AF31C"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Phase-out schedules</w:t>
            </w:r>
            <w:r>
              <w:rPr>
                <w:noProof/>
                <w:vertAlign w:val="superscript"/>
              </w:rPr>
              <w:footnoteReference w:id="112"/>
            </w:r>
            <w:r>
              <w:rPr>
                <w:rFonts w:cs="Arial"/>
                <w:noProof/>
                <w:color w:val="000000"/>
                <w:sz w:val="18"/>
                <w:szCs w:val="18"/>
                <w:lang w:val="en-GB" w:eastAsia="en-GB"/>
              </w:rPr>
              <w:t xml:space="preserve"> (days)</w:t>
            </w:r>
          </w:p>
        </w:tc>
        <w:tc>
          <w:tcPr>
            <w:tcW w:w="515" w:type="pct"/>
            <w:tcBorders>
              <w:top w:val="nil"/>
              <w:bottom w:val="nil"/>
            </w:tcBorders>
            <w:hideMark/>
          </w:tcPr>
          <w:p w14:paraId="46BD5FE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18</w:t>
            </w:r>
          </w:p>
        </w:tc>
        <w:tc>
          <w:tcPr>
            <w:tcW w:w="598" w:type="pct"/>
            <w:tcBorders>
              <w:top w:val="nil"/>
              <w:bottom w:val="nil"/>
            </w:tcBorders>
            <w:hideMark/>
          </w:tcPr>
          <w:p w14:paraId="6A14D59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17</w:t>
            </w:r>
          </w:p>
        </w:tc>
        <w:tc>
          <w:tcPr>
            <w:tcW w:w="598" w:type="pct"/>
            <w:tcBorders>
              <w:top w:val="nil"/>
              <w:bottom w:val="nil"/>
            </w:tcBorders>
            <w:hideMark/>
          </w:tcPr>
          <w:p w14:paraId="3C52F64B"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16</w:t>
            </w:r>
          </w:p>
        </w:tc>
        <w:tc>
          <w:tcPr>
            <w:tcW w:w="598" w:type="pct"/>
            <w:tcBorders>
              <w:top w:val="nil"/>
              <w:bottom w:val="nil"/>
            </w:tcBorders>
            <w:hideMark/>
          </w:tcPr>
          <w:p w14:paraId="55BF7F6D"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bottom w:val="nil"/>
            </w:tcBorders>
            <w:hideMark/>
          </w:tcPr>
          <w:p w14:paraId="2E884CD2"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9</w:t>
            </w:r>
          </w:p>
        </w:tc>
        <w:tc>
          <w:tcPr>
            <w:tcW w:w="598" w:type="pct"/>
            <w:tcBorders>
              <w:top w:val="nil"/>
              <w:bottom w:val="nil"/>
            </w:tcBorders>
            <w:hideMark/>
          </w:tcPr>
          <w:p w14:paraId="3DF7CE0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0</w:t>
            </w:r>
          </w:p>
        </w:tc>
        <w:tc>
          <w:tcPr>
            <w:tcW w:w="598" w:type="pct"/>
            <w:tcBorders>
              <w:top w:val="nil"/>
              <w:bottom w:val="nil"/>
              <w:right w:val="single" w:sz="4" w:space="0" w:color="0055A0"/>
            </w:tcBorders>
            <w:hideMark/>
          </w:tcPr>
          <w:p w14:paraId="66A8F102"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0</w:t>
            </w:r>
          </w:p>
        </w:tc>
      </w:tr>
      <w:tr w:rsidR="004D45F1" w14:paraId="593E84B2"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0BAB9377"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Illegal trade &amp; customs (days)</w:t>
            </w:r>
          </w:p>
        </w:tc>
        <w:tc>
          <w:tcPr>
            <w:tcW w:w="515" w:type="pct"/>
            <w:tcBorders>
              <w:top w:val="nil"/>
              <w:left w:val="single" w:sz="4" w:space="0" w:color="0055A0"/>
              <w:bottom w:val="nil"/>
              <w:right w:val="single" w:sz="4" w:space="0" w:color="0055A0"/>
            </w:tcBorders>
            <w:hideMark/>
          </w:tcPr>
          <w:p w14:paraId="5044ECB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84</w:t>
            </w:r>
          </w:p>
        </w:tc>
        <w:tc>
          <w:tcPr>
            <w:tcW w:w="598" w:type="pct"/>
            <w:tcBorders>
              <w:top w:val="nil"/>
              <w:left w:val="single" w:sz="4" w:space="0" w:color="0055A0"/>
              <w:bottom w:val="nil"/>
              <w:right w:val="single" w:sz="4" w:space="0" w:color="0055A0"/>
            </w:tcBorders>
            <w:hideMark/>
          </w:tcPr>
          <w:p w14:paraId="7F39C998"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85</w:t>
            </w:r>
          </w:p>
        </w:tc>
        <w:tc>
          <w:tcPr>
            <w:tcW w:w="598" w:type="pct"/>
            <w:tcBorders>
              <w:top w:val="nil"/>
              <w:left w:val="single" w:sz="4" w:space="0" w:color="0055A0"/>
              <w:bottom w:val="nil"/>
              <w:right w:val="single" w:sz="4" w:space="0" w:color="0055A0"/>
            </w:tcBorders>
            <w:hideMark/>
          </w:tcPr>
          <w:p w14:paraId="66F7D75C"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84</w:t>
            </w:r>
          </w:p>
        </w:tc>
        <w:tc>
          <w:tcPr>
            <w:tcW w:w="598" w:type="pct"/>
            <w:tcBorders>
              <w:top w:val="nil"/>
              <w:left w:val="single" w:sz="4" w:space="0" w:color="0055A0"/>
              <w:bottom w:val="nil"/>
              <w:right w:val="single" w:sz="4" w:space="0" w:color="0055A0"/>
            </w:tcBorders>
            <w:hideMark/>
          </w:tcPr>
          <w:p w14:paraId="4D0DCA19"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83</w:t>
            </w:r>
          </w:p>
        </w:tc>
        <w:tc>
          <w:tcPr>
            <w:tcW w:w="598" w:type="pct"/>
            <w:tcBorders>
              <w:top w:val="nil"/>
              <w:left w:val="single" w:sz="4" w:space="0" w:color="0055A0"/>
              <w:bottom w:val="nil"/>
              <w:right w:val="single" w:sz="4" w:space="0" w:color="0055A0"/>
            </w:tcBorders>
            <w:hideMark/>
          </w:tcPr>
          <w:p w14:paraId="250F0D9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82</w:t>
            </w:r>
          </w:p>
        </w:tc>
        <w:tc>
          <w:tcPr>
            <w:tcW w:w="598" w:type="pct"/>
            <w:tcBorders>
              <w:top w:val="nil"/>
              <w:left w:val="single" w:sz="4" w:space="0" w:color="0055A0"/>
              <w:bottom w:val="nil"/>
              <w:right w:val="single" w:sz="4" w:space="0" w:color="0055A0"/>
            </w:tcBorders>
            <w:hideMark/>
          </w:tcPr>
          <w:p w14:paraId="4D88C134"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81</w:t>
            </w:r>
          </w:p>
        </w:tc>
        <w:tc>
          <w:tcPr>
            <w:tcW w:w="598" w:type="pct"/>
            <w:tcBorders>
              <w:top w:val="nil"/>
              <w:left w:val="single" w:sz="4" w:space="0" w:color="0055A0"/>
              <w:bottom w:val="nil"/>
              <w:right w:val="single" w:sz="4" w:space="0" w:color="0055A0"/>
            </w:tcBorders>
            <w:hideMark/>
          </w:tcPr>
          <w:p w14:paraId="1268CAF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80</w:t>
            </w:r>
          </w:p>
        </w:tc>
      </w:tr>
      <w:tr w:rsidR="004D45F1" w14:paraId="6333054A"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4E759840"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Technical requirements for destructions (days)</w:t>
            </w:r>
          </w:p>
        </w:tc>
        <w:tc>
          <w:tcPr>
            <w:tcW w:w="515" w:type="pct"/>
            <w:tcBorders>
              <w:top w:val="nil"/>
              <w:bottom w:val="nil"/>
            </w:tcBorders>
            <w:hideMark/>
          </w:tcPr>
          <w:p w14:paraId="105EA532"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19F42FC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47D8C89E"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6295368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1158DC4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1907CC2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right w:val="single" w:sz="4" w:space="0" w:color="0055A0"/>
            </w:tcBorders>
            <w:hideMark/>
          </w:tcPr>
          <w:p w14:paraId="5B30337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r>
      <w:tr w:rsidR="004D45F1" w14:paraId="388F71F9"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375ED667"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Technical requirements for labelling (days)</w:t>
            </w:r>
          </w:p>
        </w:tc>
        <w:tc>
          <w:tcPr>
            <w:tcW w:w="515" w:type="pct"/>
            <w:tcBorders>
              <w:top w:val="nil"/>
              <w:left w:val="single" w:sz="4" w:space="0" w:color="0055A0"/>
              <w:bottom w:val="nil"/>
              <w:right w:val="single" w:sz="4" w:space="0" w:color="0055A0"/>
            </w:tcBorders>
            <w:hideMark/>
          </w:tcPr>
          <w:p w14:paraId="4C54042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4E3165F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5821042D"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05AA1794"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69574B7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54F66DF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left w:val="single" w:sz="4" w:space="0" w:color="0055A0"/>
              <w:bottom w:val="nil"/>
              <w:right w:val="single" w:sz="4" w:space="0" w:color="0055A0"/>
            </w:tcBorders>
            <w:hideMark/>
          </w:tcPr>
          <w:p w14:paraId="0CE4975D"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r>
      <w:tr w:rsidR="004D45F1" w14:paraId="7D231F8A"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72143738"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Technical requirements for leakage, emission control and related Member State implementation measures (days)</w:t>
            </w:r>
          </w:p>
        </w:tc>
        <w:tc>
          <w:tcPr>
            <w:tcW w:w="515" w:type="pct"/>
            <w:tcBorders>
              <w:top w:val="nil"/>
              <w:bottom w:val="nil"/>
            </w:tcBorders>
            <w:hideMark/>
          </w:tcPr>
          <w:p w14:paraId="0C97506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23F4A9BB"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7C203FC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7C3A9A4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6F3D03BC"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tcBorders>
            <w:hideMark/>
          </w:tcPr>
          <w:p w14:paraId="12C525D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c>
          <w:tcPr>
            <w:tcW w:w="598" w:type="pct"/>
            <w:tcBorders>
              <w:top w:val="nil"/>
              <w:bottom w:val="nil"/>
              <w:right w:val="single" w:sz="4" w:space="0" w:color="0055A0"/>
            </w:tcBorders>
            <w:hideMark/>
          </w:tcPr>
          <w:p w14:paraId="30490A7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5</w:t>
            </w:r>
          </w:p>
        </w:tc>
      </w:tr>
      <w:tr w:rsidR="004D45F1" w14:paraId="404E5124"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477DE6B2"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Derogation decisions (days)</w:t>
            </w:r>
          </w:p>
        </w:tc>
        <w:tc>
          <w:tcPr>
            <w:tcW w:w="515" w:type="pct"/>
            <w:tcBorders>
              <w:top w:val="nil"/>
              <w:left w:val="single" w:sz="4" w:space="0" w:color="0055A0"/>
              <w:bottom w:val="nil"/>
              <w:right w:val="single" w:sz="4" w:space="0" w:color="0055A0"/>
            </w:tcBorders>
            <w:hideMark/>
          </w:tcPr>
          <w:p w14:paraId="4408145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40</w:t>
            </w:r>
          </w:p>
        </w:tc>
        <w:tc>
          <w:tcPr>
            <w:tcW w:w="598" w:type="pct"/>
            <w:tcBorders>
              <w:top w:val="nil"/>
              <w:left w:val="single" w:sz="4" w:space="0" w:color="0055A0"/>
              <w:bottom w:val="nil"/>
              <w:right w:val="single" w:sz="4" w:space="0" w:color="0055A0"/>
            </w:tcBorders>
            <w:hideMark/>
          </w:tcPr>
          <w:p w14:paraId="0501AACC"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40</w:t>
            </w:r>
          </w:p>
        </w:tc>
        <w:tc>
          <w:tcPr>
            <w:tcW w:w="598" w:type="pct"/>
            <w:tcBorders>
              <w:top w:val="nil"/>
              <w:left w:val="single" w:sz="4" w:space="0" w:color="0055A0"/>
              <w:bottom w:val="nil"/>
              <w:right w:val="single" w:sz="4" w:space="0" w:color="0055A0"/>
            </w:tcBorders>
            <w:hideMark/>
          </w:tcPr>
          <w:p w14:paraId="2C020F6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40</w:t>
            </w:r>
          </w:p>
        </w:tc>
        <w:tc>
          <w:tcPr>
            <w:tcW w:w="598" w:type="pct"/>
            <w:tcBorders>
              <w:top w:val="nil"/>
              <w:left w:val="single" w:sz="4" w:space="0" w:color="0055A0"/>
              <w:bottom w:val="nil"/>
              <w:right w:val="single" w:sz="4" w:space="0" w:color="0055A0"/>
            </w:tcBorders>
            <w:hideMark/>
          </w:tcPr>
          <w:p w14:paraId="6614C9B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40</w:t>
            </w:r>
          </w:p>
        </w:tc>
        <w:tc>
          <w:tcPr>
            <w:tcW w:w="598" w:type="pct"/>
            <w:tcBorders>
              <w:top w:val="nil"/>
              <w:left w:val="single" w:sz="4" w:space="0" w:color="0055A0"/>
              <w:bottom w:val="nil"/>
              <w:right w:val="single" w:sz="4" w:space="0" w:color="0055A0"/>
            </w:tcBorders>
            <w:hideMark/>
          </w:tcPr>
          <w:p w14:paraId="468B444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40</w:t>
            </w:r>
          </w:p>
        </w:tc>
        <w:tc>
          <w:tcPr>
            <w:tcW w:w="598" w:type="pct"/>
            <w:tcBorders>
              <w:top w:val="nil"/>
              <w:left w:val="single" w:sz="4" w:space="0" w:color="0055A0"/>
              <w:bottom w:val="nil"/>
              <w:right w:val="single" w:sz="4" w:space="0" w:color="0055A0"/>
            </w:tcBorders>
            <w:hideMark/>
          </w:tcPr>
          <w:p w14:paraId="67C7269E"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20</w:t>
            </w:r>
          </w:p>
        </w:tc>
        <w:tc>
          <w:tcPr>
            <w:tcW w:w="598" w:type="pct"/>
            <w:tcBorders>
              <w:top w:val="nil"/>
              <w:left w:val="single" w:sz="4" w:space="0" w:color="0055A0"/>
              <w:bottom w:val="nil"/>
              <w:right w:val="single" w:sz="4" w:space="0" w:color="0055A0"/>
            </w:tcBorders>
            <w:hideMark/>
          </w:tcPr>
          <w:p w14:paraId="5E215888"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20</w:t>
            </w:r>
          </w:p>
        </w:tc>
      </w:tr>
      <w:tr w:rsidR="004D45F1" w14:paraId="10437448"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178BB5F6"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General correspondence and advice (days)</w:t>
            </w:r>
          </w:p>
        </w:tc>
        <w:tc>
          <w:tcPr>
            <w:tcW w:w="515" w:type="pct"/>
            <w:tcBorders>
              <w:top w:val="nil"/>
              <w:bottom w:val="nil"/>
            </w:tcBorders>
            <w:hideMark/>
          </w:tcPr>
          <w:p w14:paraId="65D056B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tcBorders>
            <w:hideMark/>
          </w:tcPr>
          <w:p w14:paraId="049B74BD"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tcBorders>
            <w:hideMark/>
          </w:tcPr>
          <w:p w14:paraId="5ADA2A5C"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tcBorders>
            <w:hideMark/>
          </w:tcPr>
          <w:p w14:paraId="7E97F1F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tcBorders>
            <w:hideMark/>
          </w:tcPr>
          <w:p w14:paraId="262BB70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tcBorders>
            <w:hideMark/>
          </w:tcPr>
          <w:p w14:paraId="761956E4"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bottom w:val="nil"/>
              <w:right w:val="single" w:sz="4" w:space="0" w:color="0055A0"/>
            </w:tcBorders>
            <w:hideMark/>
          </w:tcPr>
          <w:p w14:paraId="4527506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r>
      <w:tr w:rsidR="004D45F1" w14:paraId="1DFA2D20"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06D095DF"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Ensuring data security and data protection (days)</w:t>
            </w:r>
          </w:p>
        </w:tc>
        <w:tc>
          <w:tcPr>
            <w:tcW w:w="515" w:type="pct"/>
            <w:tcBorders>
              <w:top w:val="nil"/>
              <w:left w:val="single" w:sz="4" w:space="0" w:color="0055A0"/>
              <w:bottom w:val="nil"/>
              <w:right w:val="single" w:sz="4" w:space="0" w:color="0055A0"/>
            </w:tcBorders>
            <w:hideMark/>
          </w:tcPr>
          <w:p w14:paraId="0B1249D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19</w:t>
            </w:r>
          </w:p>
        </w:tc>
        <w:tc>
          <w:tcPr>
            <w:tcW w:w="598" w:type="pct"/>
            <w:tcBorders>
              <w:top w:val="nil"/>
              <w:left w:val="single" w:sz="4" w:space="0" w:color="0055A0"/>
              <w:bottom w:val="nil"/>
              <w:right w:val="single" w:sz="4" w:space="0" w:color="0055A0"/>
            </w:tcBorders>
            <w:hideMark/>
          </w:tcPr>
          <w:p w14:paraId="57A71E3C"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24</w:t>
            </w:r>
          </w:p>
        </w:tc>
        <w:tc>
          <w:tcPr>
            <w:tcW w:w="598" w:type="pct"/>
            <w:tcBorders>
              <w:top w:val="nil"/>
              <w:left w:val="single" w:sz="4" w:space="0" w:color="0055A0"/>
              <w:bottom w:val="nil"/>
              <w:right w:val="single" w:sz="4" w:space="0" w:color="0055A0"/>
            </w:tcBorders>
            <w:hideMark/>
          </w:tcPr>
          <w:p w14:paraId="413FC3EE"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28</w:t>
            </w:r>
          </w:p>
        </w:tc>
        <w:tc>
          <w:tcPr>
            <w:tcW w:w="598" w:type="pct"/>
            <w:tcBorders>
              <w:top w:val="nil"/>
              <w:left w:val="single" w:sz="4" w:space="0" w:color="0055A0"/>
              <w:bottom w:val="nil"/>
              <w:right w:val="single" w:sz="4" w:space="0" w:color="0055A0"/>
            </w:tcBorders>
            <w:hideMark/>
          </w:tcPr>
          <w:p w14:paraId="464C5D0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28</w:t>
            </w:r>
          </w:p>
        </w:tc>
        <w:tc>
          <w:tcPr>
            <w:tcW w:w="598" w:type="pct"/>
            <w:tcBorders>
              <w:top w:val="nil"/>
              <w:left w:val="single" w:sz="4" w:space="0" w:color="0055A0"/>
              <w:bottom w:val="nil"/>
              <w:right w:val="single" w:sz="4" w:space="0" w:color="0055A0"/>
            </w:tcBorders>
            <w:hideMark/>
          </w:tcPr>
          <w:p w14:paraId="7A9987AB"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28</w:t>
            </w:r>
          </w:p>
        </w:tc>
        <w:tc>
          <w:tcPr>
            <w:tcW w:w="598" w:type="pct"/>
            <w:tcBorders>
              <w:top w:val="nil"/>
              <w:left w:val="single" w:sz="4" w:space="0" w:color="0055A0"/>
              <w:bottom w:val="nil"/>
              <w:right w:val="single" w:sz="4" w:space="0" w:color="0055A0"/>
            </w:tcBorders>
            <w:hideMark/>
          </w:tcPr>
          <w:p w14:paraId="6EF698D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28</w:t>
            </w:r>
          </w:p>
        </w:tc>
        <w:tc>
          <w:tcPr>
            <w:tcW w:w="598" w:type="pct"/>
            <w:tcBorders>
              <w:top w:val="nil"/>
              <w:left w:val="single" w:sz="4" w:space="0" w:color="0055A0"/>
              <w:bottom w:val="nil"/>
              <w:right w:val="single" w:sz="4" w:space="0" w:color="0055A0"/>
            </w:tcBorders>
            <w:hideMark/>
          </w:tcPr>
          <w:p w14:paraId="055160C6"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28</w:t>
            </w:r>
          </w:p>
        </w:tc>
      </w:tr>
      <w:tr w:rsidR="004D45F1" w14:paraId="2F91DDB3"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21A1EA03"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Outreach activities (meetings and brochures) (days)</w:t>
            </w:r>
          </w:p>
        </w:tc>
        <w:tc>
          <w:tcPr>
            <w:tcW w:w="515" w:type="pct"/>
            <w:tcBorders>
              <w:top w:val="nil"/>
              <w:bottom w:val="nil"/>
            </w:tcBorders>
            <w:hideMark/>
          </w:tcPr>
          <w:p w14:paraId="5B9B303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tcBorders>
            <w:hideMark/>
          </w:tcPr>
          <w:p w14:paraId="6B95472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tcBorders>
            <w:hideMark/>
          </w:tcPr>
          <w:p w14:paraId="58D7A491"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tcBorders>
            <w:hideMark/>
          </w:tcPr>
          <w:p w14:paraId="63D1433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tcBorders>
            <w:hideMark/>
          </w:tcPr>
          <w:p w14:paraId="6E0B739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tcBorders>
            <w:hideMark/>
          </w:tcPr>
          <w:p w14:paraId="485E119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c>
          <w:tcPr>
            <w:tcW w:w="598" w:type="pct"/>
            <w:tcBorders>
              <w:top w:val="nil"/>
              <w:bottom w:val="nil"/>
              <w:right w:val="single" w:sz="4" w:space="0" w:color="0055A0"/>
            </w:tcBorders>
            <w:hideMark/>
          </w:tcPr>
          <w:p w14:paraId="5BD5AE70"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11</w:t>
            </w:r>
          </w:p>
        </w:tc>
      </w:tr>
      <w:tr w:rsidR="004D45F1" w14:paraId="49BD272E"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09F2DBCC"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Assuring compliance in the Member States (days)</w:t>
            </w:r>
          </w:p>
        </w:tc>
        <w:tc>
          <w:tcPr>
            <w:tcW w:w="515" w:type="pct"/>
            <w:tcBorders>
              <w:top w:val="nil"/>
              <w:left w:val="single" w:sz="4" w:space="0" w:color="0055A0"/>
              <w:bottom w:val="nil"/>
              <w:right w:val="single" w:sz="4" w:space="0" w:color="0055A0"/>
            </w:tcBorders>
            <w:hideMark/>
          </w:tcPr>
          <w:p w14:paraId="44E6C45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64068C3A"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6A3E725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78B6968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0FB9A817"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6072355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c>
          <w:tcPr>
            <w:tcW w:w="598" w:type="pct"/>
            <w:tcBorders>
              <w:top w:val="nil"/>
              <w:left w:val="single" w:sz="4" w:space="0" w:color="0055A0"/>
              <w:bottom w:val="nil"/>
              <w:right w:val="single" w:sz="4" w:space="0" w:color="0055A0"/>
            </w:tcBorders>
            <w:hideMark/>
          </w:tcPr>
          <w:p w14:paraId="1874891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15</w:t>
            </w:r>
          </w:p>
        </w:tc>
      </w:tr>
      <w:tr w:rsidR="004D45F1" w14:paraId="6BAAA3B4"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7894DD09"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Providing access to documents (days)</w:t>
            </w:r>
          </w:p>
        </w:tc>
        <w:tc>
          <w:tcPr>
            <w:tcW w:w="515" w:type="pct"/>
            <w:tcBorders>
              <w:top w:val="nil"/>
              <w:bottom w:val="nil"/>
            </w:tcBorders>
            <w:hideMark/>
          </w:tcPr>
          <w:p w14:paraId="01F08D7F"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tcBorders>
            <w:hideMark/>
          </w:tcPr>
          <w:p w14:paraId="0470F1EB"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tcBorders>
            <w:hideMark/>
          </w:tcPr>
          <w:p w14:paraId="7BFD815D"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tcBorders>
            <w:hideMark/>
          </w:tcPr>
          <w:p w14:paraId="4758B813"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tcBorders>
            <w:hideMark/>
          </w:tcPr>
          <w:p w14:paraId="319A7FCE"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tcBorders>
            <w:hideMark/>
          </w:tcPr>
          <w:p w14:paraId="0F25BF9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c>
          <w:tcPr>
            <w:tcW w:w="598" w:type="pct"/>
            <w:tcBorders>
              <w:top w:val="nil"/>
              <w:bottom w:val="nil"/>
              <w:right w:val="single" w:sz="4" w:space="0" w:color="0055A0"/>
            </w:tcBorders>
            <w:hideMark/>
          </w:tcPr>
          <w:p w14:paraId="36335E05" w14:textId="77777777" w:rsidR="004D45F1" w:rsidRDefault="004D45F1">
            <w:pPr>
              <w:jc w:val="center"/>
              <w:rPr>
                <w:rFonts w:cs="Arial"/>
                <w:noProof/>
                <w:sz w:val="18"/>
                <w:szCs w:val="18"/>
                <w:lang w:val="en-GB" w:eastAsia="en-GB"/>
              </w:rPr>
            </w:pPr>
            <w:r>
              <w:rPr>
                <w:rFonts w:ascii="Calibri" w:hAnsi="Calibri" w:cs="Calibri"/>
                <w:noProof/>
                <w:color w:val="000000"/>
                <w:sz w:val="18"/>
                <w:szCs w:val="18"/>
                <w:lang w:val="en-GB" w:eastAsia="en-GB"/>
              </w:rPr>
              <w:t>14</w:t>
            </w:r>
          </w:p>
        </w:tc>
      </w:tr>
      <w:tr w:rsidR="004D45F1" w14:paraId="1050694E"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shd w:val="clear" w:color="auto" w:fill="FFF2CC"/>
            <w:hideMark/>
          </w:tcPr>
          <w:p w14:paraId="0C5731F2" w14:textId="77777777" w:rsidR="004D45F1" w:rsidRDefault="004D45F1">
            <w:pPr>
              <w:jc w:val="both"/>
              <w:rPr>
                <w:rFonts w:cs="Arial"/>
                <w:noProof/>
                <w:color w:val="000000"/>
                <w:sz w:val="18"/>
                <w:szCs w:val="18"/>
                <w:lang w:val="en-GB" w:eastAsia="en-GB"/>
              </w:rPr>
            </w:pPr>
            <w:r>
              <w:rPr>
                <w:rFonts w:cs="Arial"/>
                <w:b/>
                <w:bCs/>
                <w:noProof/>
                <w:sz w:val="18"/>
                <w:szCs w:val="18"/>
                <w:lang w:val="en-GB" w:eastAsia="en-GB"/>
              </w:rPr>
              <w:t>Total EC admin costs for categories expressed in EUR</w:t>
            </w:r>
          </w:p>
        </w:tc>
        <w:tc>
          <w:tcPr>
            <w:tcW w:w="515" w:type="pct"/>
            <w:tcBorders>
              <w:top w:val="nil"/>
              <w:left w:val="single" w:sz="4" w:space="0" w:color="0055A0"/>
              <w:bottom w:val="nil"/>
              <w:right w:val="single" w:sz="4" w:space="0" w:color="0055A0"/>
            </w:tcBorders>
            <w:shd w:val="clear" w:color="auto" w:fill="FFF2CC"/>
            <w:hideMark/>
          </w:tcPr>
          <w:p w14:paraId="0823C6A4"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213,950</w:t>
            </w:r>
          </w:p>
        </w:tc>
        <w:tc>
          <w:tcPr>
            <w:tcW w:w="598" w:type="pct"/>
            <w:tcBorders>
              <w:top w:val="nil"/>
              <w:left w:val="single" w:sz="4" w:space="0" w:color="0055A0"/>
              <w:bottom w:val="nil"/>
              <w:right w:val="single" w:sz="4" w:space="0" w:color="0055A0"/>
            </w:tcBorders>
            <w:shd w:val="clear" w:color="auto" w:fill="FFF2CC"/>
            <w:hideMark/>
          </w:tcPr>
          <w:p w14:paraId="5F883E1E"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258,375</w:t>
            </w:r>
          </w:p>
        </w:tc>
        <w:tc>
          <w:tcPr>
            <w:tcW w:w="598" w:type="pct"/>
            <w:tcBorders>
              <w:top w:val="nil"/>
              <w:left w:val="single" w:sz="4" w:space="0" w:color="0055A0"/>
              <w:bottom w:val="nil"/>
              <w:right w:val="single" w:sz="4" w:space="0" w:color="0055A0"/>
            </w:tcBorders>
            <w:shd w:val="clear" w:color="auto" w:fill="FFF2CC"/>
            <w:hideMark/>
          </w:tcPr>
          <w:p w14:paraId="08C3FC1D"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302,800</w:t>
            </w:r>
          </w:p>
        </w:tc>
        <w:tc>
          <w:tcPr>
            <w:tcW w:w="598" w:type="pct"/>
            <w:tcBorders>
              <w:top w:val="nil"/>
              <w:left w:val="single" w:sz="4" w:space="0" w:color="0055A0"/>
              <w:bottom w:val="nil"/>
              <w:right w:val="single" w:sz="4" w:space="0" w:color="0055A0"/>
            </w:tcBorders>
            <w:shd w:val="clear" w:color="auto" w:fill="FFF2CC"/>
            <w:hideMark/>
          </w:tcPr>
          <w:p w14:paraId="61AB97A2"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302,800</w:t>
            </w:r>
          </w:p>
        </w:tc>
        <w:tc>
          <w:tcPr>
            <w:tcW w:w="598" w:type="pct"/>
            <w:tcBorders>
              <w:top w:val="nil"/>
              <w:left w:val="single" w:sz="4" w:space="0" w:color="0055A0"/>
              <w:bottom w:val="nil"/>
              <w:right w:val="single" w:sz="4" w:space="0" w:color="0055A0"/>
            </w:tcBorders>
            <w:shd w:val="clear" w:color="auto" w:fill="FFF2CC"/>
            <w:hideMark/>
          </w:tcPr>
          <w:p w14:paraId="0EE51D69"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302,800</w:t>
            </w:r>
          </w:p>
        </w:tc>
        <w:tc>
          <w:tcPr>
            <w:tcW w:w="598" w:type="pct"/>
            <w:tcBorders>
              <w:top w:val="nil"/>
              <w:left w:val="single" w:sz="4" w:space="0" w:color="0055A0"/>
              <w:bottom w:val="nil"/>
              <w:right w:val="single" w:sz="4" w:space="0" w:color="0055A0"/>
            </w:tcBorders>
            <w:shd w:val="clear" w:color="auto" w:fill="FFF2CC"/>
            <w:hideMark/>
          </w:tcPr>
          <w:p w14:paraId="06A60CC8"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302,800</w:t>
            </w:r>
          </w:p>
        </w:tc>
        <w:tc>
          <w:tcPr>
            <w:tcW w:w="598" w:type="pct"/>
            <w:tcBorders>
              <w:top w:val="nil"/>
              <w:left w:val="single" w:sz="4" w:space="0" w:color="0055A0"/>
              <w:bottom w:val="nil"/>
              <w:right w:val="single" w:sz="4" w:space="0" w:color="0055A0"/>
            </w:tcBorders>
            <w:shd w:val="clear" w:color="auto" w:fill="FFF2CC"/>
            <w:hideMark/>
          </w:tcPr>
          <w:p w14:paraId="2B44FAA6" w14:textId="77777777" w:rsidR="004D45F1" w:rsidRDefault="004D45F1">
            <w:pPr>
              <w:jc w:val="center"/>
              <w:rPr>
                <w:rFonts w:cs="Arial"/>
                <w:b/>
                <w:bCs/>
                <w:noProof/>
                <w:sz w:val="18"/>
                <w:szCs w:val="18"/>
                <w:lang w:val="en-GB" w:eastAsia="en-GB"/>
              </w:rPr>
            </w:pPr>
            <w:r>
              <w:rPr>
                <w:rFonts w:cs="Arial"/>
                <w:b/>
                <w:bCs/>
                <w:noProof/>
                <w:sz w:val="18"/>
                <w:szCs w:val="18"/>
                <w:lang w:val="en-GB" w:eastAsia="en-GB"/>
              </w:rPr>
              <w:t>302,800</w:t>
            </w:r>
          </w:p>
        </w:tc>
      </w:tr>
      <w:tr w:rsidR="004D45F1" w14:paraId="34C4318C"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77E4953F"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IT implementation costs (EUR)</w:t>
            </w:r>
          </w:p>
        </w:tc>
        <w:tc>
          <w:tcPr>
            <w:tcW w:w="515" w:type="pct"/>
            <w:tcBorders>
              <w:top w:val="nil"/>
              <w:bottom w:val="nil"/>
            </w:tcBorders>
            <w:hideMark/>
          </w:tcPr>
          <w:p w14:paraId="173E8FC5"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tcBorders>
            <w:hideMark/>
          </w:tcPr>
          <w:p w14:paraId="561E3209"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tcBorders>
            <w:hideMark/>
          </w:tcPr>
          <w:p w14:paraId="5F726952"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tcBorders>
            <w:hideMark/>
          </w:tcPr>
          <w:p w14:paraId="433F57C4"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tcBorders>
            <w:hideMark/>
          </w:tcPr>
          <w:p w14:paraId="7016C009"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tcBorders>
            <w:hideMark/>
          </w:tcPr>
          <w:p w14:paraId="33D1FE33"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c>
          <w:tcPr>
            <w:tcW w:w="598" w:type="pct"/>
            <w:tcBorders>
              <w:top w:val="nil"/>
              <w:bottom w:val="nil"/>
              <w:right w:val="single" w:sz="4" w:space="0" w:color="0055A0"/>
            </w:tcBorders>
            <w:hideMark/>
          </w:tcPr>
          <w:p w14:paraId="1A11B7C8" w14:textId="77777777" w:rsidR="004D45F1" w:rsidRDefault="004D45F1">
            <w:pPr>
              <w:jc w:val="center"/>
              <w:rPr>
                <w:rFonts w:cs="Arial"/>
                <w:noProof/>
                <w:sz w:val="18"/>
                <w:szCs w:val="18"/>
                <w:lang w:val="en-GB" w:eastAsia="en-GB"/>
              </w:rPr>
            </w:pPr>
            <w:r>
              <w:rPr>
                <w:rFonts w:cs="Arial"/>
                <w:noProof/>
                <w:sz w:val="18"/>
                <w:szCs w:val="18"/>
                <w:lang w:val="en-GB" w:eastAsia="en-GB"/>
              </w:rPr>
              <w:t>177,700</w:t>
            </w:r>
          </w:p>
        </w:tc>
      </w:tr>
      <w:tr w:rsidR="004D45F1" w14:paraId="7B72864D"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65ADA30C" w14:textId="77777777" w:rsidR="004D45F1" w:rsidRDefault="004D45F1">
            <w:pPr>
              <w:jc w:val="both"/>
              <w:rPr>
                <w:rFonts w:cs="Arial"/>
                <w:noProof/>
                <w:color w:val="000000"/>
                <w:sz w:val="18"/>
                <w:szCs w:val="18"/>
                <w:lang w:val="en-GB" w:eastAsia="en-GB"/>
              </w:rPr>
            </w:pPr>
            <w:r>
              <w:rPr>
                <w:rFonts w:cs="Arial"/>
                <w:noProof/>
                <w:color w:val="000000"/>
                <w:sz w:val="18"/>
                <w:szCs w:val="18"/>
                <w:lang w:val="en-GB" w:eastAsia="en-GB"/>
              </w:rPr>
              <w:t>External support (EUR)</w:t>
            </w:r>
          </w:p>
        </w:tc>
        <w:tc>
          <w:tcPr>
            <w:tcW w:w="515" w:type="pct"/>
            <w:tcBorders>
              <w:top w:val="nil"/>
              <w:left w:val="single" w:sz="4" w:space="0" w:color="0055A0"/>
              <w:bottom w:val="nil"/>
              <w:right w:val="single" w:sz="4" w:space="0" w:color="0055A0"/>
            </w:tcBorders>
            <w:hideMark/>
          </w:tcPr>
          <w:p w14:paraId="5154DF5F"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400A1B73"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5ECBDFBF"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4E537B7A"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73B4D008"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7A9DC581"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c>
          <w:tcPr>
            <w:tcW w:w="598" w:type="pct"/>
            <w:tcBorders>
              <w:top w:val="nil"/>
              <w:left w:val="single" w:sz="4" w:space="0" w:color="0055A0"/>
              <w:bottom w:val="nil"/>
              <w:right w:val="single" w:sz="4" w:space="0" w:color="0055A0"/>
            </w:tcBorders>
            <w:hideMark/>
          </w:tcPr>
          <w:p w14:paraId="11AED6C9" w14:textId="77777777" w:rsidR="004D45F1" w:rsidRDefault="004D45F1">
            <w:pPr>
              <w:jc w:val="center"/>
              <w:rPr>
                <w:rFonts w:cs="Arial"/>
                <w:noProof/>
                <w:sz w:val="18"/>
                <w:szCs w:val="18"/>
                <w:lang w:val="en-GB" w:eastAsia="en-GB"/>
              </w:rPr>
            </w:pPr>
            <w:r>
              <w:rPr>
                <w:rFonts w:cs="Arial"/>
                <w:noProof/>
                <w:sz w:val="18"/>
                <w:szCs w:val="18"/>
                <w:lang w:val="en-GB" w:eastAsia="en-GB"/>
              </w:rPr>
              <w:t>36,250</w:t>
            </w:r>
          </w:p>
        </w:tc>
      </w:tr>
      <w:tr w:rsidR="004D45F1" w14:paraId="0BCE829D" w14:textId="77777777" w:rsidTr="004D45F1">
        <w:trPr>
          <w:cnfStyle w:val="000000010000" w:firstRow="0" w:lastRow="0" w:firstColumn="0" w:lastColumn="0" w:oddVBand="0" w:evenVBand="0" w:oddHBand="0" w:evenHBand="1" w:firstRowFirstColumn="0" w:firstRowLastColumn="0" w:lastRowFirstColumn="0" w:lastRowLastColumn="0"/>
        </w:trPr>
        <w:tc>
          <w:tcPr>
            <w:tcW w:w="5000" w:type="pct"/>
            <w:gridSpan w:val="8"/>
            <w:tcBorders>
              <w:top w:val="nil"/>
              <w:left w:val="single" w:sz="4" w:space="0" w:color="0055A0"/>
              <w:bottom w:val="nil"/>
              <w:right w:val="single" w:sz="4" w:space="0" w:color="0055A0"/>
            </w:tcBorders>
            <w:shd w:val="clear" w:color="auto" w:fill="FFE599"/>
            <w:hideMark/>
          </w:tcPr>
          <w:p w14:paraId="73973B65" w14:textId="77777777" w:rsidR="004D45F1" w:rsidRDefault="004D45F1">
            <w:pPr>
              <w:jc w:val="both"/>
              <w:rPr>
                <w:rFonts w:cs="Arial"/>
                <w:noProof/>
                <w:sz w:val="18"/>
                <w:szCs w:val="18"/>
                <w:lang w:val="en-GB" w:eastAsia="en-GB"/>
              </w:rPr>
            </w:pPr>
            <w:r>
              <w:rPr>
                <w:rFonts w:cs="Arial"/>
                <w:b/>
                <w:bCs/>
                <w:noProof/>
                <w:sz w:val="18"/>
                <w:szCs w:val="18"/>
                <w:lang w:val="en-GB" w:eastAsia="en-GB"/>
              </w:rPr>
              <w:t>Admin costs to EEA</w:t>
            </w:r>
            <w:r>
              <w:rPr>
                <w:noProof/>
                <w:vertAlign w:val="superscript"/>
              </w:rPr>
              <w:footnoteReference w:id="113"/>
            </w:r>
            <w:r>
              <w:rPr>
                <w:rFonts w:cs="Arial"/>
                <w:b/>
                <w:bCs/>
                <w:noProof/>
                <w:sz w:val="18"/>
                <w:szCs w:val="18"/>
                <w:lang w:val="en-GB" w:eastAsia="en-GB"/>
              </w:rPr>
              <w:t>159,163</w:t>
            </w:r>
          </w:p>
        </w:tc>
      </w:tr>
      <w:tr w:rsidR="004D45F1" w14:paraId="4B687E4E"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hideMark/>
          </w:tcPr>
          <w:p w14:paraId="0C756A53" w14:textId="77777777" w:rsidR="004D45F1" w:rsidRDefault="004D45F1">
            <w:pPr>
              <w:jc w:val="both"/>
              <w:rPr>
                <w:rFonts w:cs="Arial"/>
                <w:b/>
                <w:bCs/>
                <w:noProof/>
                <w:sz w:val="18"/>
                <w:szCs w:val="18"/>
                <w:lang w:val="en-GB" w:eastAsia="en-GB"/>
              </w:rPr>
            </w:pPr>
            <w:r>
              <w:rPr>
                <w:rFonts w:cs="Arial"/>
                <w:noProof/>
                <w:sz w:val="18"/>
                <w:szCs w:val="18"/>
                <w:lang w:val="en-GB" w:eastAsia="en-GB"/>
              </w:rPr>
              <w:t>In house thematic project management (€)</w:t>
            </w:r>
          </w:p>
        </w:tc>
        <w:tc>
          <w:tcPr>
            <w:tcW w:w="515" w:type="pct"/>
            <w:tcBorders>
              <w:top w:val="nil"/>
              <w:left w:val="single" w:sz="4" w:space="0" w:color="0055A0"/>
              <w:bottom w:val="nil"/>
              <w:right w:val="single" w:sz="4" w:space="0" w:color="0055A0"/>
            </w:tcBorders>
            <w:hideMark/>
          </w:tcPr>
          <w:p w14:paraId="0F7CA8DA" w14:textId="77777777" w:rsidR="004D45F1" w:rsidRDefault="004D45F1">
            <w:pPr>
              <w:jc w:val="center"/>
              <w:rPr>
                <w:rFonts w:cs="Arial"/>
                <w:b/>
                <w:bCs/>
                <w:noProof/>
                <w:sz w:val="18"/>
                <w:szCs w:val="18"/>
                <w:lang w:val="en-GB" w:eastAsia="en-GB"/>
              </w:rPr>
            </w:pPr>
            <w:r>
              <w:rPr>
                <w:rFonts w:cs="Arial"/>
                <w:noProof/>
                <w:sz w:val="18"/>
                <w:szCs w:val="18"/>
                <w:lang w:val="en-GB" w:eastAsia="en-GB"/>
              </w:rPr>
              <w:t>142</w:t>
            </w:r>
          </w:p>
        </w:tc>
        <w:tc>
          <w:tcPr>
            <w:tcW w:w="598" w:type="pct"/>
            <w:tcBorders>
              <w:top w:val="nil"/>
              <w:left w:val="single" w:sz="4" w:space="0" w:color="0055A0"/>
              <w:bottom w:val="nil"/>
              <w:right w:val="single" w:sz="4" w:space="0" w:color="0055A0"/>
            </w:tcBorders>
            <w:hideMark/>
          </w:tcPr>
          <w:p w14:paraId="3C667D9A" w14:textId="77777777" w:rsidR="004D45F1" w:rsidRDefault="004D45F1">
            <w:pPr>
              <w:jc w:val="center"/>
              <w:rPr>
                <w:rFonts w:cs="Arial"/>
                <w:b/>
                <w:bCs/>
                <w:noProof/>
                <w:sz w:val="18"/>
                <w:szCs w:val="18"/>
                <w:lang w:val="en-GB" w:eastAsia="en-GB"/>
              </w:rPr>
            </w:pPr>
            <w:r>
              <w:rPr>
                <w:rFonts w:cs="Arial"/>
                <w:noProof/>
                <w:sz w:val="18"/>
                <w:szCs w:val="18"/>
                <w:lang w:val="en-GB" w:eastAsia="en-GB"/>
              </w:rPr>
              <w:t>160</w:t>
            </w:r>
          </w:p>
        </w:tc>
        <w:tc>
          <w:tcPr>
            <w:tcW w:w="598" w:type="pct"/>
            <w:tcBorders>
              <w:top w:val="nil"/>
              <w:left w:val="single" w:sz="4" w:space="0" w:color="0055A0"/>
              <w:bottom w:val="nil"/>
              <w:right w:val="single" w:sz="4" w:space="0" w:color="0055A0"/>
            </w:tcBorders>
            <w:hideMark/>
          </w:tcPr>
          <w:p w14:paraId="42ED3E95" w14:textId="77777777" w:rsidR="004D45F1" w:rsidRDefault="004D45F1">
            <w:pPr>
              <w:jc w:val="center"/>
              <w:rPr>
                <w:rFonts w:cs="Arial"/>
                <w:b/>
                <w:bCs/>
                <w:noProof/>
                <w:sz w:val="18"/>
                <w:szCs w:val="18"/>
                <w:lang w:val="en-GB" w:eastAsia="en-GB"/>
              </w:rPr>
            </w:pPr>
            <w:r>
              <w:rPr>
                <w:rFonts w:cs="Arial"/>
                <w:noProof/>
                <w:sz w:val="18"/>
                <w:szCs w:val="18"/>
                <w:lang w:val="en-GB" w:eastAsia="en-GB"/>
              </w:rPr>
              <w:t>178</w:t>
            </w:r>
          </w:p>
        </w:tc>
        <w:tc>
          <w:tcPr>
            <w:tcW w:w="598" w:type="pct"/>
            <w:tcBorders>
              <w:top w:val="nil"/>
              <w:left w:val="single" w:sz="4" w:space="0" w:color="0055A0"/>
              <w:bottom w:val="nil"/>
              <w:right w:val="single" w:sz="4" w:space="0" w:color="0055A0"/>
            </w:tcBorders>
            <w:hideMark/>
          </w:tcPr>
          <w:p w14:paraId="2286B877" w14:textId="77777777" w:rsidR="004D45F1" w:rsidRDefault="004D45F1">
            <w:pPr>
              <w:jc w:val="center"/>
              <w:rPr>
                <w:rFonts w:cs="Arial"/>
                <w:b/>
                <w:bCs/>
                <w:noProof/>
                <w:sz w:val="18"/>
                <w:szCs w:val="18"/>
                <w:lang w:val="en-GB" w:eastAsia="en-GB"/>
              </w:rPr>
            </w:pPr>
            <w:r>
              <w:rPr>
                <w:rFonts w:cs="Arial"/>
                <w:noProof/>
                <w:sz w:val="18"/>
                <w:szCs w:val="18"/>
                <w:lang w:val="en-GB" w:eastAsia="en-GB"/>
              </w:rPr>
              <w:t>178</w:t>
            </w:r>
          </w:p>
        </w:tc>
        <w:tc>
          <w:tcPr>
            <w:tcW w:w="598" w:type="pct"/>
            <w:tcBorders>
              <w:top w:val="nil"/>
              <w:left w:val="single" w:sz="4" w:space="0" w:color="0055A0"/>
              <w:bottom w:val="nil"/>
              <w:right w:val="single" w:sz="4" w:space="0" w:color="0055A0"/>
            </w:tcBorders>
            <w:hideMark/>
          </w:tcPr>
          <w:p w14:paraId="255F7B02" w14:textId="77777777" w:rsidR="004D45F1" w:rsidRDefault="004D45F1">
            <w:pPr>
              <w:jc w:val="center"/>
              <w:rPr>
                <w:rFonts w:cs="Arial"/>
                <w:b/>
                <w:bCs/>
                <w:noProof/>
                <w:sz w:val="18"/>
                <w:szCs w:val="18"/>
                <w:lang w:val="en-GB" w:eastAsia="en-GB"/>
              </w:rPr>
            </w:pPr>
            <w:r>
              <w:rPr>
                <w:rFonts w:cs="Arial"/>
                <w:noProof/>
                <w:sz w:val="18"/>
                <w:szCs w:val="18"/>
                <w:lang w:val="en-GB" w:eastAsia="en-GB"/>
              </w:rPr>
              <w:t>178</w:t>
            </w:r>
          </w:p>
        </w:tc>
        <w:tc>
          <w:tcPr>
            <w:tcW w:w="598" w:type="pct"/>
            <w:tcBorders>
              <w:top w:val="nil"/>
              <w:left w:val="single" w:sz="4" w:space="0" w:color="0055A0"/>
              <w:bottom w:val="nil"/>
              <w:right w:val="single" w:sz="4" w:space="0" w:color="0055A0"/>
            </w:tcBorders>
            <w:hideMark/>
          </w:tcPr>
          <w:p w14:paraId="5AFEC408" w14:textId="77777777" w:rsidR="004D45F1" w:rsidRDefault="004D45F1">
            <w:pPr>
              <w:jc w:val="center"/>
              <w:rPr>
                <w:rFonts w:cs="Arial"/>
                <w:b/>
                <w:bCs/>
                <w:noProof/>
                <w:sz w:val="18"/>
                <w:szCs w:val="18"/>
                <w:lang w:val="en-GB" w:eastAsia="en-GB"/>
              </w:rPr>
            </w:pPr>
            <w:r>
              <w:rPr>
                <w:rFonts w:cs="Arial"/>
                <w:noProof/>
                <w:sz w:val="18"/>
                <w:szCs w:val="18"/>
                <w:lang w:val="en-GB" w:eastAsia="en-GB"/>
              </w:rPr>
              <w:t>178</w:t>
            </w:r>
          </w:p>
        </w:tc>
        <w:tc>
          <w:tcPr>
            <w:tcW w:w="598" w:type="pct"/>
            <w:tcBorders>
              <w:top w:val="nil"/>
              <w:left w:val="single" w:sz="4" w:space="0" w:color="0055A0"/>
              <w:bottom w:val="nil"/>
              <w:right w:val="single" w:sz="4" w:space="0" w:color="0055A0"/>
            </w:tcBorders>
            <w:hideMark/>
          </w:tcPr>
          <w:p w14:paraId="7AB34B9B" w14:textId="77777777" w:rsidR="004D45F1" w:rsidRDefault="004D45F1">
            <w:pPr>
              <w:jc w:val="center"/>
              <w:rPr>
                <w:rFonts w:cs="Arial"/>
                <w:b/>
                <w:bCs/>
                <w:noProof/>
                <w:sz w:val="18"/>
                <w:szCs w:val="18"/>
                <w:lang w:val="en-GB" w:eastAsia="en-GB"/>
              </w:rPr>
            </w:pPr>
            <w:r>
              <w:rPr>
                <w:rFonts w:cs="Arial"/>
                <w:noProof/>
                <w:sz w:val="18"/>
                <w:szCs w:val="18"/>
                <w:lang w:val="en-GB" w:eastAsia="en-GB"/>
              </w:rPr>
              <w:t>178</w:t>
            </w:r>
          </w:p>
        </w:tc>
      </w:tr>
      <w:tr w:rsidR="004D45F1" w14:paraId="76BB8982"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hideMark/>
          </w:tcPr>
          <w:p w14:paraId="02C26010" w14:textId="77777777" w:rsidR="004D45F1" w:rsidRDefault="004D45F1">
            <w:pPr>
              <w:jc w:val="both"/>
              <w:rPr>
                <w:rFonts w:cs="Arial"/>
                <w:noProof/>
                <w:sz w:val="18"/>
                <w:szCs w:val="18"/>
                <w:lang w:val="en-GB" w:eastAsia="en-GB"/>
              </w:rPr>
            </w:pPr>
            <w:r>
              <w:rPr>
                <w:rFonts w:cs="Arial"/>
                <w:b/>
                <w:bCs/>
                <w:noProof/>
                <w:sz w:val="18"/>
                <w:szCs w:val="18"/>
                <w:lang w:val="en-GB" w:eastAsia="en-GB"/>
              </w:rPr>
              <w:t>Total EEA admin costs for categories expressed in EUR</w:t>
            </w:r>
          </w:p>
        </w:tc>
        <w:tc>
          <w:tcPr>
            <w:tcW w:w="515" w:type="pct"/>
            <w:tcBorders>
              <w:top w:val="nil"/>
              <w:bottom w:val="nil"/>
            </w:tcBorders>
            <w:hideMark/>
          </w:tcPr>
          <w:p w14:paraId="75EC0499"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116,450</w:t>
            </w:r>
          </w:p>
        </w:tc>
        <w:tc>
          <w:tcPr>
            <w:tcW w:w="598" w:type="pct"/>
            <w:tcBorders>
              <w:top w:val="nil"/>
              <w:bottom w:val="nil"/>
            </w:tcBorders>
            <w:hideMark/>
          </w:tcPr>
          <w:p w14:paraId="7A796A07"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111,600</w:t>
            </w:r>
          </w:p>
        </w:tc>
        <w:tc>
          <w:tcPr>
            <w:tcW w:w="598" w:type="pct"/>
            <w:tcBorders>
              <w:top w:val="nil"/>
              <w:bottom w:val="nil"/>
            </w:tcBorders>
            <w:hideMark/>
          </w:tcPr>
          <w:p w14:paraId="1EE57679"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116,563</w:t>
            </w:r>
          </w:p>
        </w:tc>
        <w:tc>
          <w:tcPr>
            <w:tcW w:w="598" w:type="pct"/>
            <w:tcBorders>
              <w:top w:val="nil"/>
              <w:bottom w:val="nil"/>
            </w:tcBorders>
            <w:hideMark/>
          </w:tcPr>
          <w:p w14:paraId="63FEB108"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116,563</w:t>
            </w:r>
          </w:p>
        </w:tc>
        <w:tc>
          <w:tcPr>
            <w:tcW w:w="598" w:type="pct"/>
            <w:tcBorders>
              <w:top w:val="nil"/>
              <w:bottom w:val="nil"/>
            </w:tcBorders>
            <w:hideMark/>
          </w:tcPr>
          <w:p w14:paraId="3CDA7F23"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116,563</w:t>
            </w:r>
          </w:p>
        </w:tc>
        <w:tc>
          <w:tcPr>
            <w:tcW w:w="598" w:type="pct"/>
            <w:tcBorders>
              <w:top w:val="nil"/>
              <w:bottom w:val="nil"/>
            </w:tcBorders>
            <w:hideMark/>
          </w:tcPr>
          <w:p w14:paraId="254C2587"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116,563</w:t>
            </w:r>
          </w:p>
        </w:tc>
        <w:tc>
          <w:tcPr>
            <w:tcW w:w="598" w:type="pct"/>
            <w:tcBorders>
              <w:top w:val="nil"/>
              <w:bottom w:val="nil"/>
              <w:right w:val="single" w:sz="4" w:space="0" w:color="0055A0"/>
            </w:tcBorders>
            <w:hideMark/>
          </w:tcPr>
          <w:p w14:paraId="75486E47" w14:textId="77777777" w:rsidR="004D45F1" w:rsidRDefault="004D45F1">
            <w:pPr>
              <w:jc w:val="center"/>
              <w:rPr>
                <w:rFonts w:cs="Arial"/>
                <w:b/>
                <w:bCs/>
                <w:noProof/>
                <w:sz w:val="18"/>
                <w:szCs w:val="18"/>
                <w:lang w:val="en-GB" w:eastAsia="en-GB"/>
              </w:rPr>
            </w:pPr>
            <w:r>
              <w:rPr>
                <w:rFonts w:cs="Arial"/>
                <w:b/>
                <w:bCs/>
                <w:noProof/>
                <w:color w:val="000000"/>
                <w:sz w:val="18"/>
                <w:szCs w:val="18"/>
                <w:lang w:val="en-GB" w:eastAsia="en-GB"/>
              </w:rPr>
              <w:t>116,563</w:t>
            </w:r>
          </w:p>
        </w:tc>
      </w:tr>
      <w:tr w:rsidR="004D45F1" w14:paraId="01EB8810"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nil"/>
              <w:right w:val="single" w:sz="4" w:space="0" w:color="0055A0"/>
            </w:tcBorders>
            <w:vAlign w:val="bottom"/>
            <w:hideMark/>
          </w:tcPr>
          <w:p w14:paraId="139739D7"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European Topic Centre (EUR)</w:t>
            </w:r>
          </w:p>
        </w:tc>
        <w:tc>
          <w:tcPr>
            <w:tcW w:w="515" w:type="pct"/>
            <w:tcBorders>
              <w:top w:val="nil"/>
              <w:left w:val="single" w:sz="4" w:space="0" w:color="0055A0"/>
              <w:bottom w:val="nil"/>
              <w:right w:val="single" w:sz="4" w:space="0" w:color="0055A0"/>
            </w:tcBorders>
            <w:hideMark/>
          </w:tcPr>
          <w:p w14:paraId="2B929917"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39,700</w:t>
            </w:r>
          </w:p>
        </w:tc>
        <w:tc>
          <w:tcPr>
            <w:tcW w:w="598" w:type="pct"/>
            <w:tcBorders>
              <w:top w:val="nil"/>
              <w:left w:val="single" w:sz="4" w:space="0" w:color="0055A0"/>
              <w:bottom w:val="nil"/>
              <w:right w:val="single" w:sz="4" w:space="0" w:color="0055A0"/>
            </w:tcBorders>
            <w:hideMark/>
          </w:tcPr>
          <w:p w14:paraId="3207D2BC"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44,663</w:t>
            </w:r>
          </w:p>
        </w:tc>
        <w:tc>
          <w:tcPr>
            <w:tcW w:w="598" w:type="pct"/>
            <w:tcBorders>
              <w:top w:val="nil"/>
              <w:left w:val="single" w:sz="4" w:space="0" w:color="0055A0"/>
              <w:bottom w:val="nil"/>
              <w:right w:val="single" w:sz="4" w:space="0" w:color="0055A0"/>
            </w:tcBorders>
            <w:hideMark/>
          </w:tcPr>
          <w:p w14:paraId="712C45CB"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49,625</w:t>
            </w:r>
          </w:p>
        </w:tc>
        <w:tc>
          <w:tcPr>
            <w:tcW w:w="598" w:type="pct"/>
            <w:tcBorders>
              <w:top w:val="nil"/>
              <w:left w:val="single" w:sz="4" w:space="0" w:color="0055A0"/>
              <w:bottom w:val="nil"/>
              <w:right w:val="single" w:sz="4" w:space="0" w:color="0055A0"/>
            </w:tcBorders>
            <w:hideMark/>
          </w:tcPr>
          <w:p w14:paraId="4A7E723C"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49,625</w:t>
            </w:r>
          </w:p>
        </w:tc>
        <w:tc>
          <w:tcPr>
            <w:tcW w:w="598" w:type="pct"/>
            <w:tcBorders>
              <w:top w:val="nil"/>
              <w:left w:val="single" w:sz="4" w:space="0" w:color="0055A0"/>
              <w:bottom w:val="nil"/>
              <w:right w:val="single" w:sz="4" w:space="0" w:color="0055A0"/>
            </w:tcBorders>
            <w:hideMark/>
          </w:tcPr>
          <w:p w14:paraId="6FF13A71"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49,625</w:t>
            </w:r>
          </w:p>
        </w:tc>
        <w:tc>
          <w:tcPr>
            <w:tcW w:w="598" w:type="pct"/>
            <w:tcBorders>
              <w:top w:val="nil"/>
              <w:left w:val="single" w:sz="4" w:space="0" w:color="0055A0"/>
              <w:bottom w:val="nil"/>
              <w:right w:val="single" w:sz="4" w:space="0" w:color="0055A0"/>
            </w:tcBorders>
            <w:hideMark/>
          </w:tcPr>
          <w:p w14:paraId="145BE84E"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49,625</w:t>
            </w:r>
          </w:p>
        </w:tc>
        <w:tc>
          <w:tcPr>
            <w:tcW w:w="598" w:type="pct"/>
            <w:tcBorders>
              <w:top w:val="nil"/>
              <w:left w:val="single" w:sz="4" w:space="0" w:color="0055A0"/>
              <w:bottom w:val="nil"/>
              <w:right w:val="single" w:sz="4" w:space="0" w:color="0055A0"/>
            </w:tcBorders>
            <w:hideMark/>
          </w:tcPr>
          <w:p w14:paraId="24EBB781"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49,625</w:t>
            </w:r>
          </w:p>
        </w:tc>
      </w:tr>
      <w:tr w:rsidR="004D45F1" w14:paraId="5A940DC6" w14:textId="77777777" w:rsidTr="004D45F1">
        <w:trPr>
          <w:cnfStyle w:val="000000010000" w:firstRow="0" w:lastRow="0" w:firstColumn="0" w:lastColumn="0" w:oddVBand="0" w:evenVBand="0" w:oddHBand="0" w:evenHBand="1" w:firstRowFirstColumn="0" w:firstRowLastColumn="0" w:lastRowFirstColumn="0" w:lastRowLastColumn="0"/>
        </w:trPr>
        <w:tc>
          <w:tcPr>
            <w:tcW w:w="897" w:type="pct"/>
            <w:tcBorders>
              <w:top w:val="nil"/>
              <w:left w:val="single" w:sz="4" w:space="0" w:color="0055A0"/>
              <w:bottom w:val="nil"/>
            </w:tcBorders>
            <w:vAlign w:val="bottom"/>
            <w:hideMark/>
          </w:tcPr>
          <w:p w14:paraId="43CF8A21"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External IT consultancy support for ODS webform (EUR)</w:t>
            </w:r>
          </w:p>
        </w:tc>
        <w:tc>
          <w:tcPr>
            <w:tcW w:w="515" w:type="pct"/>
            <w:tcBorders>
              <w:top w:val="nil"/>
              <w:bottom w:val="nil"/>
            </w:tcBorders>
            <w:hideMark/>
          </w:tcPr>
          <w:p w14:paraId="0BF2F64D"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19,625</w:t>
            </w:r>
          </w:p>
        </w:tc>
        <w:tc>
          <w:tcPr>
            <w:tcW w:w="598" w:type="pct"/>
            <w:tcBorders>
              <w:top w:val="nil"/>
              <w:bottom w:val="nil"/>
            </w:tcBorders>
            <w:hideMark/>
          </w:tcPr>
          <w:p w14:paraId="02DF9815"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c>
          <w:tcPr>
            <w:tcW w:w="598" w:type="pct"/>
            <w:tcBorders>
              <w:top w:val="nil"/>
              <w:bottom w:val="nil"/>
            </w:tcBorders>
            <w:hideMark/>
          </w:tcPr>
          <w:p w14:paraId="56DA0245"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c>
          <w:tcPr>
            <w:tcW w:w="598" w:type="pct"/>
            <w:tcBorders>
              <w:top w:val="nil"/>
              <w:bottom w:val="nil"/>
            </w:tcBorders>
            <w:hideMark/>
          </w:tcPr>
          <w:p w14:paraId="0495E418"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c>
          <w:tcPr>
            <w:tcW w:w="598" w:type="pct"/>
            <w:tcBorders>
              <w:top w:val="nil"/>
              <w:bottom w:val="nil"/>
            </w:tcBorders>
            <w:hideMark/>
          </w:tcPr>
          <w:p w14:paraId="055C1ABB"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c>
          <w:tcPr>
            <w:tcW w:w="598" w:type="pct"/>
            <w:tcBorders>
              <w:top w:val="nil"/>
              <w:bottom w:val="nil"/>
            </w:tcBorders>
            <w:hideMark/>
          </w:tcPr>
          <w:p w14:paraId="397A1947"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c>
          <w:tcPr>
            <w:tcW w:w="598" w:type="pct"/>
            <w:tcBorders>
              <w:top w:val="nil"/>
              <w:bottom w:val="nil"/>
              <w:right w:val="single" w:sz="4" w:space="0" w:color="0055A0"/>
            </w:tcBorders>
            <w:hideMark/>
          </w:tcPr>
          <w:p w14:paraId="1C288C1E"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9,813</w:t>
            </w:r>
          </w:p>
        </w:tc>
      </w:tr>
      <w:tr w:rsidR="004D45F1" w14:paraId="769AC5D8" w14:textId="77777777" w:rsidTr="004D45F1">
        <w:trPr>
          <w:cnfStyle w:val="000000100000" w:firstRow="0" w:lastRow="0" w:firstColumn="0" w:lastColumn="0" w:oddVBand="0" w:evenVBand="0" w:oddHBand="1" w:evenHBand="0" w:firstRowFirstColumn="0" w:firstRowLastColumn="0" w:lastRowFirstColumn="0" w:lastRowLastColumn="0"/>
        </w:trPr>
        <w:tc>
          <w:tcPr>
            <w:tcW w:w="897" w:type="pct"/>
            <w:tcBorders>
              <w:top w:val="nil"/>
              <w:left w:val="single" w:sz="4" w:space="0" w:color="0055A0"/>
              <w:bottom w:val="single" w:sz="4" w:space="0" w:color="0055A0"/>
              <w:right w:val="single" w:sz="4" w:space="0" w:color="0055A0"/>
            </w:tcBorders>
            <w:vAlign w:val="bottom"/>
            <w:hideMark/>
          </w:tcPr>
          <w:p w14:paraId="7CE14B94" w14:textId="77777777" w:rsidR="004D45F1" w:rsidRDefault="004D45F1">
            <w:pPr>
              <w:jc w:val="both"/>
              <w:rPr>
                <w:rFonts w:cs="Arial"/>
                <w:noProof/>
                <w:sz w:val="18"/>
                <w:szCs w:val="18"/>
                <w:lang w:val="en-GB" w:eastAsia="en-GB"/>
              </w:rPr>
            </w:pPr>
            <w:r>
              <w:rPr>
                <w:rFonts w:cs="Arial"/>
                <w:noProof/>
                <w:color w:val="000000"/>
                <w:sz w:val="18"/>
                <w:szCs w:val="18"/>
                <w:lang w:val="en-GB" w:eastAsia="en-GB"/>
              </w:rPr>
              <w:t>External IT consultancy support for BDR development and maintenance (EUR)</w:t>
            </w:r>
          </w:p>
        </w:tc>
        <w:tc>
          <w:tcPr>
            <w:tcW w:w="515" w:type="pct"/>
            <w:tcBorders>
              <w:top w:val="nil"/>
              <w:left w:val="single" w:sz="4" w:space="0" w:color="0055A0"/>
              <w:bottom w:val="single" w:sz="4" w:space="0" w:color="0055A0"/>
              <w:right w:val="single" w:sz="4" w:space="0" w:color="0055A0"/>
            </w:tcBorders>
            <w:hideMark/>
          </w:tcPr>
          <w:p w14:paraId="6A1D671F"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050A01EF"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6BF8CFFD"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43501685"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727CBEA9"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36AB4B23"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c>
          <w:tcPr>
            <w:tcW w:w="598" w:type="pct"/>
            <w:tcBorders>
              <w:top w:val="nil"/>
              <w:left w:val="single" w:sz="4" w:space="0" w:color="0055A0"/>
              <w:bottom w:val="single" w:sz="4" w:space="0" w:color="0055A0"/>
              <w:right w:val="single" w:sz="4" w:space="0" w:color="0055A0"/>
            </w:tcBorders>
            <w:hideMark/>
          </w:tcPr>
          <w:p w14:paraId="646E4D5D" w14:textId="77777777" w:rsidR="004D45F1" w:rsidRDefault="004D45F1">
            <w:pPr>
              <w:jc w:val="center"/>
              <w:rPr>
                <w:rFonts w:cs="Arial"/>
                <w:noProof/>
                <w:sz w:val="18"/>
                <w:szCs w:val="18"/>
                <w:lang w:val="en-GB" w:eastAsia="en-GB"/>
              </w:rPr>
            </w:pPr>
            <w:r>
              <w:rPr>
                <w:rFonts w:cs="Arial"/>
                <w:noProof/>
                <w:color w:val="000000"/>
                <w:sz w:val="18"/>
                <w:szCs w:val="18"/>
                <w:lang w:val="en-GB" w:eastAsia="en-GB"/>
              </w:rPr>
              <w:t>57,125</w:t>
            </w:r>
          </w:p>
        </w:tc>
      </w:tr>
    </w:tbl>
    <w:p w14:paraId="2AA4E03D" w14:textId="77777777" w:rsidR="004D45F1" w:rsidRDefault="004D45F1" w:rsidP="004D45F1">
      <w:pPr>
        <w:spacing w:after="120"/>
        <w:jc w:val="both"/>
        <w:rPr>
          <w:rFonts w:ascii="Arial" w:eastAsia="Calibri" w:hAnsi="Arial" w:cs="Arial"/>
          <w:i/>
          <w:iCs/>
          <w:noProof/>
          <w:color w:val="808080"/>
          <w:sz w:val="18"/>
          <w:szCs w:val="20"/>
        </w:rPr>
      </w:pPr>
      <w:r>
        <w:rPr>
          <w:rFonts w:ascii="Arial" w:eastAsia="Calibri" w:hAnsi="Arial" w:cs="Arial"/>
          <w:i/>
          <w:iCs/>
          <w:noProof/>
          <w:color w:val="808080"/>
          <w:sz w:val="18"/>
          <w:szCs w:val="20"/>
        </w:rPr>
        <w:t>Source: Derivation from Tables III.7 - 13 in the ODS Evaluation</w:t>
      </w:r>
    </w:p>
    <w:p w14:paraId="123B45E0" w14:textId="77777777" w:rsidR="004D45F1" w:rsidRDefault="004D45F1" w:rsidP="004D45F1">
      <w:pPr>
        <w:keepNext/>
        <w:tabs>
          <w:tab w:val="num" w:pos="851"/>
        </w:tabs>
        <w:spacing w:before="120" w:after="120" w:line="304" w:lineRule="auto"/>
        <w:jc w:val="both"/>
        <w:outlineLvl w:val="2"/>
        <w:rPr>
          <w:rFonts w:ascii="Arial" w:eastAsia="Calibri" w:hAnsi="Arial" w:cs="Arial"/>
          <w:noProof/>
          <w:sz w:val="20"/>
        </w:rPr>
      </w:pPr>
    </w:p>
    <w:bookmarkEnd w:id="370"/>
    <w:bookmarkEnd w:id="371"/>
    <w:p w14:paraId="06F46152" w14:textId="77777777" w:rsidR="004D45F1" w:rsidRDefault="004D45F1" w:rsidP="004D45F1">
      <w:pP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br w:type="page"/>
      </w:r>
      <w:bookmarkStart w:id="392" w:name="_Toc71561885"/>
      <w:bookmarkStart w:id="393" w:name="_Toc71559448"/>
    </w:p>
    <w:p w14:paraId="68462A14" w14:textId="77777777" w:rsidR="004D45F1" w:rsidRDefault="004D45F1" w:rsidP="004D45F1">
      <w:pPr>
        <w:pStyle w:val="AnnexTitle"/>
        <w:rPr>
          <w:noProof/>
        </w:rPr>
      </w:pPr>
      <w:bookmarkStart w:id="394" w:name="_Toc93511488"/>
      <w:r w:rsidRPr="00AD73CF">
        <w:rPr>
          <w:rStyle w:val="AnnexTitleChar"/>
          <w:b/>
          <w:noProof/>
        </w:rPr>
        <w:t>Annex</w:t>
      </w:r>
      <w:r w:rsidRPr="00AD73CF">
        <w:rPr>
          <w:b w:val="0"/>
          <w:noProof/>
        </w:rPr>
        <w:t xml:space="preserve"> </w:t>
      </w:r>
      <w:r>
        <w:rPr>
          <w:noProof/>
        </w:rPr>
        <w:t>5: Detailed information on halon banks</w:t>
      </w:r>
      <w:bookmarkEnd w:id="392"/>
      <w:bookmarkEnd w:id="393"/>
      <w:bookmarkEnd w:id="394"/>
    </w:p>
    <w:p w14:paraId="66C9304F" w14:textId="77777777" w:rsidR="004D45F1" w:rsidRDefault="004D45F1" w:rsidP="004D45F1">
      <w:pPr>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Halons, which have very high ODP and GWP values, are still used for fire protection in certain “critical” applications, e.g. on aircraft and military equipment. </w:t>
      </w:r>
    </w:p>
    <w:p w14:paraId="4F4F27E1" w14:textId="77777777" w:rsidR="004D45F1" w:rsidRDefault="004D45F1" w:rsidP="004D45F1">
      <w:pPr>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All ‘new equipment’ and existing equipment in use where retrofit was deemed possible</w:t>
      </w:r>
      <w:r>
        <w:rPr>
          <w:rFonts w:ascii="Times New Roman" w:eastAsia="Calibri" w:hAnsi="Times New Roman" w:cs="Times New Roman"/>
          <w:bCs/>
          <w:noProof/>
          <w:sz w:val="24"/>
          <w:szCs w:val="24"/>
          <w:vertAlign w:val="superscript"/>
        </w:rPr>
        <w:footnoteReference w:id="114"/>
      </w:r>
      <w:r>
        <w:rPr>
          <w:rFonts w:ascii="Times New Roman" w:eastAsia="Calibri" w:hAnsi="Times New Roman" w:cs="Times New Roman"/>
          <w:bCs/>
          <w:noProof/>
          <w:sz w:val="24"/>
          <w:szCs w:val="24"/>
        </w:rPr>
        <w:t xml:space="preserve"> must already be halon free today. For other areas such ‘end-dates’ are still in the future; some extend even until 2040. This means halons will be still be in use for the next two decades and the quantities needed will depend on the quantities of concerned equipment. The use of halons could possibly be avoided in two areas, where it is currently still allowed to use halons until 2035.</w:t>
      </w:r>
      <w:r>
        <w:rPr>
          <w:rFonts w:ascii="Times New Roman" w:eastAsia="Calibri" w:hAnsi="Times New Roman" w:cs="Times New Roman"/>
          <w:bCs/>
          <w:noProof/>
          <w:sz w:val="24"/>
          <w:szCs w:val="24"/>
          <w:vertAlign w:val="superscript"/>
        </w:rPr>
        <w:footnoteReference w:id="115"/>
      </w:r>
      <w:r>
        <w:rPr>
          <w:rFonts w:ascii="Times New Roman" w:eastAsia="Calibri" w:hAnsi="Times New Roman" w:cs="Times New Roman"/>
          <w:bCs/>
          <w:noProof/>
          <w:sz w:val="24"/>
          <w:szCs w:val="24"/>
        </w:rPr>
        <w:t xml:space="preserve"> </w:t>
      </w:r>
    </w:p>
    <w:p w14:paraId="2AB9D322"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New production of halons is not allowed under the Protocol</w:t>
      </w:r>
      <w:r>
        <w:rPr>
          <w:rFonts w:ascii="Times New Roman" w:eastAsia="Calibri" w:hAnsi="Times New Roman" w:cs="Times New Roman"/>
          <w:noProof/>
          <w:sz w:val="24"/>
          <w:szCs w:val="24"/>
          <w:vertAlign w:val="superscript"/>
        </w:rPr>
        <w:footnoteReference w:id="116"/>
      </w:r>
      <w:r>
        <w:rPr>
          <w:rFonts w:ascii="Times New Roman" w:eastAsia="Calibri" w:hAnsi="Times New Roman" w:cs="Times New Roman"/>
          <w:noProof/>
          <w:sz w:val="24"/>
          <w:szCs w:val="24"/>
        </w:rPr>
        <w:t>. Halon users globally depend on existing stocks and halons reclaimed from old equipment. Current stocks of halons in the EU represent only 60% of the amounts installed (2019: see Table A5.1). The data presented excludes the UK, which increased the storage of halons significantly (from 90 to 160 mt between 2018 and 2019), likely as a response from UK-based halon users fearing trade limitations post-Brexit. In the period 2015-2019, 9% of the existing stocks in the EU-27 were used on average each year to fill equipment. Losses due to emissions, destruction and exports to third countries represent another 9% of quantities stored in the same period. Amounts destroyed in 2019 were significantly reduced from 2015 levels, but still represented roughly 20% of the quantities needed to fill new equipment in 2019. The driver for destruction are high transport costs of the reclaimed material. While there are exports in similar amounts as those destroyed, there are hardly any imports of halons for critical use to compensate such losses. From 2015 to 2019, EU stocks (see quantities “stored”) have shown some variability, but have not declined (yet). If future demand for halons cannot be met (including at the global level), it will become unavoidable to restart new production.</w:t>
      </w:r>
      <w:r>
        <w:rPr>
          <w:rFonts w:ascii="Times New Roman" w:eastAsia="Calibri" w:hAnsi="Times New Roman" w:cs="Times New Roman"/>
          <w:bCs/>
          <w:noProof/>
          <w:sz w:val="24"/>
          <w:szCs w:val="24"/>
        </w:rPr>
        <w:t xml:space="preserve"> </w:t>
      </w:r>
    </w:p>
    <w:p w14:paraId="35E58483" w14:textId="77777777" w:rsidR="004D45F1" w:rsidRDefault="004D45F1" w:rsidP="004D45F1">
      <w:pPr>
        <w:keepNext/>
        <w:spacing w:after="120" w:line="240" w:lineRule="auto"/>
        <w:jc w:val="both"/>
        <w:rPr>
          <w:rFonts w:eastAsia="Calibri" w:cstheme="minorHAnsi"/>
          <w:iCs/>
          <w:noProof/>
          <w:color w:val="006BB7"/>
          <w:sz w:val="20"/>
          <w:szCs w:val="18"/>
        </w:rPr>
      </w:pPr>
      <w:r>
        <w:rPr>
          <w:rFonts w:eastAsia="Calibri" w:cstheme="minorHAnsi"/>
          <w:iCs/>
          <w:noProof/>
          <w:color w:val="006BB7"/>
          <w:sz w:val="20"/>
          <w:szCs w:val="18"/>
        </w:rPr>
        <w:t>Table A5.1 Halon quantities installed, stored, used, emitted, destroyed and exported in/from the EU-27 (excluding UK) in the years 2015 – 2019.</w:t>
      </w:r>
    </w:p>
    <w:p w14:paraId="4119622B" w14:textId="77777777" w:rsidR="004D45F1" w:rsidRDefault="004D45F1" w:rsidP="004D45F1">
      <w:pPr>
        <w:keepNext/>
        <w:spacing w:after="120" w:line="240" w:lineRule="auto"/>
        <w:jc w:val="both"/>
        <w:rPr>
          <w:rFonts w:eastAsia="Calibri" w:cstheme="minorHAnsi"/>
          <w:iCs/>
          <w:noProof/>
          <w:color w:val="006BB7"/>
          <w:sz w:val="20"/>
          <w:szCs w:val="18"/>
        </w:rPr>
      </w:pPr>
    </w:p>
    <w:tbl>
      <w:tblPr>
        <w:tblStyle w:val="Mainbidtables101"/>
        <w:tblW w:w="0" w:type="dxa"/>
        <w:tblLayout w:type="fixed"/>
        <w:tblLook w:val="04A0" w:firstRow="1" w:lastRow="0" w:firstColumn="1" w:lastColumn="0" w:noHBand="0" w:noVBand="1"/>
      </w:tblPr>
      <w:tblGrid>
        <w:gridCol w:w="1271"/>
        <w:gridCol w:w="851"/>
        <w:gridCol w:w="850"/>
        <w:gridCol w:w="964"/>
        <w:gridCol w:w="850"/>
        <w:gridCol w:w="850"/>
        <w:gridCol w:w="1021"/>
        <w:gridCol w:w="738"/>
        <w:gridCol w:w="1904"/>
      </w:tblGrid>
      <w:tr w:rsidR="004D45F1" w14:paraId="65AC9E9B" w14:textId="77777777" w:rsidTr="004D45F1">
        <w:trPr>
          <w:cnfStyle w:val="100000000000" w:firstRow="1" w:lastRow="0" w:firstColumn="0" w:lastColumn="0" w:oddVBand="0" w:evenVBand="0" w:oddHBand="0" w:evenHBand="0" w:firstRowFirstColumn="0" w:firstRowLastColumn="0" w:lastRowFirstColumn="0" w:lastRowLastColumn="0"/>
          <w:trHeight w:val="600"/>
          <w:tblHeader/>
        </w:trPr>
        <w:tc>
          <w:tcPr>
            <w:tcW w:w="1271" w:type="dxa"/>
            <w:hideMark/>
          </w:tcPr>
          <w:p w14:paraId="05D7D787" w14:textId="77777777" w:rsidR="004D45F1" w:rsidRDefault="004D45F1">
            <w:pPr>
              <w:jc w:val="center"/>
              <w:rPr>
                <w:rFonts w:cs="Arial"/>
                <w:noProof/>
                <w:sz w:val="18"/>
                <w:szCs w:val="18"/>
                <w:lang w:val="de-DE" w:eastAsia="de-DE"/>
              </w:rPr>
            </w:pPr>
            <w:r>
              <w:rPr>
                <w:rFonts w:cs="Arial"/>
                <w:noProof/>
                <w:sz w:val="18"/>
                <w:szCs w:val="18"/>
                <w:lang w:val="de-DE" w:eastAsia="de-DE"/>
              </w:rPr>
              <w:t>Quantities</w:t>
            </w:r>
            <w:r>
              <w:rPr>
                <w:rFonts w:cs="Arial"/>
                <w:noProof/>
                <w:sz w:val="18"/>
                <w:szCs w:val="18"/>
                <w:lang w:val="de-DE" w:eastAsia="de-DE"/>
              </w:rPr>
              <w:br/>
              <w:t xml:space="preserve"> (metric tonnes)</w:t>
            </w:r>
          </w:p>
        </w:tc>
        <w:tc>
          <w:tcPr>
            <w:tcW w:w="851" w:type="dxa"/>
            <w:hideMark/>
          </w:tcPr>
          <w:p w14:paraId="44740998" w14:textId="77777777" w:rsidR="004D45F1" w:rsidRDefault="004D45F1">
            <w:pPr>
              <w:jc w:val="center"/>
              <w:rPr>
                <w:rFonts w:cs="Arial"/>
                <w:noProof/>
                <w:sz w:val="18"/>
                <w:szCs w:val="18"/>
                <w:lang w:val="de-DE" w:eastAsia="de-DE"/>
              </w:rPr>
            </w:pPr>
            <w:r>
              <w:rPr>
                <w:rFonts w:cs="Arial"/>
                <w:noProof/>
                <w:sz w:val="18"/>
                <w:szCs w:val="18"/>
                <w:lang w:val="de-DE" w:eastAsia="de-DE"/>
              </w:rPr>
              <w:t>2015</w:t>
            </w:r>
          </w:p>
        </w:tc>
        <w:tc>
          <w:tcPr>
            <w:tcW w:w="850" w:type="dxa"/>
            <w:hideMark/>
          </w:tcPr>
          <w:p w14:paraId="32A0E4DC" w14:textId="77777777" w:rsidR="004D45F1" w:rsidRDefault="004D45F1">
            <w:pPr>
              <w:jc w:val="center"/>
              <w:rPr>
                <w:rFonts w:cs="Arial"/>
                <w:noProof/>
                <w:sz w:val="18"/>
                <w:szCs w:val="18"/>
                <w:lang w:val="de-DE" w:eastAsia="de-DE"/>
              </w:rPr>
            </w:pPr>
            <w:r>
              <w:rPr>
                <w:rFonts w:cs="Arial"/>
                <w:noProof/>
                <w:sz w:val="18"/>
                <w:szCs w:val="18"/>
                <w:lang w:val="de-DE" w:eastAsia="de-DE"/>
              </w:rPr>
              <w:t>2016</w:t>
            </w:r>
          </w:p>
        </w:tc>
        <w:tc>
          <w:tcPr>
            <w:tcW w:w="964" w:type="dxa"/>
            <w:hideMark/>
          </w:tcPr>
          <w:p w14:paraId="6178A130" w14:textId="77777777" w:rsidR="004D45F1" w:rsidRDefault="004D45F1">
            <w:pPr>
              <w:jc w:val="center"/>
              <w:rPr>
                <w:rFonts w:cs="Arial"/>
                <w:noProof/>
                <w:sz w:val="18"/>
                <w:szCs w:val="18"/>
                <w:lang w:val="de-DE" w:eastAsia="de-DE"/>
              </w:rPr>
            </w:pPr>
            <w:r>
              <w:rPr>
                <w:rFonts w:cs="Arial"/>
                <w:noProof/>
                <w:sz w:val="18"/>
                <w:szCs w:val="18"/>
                <w:lang w:val="de-DE" w:eastAsia="de-DE"/>
              </w:rPr>
              <w:t>2017</w:t>
            </w:r>
          </w:p>
        </w:tc>
        <w:tc>
          <w:tcPr>
            <w:tcW w:w="850" w:type="dxa"/>
            <w:hideMark/>
          </w:tcPr>
          <w:p w14:paraId="6BCCA366" w14:textId="77777777" w:rsidR="004D45F1" w:rsidRDefault="004D45F1">
            <w:pPr>
              <w:jc w:val="center"/>
              <w:rPr>
                <w:rFonts w:cs="Arial"/>
                <w:noProof/>
                <w:sz w:val="18"/>
                <w:szCs w:val="18"/>
                <w:lang w:val="de-DE" w:eastAsia="de-DE"/>
              </w:rPr>
            </w:pPr>
            <w:r>
              <w:rPr>
                <w:rFonts w:cs="Arial"/>
                <w:noProof/>
                <w:sz w:val="18"/>
                <w:szCs w:val="18"/>
                <w:lang w:val="de-DE" w:eastAsia="de-DE"/>
              </w:rPr>
              <w:t>2018</w:t>
            </w:r>
          </w:p>
        </w:tc>
        <w:tc>
          <w:tcPr>
            <w:tcW w:w="850" w:type="dxa"/>
            <w:hideMark/>
          </w:tcPr>
          <w:p w14:paraId="24A56EA7" w14:textId="77777777" w:rsidR="004D45F1" w:rsidRDefault="004D45F1">
            <w:pPr>
              <w:jc w:val="center"/>
              <w:rPr>
                <w:rFonts w:cs="Arial"/>
                <w:noProof/>
                <w:sz w:val="18"/>
                <w:szCs w:val="18"/>
                <w:lang w:val="de-DE" w:eastAsia="de-DE"/>
              </w:rPr>
            </w:pPr>
            <w:r>
              <w:rPr>
                <w:rFonts w:cs="Arial"/>
                <w:noProof/>
                <w:sz w:val="18"/>
                <w:szCs w:val="18"/>
                <w:lang w:val="de-DE" w:eastAsia="de-DE"/>
              </w:rPr>
              <w:t>2019</w:t>
            </w:r>
          </w:p>
        </w:tc>
        <w:tc>
          <w:tcPr>
            <w:tcW w:w="1021" w:type="dxa"/>
            <w:hideMark/>
          </w:tcPr>
          <w:p w14:paraId="7992B409" w14:textId="77777777" w:rsidR="004D45F1" w:rsidRDefault="004D45F1">
            <w:pPr>
              <w:jc w:val="center"/>
              <w:rPr>
                <w:rFonts w:cs="Arial"/>
                <w:noProof/>
                <w:sz w:val="18"/>
                <w:szCs w:val="18"/>
                <w:lang w:val="de-DE" w:eastAsia="de-DE"/>
              </w:rPr>
            </w:pPr>
            <w:r>
              <w:rPr>
                <w:rFonts w:cs="Arial"/>
                <w:noProof/>
                <w:sz w:val="18"/>
                <w:szCs w:val="18"/>
                <w:lang w:val="de-DE" w:eastAsia="de-DE"/>
              </w:rPr>
              <w:t>Average</w:t>
            </w:r>
          </w:p>
        </w:tc>
        <w:tc>
          <w:tcPr>
            <w:tcW w:w="738" w:type="dxa"/>
            <w:hideMark/>
          </w:tcPr>
          <w:p w14:paraId="0C11C664" w14:textId="77777777" w:rsidR="004D45F1" w:rsidRDefault="004D45F1">
            <w:pPr>
              <w:jc w:val="center"/>
              <w:rPr>
                <w:rFonts w:cs="Arial"/>
                <w:noProof/>
                <w:sz w:val="18"/>
                <w:szCs w:val="18"/>
                <w:lang w:val="de-DE" w:eastAsia="de-DE"/>
              </w:rPr>
            </w:pPr>
            <w:r>
              <w:rPr>
                <w:rFonts w:cs="Arial"/>
                <w:noProof/>
                <w:sz w:val="18"/>
                <w:szCs w:val="18"/>
                <w:lang w:val="de-DE" w:eastAsia="de-DE"/>
              </w:rPr>
              <w:t>2019 - 2015</w:t>
            </w:r>
          </w:p>
        </w:tc>
        <w:tc>
          <w:tcPr>
            <w:tcW w:w="1904" w:type="dxa"/>
            <w:hideMark/>
          </w:tcPr>
          <w:p w14:paraId="20F4AD64" w14:textId="77777777" w:rsidR="004D45F1" w:rsidRDefault="004D45F1">
            <w:pPr>
              <w:jc w:val="center"/>
              <w:rPr>
                <w:rFonts w:cs="Arial"/>
                <w:noProof/>
                <w:sz w:val="18"/>
                <w:szCs w:val="18"/>
                <w:lang w:val="de-DE" w:eastAsia="de-DE"/>
              </w:rPr>
            </w:pPr>
            <w:r>
              <w:rPr>
                <w:rFonts w:cs="Arial"/>
                <w:noProof/>
                <w:sz w:val="18"/>
                <w:szCs w:val="18"/>
                <w:lang w:val="de-DE" w:eastAsia="de-DE"/>
              </w:rPr>
              <w:t>2015-2019 Trends</w:t>
            </w:r>
          </w:p>
        </w:tc>
      </w:tr>
      <w:tr w:rsidR="004D45F1" w14:paraId="5D05DE45" w14:textId="77777777" w:rsidTr="004D45F1">
        <w:trPr>
          <w:cnfStyle w:val="000000100000" w:firstRow="0" w:lastRow="0" w:firstColumn="0" w:lastColumn="0" w:oddVBand="0" w:evenVBand="0" w:oddHBand="1" w:evenHBand="0" w:firstRowFirstColumn="0" w:firstRowLastColumn="0" w:lastRowFirstColumn="0" w:lastRowLastColumn="0"/>
          <w:trHeight w:val="547"/>
        </w:trPr>
        <w:tc>
          <w:tcPr>
            <w:tcW w:w="1271" w:type="dxa"/>
            <w:tcBorders>
              <w:top w:val="nil"/>
              <w:left w:val="single" w:sz="4" w:space="0" w:color="0055A0"/>
              <w:bottom w:val="nil"/>
              <w:right w:val="single" w:sz="4" w:space="0" w:color="0055A0"/>
            </w:tcBorders>
            <w:noWrap/>
            <w:hideMark/>
          </w:tcPr>
          <w:p w14:paraId="2A4D92E0" w14:textId="77777777" w:rsidR="004D45F1" w:rsidRDefault="004D45F1">
            <w:pPr>
              <w:rPr>
                <w:rFonts w:cs="Arial"/>
                <w:noProof/>
                <w:color w:val="000000"/>
                <w:sz w:val="18"/>
                <w:szCs w:val="18"/>
                <w:lang w:eastAsia="de-DE"/>
              </w:rPr>
            </w:pPr>
            <w:r>
              <w:rPr>
                <w:rFonts w:cs="Arial"/>
                <w:noProof/>
                <w:color w:val="000000"/>
                <w:sz w:val="18"/>
                <w:szCs w:val="18"/>
                <w:lang w:eastAsia="de-DE"/>
              </w:rPr>
              <w:t>Installed</w:t>
            </w:r>
            <w:r>
              <w:rPr>
                <w:rFonts w:cs="Arial"/>
                <w:noProof/>
                <w:color w:val="000000"/>
                <w:sz w:val="18"/>
                <w:szCs w:val="18"/>
                <w:vertAlign w:val="superscript"/>
              </w:rPr>
              <w:t>(i)</w:t>
            </w:r>
            <w:r>
              <w:rPr>
                <w:rFonts w:cs="Arial"/>
                <w:noProof/>
                <w:color w:val="000000"/>
                <w:sz w:val="18"/>
                <w:szCs w:val="18"/>
                <w:lang w:eastAsia="de-DE"/>
              </w:rPr>
              <w:t xml:space="preserve"> </w:t>
            </w:r>
          </w:p>
        </w:tc>
        <w:tc>
          <w:tcPr>
            <w:tcW w:w="851" w:type="dxa"/>
            <w:tcBorders>
              <w:top w:val="nil"/>
              <w:left w:val="single" w:sz="4" w:space="0" w:color="0055A0"/>
              <w:bottom w:val="nil"/>
              <w:right w:val="single" w:sz="4" w:space="0" w:color="0055A0"/>
            </w:tcBorders>
            <w:noWrap/>
            <w:hideMark/>
          </w:tcPr>
          <w:p w14:paraId="7D086ACC" w14:textId="77777777" w:rsidR="004D45F1" w:rsidRDefault="004D45F1">
            <w:pPr>
              <w:jc w:val="right"/>
              <w:rPr>
                <w:rFonts w:cs="Arial"/>
                <w:noProof/>
                <w:color w:val="000000"/>
                <w:sz w:val="18"/>
                <w:szCs w:val="18"/>
                <w:lang w:eastAsia="de-DE"/>
              </w:rPr>
            </w:pPr>
            <w:r>
              <w:rPr>
                <w:rFonts w:cs="Arial"/>
                <w:noProof/>
                <w:color w:val="000000"/>
                <w:sz w:val="18"/>
                <w:szCs w:val="18"/>
              </w:rPr>
              <w:t>596.4</w:t>
            </w:r>
          </w:p>
        </w:tc>
        <w:tc>
          <w:tcPr>
            <w:tcW w:w="850" w:type="dxa"/>
            <w:tcBorders>
              <w:top w:val="nil"/>
              <w:left w:val="single" w:sz="4" w:space="0" w:color="0055A0"/>
              <w:bottom w:val="nil"/>
              <w:right w:val="single" w:sz="4" w:space="0" w:color="0055A0"/>
            </w:tcBorders>
            <w:noWrap/>
            <w:hideMark/>
          </w:tcPr>
          <w:p w14:paraId="46F602A1" w14:textId="77777777" w:rsidR="004D45F1" w:rsidRDefault="004D45F1">
            <w:pPr>
              <w:jc w:val="right"/>
              <w:rPr>
                <w:rFonts w:cs="Arial"/>
                <w:noProof/>
                <w:color w:val="000000"/>
                <w:sz w:val="18"/>
                <w:szCs w:val="18"/>
                <w:lang w:val="de-DE" w:eastAsia="de-DE"/>
              </w:rPr>
            </w:pPr>
            <w:r>
              <w:rPr>
                <w:rFonts w:cs="Arial"/>
                <w:noProof/>
                <w:color w:val="000000"/>
                <w:sz w:val="18"/>
                <w:szCs w:val="18"/>
              </w:rPr>
              <w:t>861.0</w:t>
            </w:r>
          </w:p>
        </w:tc>
        <w:tc>
          <w:tcPr>
            <w:tcW w:w="964" w:type="dxa"/>
            <w:tcBorders>
              <w:top w:val="nil"/>
              <w:left w:val="single" w:sz="4" w:space="0" w:color="0055A0"/>
              <w:bottom w:val="nil"/>
              <w:right w:val="single" w:sz="4" w:space="0" w:color="0055A0"/>
            </w:tcBorders>
            <w:noWrap/>
            <w:hideMark/>
          </w:tcPr>
          <w:p w14:paraId="66CFB154" w14:textId="77777777" w:rsidR="004D45F1" w:rsidRDefault="004D45F1">
            <w:pPr>
              <w:jc w:val="right"/>
              <w:rPr>
                <w:rFonts w:cs="Arial"/>
                <w:noProof/>
                <w:color w:val="000000"/>
                <w:sz w:val="18"/>
                <w:szCs w:val="18"/>
                <w:lang w:val="de-DE" w:eastAsia="de-DE"/>
              </w:rPr>
            </w:pPr>
            <w:r>
              <w:rPr>
                <w:rFonts w:cs="Arial"/>
                <w:noProof/>
                <w:color w:val="000000"/>
                <w:sz w:val="18"/>
                <w:szCs w:val="18"/>
              </w:rPr>
              <w:t>763.2</w:t>
            </w:r>
          </w:p>
        </w:tc>
        <w:tc>
          <w:tcPr>
            <w:tcW w:w="850" w:type="dxa"/>
            <w:tcBorders>
              <w:top w:val="nil"/>
              <w:left w:val="single" w:sz="4" w:space="0" w:color="0055A0"/>
              <w:bottom w:val="nil"/>
              <w:right w:val="single" w:sz="4" w:space="0" w:color="0055A0"/>
            </w:tcBorders>
            <w:noWrap/>
            <w:hideMark/>
          </w:tcPr>
          <w:p w14:paraId="48D2D15C" w14:textId="77777777" w:rsidR="004D45F1" w:rsidRDefault="004D45F1">
            <w:pPr>
              <w:jc w:val="right"/>
              <w:rPr>
                <w:rFonts w:cs="Arial"/>
                <w:noProof/>
                <w:color w:val="000000"/>
                <w:sz w:val="18"/>
                <w:szCs w:val="18"/>
                <w:lang w:val="de-DE" w:eastAsia="de-DE"/>
              </w:rPr>
            </w:pPr>
            <w:r>
              <w:rPr>
                <w:rFonts w:cs="Arial"/>
                <w:noProof/>
                <w:color w:val="000000"/>
                <w:sz w:val="18"/>
                <w:szCs w:val="18"/>
              </w:rPr>
              <w:t>765.0</w:t>
            </w:r>
          </w:p>
        </w:tc>
        <w:tc>
          <w:tcPr>
            <w:tcW w:w="850" w:type="dxa"/>
            <w:tcBorders>
              <w:top w:val="nil"/>
              <w:left w:val="single" w:sz="4" w:space="0" w:color="0055A0"/>
              <w:bottom w:val="nil"/>
              <w:right w:val="single" w:sz="4" w:space="0" w:color="0055A0"/>
            </w:tcBorders>
            <w:noWrap/>
            <w:hideMark/>
          </w:tcPr>
          <w:p w14:paraId="5AB69B33" w14:textId="77777777" w:rsidR="004D45F1" w:rsidRDefault="004D45F1">
            <w:pPr>
              <w:jc w:val="right"/>
              <w:rPr>
                <w:rFonts w:cs="Arial"/>
                <w:noProof/>
                <w:color w:val="000000"/>
                <w:sz w:val="18"/>
                <w:szCs w:val="18"/>
                <w:vertAlign w:val="superscript"/>
                <w:lang w:val="de-DE" w:eastAsia="de-DE"/>
              </w:rPr>
            </w:pPr>
            <w:r>
              <w:rPr>
                <w:rFonts w:cs="Arial"/>
                <w:noProof/>
                <w:color w:val="000000"/>
                <w:sz w:val="18"/>
                <w:szCs w:val="18"/>
              </w:rPr>
              <w:t>719.1</w:t>
            </w:r>
          </w:p>
        </w:tc>
        <w:tc>
          <w:tcPr>
            <w:tcW w:w="1021" w:type="dxa"/>
            <w:tcBorders>
              <w:top w:val="nil"/>
              <w:left w:val="single" w:sz="4" w:space="0" w:color="0055A0"/>
              <w:bottom w:val="nil"/>
              <w:right w:val="single" w:sz="4" w:space="0" w:color="0055A0"/>
            </w:tcBorders>
            <w:noWrap/>
            <w:hideMark/>
          </w:tcPr>
          <w:p w14:paraId="2A6CD922" w14:textId="77777777" w:rsidR="004D45F1" w:rsidRDefault="004D45F1">
            <w:pPr>
              <w:jc w:val="right"/>
              <w:rPr>
                <w:rFonts w:cs="Arial"/>
                <w:noProof/>
                <w:color w:val="000000"/>
                <w:sz w:val="18"/>
                <w:szCs w:val="18"/>
                <w:lang w:val="de-DE" w:eastAsia="de-DE"/>
              </w:rPr>
            </w:pPr>
            <w:r>
              <w:rPr>
                <w:rFonts w:cs="Arial"/>
                <w:noProof/>
                <w:color w:val="000000"/>
                <w:sz w:val="18"/>
                <w:szCs w:val="18"/>
              </w:rPr>
              <w:t>740,9</w:t>
            </w:r>
          </w:p>
        </w:tc>
        <w:tc>
          <w:tcPr>
            <w:tcW w:w="738" w:type="dxa"/>
            <w:tcBorders>
              <w:top w:val="nil"/>
              <w:left w:val="single" w:sz="4" w:space="0" w:color="0055A0"/>
              <w:bottom w:val="nil"/>
              <w:right w:val="single" w:sz="4" w:space="0" w:color="0055A0"/>
            </w:tcBorders>
            <w:noWrap/>
            <w:hideMark/>
          </w:tcPr>
          <w:p w14:paraId="2CD2AC85" w14:textId="77777777" w:rsidR="004D45F1" w:rsidRDefault="004D45F1">
            <w:pPr>
              <w:jc w:val="right"/>
              <w:rPr>
                <w:rFonts w:cs="Arial"/>
                <w:noProof/>
                <w:color w:val="000000"/>
                <w:sz w:val="18"/>
                <w:szCs w:val="18"/>
                <w:lang w:val="de-DE" w:eastAsia="de-DE"/>
              </w:rPr>
            </w:pPr>
            <w:r>
              <w:rPr>
                <w:rFonts w:cs="Arial"/>
                <w:noProof/>
                <w:color w:val="000000"/>
                <w:sz w:val="18"/>
                <w:szCs w:val="18"/>
              </w:rPr>
              <w:t>+21%</w:t>
            </w:r>
          </w:p>
        </w:tc>
        <w:tc>
          <w:tcPr>
            <w:tcW w:w="1904" w:type="dxa"/>
            <w:tcBorders>
              <w:top w:val="nil"/>
              <w:left w:val="single" w:sz="4" w:space="0" w:color="0055A0"/>
              <w:bottom w:val="single" w:sz="4" w:space="0" w:color="4472C4"/>
              <w:right w:val="single" w:sz="4" w:space="0" w:color="0055A0"/>
            </w:tcBorders>
            <w:noWrap/>
            <w:hideMark/>
          </w:tcPr>
          <w:p w14:paraId="29312284" w14:textId="77777777" w:rsidR="004D45F1" w:rsidRDefault="004D45F1">
            <w:pPr>
              <w:jc w:val="right"/>
              <w:rPr>
                <w:rFonts w:cs="Arial"/>
                <w:noProof/>
                <w:color w:val="000000"/>
                <w:sz w:val="18"/>
                <w:szCs w:val="18"/>
                <w:lang w:val="de-DE" w:eastAsia="de-DE"/>
              </w:rPr>
            </w:pPr>
            <w:r>
              <w:rPr>
                <w:rFonts w:cs="Arial"/>
                <w:noProof/>
                <w:color w:val="000000"/>
                <w:sz w:val="18"/>
                <w:szCs w:val="18"/>
              </w:rPr>
              <w:drawing>
                <wp:inline distT="0" distB="0" distL="0" distR="0" wp14:anchorId="5C3F395B" wp14:editId="00884B4D">
                  <wp:extent cx="1075055" cy="200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5055" cy="200660"/>
                          </a:xfrm>
                          <a:prstGeom prst="rect">
                            <a:avLst/>
                          </a:prstGeom>
                          <a:noFill/>
                          <a:ln>
                            <a:noFill/>
                          </a:ln>
                        </pic:spPr>
                      </pic:pic>
                    </a:graphicData>
                  </a:graphic>
                </wp:inline>
              </w:drawing>
            </w:r>
            <w:r>
              <w:rPr>
                <w:rFonts w:cs="Arial"/>
                <w:noProof/>
                <w:color w:val="000000"/>
                <w:sz w:val="18"/>
                <w:szCs w:val="18"/>
                <w:lang w:val="de-DE" w:eastAsia="de-DE"/>
              </w:rPr>
              <w:t> </w:t>
            </w:r>
          </w:p>
        </w:tc>
      </w:tr>
      <w:tr w:rsidR="004D45F1" w14:paraId="7A9A45AD"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1271" w:type="dxa"/>
            <w:tcBorders>
              <w:top w:val="nil"/>
              <w:left w:val="single" w:sz="4" w:space="0" w:color="0055A0"/>
              <w:bottom w:val="nil"/>
            </w:tcBorders>
            <w:noWrap/>
            <w:hideMark/>
          </w:tcPr>
          <w:p w14:paraId="452CDF5F" w14:textId="77777777" w:rsidR="004D45F1" w:rsidRDefault="004D45F1">
            <w:pPr>
              <w:rPr>
                <w:rFonts w:cs="Arial"/>
                <w:noProof/>
                <w:color w:val="000000"/>
                <w:sz w:val="18"/>
                <w:szCs w:val="18"/>
                <w:lang w:eastAsia="de-DE"/>
              </w:rPr>
            </w:pPr>
            <w:r>
              <w:rPr>
                <w:rFonts w:cs="Arial"/>
                <w:noProof/>
                <w:color w:val="000000"/>
                <w:sz w:val="18"/>
                <w:szCs w:val="18"/>
                <w:lang w:eastAsia="de-DE"/>
              </w:rPr>
              <w:t>Stored</w:t>
            </w:r>
            <w:r>
              <w:rPr>
                <w:rFonts w:cs="Arial"/>
                <w:noProof/>
                <w:color w:val="000000"/>
                <w:sz w:val="18"/>
                <w:szCs w:val="18"/>
                <w:vertAlign w:val="superscript"/>
                <w:lang w:eastAsia="de-DE"/>
              </w:rPr>
              <w:t>(ii)</w:t>
            </w:r>
            <w:r>
              <w:rPr>
                <w:rFonts w:cs="Arial"/>
                <w:noProof/>
                <w:color w:val="000000"/>
                <w:sz w:val="18"/>
                <w:szCs w:val="18"/>
                <w:lang w:eastAsia="de-DE"/>
              </w:rPr>
              <w:t xml:space="preserve"> </w:t>
            </w:r>
          </w:p>
        </w:tc>
        <w:tc>
          <w:tcPr>
            <w:tcW w:w="851" w:type="dxa"/>
            <w:tcBorders>
              <w:top w:val="nil"/>
              <w:bottom w:val="nil"/>
            </w:tcBorders>
            <w:noWrap/>
            <w:hideMark/>
          </w:tcPr>
          <w:p w14:paraId="65822556" w14:textId="77777777" w:rsidR="004D45F1" w:rsidRDefault="004D45F1">
            <w:pPr>
              <w:jc w:val="right"/>
              <w:rPr>
                <w:rFonts w:cs="Arial"/>
                <w:noProof/>
                <w:color w:val="000000"/>
                <w:sz w:val="18"/>
                <w:szCs w:val="18"/>
                <w:lang w:eastAsia="de-DE"/>
              </w:rPr>
            </w:pPr>
            <w:r>
              <w:rPr>
                <w:rFonts w:cs="Arial"/>
                <w:noProof/>
                <w:color w:val="000000"/>
                <w:sz w:val="18"/>
                <w:szCs w:val="18"/>
              </w:rPr>
              <w:t>412.9</w:t>
            </w:r>
          </w:p>
        </w:tc>
        <w:tc>
          <w:tcPr>
            <w:tcW w:w="850" w:type="dxa"/>
            <w:tcBorders>
              <w:top w:val="nil"/>
              <w:bottom w:val="nil"/>
            </w:tcBorders>
            <w:noWrap/>
            <w:hideMark/>
          </w:tcPr>
          <w:p w14:paraId="4CDF4EAD" w14:textId="77777777" w:rsidR="004D45F1" w:rsidRDefault="004D45F1">
            <w:pPr>
              <w:jc w:val="right"/>
              <w:rPr>
                <w:rFonts w:cs="Arial"/>
                <w:noProof/>
                <w:color w:val="000000"/>
                <w:sz w:val="18"/>
                <w:szCs w:val="18"/>
                <w:lang w:val="de-DE" w:eastAsia="de-DE"/>
              </w:rPr>
            </w:pPr>
            <w:r>
              <w:rPr>
                <w:rFonts w:cs="Arial"/>
                <w:noProof/>
                <w:color w:val="000000"/>
                <w:sz w:val="18"/>
                <w:szCs w:val="18"/>
                <w:lang w:val="de-DE" w:eastAsia="de-DE"/>
              </w:rPr>
              <w:t>450.0</w:t>
            </w:r>
          </w:p>
        </w:tc>
        <w:tc>
          <w:tcPr>
            <w:tcW w:w="964" w:type="dxa"/>
            <w:tcBorders>
              <w:top w:val="nil"/>
              <w:bottom w:val="nil"/>
            </w:tcBorders>
            <w:noWrap/>
            <w:hideMark/>
          </w:tcPr>
          <w:p w14:paraId="2DDA150C" w14:textId="77777777" w:rsidR="004D45F1" w:rsidRDefault="004D45F1">
            <w:pPr>
              <w:jc w:val="right"/>
              <w:rPr>
                <w:rFonts w:cs="Arial"/>
                <w:noProof/>
                <w:color w:val="000000"/>
                <w:sz w:val="18"/>
                <w:szCs w:val="18"/>
                <w:lang w:val="de-DE" w:eastAsia="de-DE"/>
              </w:rPr>
            </w:pPr>
            <w:r>
              <w:rPr>
                <w:rFonts w:cs="Arial"/>
                <w:noProof/>
                <w:color w:val="000000"/>
                <w:sz w:val="18"/>
                <w:szCs w:val="18"/>
              </w:rPr>
              <w:t>385.5</w:t>
            </w:r>
          </w:p>
        </w:tc>
        <w:tc>
          <w:tcPr>
            <w:tcW w:w="850" w:type="dxa"/>
            <w:tcBorders>
              <w:top w:val="nil"/>
              <w:bottom w:val="nil"/>
            </w:tcBorders>
            <w:noWrap/>
            <w:hideMark/>
          </w:tcPr>
          <w:p w14:paraId="22662ACD" w14:textId="77777777" w:rsidR="004D45F1" w:rsidRDefault="004D45F1">
            <w:pPr>
              <w:jc w:val="right"/>
              <w:rPr>
                <w:rFonts w:cs="Arial"/>
                <w:noProof/>
                <w:color w:val="000000"/>
                <w:sz w:val="18"/>
                <w:szCs w:val="18"/>
                <w:lang w:val="de-DE" w:eastAsia="de-DE"/>
              </w:rPr>
            </w:pPr>
            <w:r>
              <w:rPr>
                <w:rFonts w:cs="Arial"/>
                <w:noProof/>
                <w:color w:val="000000"/>
                <w:sz w:val="18"/>
                <w:szCs w:val="18"/>
              </w:rPr>
              <w:t>424.9</w:t>
            </w:r>
          </w:p>
        </w:tc>
        <w:tc>
          <w:tcPr>
            <w:tcW w:w="850" w:type="dxa"/>
            <w:tcBorders>
              <w:top w:val="nil"/>
              <w:bottom w:val="nil"/>
            </w:tcBorders>
            <w:noWrap/>
            <w:hideMark/>
          </w:tcPr>
          <w:p w14:paraId="4484D237" w14:textId="77777777" w:rsidR="004D45F1" w:rsidRDefault="004D45F1">
            <w:pPr>
              <w:jc w:val="right"/>
              <w:rPr>
                <w:rFonts w:cs="Arial"/>
                <w:noProof/>
                <w:color w:val="000000"/>
                <w:sz w:val="18"/>
                <w:szCs w:val="18"/>
                <w:lang w:val="de-DE" w:eastAsia="de-DE"/>
              </w:rPr>
            </w:pPr>
            <w:r>
              <w:rPr>
                <w:rFonts w:cs="Arial"/>
                <w:noProof/>
                <w:color w:val="000000"/>
                <w:sz w:val="18"/>
                <w:szCs w:val="18"/>
              </w:rPr>
              <w:t>434.8</w:t>
            </w:r>
          </w:p>
        </w:tc>
        <w:tc>
          <w:tcPr>
            <w:tcW w:w="1021" w:type="dxa"/>
            <w:tcBorders>
              <w:top w:val="nil"/>
              <w:bottom w:val="nil"/>
            </w:tcBorders>
            <w:noWrap/>
            <w:hideMark/>
          </w:tcPr>
          <w:p w14:paraId="3681565B" w14:textId="77777777" w:rsidR="004D45F1" w:rsidRDefault="004D45F1">
            <w:pPr>
              <w:jc w:val="right"/>
              <w:rPr>
                <w:rFonts w:cs="Arial"/>
                <w:noProof/>
                <w:color w:val="000000"/>
                <w:sz w:val="18"/>
                <w:szCs w:val="18"/>
              </w:rPr>
            </w:pPr>
            <w:r>
              <w:rPr>
                <w:rFonts w:cs="Arial"/>
                <w:noProof/>
                <w:color w:val="000000"/>
                <w:sz w:val="18"/>
                <w:szCs w:val="18"/>
              </w:rPr>
              <w:t>421,6</w:t>
            </w:r>
          </w:p>
        </w:tc>
        <w:tc>
          <w:tcPr>
            <w:tcW w:w="738" w:type="dxa"/>
            <w:tcBorders>
              <w:top w:val="nil"/>
              <w:bottom w:val="nil"/>
            </w:tcBorders>
            <w:noWrap/>
            <w:hideMark/>
          </w:tcPr>
          <w:p w14:paraId="1ADABAC0" w14:textId="77777777" w:rsidR="004D45F1" w:rsidRDefault="004D45F1">
            <w:pPr>
              <w:jc w:val="right"/>
              <w:rPr>
                <w:rFonts w:cs="Arial"/>
                <w:noProof/>
                <w:color w:val="000000"/>
                <w:sz w:val="18"/>
                <w:szCs w:val="18"/>
                <w:lang w:val="de-DE" w:eastAsia="de-DE"/>
              </w:rPr>
            </w:pPr>
            <w:r>
              <w:rPr>
                <w:rFonts w:cs="Arial"/>
                <w:noProof/>
                <w:color w:val="000000"/>
                <w:sz w:val="18"/>
                <w:szCs w:val="18"/>
              </w:rPr>
              <w:t>+5%</w:t>
            </w:r>
          </w:p>
        </w:tc>
        <w:tc>
          <w:tcPr>
            <w:tcW w:w="1904" w:type="dxa"/>
            <w:tcBorders>
              <w:top w:val="single" w:sz="4" w:space="0" w:color="4472C4"/>
              <w:bottom w:val="single" w:sz="4" w:space="0" w:color="4472C4"/>
              <w:right w:val="single" w:sz="4" w:space="0" w:color="0055A0"/>
            </w:tcBorders>
            <w:noWrap/>
            <w:hideMark/>
          </w:tcPr>
          <w:p w14:paraId="543B1B7C" w14:textId="77777777" w:rsidR="004D45F1" w:rsidRDefault="004D45F1">
            <w:pPr>
              <w:jc w:val="right"/>
              <w:rPr>
                <w:rFonts w:cs="Arial"/>
                <w:noProof/>
                <w:color w:val="000000"/>
                <w:sz w:val="18"/>
                <w:szCs w:val="18"/>
                <w:lang w:val="de-DE" w:eastAsia="de-DE"/>
              </w:rPr>
            </w:pPr>
            <w:r>
              <w:rPr>
                <w:rFonts w:cs="Arial"/>
                <w:noProof/>
                <w:color w:val="000000"/>
                <w:sz w:val="18"/>
                <w:szCs w:val="18"/>
              </w:rPr>
              <w:drawing>
                <wp:inline distT="0" distB="0" distL="0" distR="0" wp14:anchorId="07BD8A64" wp14:editId="0D72C166">
                  <wp:extent cx="1075055" cy="200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5055" cy="200660"/>
                          </a:xfrm>
                          <a:prstGeom prst="rect">
                            <a:avLst/>
                          </a:prstGeom>
                          <a:noFill/>
                          <a:ln>
                            <a:noFill/>
                          </a:ln>
                        </pic:spPr>
                      </pic:pic>
                    </a:graphicData>
                  </a:graphic>
                </wp:inline>
              </w:drawing>
            </w:r>
            <w:r>
              <w:rPr>
                <w:rFonts w:cs="Arial"/>
                <w:noProof/>
                <w:color w:val="000000"/>
                <w:sz w:val="18"/>
                <w:szCs w:val="18"/>
                <w:lang w:val="de-DE" w:eastAsia="de-DE"/>
              </w:rPr>
              <w:t> </w:t>
            </w:r>
          </w:p>
        </w:tc>
      </w:tr>
      <w:tr w:rsidR="004D45F1" w14:paraId="0210101C"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1271" w:type="dxa"/>
            <w:tcBorders>
              <w:top w:val="nil"/>
              <w:left w:val="single" w:sz="4" w:space="0" w:color="0055A0"/>
              <w:bottom w:val="nil"/>
              <w:right w:val="single" w:sz="4" w:space="0" w:color="0055A0"/>
            </w:tcBorders>
            <w:noWrap/>
            <w:hideMark/>
          </w:tcPr>
          <w:p w14:paraId="0B6FF1B1" w14:textId="77777777" w:rsidR="004D45F1" w:rsidRDefault="004D45F1">
            <w:pPr>
              <w:rPr>
                <w:rFonts w:cs="Arial"/>
                <w:noProof/>
                <w:color w:val="000000"/>
                <w:sz w:val="18"/>
                <w:szCs w:val="18"/>
                <w:lang w:eastAsia="de-DE"/>
              </w:rPr>
            </w:pPr>
            <w:r>
              <w:rPr>
                <w:rFonts w:cs="Arial"/>
                <w:noProof/>
                <w:color w:val="000000"/>
                <w:sz w:val="18"/>
                <w:szCs w:val="18"/>
                <w:lang w:eastAsia="de-DE"/>
              </w:rPr>
              <w:t>Used</w:t>
            </w:r>
            <w:r>
              <w:rPr>
                <w:rFonts w:cs="Arial"/>
                <w:noProof/>
                <w:color w:val="000000"/>
                <w:sz w:val="18"/>
                <w:szCs w:val="18"/>
                <w:vertAlign w:val="superscript"/>
                <w:lang w:eastAsia="de-DE"/>
              </w:rPr>
              <w:t>(iii)</w:t>
            </w:r>
          </w:p>
        </w:tc>
        <w:tc>
          <w:tcPr>
            <w:tcW w:w="851" w:type="dxa"/>
            <w:tcBorders>
              <w:top w:val="nil"/>
              <w:left w:val="single" w:sz="4" w:space="0" w:color="0055A0"/>
              <w:bottom w:val="nil"/>
              <w:right w:val="single" w:sz="4" w:space="0" w:color="0055A0"/>
            </w:tcBorders>
            <w:noWrap/>
            <w:hideMark/>
          </w:tcPr>
          <w:p w14:paraId="6097BFE2" w14:textId="77777777" w:rsidR="004D45F1" w:rsidRDefault="004D45F1">
            <w:pPr>
              <w:jc w:val="right"/>
              <w:rPr>
                <w:rFonts w:cs="Arial"/>
                <w:noProof/>
                <w:color w:val="000000"/>
                <w:sz w:val="18"/>
                <w:szCs w:val="18"/>
                <w:lang w:eastAsia="de-DE"/>
              </w:rPr>
            </w:pPr>
            <w:r>
              <w:rPr>
                <w:rFonts w:cs="Arial"/>
                <w:noProof/>
                <w:color w:val="000000"/>
                <w:sz w:val="18"/>
                <w:szCs w:val="18"/>
              </w:rPr>
              <w:t>28.6</w:t>
            </w:r>
          </w:p>
        </w:tc>
        <w:tc>
          <w:tcPr>
            <w:tcW w:w="850" w:type="dxa"/>
            <w:tcBorders>
              <w:top w:val="nil"/>
              <w:left w:val="single" w:sz="4" w:space="0" w:color="0055A0"/>
              <w:bottom w:val="nil"/>
              <w:right w:val="single" w:sz="4" w:space="0" w:color="0055A0"/>
            </w:tcBorders>
            <w:noWrap/>
            <w:hideMark/>
          </w:tcPr>
          <w:p w14:paraId="38A91DDD" w14:textId="77777777" w:rsidR="004D45F1" w:rsidRDefault="004D45F1">
            <w:pPr>
              <w:jc w:val="right"/>
              <w:rPr>
                <w:rFonts w:cs="Arial"/>
                <w:noProof/>
                <w:color w:val="000000"/>
                <w:sz w:val="18"/>
                <w:szCs w:val="18"/>
                <w:lang w:val="de-DE" w:eastAsia="de-DE"/>
              </w:rPr>
            </w:pPr>
            <w:r>
              <w:rPr>
                <w:rFonts w:cs="Arial"/>
                <w:noProof/>
                <w:color w:val="000000"/>
                <w:sz w:val="18"/>
                <w:szCs w:val="18"/>
              </w:rPr>
              <w:t>42.5</w:t>
            </w:r>
          </w:p>
        </w:tc>
        <w:tc>
          <w:tcPr>
            <w:tcW w:w="964" w:type="dxa"/>
            <w:tcBorders>
              <w:top w:val="nil"/>
              <w:left w:val="single" w:sz="4" w:space="0" w:color="0055A0"/>
              <w:bottom w:val="nil"/>
              <w:right w:val="single" w:sz="4" w:space="0" w:color="0055A0"/>
            </w:tcBorders>
            <w:noWrap/>
            <w:hideMark/>
          </w:tcPr>
          <w:p w14:paraId="4AEB7C2E" w14:textId="77777777" w:rsidR="004D45F1" w:rsidRDefault="004D45F1">
            <w:pPr>
              <w:jc w:val="right"/>
              <w:rPr>
                <w:rFonts w:cs="Arial"/>
                <w:noProof/>
                <w:color w:val="000000"/>
                <w:sz w:val="18"/>
                <w:szCs w:val="18"/>
                <w:lang w:val="de-DE" w:eastAsia="de-DE"/>
              </w:rPr>
            </w:pPr>
            <w:r>
              <w:rPr>
                <w:rFonts w:cs="Arial"/>
                <w:noProof/>
                <w:color w:val="000000"/>
                <w:sz w:val="18"/>
                <w:szCs w:val="18"/>
              </w:rPr>
              <w:t>52.1</w:t>
            </w:r>
          </w:p>
        </w:tc>
        <w:tc>
          <w:tcPr>
            <w:tcW w:w="850" w:type="dxa"/>
            <w:tcBorders>
              <w:top w:val="nil"/>
              <w:left w:val="single" w:sz="4" w:space="0" w:color="0055A0"/>
              <w:bottom w:val="nil"/>
              <w:right w:val="single" w:sz="4" w:space="0" w:color="0055A0"/>
            </w:tcBorders>
            <w:noWrap/>
            <w:hideMark/>
          </w:tcPr>
          <w:p w14:paraId="4707C2D5" w14:textId="77777777" w:rsidR="004D45F1" w:rsidRDefault="004D45F1">
            <w:pPr>
              <w:jc w:val="right"/>
              <w:rPr>
                <w:rFonts w:cs="Arial"/>
                <w:noProof/>
                <w:color w:val="000000"/>
                <w:sz w:val="18"/>
                <w:szCs w:val="18"/>
                <w:lang w:val="de-DE" w:eastAsia="de-DE"/>
              </w:rPr>
            </w:pPr>
            <w:r>
              <w:rPr>
                <w:rFonts w:cs="Arial"/>
                <w:noProof/>
                <w:color w:val="000000"/>
                <w:sz w:val="18"/>
                <w:szCs w:val="18"/>
              </w:rPr>
              <w:t>28.3</w:t>
            </w:r>
          </w:p>
        </w:tc>
        <w:tc>
          <w:tcPr>
            <w:tcW w:w="850" w:type="dxa"/>
            <w:tcBorders>
              <w:top w:val="nil"/>
              <w:left w:val="single" w:sz="4" w:space="0" w:color="0055A0"/>
              <w:bottom w:val="nil"/>
              <w:right w:val="single" w:sz="4" w:space="0" w:color="0055A0"/>
            </w:tcBorders>
            <w:noWrap/>
            <w:hideMark/>
          </w:tcPr>
          <w:p w14:paraId="0FCA4238" w14:textId="77777777" w:rsidR="004D45F1" w:rsidRDefault="004D45F1">
            <w:pPr>
              <w:jc w:val="right"/>
              <w:rPr>
                <w:rFonts w:cs="Arial"/>
                <w:noProof/>
                <w:color w:val="000000"/>
                <w:sz w:val="18"/>
                <w:szCs w:val="18"/>
                <w:lang w:val="de-DE" w:eastAsia="de-DE"/>
              </w:rPr>
            </w:pPr>
            <w:r>
              <w:rPr>
                <w:rFonts w:cs="Arial"/>
                <w:noProof/>
                <w:color w:val="000000"/>
                <w:sz w:val="18"/>
                <w:szCs w:val="18"/>
              </w:rPr>
              <w:t>37.0</w:t>
            </w:r>
          </w:p>
        </w:tc>
        <w:tc>
          <w:tcPr>
            <w:tcW w:w="1021" w:type="dxa"/>
            <w:tcBorders>
              <w:top w:val="nil"/>
              <w:left w:val="single" w:sz="4" w:space="0" w:color="0055A0"/>
              <w:bottom w:val="nil"/>
              <w:right w:val="single" w:sz="4" w:space="0" w:color="0055A0"/>
            </w:tcBorders>
            <w:noWrap/>
          </w:tcPr>
          <w:p w14:paraId="5D5B13D7" w14:textId="77777777" w:rsidR="004D45F1" w:rsidRDefault="004D45F1">
            <w:pPr>
              <w:jc w:val="right"/>
              <w:rPr>
                <w:rFonts w:cs="Arial"/>
                <w:noProof/>
                <w:color w:val="000000"/>
                <w:sz w:val="18"/>
                <w:szCs w:val="18"/>
              </w:rPr>
            </w:pPr>
            <w:r>
              <w:rPr>
                <w:rFonts w:cs="Arial"/>
                <w:noProof/>
                <w:color w:val="000000"/>
                <w:sz w:val="18"/>
                <w:szCs w:val="18"/>
              </w:rPr>
              <w:t>37,6</w:t>
            </w:r>
          </w:p>
          <w:p w14:paraId="0A151379" w14:textId="77777777" w:rsidR="004D45F1" w:rsidRDefault="004D45F1">
            <w:pPr>
              <w:rPr>
                <w:rFonts w:cs="Arial"/>
                <w:noProof/>
                <w:color w:val="000000"/>
                <w:sz w:val="18"/>
                <w:szCs w:val="18"/>
                <w:lang w:val="de-DE" w:eastAsia="de-DE"/>
              </w:rPr>
            </w:pPr>
          </w:p>
        </w:tc>
        <w:tc>
          <w:tcPr>
            <w:tcW w:w="738" w:type="dxa"/>
            <w:tcBorders>
              <w:top w:val="nil"/>
              <w:left w:val="single" w:sz="4" w:space="0" w:color="0055A0"/>
              <w:bottom w:val="nil"/>
              <w:right w:val="single" w:sz="4" w:space="0" w:color="0055A0"/>
            </w:tcBorders>
            <w:noWrap/>
            <w:hideMark/>
          </w:tcPr>
          <w:p w14:paraId="6598BFCD" w14:textId="77777777" w:rsidR="004D45F1" w:rsidRDefault="004D45F1">
            <w:pPr>
              <w:jc w:val="right"/>
              <w:rPr>
                <w:rFonts w:cs="Arial"/>
                <w:noProof/>
                <w:color w:val="000000"/>
                <w:sz w:val="18"/>
                <w:szCs w:val="18"/>
                <w:lang w:val="de-DE" w:eastAsia="de-DE"/>
              </w:rPr>
            </w:pPr>
            <w:r>
              <w:rPr>
                <w:rFonts w:cs="Arial"/>
                <w:noProof/>
                <w:color w:val="000000"/>
                <w:sz w:val="18"/>
                <w:szCs w:val="18"/>
              </w:rPr>
              <w:t>+29%</w:t>
            </w:r>
          </w:p>
        </w:tc>
        <w:tc>
          <w:tcPr>
            <w:tcW w:w="1904" w:type="dxa"/>
            <w:tcBorders>
              <w:top w:val="single" w:sz="4" w:space="0" w:color="4472C4"/>
              <w:left w:val="single" w:sz="4" w:space="0" w:color="0055A0"/>
              <w:bottom w:val="single" w:sz="4" w:space="0" w:color="4472C4"/>
              <w:right w:val="single" w:sz="4" w:space="0" w:color="0055A0"/>
            </w:tcBorders>
            <w:noWrap/>
            <w:hideMark/>
          </w:tcPr>
          <w:p w14:paraId="30031A2D" w14:textId="77777777" w:rsidR="004D45F1" w:rsidRDefault="004D45F1">
            <w:pPr>
              <w:jc w:val="right"/>
              <w:rPr>
                <w:rFonts w:cs="Arial"/>
                <w:noProof/>
                <w:color w:val="000000"/>
                <w:sz w:val="18"/>
                <w:szCs w:val="18"/>
                <w:lang w:val="de-DE" w:eastAsia="de-DE"/>
              </w:rPr>
            </w:pPr>
            <w:r>
              <w:rPr>
                <w:rFonts w:cs="Arial"/>
                <w:noProof/>
                <w:color w:val="000000"/>
                <w:sz w:val="18"/>
                <w:szCs w:val="18"/>
              </w:rPr>
              <w:drawing>
                <wp:inline distT="0" distB="0" distL="0" distR="0" wp14:anchorId="06722556" wp14:editId="640F03B5">
                  <wp:extent cx="1066800" cy="200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200660"/>
                          </a:xfrm>
                          <a:prstGeom prst="rect">
                            <a:avLst/>
                          </a:prstGeom>
                          <a:noFill/>
                          <a:ln>
                            <a:noFill/>
                          </a:ln>
                        </pic:spPr>
                      </pic:pic>
                    </a:graphicData>
                  </a:graphic>
                </wp:inline>
              </w:drawing>
            </w:r>
            <w:r>
              <w:rPr>
                <w:rFonts w:cs="Arial"/>
                <w:noProof/>
                <w:color w:val="000000"/>
                <w:sz w:val="18"/>
                <w:szCs w:val="18"/>
                <w:lang w:val="de-DE" w:eastAsia="de-DE"/>
              </w:rPr>
              <w:t> </w:t>
            </w:r>
          </w:p>
        </w:tc>
      </w:tr>
      <w:tr w:rsidR="004D45F1" w14:paraId="6807DF66"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1271" w:type="dxa"/>
            <w:tcBorders>
              <w:top w:val="nil"/>
              <w:left w:val="single" w:sz="4" w:space="0" w:color="0055A0"/>
              <w:bottom w:val="nil"/>
            </w:tcBorders>
            <w:noWrap/>
            <w:hideMark/>
          </w:tcPr>
          <w:p w14:paraId="3D46BAE5" w14:textId="77777777" w:rsidR="004D45F1" w:rsidRDefault="004D45F1">
            <w:pPr>
              <w:rPr>
                <w:rFonts w:cs="Arial"/>
                <w:noProof/>
                <w:color w:val="000000"/>
                <w:sz w:val="18"/>
                <w:szCs w:val="18"/>
                <w:vertAlign w:val="superscript"/>
                <w:lang w:eastAsia="de-DE"/>
              </w:rPr>
            </w:pPr>
            <w:r>
              <w:rPr>
                <w:rFonts w:cs="Arial"/>
                <w:noProof/>
                <w:color w:val="000000"/>
                <w:sz w:val="18"/>
                <w:szCs w:val="18"/>
                <w:lang w:eastAsia="de-DE"/>
              </w:rPr>
              <w:t>Emissions</w:t>
            </w:r>
            <w:r>
              <w:rPr>
                <w:rFonts w:cs="Arial"/>
                <w:noProof/>
                <w:color w:val="000000"/>
                <w:sz w:val="18"/>
                <w:szCs w:val="18"/>
                <w:vertAlign w:val="superscript"/>
                <w:lang w:eastAsia="de-DE"/>
              </w:rPr>
              <w:t>(iv)</w:t>
            </w:r>
          </w:p>
        </w:tc>
        <w:tc>
          <w:tcPr>
            <w:tcW w:w="851" w:type="dxa"/>
            <w:tcBorders>
              <w:top w:val="nil"/>
              <w:bottom w:val="nil"/>
            </w:tcBorders>
            <w:noWrap/>
            <w:hideMark/>
          </w:tcPr>
          <w:p w14:paraId="5D7CA9ED" w14:textId="77777777" w:rsidR="004D45F1" w:rsidRDefault="004D45F1">
            <w:pPr>
              <w:jc w:val="right"/>
              <w:rPr>
                <w:rFonts w:cs="Arial"/>
                <w:noProof/>
                <w:color w:val="000000"/>
                <w:sz w:val="18"/>
                <w:szCs w:val="18"/>
                <w:lang w:eastAsia="de-DE"/>
              </w:rPr>
            </w:pPr>
            <w:r>
              <w:rPr>
                <w:rFonts w:cs="Arial"/>
                <w:noProof/>
                <w:color w:val="000000"/>
                <w:sz w:val="18"/>
                <w:szCs w:val="18"/>
              </w:rPr>
              <w:t>4.9</w:t>
            </w:r>
          </w:p>
        </w:tc>
        <w:tc>
          <w:tcPr>
            <w:tcW w:w="850" w:type="dxa"/>
            <w:tcBorders>
              <w:top w:val="nil"/>
              <w:bottom w:val="nil"/>
            </w:tcBorders>
            <w:noWrap/>
            <w:hideMark/>
          </w:tcPr>
          <w:p w14:paraId="128FC590" w14:textId="77777777" w:rsidR="004D45F1" w:rsidRDefault="004D45F1">
            <w:pPr>
              <w:jc w:val="right"/>
              <w:rPr>
                <w:rFonts w:cs="Arial"/>
                <w:noProof/>
                <w:color w:val="000000"/>
                <w:sz w:val="18"/>
                <w:szCs w:val="18"/>
                <w:lang w:val="de-DE" w:eastAsia="de-DE"/>
              </w:rPr>
            </w:pPr>
            <w:r>
              <w:rPr>
                <w:rFonts w:cs="Arial"/>
                <w:noProof/>
                <w:color w:val="000000"/>
                <w:sz w:val="18"/>
                <w:szCs w:val="18"/>
              </w:rPr>
              <w:t>7.2</w:t>
            </w:r>
          </w:p>
        </w:tc>
        <w:tc>
          <w:tcPr>
            <w:tcW w:w="964" w:type="dxa"/>
            <w:tcBorders>
              <w:top w:val="nil"/>
              <w:bottom w:val="nil"/>
            </w:tcBorders>
            <w:noWrap/>
            <w:hideMark/>
          </w:tcPr>
          <w:p w14:paraId="309ADE56" w14:textId="77777777" w:rsidR="004D45F1" w:rsidRDefault="004D45F1">
            <w:pPr>
              <w:jc w:val="right"/>
              <w:rPr>
                <w:rFonts w:cs="Arial"/>
                <w:noProof/>
                <w:color w:val="000000"/>
                <w:sz w:val="18"/>
                <w:szCs w:val="18"/>
                <w:lang w:val="de-DE" w:eastAsia="de-DE"/>
              </w:rPr>
            </w:pPr>
            <w:r>
              <w:rPr>
                <w:rFonts w:cs="Arial"/>
                <w:noProof/>
                <w:color w:val="000000"/>
                <w:sz w:val="18"/>
                <w:szCs w:val="18"/>
              </w:rPr>
              <w:t>6.0</w:t>
            </w:r>
          </w:p>
        </w:tc>
        <w:tc>
          <w:tcPr>
            <w:tcW w:w="850" w:type="dxa"/>
            <w:tcBorders>
              <w:top w:val="nil"/>
              <w:bottom w:val="nil"/>
            </w:tcBorders>
            <w:noWrap/>
            <w:hideMark/>
          </w:tcPr>
          <w:p w14:paraId="4050457C" w14:textId="77777777" w:rsidR="004D45F1" w:rsidRDefault="004D45F1">
            <w:pPr>
              <w:jc w:val="right"/>
              <w:rPr>
                <w:rFonts w:cs="Arial"/>
                <w:noProof/>
                <w:color w:val="000000"/>
                <w:sz w:val="18"/>
                <w:szCs w:val="18"/>
                <w:lang w:val="de-DE" w:eastAsia="de-DE"/>
              </w:rPr>
            </w:pPr>
            <w:r>
              <w:rPr>
                <w:rFonts w:cs="Arial"/>
                <w:noProof/>
                <w:color w:val="000000"/>
                <w:sz w:val="18"/>
                <w:szCs w:val="18"/>
              </w:rPr>
              <w:t>5.4</w:t>
            </w:r>
          </w:p>
        </w:tc>
        <w:tc>
          <w:tcPr>
            <w:tcW w:w="850" w:type="dxa"/>
            <w:tcBorders>
              <w:top w:val="nil"/>
              <w:bottom w:val="nil"/>
            </w:tcBorders>
            <w:noWrap/>
            <w:hideMark/>
          </w:tcPr>
          <w:p w14:paraId="62868162" w14:textId="77777777" w:rsidR="004D45F1" w:rsidRDefault="004D45F1">
            <w:pPr>
              <w:jc w:val="right"/>
              <w:rPr>
                <w:rFonts w:cs="Arial"/>
                <w:noProof/>
                <w:color w:val="000000"/>
                <w:sz w:val="18"/>
                <w:szCs w:val="18"/>
                <w:lang w:val="de-DE" w:eastAsia="de-DE"/>
              </w:rPr>
            </w:pPr>
            <w:r>
              <w:rPr>
                <w:rFonts w:cs="Arial"/>
                <w:noProof/>
                <w:color w:val="000000"/>
                <w:sz w:val="18"/>
                <w:szCs w:val="18"/>
              </w:rPr>
              <w:t>3.4</w:t>
            </w:r>
          </w:p>
        </w:tc>
        <w:tc>
          <w:tcPr>
            <w:tcW w:w="1021" w:type="dxa"/>
            <w:tcBorders>
              <w:top w:val="nil"/>
              <w:bottom w:val="nil"/>
            </w:tcBorders>
            <w:noWrap/>
            <w:hideMark/>
          </w:tcPr>
          <w:p w14:paraId="5D1E768C" w14:textId="77777777" w:rsidR="004D45F1" w:rsidRDefault="004D45F1">
            <w:pPr>
              <w:jc w:val="right"/>
              <w:rPr>
                <w:rFonts w:cs="Arial"/>
                <w:noProof/>
                <w:color w:val="000000"/>
                <w:sz w:val="18"/>
                <w:szCs w:val="18"/>
                <w:lang w:val="de-DE" w:eastAsia="de-DE"/>
              </w:rPr>
            </w:pPr>
            <w:r>
              <w:rPr>
                <w:rFonts w:cs="Arial"/>
                <w:noProof/>
                <w:color w:val="000000"/>
                <w:sz w:val="18"/>
                <w:szCs w:val="18"/>
              </w:rPr>
              <w:t>5,4</w:t>
            </w:r>
          </w:p>
        </w:tc>
        <w:tc>
          <w:tcPr>
            <w:tcW w:w="738" w:type="dxa"/>
            <w:tcBorders>
              <w:top w:val="nil"/>
              <w:bottom w:val="nil"/>
            </w:tcBorders>
            <w:noWrap/>
            <w:hideMark/>
          </w:tcPr>
          <w:p w14:paraId="74B6D2EA" w14:textId="77777777" w:rsidR="004D45F1" w:rsidRDefault="004D45F1">
            <w:pPr>
              <w:jc w:val="right"/>
              <w:rPr>
                <w:rFonts w:cs="Arial"/>
                <w:noProof/>
                <w:color w:val="000000"/>
                <w:sz w:val="18"/>
                <w:szCs w:val="18"/>
                <w:lang w:val="de-DE" w:eastAsia="de-DE"/>
              </w:rPr>
            </w:pPr>
            <w:r>
              <w:rPr>
                <w:rFonts w:cs="Arial"/>
                <w:noProof/>
                <w:color w:val="000000"/>
                <w:sz w:val="18"/>
                <w:szCs w:val="18"/>
              </w:rPr>
              <w:t>-30%</w:t>
            </w:r>
          </w:p>
        </w:tc>
        <w:tc>
          <w:tcPr>
            <w:tcW w:w="1904" w:type="dxa"/>
            <w:tcBorders>
              <w:top w:val="single" w:sz="4" w:space="0" w:color="4472C4"/>
              <w:bottom w:val="single" w:sz="4" w:space="0" w:color="4472C4"/>
              <w:right w:val="single" w:sz="4" w:space="0" w:color="0055A0"/>
            </w:tcBorders>
            <w:noWrap/>
            <w:hideMark/>
          </w:tcPr>
          <w:p w14:paraId="24C65717" w14:textId="77777777" w:rsidR="004D45F1" w:rsidRDefault="004D45F1">
            <w:pPr>
              <w:jc w:val="right"/>
              <w:rPr>
                <w:rFonts w:cs="Arial"/>
                <w:noProof/>
                <w:color w:val="000000"/>
                <w:sz w:val="18"/>
                <w:szCs w:val="18"/>
                <w:lang w:val="de-DE" w:eastAsia="de-DE"/>
              </w:rPr>
            </w:pPr>
            <w:r>
              <w:rPr>
                <w:rFonts w:cs="Arial"/>
                <w:noProof/>
                <w:color w:val="000000"/>
                <w:sz w:val="18"/>
                <w:szCs w:val="18"/>
              </w:rPr>
              <w:drawing>
                <wp:inline distT="0" distB="0" distL="0" distR="0" wp14:anchorId="2F0E2670" wp14:editId="4CE5533B">
                  <wp:extent cx="1075055" cy="208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055" cy="208280"/>
                          </a:xfrm>
                          <a:prstGeom prst="rect">
                            <a:avLst/>
                          </a:prstGeom>
                          <a:noFill/>
                          <a:ln>
                            <a:noFill/>
                          </a:ln>
                        </pic:spPr>
                      </pic:pic>
                    </a:graphicData>
                  </a:graphic>
                </wp:inline>
              </w:drawing>
            </w:r>
            <w:r>
              <w:rPr>
                <w:rFonts w:cs="Arial"/>
                <w:noProof/>
                <w:color w:val="000000"/>
                <w:sz w:val="18"/>
                <w:szCs w:val="18"/>
                <w:lang w:val="de-DE" w:eastAsia="de-DE"/>
              </w:rPr>
              <w:t> </w:t>
            </w:r>
          </w:p>
        </w:tc>
      </w:tr>
      <w:tr w:rsidR="004D45F1" w14:paraId="1F2C4B94"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1271" w:type="dxa"/>
            <w:tcBorders>
              <w:top w:val="nil"/>
              <w:left w:val="single" w:sz="4" w:space="0" w:color="0055A0"/>
              <w:bottom w:val="nil"/>
              <w:right w:val="single" w:sz="4" w:space="0" w:color="0055A0"/>
            </w:tcBorders>
            <w:noWrap/>
            <w:hideMark/>
          </w:tcPr>
          <w:p w14:paraId="1112484A" w14:textId="77777777" w:rsidR="004D45F1" w:rsidRDefault="004D45F1">
            <w:pPr>
              <w:rPr>
                <w:rFonts w:cs="Arial"/>
                <w:noProof/>
                <w:color w:val="000000"/>
                <w:sz w:val="18"/>
                <w:szCs w:val="18"/>
                <w:lang w:eastAsia="de-DE"/>
              </w:rPr>
            </w:pPr>
            <w:r>
              <w:rPr>
                <w:rFonts w:cs="Arial"/>
                <w:noProof/>
                <w:color w:val="000000"/>
                <w:sz w:val="18"/>
                <w:szCs w:val="18"/>
                <w:lang w:eastAsia="de-DE"/>
              </w:rPr>
              <w:t>Emissions</w:t>
            </w:r>
            <w:r>
              <w:rPr>
                <w:rFonts w:cs="Arial"/>
                <w:noProof/>
                <w:color w:val="000000"/>
                <w:sz w:val="18"/>
                <w:szCs w:val="18"/>
                <w:vertAlign w:val="superscript"/>
                <w:lang w:eastAsia="de-DE"/>
              </w:rPr>
              <w:t>(v)</w:t>
            </w:r>
            <w:r>
              <w:rPr>
                <w:rFonts w:cs="Arial"/>
                <w:noProof/>
                <w:color w:val="000000"/>
                <w:sz w:val="18"/>
                <w:szCs w:val="18"/>
                <w:lang w:eastAsia="de-DE"/>
              </w:rPr>
              <w:t xml:space="preserve"> (tODP)</w:t>
            </w:r>
          </w:p>
        </w:tc>
        <w:tc>
          <w:tcPr>
            <w:tcW w:w="851" w:type="dxa"/>
            <w:tcBorders>
              <w:top w:val="nil"/>
              <w:left w:val="single" w:sz="4" w:space="0" w:color="0055A0"/>
              <w:bottom w:val="nil"/>
              <w:right w:val="single" w:sz="4" w:space="0" w:color="0055A0"/>
            </w:tcBorders>
            <w:noWrap/>
            <w:hideMark/>
          </w:tcPr>
          <w:p w14:paraId="056BF882" w14:textId="77777777" w:rsidR="004D45F1" w:rsidRDefault="004D45F1">
            <w:pPr>
              <w:jc w:val="right"/>
              <w:rPr>
                <w:rFonts w:cs="Arial"/>
                <w:noProof/>
                <w:color w:val="000000"/>
                <w:sz w:val="18"/>
                <w:szCs w:val="18"/>
                <w:lang w:eastAsia="de-DE"/>
              </w:rPr>
            </w:pPr>
            <w:r>
              <w:rPr>
                <w:rFonts w:cs="Arial"/>
                <w:noProof/>
                <w:color w:val="000000"/>
                <w:sz w:val="18"/>
                <w:szCs w:val="18"/>
              </w:rPr>
              <w:t>37.3</w:t>
            </w:r>
          </w:p>
        </w:tc>
        <w:tc>
          <w:tcPr>
            <w:tcW w:w="850" w:type="dxa"/>
            <w:tcBorders>
              <w:top w:val="nil"/>
              <w:left w:val="single" w:sz="4" w:space="0" w:color="0055A0"/>
              <w:bottom w:val="nil"/>
              <w:right w:val="single" w:sz="4" w:space="0" w:color="0055A0"/>
            </w:tcBorders>
            <w:noWrap/>
            <w:hideMark/>
          </w:tcPr>
          <w:p w14:paraId="1A293A7E" w14:textId="77777777" w:rsidR="004D45F1" w:rsidRDefault="004D45F1">
            <w:pPr>
              <w:jc w:val="right"/>
              <w:rPr>
                <w:rFonts w:cs="Arial"/>
                <w:noProof/>
                <w:color w:val="000000"/>
                <w:sz w:val="18"/>
                <w:szCs w:val="18"/>
                <w:lang w:val="de-DE" w:eastAsia="de-DE"/>
              </w:rPr>
            </w:pPr>
            <w:r>
              <w:rPr>
                <w:rFonts w:cs="Arial"/>
                <w:noProof/>
                <w:color w:val="000000"/>
                <w:sz w:val="18"/>
                <w:szCs w:val="18"/>
              </w:rPr>
              <w:t>61.1</w:t>
            </w:r>
          </w:p>
        </w:tc>
        <w:tc>
          <w:tcPr>
            <w:tcW w:w="964" w:type="dxa"/>
            <w:tcBorders>
              <w:top w:val="nil"/>
              <w:left w:val="single" w:sz="4" w:space="0" w:color="0055A0"/>
              <w:bottom w:val="nil"/>
              <w:right w:val="single" w:sz="4" w:space="0" w:color="0055A0"/>
            </w:tcBorders>
            <w:noWrap/>
            <w:hideMark/>
          </w:tcPr>
          <w:p w14:paraId="3AB5AE25" w14:textId="77777777" w:rsidR="004D45F1" w:rsidRDefault="004D45F1">
            <w:pPr>
              <w:jc w:val="right"/>
              <w:rPr>
                <w:rFonts w:cs="Arial"/>
                <w:noProof/>
                <w:color w:val="000000"/>
                <w:sz w:val="18"/>
                <w:szCs w:val="18"/>
                <w:lang w:val="de-DE" w:eastAsia="de-DE"/>
              </w:rPr>
            </w:pPr>
            <w:r>
              <w:rPr>
                <w:rFonts w:cs="Arial"/>
                <w:noProof/>
                <w:color w:val="000000"/>
                <w:sz w:val="18"/>
                <w:szCs w:val="18"/>
              </w:rPr>
              <w:t>51.3</w:t>
            </w:r>
          </w:p>
        </w:tc>
        <w:tc>
          <w:tcPr>
            <w:tcW w:w="850" w:type="dxa"/>
            <w:tcBorders>
              <w:top w:val="nil"/>
              <w:left w:val="single" w:sz="4" w:space="0" w:color="0055A0"/>
              <w:bottom w:val="nil"/>
              <w:right w:val="single" w:sz="4" w:space="0" w:color="0055A0"/>
            </w:tcBorders>
            <w:noWrap/>
            <w:hideMark/>
          </w:tcPr>
          <w:p w14:paraId="66E68806" w14:textId="77777777" w:rsidR="004D45F1" w:rsidRDefault="004D45F1">
            <w:pPr>
              <w:jc w:val="right"/>
              <w:rPr>
                <w:rFonts w:cs="Arial"/>
                <w:noProof/>
                <w:color w:val="000000"/>
                <w:sz w:val="18"/>
                <w:szCs w:val="18"/>
                <w:lang w:val="de-DE" w:eastAsia="de-DE"/>
              </w:rPr>
            </w:pPr>
            <w:r>
              <w:rPr>
                <w:rFonts w:cs="Arial"/>
                <w:noProof/>
                <w:color w:val="000000"/>
                <w:sz w:val="18"/>
                <w:szCs w:val="18"/>
              </w:rPr>
              <w:t>40.5</w:t>
            </w:r>
          </w:p>
        </w:tc>
        <w:tc>
          <w:tcPr>
            <w:tcW w:w="850" w:type="dxa"/>
            <w:tcBorders>
              <w:top w:val="nil"/>
              <w:left w:val="single" w:sz="4" w:space="0" w:color="0055A0"/>
              <w:bottom w:val="nil"/>
              <w:right w:val="single" w:sz="4" w:space="0" w:color="0055A0"/>
            </w:tcBorders>
            <w:noWrap/>
            <w:hideMark/>
          </w:tcPr>
          <w:p w14:paraId="34FD2C11" w14:textId="77777777" w:rsidR="004D45F1" w:rsidRDefault="004D45F1">
            <w:pPr>
              <w:jc w:val="right"/>
              <w:rPr>
                <w:rFonts w:cs="Arial"/>
                <w:noProof/>
                <w:color w:val="000000"/>
                <w:sz w:val="18"/>
                <w:szCs w:val="18"/>
                <w:lang w:val="de-DE" w:eastAsia="de-DE"/>
              </w:rPr>
            </w:pPr>
            <w:r>
              <w:rPr>
                <w:rFonts w:cs="Arial"/>
                <w:noProof/>
                <w:color w:val="000000"/>
                <w:sz w:val="18"/>
                <w:szCs w:val="18"/>
              </w:rPr>
              <w:t>23.7</w:t>
            </w:r>
          </w:p>
        </w:tc>
        <w:tc>
          <w:tcPr>
            <w:tcW w:w="1021" w:type="dxa"/>
            <w:tcBorders>
              <w:top w:val="nil"/>
              <w:left w:val="single" w:sz="4" w:space="0" w:color="0055A0"/>
              <w:bottom w:val="nil"/>
              <w:right w:val="single" w:sz="4" w:space="0" w:color="0055A0"/>
            </w:tcBorders>
            <w:noWrap/>
            <w:hideMark/>
          </w:tcPr>
          <w:p w14:paraId="6F905281" w14:textId="77777777" w:rsidR="004D45F1" w:rsidRDefault="004D45F1">
            <w:pPr>
              <w:jc w:val="right"/>
              <w:rPr>
                <w:rFonts w:cs="Arial"/>
                <w:noProof/>
                <w:color w:val="000000"/>
                <w:sz w:val="18"/>
                <w:szCs w:val="18"/>
                <w:lang w:val="de-DE" w:eastAsia="de-DE"/>
              </w:rPr>
            </w:pPr>
            <w:r>
              <w:rPr>
                <w:rFonts w:cs="Arial"/>
                <w:noProof/>
                <w:color w:val="000000"/>
                <w:sz w:val="18"/>
                <w:szCs w:val="18"/>
              </w:rPr>
              <w:t>42.8</w:t>
            </w:r>
          </w:p>
        </w:tc>
        <w:tc>
          <w:tcPr>
            <w:tcW w:w="738" w:type="dxa"/>
            <w:tcBorders>
              <w:top w:val="nil"/>
              <w:left w:val="single" w:sz="4" w:space="0" w:color="0055A0"/>
              <w:bottom w:val="nil"/>
              <w:right w:val="single" w:sz="4" w:space="0" w:color="0055A0"/>
            </w:tcBorders>
            <w:noWrap/>
            <w:hideMark/>
          </w:tcPr>
          <w:p w14:paraId="0EB9FFE6" w14:textId="77777777" w:rsidR="004D45F1" w:rsidRDefault="004D45F1">
            <w:pPr>
              <w:jc w:val="right"/>
              <w:rPr>
                <w:rFonts w:cs="Arial"/>
                <w:noProof/>
                <w:color w:val="000000"/>
                <w:sz w:val="18"/>
                <w:szCs w:val="18"/>
                <w:lang w:val="de-DE" w:eastAsia="de-DE"/>
              </w:rPr>
            </w:pPr>
            <w:r>
              <w:rPr>
                <w:rFonts w:cs="Arial"/>
                <w:noProof/>
                <w:color w:val="000000"/>
                <w:sz w:val="18"/>
                <w:szCs w:val="18"/>
              </w:rPr>
              <w:t>-37%</w:t>
            </w:r>
          </w:p>
        </w:tc>
        <w:tc>
          <w:tcPr>
            <w:tcW w:w="1904" w:type="dxa"/>
            <w:tcBorders>
              <w:top w:val="single" w:sz="4" w:space="0" w:color="4472C4"/>
              <w:left w:val="single" w:sz="4" w:space="0" w:color="0055A0"/>
              <w:bottom w:val="single" w:sz="4" w:space="0" w:color="4472C4"/>
              <w:right w:val="single" w:sz="4" w:space="0" w:color="0055A0"/>
            </w:tcBorders>
            <w:noWrap/>
            <w:vAlign w:val="top"/>
            <w:hideMark/>
          </w:tcPr>
          <w:p w14:paraId="109AD6BA" w14:textId="77777777" w:rsidR="004D45F1" w:rsidRDefault="004D45F1">
            <w:pPr>
              <w:rPr>
                <w:rFonts w:cs="Arial"/>
                <w:noProof/>
                <w:color w:val="000000"/>
                <w:sz w:val="18"/>
                <w:szCs w:val="18"/>
                <w:lang w:val="de-DE" w:eastAsia="de-DE"/>
              </w:rPr>
            </w:pPr>
            <w:r>
              <w:rPr>
                <w:rFonts w:cs="Arial"/>
                <w:noProof/>
                <w:color w:val="000000"/>
                <w:sz w:val="18"/>
                <w:szCs w:val="18"/>
              </w:rPr>
              <w:drawing>
                <wp:inline distT="0" distB="0" distL="0" distR="0" wp14:anchorId="14B6CF49" wp14:editId="443AD69F">
                  <wp:extent cx="1066800" cy="220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220345"/>
                          </a:xfrm>
                          <a:prstGeom prst="rect">
                            <a:avLst/>
                          </a:prstGeom>
                          <a:noFill/>
                          <a:ln>
                            <a:noFill/>
                          </a:ln>
                        </pic:spPr>
                      </pic:pic>
                    </a:graphicData>
                  </a:graphic>
                </wp:inline>
              </w:drawing>
            </w:r>
          </w:p>
        </w:tc>
      </w:tr>
      <w:tr w:rsidR="004D45F1" w14:paraId="1407A5DA"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1271" w:type="dxa"/>
            <w:tcBorders>
              <w:top w:val="nil"/>
              <w:left w:val="single" w:sz="4" w:space="0" w:color="0055A0"/>
              <w:bottom w:val="nil"/>
            </w:tcBorders>
            <w:noWrap/>
            <w:hideMark/>
          </w:tcPr>
          <w:p w14:paraId="015C347A" w14:textId="77777777" w:rsidR="004D45F1" w:rsidRDefault="004D45F1">
            <w:pPr>
              <w:rPr>
                <w:rFonts w:cs="Arial"/>
                <w:noProof/>
                <w:color w:val="000000"/>
                <w:sz w:val="18"/>
                <w:szCs w:val="18"/>
                <w:lang w:eastAsia="de-DE"/>
              </w:rPr>
            </w:pPr>
            <w:r>
              <w:rPr>
                <w:rFonts w:cs="Arial"/>
                <w:noProof/>
                <w:color w:val="000000"/>
                <w:sz w:val="18"/>
                <w:szCs w:val="18"/>
                <w:lang w:eastAsia="de-DE"/>
              </w:rPr>
              <w:t>Emissions (tCO2e)</w:t>
            </w:r>
          </w:p>
        </w:tc>
        <w:tc>
          <w:tcPr>
            <w:tcW w:w="851" w:type="dxa"/>
            <w:tcBorders>
              <w:top w:val="nil"/>
              <w:bottom w:val="nil"/>
            </w:tcBorders>
            <w:noWrap/>
            <w:hideMark/>
          </w:tcPr>
          <w:p w14:paraId="4955D947" w14:textId="77777777" w:rsidR="004D45F1" w:rsidRDefault="004D45F1">
            <w:pPr>
              <w:jc w:val="right"/>
              <w:rPr>
                <w:rFonts w:cs="Arial"/>
                <w:noProof/>
                <w:color w:val="000000"/>
                <w:sz w:val="18"/>
                <w:szCs w:val="18"/>
              </w:rPr>
            </w:pPr>
            <w:r>
              <w:rPr>
                <w:rFonts w:cs="Arial"/>
                <w:noProof/>
                <w:color w:val="000000"/>
                <w:sz w:val="18"/>
                <w:szCs w:val="18"/>
              </w:rPr>
              <w:t>23,209</w:t>
            </w:r>
          </w:p>
        </w:tc>
        <w:tc>
          <w:tcPr>
            <w:tcW w:w="850" w:type="dxa"/>
            <w:tcBorders>
              <w:top w:val="nil"/>
              <w:bottom w:val="nil"/>
            </w:tcBorders>
            <w:noWrap/>
            <w:hideMark/>
          </w:tcPr>
          <w:p w14:paraId="7D7D5208" w14:textId="77777777" w:rsidR="004D45F1" w:rsidRDefault="004D45F1">
            <w:pPr>
              <w:jc w:val="right"/>
              <w:rPr>
                <w:rFonts w:cs="Arial"/>
                <w:noProof/>
                <w:color w:val="000000"/>
                <w:sz w:val="18"/>
                <w:szCs w:val="18"/>
              </w:rPr>
            </w:pPr>
            <w:r>
              <w:rPr>
                <w:rFonts w:cs="Arial"/>
                <w:noProof/>
                <w:color w:val="000000"/>
                <w:sz w:val="18"/>
                <w:szCs w:val="18"/>
              </w:rPr>
              <w:t>38, 197</w:t>
            </w:r>
          </w:p>
        </w:tc>
        <w:tc>
          <w:tcPr>
            <w:tcW w:w="964" w:type="dxa"/>
            <w:tcBorders>
              <w:top w:val="nil"/>
              <w:bottom w:val="nil"/>
            </w:tcBorders>
            <w:noWrap/>
            <w:hideMark/>
          </w:tcPr>
          <w:p w14:paraId="4BC0EF06" w14:textId="77777777" w:rsidR="004D45F1" w:rsidRDefault="004D45F1">
            <w:pPr>
              <w:jc w:val="right"/>
              <w:rPr>
                <w:rFonts w:cs="Arial"/>
                <w:noProof/>
                <w:color w:val="000000"/>
                <w:sz w:val="18"/>
                <w:szCs w:val="18"/>
              </w:rPr>
            </w:pPr>
            <w:r>
              <w:rPr>
                <w:rFonts w:cs="Arial"/>
                <w:noProof/>
                <w:color w:val="000000"/>
                <w:sz w:val="18"/>
                <w:szCs w:val="18"/>
              </w:rPr>
              <w:t>31,804</w:t>
            </w:r>
          </w:p>
        </w:tc>
        <w:tc>
          <w:tcPr>
            <w:tcW w:w="850" w:type="dxa"/>
            <w:tcBorders>
              <w:top w:val="nil"/>
              <w:bottom w:val="nil"/>
            </w:tcBorders>
            <w:noWrap/>
            <w:hideMark/>
          </w:tcPr>
          <w:p w14:paraId="439E853B" w14:textId="77777777" w:rsidR="004D45F1" w:rsidRDefault="004D45F1">
            <w:pPr>
              <w:jc w:val="right"/>
              <w:rPr>
                <w:rFonts w:cs="Arial"/>
                <w:noProof/>
                <w:color w:val="000000"/>
                <w:sz w:val="18"/>
                <w:szCs w:val="18"/>
              </w:rPr>
            </w:pPr>
            <w:r>
              <w:rPr>
                <w:rFonts w:cs="Arial"/>
                <w:noProof/>
                <w:color w:val="000000"/>
                <w:sz w:val="18"/>
                <w:szCs w:val="18"/>
              </w:rPr>
              <w:t>25,195</w:t>
            </w:r>
          </w:p>
        </w:tc>
        <w:tc>
          <w:tcPr>
            <w:tcW w:w="850" w:type="dxa"/>
            <w:tcBorders>
              <w:top w:val="nil"/>
              <w:bottom w:val="nil"/>
            </w:tcBorders>
            <w:noWrap/>
            <w:hideMark/>
          </w:tcPr>
          <w:p w14:paraId="336A1049" w14:textId="77777777" w:rsidR="004D45F1" w:rsidRDefault="004D45F1">
            <w:pPr>
              <w:jc w:val="right"/>
              <w:rPr>
                <w:rFonts w:cs="Arial"/>
                <w:noProof/>
                <w:color w:val="000000"/>
                <w:sz w:val="18"/>
                <w:szCs w:val="18"/>
              </w:rPr>
            </w:pPr>
            <w:r>
              <w:rPr>
                <w:rFonts w:cs="Arial"/>
                <w:noProof/>
                <w:color w:val="000000"/>
                <w:sz w:val="18"/>
                <w:szCs w:val="18"/>
              </w:rPr>
              <w:t>14,688</w:t>
            </w:r>
          </w:p>
        </w:tc>
        <w:tc>
          <w:tcPr>
            <w:tcW w:w="1021" w:type="dxa"/>
            <w:tcBorders>
              <w:top w:val="nil"/>
              <w:bottom w:val="nil"/>
            </w:tcBorders>
            <w:noWrap/>
            <w:hideMark/>
          </w:tcPr>
          <w:p w14:paraId="06FF90EC" w14:textId="77777777" w:rsidR="004D45F1" w:rsidRDefault="004D45F1">
            <w:pPr>
              <w:jc w:val="right"/>
              <w:rPr>
                <w:rFonts w:cs="Arial"/>
                <w:noProof/>
                <w:color w:val="000000"/>
                <w:sz w:val="18"/>
                <w:szCs w:val="18"/>
              </w:rPr>
            </w:pPr>
            <w:r>
              <w:rPr>
                <w:rFonts w:cs="Arial"/>
                <w:noProof/>
                <w:color w:val="000000"/>
                <w:sz w:val="18"/>
                <w:szCs w:val="18"/>
              </w:rPr>
              <w:t>26,619</w:t>
            </w:r>
          </w:p>
        </w:tc>
        <w:tc>
          <w:tcPr>
            <w:tcW w:w="738" w:type="dxa"/>
            <w:tcBorders>
              <w:top w:val="nil"/>
              <w:bottom w:val="nil"/>
            </w:tcBorders>
            <w:noWrap/>
            <w:hideMark/>
          </w:tcPr>
          <w:p w14:paraId="15675D64" w14:textId="77777777" w:rsidR="004D45F1" w:rsidRDefault="004D45F1">
            <w:pPr>
              <w:jc w:val="right"/>
              <w:rPr>
                <w:rFonts w:cs="Arial"/>
                <w:noProof/>
                <w:color w:val="000000"/>
                <w:sz w:val="18"/>
                <w:szCs w:val="18"/>
              </w:rPr>
            </w:pPr>
            <w:r>
              <w:rPr>
                <w:rFonts w:cs="Arial"/>
                <w:noProof/>
                <w:color w:val="000000"/>
                <w:sz w:val="18"/>
                <w:szCs w:val="18"/>
              </w:rPr>
              <w:t>-37%</w:t>
            </w:r>
          </w:p>
        </w:tc>
        <w:tc>
          <w:tcPr>
            <w:tcW w:w="1904" w:type="dxa"/>
            <w:tcBorders>
              <w:top w:val="single" w:sz="4" w:space="0" w:color="4472C4"/>
              <w:bottom w:val="single" w:sz="4" w:space="0" w:color="4472C4"/>
              <w:right w:val="single" w:sz="4" w:space="0" w:color="0055A0"/>
            </w:tcBorders>
            <w:noWrap/>
            <w:hideMark/>
          </w:tcPr>
          <w:p w14:paraId="39768CE3" w14:textId="77777777" w:rsidR="004D45F1" w:rsidRDefault="004D45F1">
            <w:pPr>
              <w:jc w:val="right"/>
              <w:rPr>
                <w:rFonts w:cs="Arial"/>
                <w:noProof/>
                <w:color w:val="000000"/>
                <w:sz w:val="18"/>
                <w:szCs w:val="18"/>
                <w:lang w:val="de-DE" w:eastAsia="de-DE"/>
              </w:rPr>
            </w:pPr>
            <w:r>
              <w:rPr>
                <w:rFonts w:cs="Arial"/>
                <w:noProof/>
                <w:color w:val="000000"/>
                <w:sz w:val="18"/>
                <w:szCs w:val="18"/>
              </w:rPr>
              <w:drawing>
                <wp:inline distT="0" distB="0" distL="0" distR="0" wp14:anchorId="204866F5" wp14:editId="14A28CA3">
                  <wp:extent cx="1066800" cy="2203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220345"/>
                          </a:xfrm>
                          <a:prstGeom prst="rect">
                            <a:avLst/>
                          </a:prstGeom>
                          <a:noFill/>
                          <a:ln>
                            <a:noFill/>
                          </a:ln>
                        </pic:spPr>
                      </pic:pic>
                    </a:graphicData>
                  </a:graphic>
                </wp:inline>
              </w:drawing>
            </w:r>
          </w:p>
        </w:tc>
      </w:tr>
      <w:tr w:rsidR="004D45F1" w14:paraId="0D0159F8"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1271" w:type="dxa"/>
            <w:tcBorders>
              <w:top w:val="nil"/>
              <w:left w:val="single" w:sz="4" w:space="0" w:color="0055A0"/>
              <w:bottom w:val="nil"/>
              <w:right w:val="single" w:sz="4" w:space="0" w:color="0055A0"/>
            </w:tcBorders>
            <w:hideMark/>
          </w:tcPr>
          <w:p w14:paraId="04725751" w14:textId="77777777" w:rsidR="004D45F1" w:rsidRDefault="004D45F1">
            <w:pPr>
              <w:rPr>
                <w:rFonts w:cs="Arial"/>
                <w:noProof/>
                <w:color w:val="000000"/>
                <w:sz w:val="18"/>
                <w:szCs w:val="18"/>
                <w:lang w:eastAsia="de-DE"/>
              </w:rPr>
            </w:pPr>
            <w:r>
              <w:rPr>
                <w:rFonts w:cs="Arial"/>
                <w:noProof/>
                <w:color w:val="000000"/>
                <w:sz w:val="18"/>
                <w:szCs w:val="18"/>
                <w:lang w:eastAsia="de-DE"/>
              </w:rPr>
              <w:t xml:space="preserve">Destruction </w:t>
            </w:r>
            <w:r>
              <w:rPr>
                <w:rFonts w:cs="Arial"/>
                <w:noProof/>
                <w:color w:val="000000"/>
                <w:sz w:val="18"/>
                <w:szCs w:val="18"/>
                <w:vertAlign w:val="superscript"/>
                <w:lang w:eastAsia="de-DE"/>
              </w:rPr>
              <w:t>(vi)</w:t>
            </w:r>
          </w:p>
        </w:tc>
        <w:tc>
          <w:tcPr>
            <w:tcW w:w="851" w:type="dxa"/>
            <w:tcBorders>
              <w:top w:val="nil"/>
              <w:left w:val="single" w:sz="4" w:space="0" w:color="0055A0"/>
              <w:bottom w:val="nil"/>
              <w:right w:val="single" w:sz="4" w:space="0" w:color="0055A0"/>
            </w:tcBorders>
            <w:noWrap/>
            <w:hideMark/>
          </w:tcPr>
          <w:p w14:paraId="318C7DF7" w14:textId="77777777" w:rsidR="004D45F1" w:rsidRDefault="004D45F1">
            <w:pPr>
              <w:jc w:val="right"/>
              <w:rPr>
                <w:rFonts w:cs="Arial"/>
                <w:noProof/>
                <w:color w:val="000000"/>
                <w:sz w:val="18"/>
                <w:szCs w:val="18"/>
                <w:lang w:eastAsia="de-DE"/>
              </w:rPr>
            </w:pPr>
            <w:r>
              <w:rPr>
                <w:rFonts w:cs="Arial"/>
                <w:noProof/>
                <w:color w:val="000000"/>
                <w:sz w:val="18"/>
                <w:szCs w:val="18"/>
              </w:rPr>
              <w:t>37.9</w:t>
            </w:r>
          </w:p>
        </w:tc>
        <w:tc>
          <w:tcPr>
            <w:tcW w:w="850" w:type="dxa"/>
            <w:tcBorders>
              <w:top w:val="nil"/>
              <w:left w:val="single" w:sz="4" w:space="0" w:color="0055A0"/>
              <w:bottom w:val="nil"/>
              <w:right w:val="single" w:sz="4" w:space="0" w:color="0055A0"/>
            </w:tcBorders>
            <w:noWrap/>
            <w:hideMark/>
          </w:tcPr>
          <w:p w14:paraId="75C947C4" w14:textId="77777777" w:rsidR="004D45F1" w:rsidRDefault="004D45F1">
            <w:pPr>
              <w:jc w:val="right"/>
              <w:rPr>
                <w:rFonts w:cs="Arial"/>
                <w:noProof/>
                <w:color w:val="000000"/>
                <w:sz w:val="18"/>
                <w:szCs w:val="18"/>
                <w:lang w:val="de-DE" w:eastAsia="de-DE"/>
              </w:rPr>
            </w:pPr>
            <w:r>
              <w:rPr>
                <w:rFonts w:cs="Arial"/>
                <w:noProof/>
                <w:color w:val="000000"/>
                <w:sz w:val="18"/>
                <w:szCs w:val="18"/>
              </w:rPr>
              <w:t>31.8</w:t>
            </w:r>
          </w:p>
        </w:tc>
        <w:tc>
          <w:tcPr>
            <w:tcW w:w="964" w:type="dxa"/>
            <w:tcBorders>
              <w:top w:val="nil"/>
              <w:left w:val="single" w:sz="4" w:space="0" w:color="0055A0"/>
              <w:bottom w:val="nil"/>
              <w:right w:val="single" w:sz="4" w:space="0" w:color="0055A0"/>
            </w:tcBorders>
            <w:noWrap/>
            <w:hideMark/>
          </w:tcPr>
          <w:p w14:paraId="45D31EA4" w14:textId="77777777" w:rsidR="004D45F1" w:rsidRDefault="004D45F1">
            <w:pPr>
              <w:jc w:val="right"/>
              <w:rPr>
                <w:rFonts w:cs="Arial"/>
                <w:noProof/>
                <w:color w:val="000000"/>
                <w:sz w:val="18"/>
                <w:szCs w:val="18"/>
                <w:lang w:val="de-DE" w:eastAsia="de-DE"/>
              </w:rPr>
            </w:pPr>
            <w:r>
              <w:rPr>
                <w:rFonts w:cs="Arial"/>
                <w:noProof/>
                <w:color w:val="000000"/>
                <w:sz w:val="18"/>
                <w:szCs w:val="18"/>
              </w:rPr>
              <w:t>4.5</w:t>
            </w:r>
          </w:p>
        </w:tc>
        <w:tc>
          <w:tcPr>
            <w:tcW w:w="850" w:type="dxa"/>
            <w:tcBorders>
              <w:top w:val="nil"/>
              <w:left w:val="single" w:sz="4" w:space="0" w:color="0055A0"/>
              <w:bottom w:val="nil"/>
              <w:right w:val="single" w:sz="4" w:space="0" w:color="0055A0"/>
            </w:tcBorders>
            <w:noWrap/>
            <w:hideMark/>
          </w:tcPr>
          <w:p w14:paraId="4F4B5DE8" w14:textId="77777777" w:rsidR="004D45F1" w:rsidRDefault="004D45F1">
            <w:pPr>
              <w:jc w:val="right"/>
              <w:rPr>
                <w:rFonts w:cs="Arial"/>
                <w:noProof/>
                <w:color w:val="000000"/>
                <w:sz w:val="18"/>
                <w:szCs w:val="18"/>
                <w:lang w:val="de-DE" w:eastAsia="de-DE"/>
              </w:rPr>
            </w:pPr>
            <w:r>
              <w:rPr>
                <w:rFonts w:cs="Arial"/>
                <w:noProof/>
                <w:color w:val="000000"/>
                <w:sz w:val="18"/>
                <w:szCs w:val="18"/>
              </w:rPr>
              <w:t>3.0</w:t>
            </w:r>
          </w:p>
        </w:tc>
        <w:tc>
          <w:tcPr>
            <w:tcW w:w="850" w:type="dxa"/>
            <w:tcBorders>
              <w:top w:val="nil"/>
              <w:left w:val="single" w:sz="4" w:space="0" w:color="0055A0"/>
              <w:bottom w:val="nil"/>
              <w:right w:val="single" w:sz="4" w:space="0" w:color="0055A0"/>
            </w:tcBorders>
            <w:noWrap/>
            <w:hideMark/>
          </w:tcPr>
          <w:p w14:paraId="195E6F71" w14:textId="77777777" w:rsidR="004D45F1" w:rsidRDefault="004D45F1">
            <w:pPr>
              <w:jc w:val="right"/>
              <w:rPr>
                <w:rFonts w:cs="Arial"/>
                <w:noProof/>
                <w:color w:val="000000"/>
                <w:sz w:val="18"/>
                <w:szCs w:val="18"/>
                <w:lang w:val="de-DE" w:eastAsia="de-DE"/>
              </w:rPr>
            </w:pPr>
            <w:r>
              <w:rPr>
                <w:rFonts w:cs="Arial"/>
                <w:noProof/>
                <w:color w:val="000000"/>
                <w:sz w:val="18"/>
                <w:szCs w:val="18"/>
              </w:rPr>
              <w:t>7.5</w:t>
            </w:r>
          </w:p>
        </w:tc>
        <w:tc>
          <w:tcPr>
            <w:tcW w:w="1021" w:type="dxa"/>
            <w:tcBorders>
              <w:top w:val="nil"/>
              <w:left w:val="single" w:sz="4" w:space="0" w:color="0055A0"/>
              <w:bottom w:val="nil"/>
              <w:right w:val="single" w:sz="4" w:space="0" w:color="0055A0"/>
            </w:tcBorders>
            <w:noWrap/>
            <w:hideMark/>
          </w:tcPr>
          <w:p w14:paraId="56E5F394" w14:textId="77777777" w:rsidR="004D45F1" w:rsidRDefault="004D45F1">
            <w:pPr>
              <w:jc w:val="right"/>
              <w:rPr>
                <w:rFonts w:cs="Arial"/>
                <w:noProof/>
                <w:color w:val="000000"/>
                <w:sz w:val="18"/>
                <w:szCs w:val="18"/>
                <w:lang w:val="de-DE" w:eastAsia="de-DE"/>
              </w:rPr>
            </w:pPr>
            <w:r>
              <w:rPr>
                <w:rFonts w:cs="Arial"/>
                <w:noProof/>
                <w:color w:val="000000"/>
                <w:sz w:val="18"/>
                <w:szCs w:val="18"/>
              </w:rPr>
              <w:t>16.9</w:t>
            </w:r>
          </w:p>
        </w:tc>
        <w:tc>
          <w:tcPr>
            <w:tcW w:w="738" w:type="dxa"/>
            <w:tcBorders>
              <w:top w:val="nil"/>
              <w:left w:val="single" w:sz="4" w:space="0" w:color="0055A0"/>
              <w:bottom w:val="nil"/>
              <w:right w:val="single" w:sz="4" w:space="0" w:color="0055A0"/>
            </w:tcBorders>
            <w:noWrap/>
            <w:hideMark/>
          </w:tcPr>
          <w:p w14:paraId="4EBE5114" w14:textId="77777777" w:rsidR="004D45F1" w:rsidRDefault="004D45F1">
            <w:pPr>
              <w:jc w:val="right"/>
              <w:rPr>
                <w:rFonts w:cs="Arial"/>
                <w:noProof/>
                <w:color w:val="000000"/>
                <w:sz w:val="18"/>
                <w:szCs w:val="18"/>
                <w:lang w:val="de-DE" w:eastAsia="de-DE"/>
              </w:rPr>
            </w:pPr>
            <w:r>
              <w:rPr>
                <w:rFonts w:cs="Arial"/>
                <w:noProof/>
                <w:color w:val="000000"/>
                <w:sz w:val="18"/>
                <w:szCs w:val="18"/>
              </w:rPr>
              <w:t>-80%</w:t>
            </w:r>
          </w:p>
        </w:tc>
        <w:tc>
          <w:tcPr>
            <w:tcW w:w="1904" w:type="dxa"/>
            <w:tcBorders>
              <w:top w:val="single" w:sz="4" w:space="0" w:color="4472C4"/>
              <w:left w:val="single" w:sz="4" w:space="0" w:color="0055A0"/>
              <w:bottom w:val="single" w:sz="4" w:space="0" w:color="4472C4"/>
              <w:right w:val="single" w:sz="4" w:space="0" w:color="0055A0"/>
            </w:tcBorders>
            <w:noWrap/>
            <w:hideMark/>
          </w:tcPr>
          <w:p w14:paraId="76393DB6" w14:textId="77777777" w:rsidR="004D45F1" w:rsidRDefault="004D45F1">
            <w:pPr>
              <w:jc w:val="right"/>
              <w:rPr>
                <w:rFonts w:cs="Arial"/>
                <w:b/>
                <w:bCs/>
                <w:noProof/>
                <w:color w:val="000000"/>
                <w:sz w:val="18"/>
                <w:szCs w:val="18"/>
              </w:rPr>
            </w:pPr>
            <w:r>
              <w:rPr>
                <w:rFonts w:cs="Arial"/>
                <w:b/>
                <w:noProof/>
                <w:color w:val="000000"/>
                <w:sz w:val="18"/>
                <w:szCs w:val="18"/>
              </w:rPr>
              <w:drawing>
                <wp:inline distT="0" distB="0" distL="0" distR="0" wp14:anchorId="3AFA1591" wp14:editId="271A390A">
                  <wp:extent cx="1066800" cy="200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200660"/>
                          </a:xfrm>
                          <a:prstGeom prst="rect">
                            <a:avLst/>
                          </a:prstGeom>
                          <a:noFill/>
                          <a:ln>
                            <a:noFill/>
                          </a:ln>
                        </pic:spPr>
                      </pic:pic>
                    </a:graphicData>
                  </a:graphic>
                </wp:inline>
              </w:drawing>
            </w:r>
            <w:r>
              <w:rPr>
                <w:rFonts w:cs="Arial"/>
                <w:b/>
                <w:noProof/>
                <w:color w:val="000000"/>
                <w:sz w:val="18"/>
                <w:szCs w:val="18"/>
              </w:rPr>
              <w:t> </w:t>
            </w:r>
            <w:r>
              <w:rPr>
                <w:rFonts w:cs="Arial"/>
                <w:b/>
                <w:noProof/>
                <w:color w:val="000000"/>
                <w:sz w:val="18"/>
                <w:szCs w:val="18"/>
                <w:lang w:val="de-DE" w:eastAsia="de-DE"/>
              </w:rPr>
              <w:t> </w:t>
            </w:r>
          </w:p>
        </w:tc>
      </w:tr>
      <w:tr w:rsidR="004D45F1" w14:paraId="2CA30E8C" w14:textId="77777777" w:rsidTr="004D45F1">
        <w:trPr>
          <w:cnfStyle w:val="000000010000" w:firstRow="0" w:lastRow="0" w:firstColumn="0" w:lastColumn="0" w:oddVBand="0" w:evenVBand="0" w:oddHBand="0" w:evenHBand="1" w:firstRowFirstColumn="0" w:firstRowLastColumn="0" w:lastRowFirstColumn="0" w:lastRowLastColumn="0"/>
          <w:trHeight w:val="315"/>
        </w:trPr>
        <w:tc>
          <w:tcPr>
            <w:tcW w:w="1271" w:type="dxa"/>
            <w:tcBorders>
              <w:top w:val="nil"/>
              <w:left w:val="single" w:sz="4" w:space="0" w:color="0055A0"/>
              <w:bottom w:val="nil"/>
            </w:tcBorders>
            <w:hideMark/>
          </w:tcPr>
          <w:p w14:paraId="07E53379" w14:textId="77777777" w:rsidR="004D45F1" w:rsidRDefault="004D45F1">
            <w:pPr>
              <w:rPr>
                <w:rFonts w:cs="Arial"/>
                <w:noProof/>
                <w:color w:val="000000"/>
                <w:sz w:val="18"/>
                <w:szCs w:val="18"/>
                <w:lang w:eastAsia="de-DE"/>
              </w:rPr>
            </w:pPr>
            <w:r>
              <w:rPr>
                <w:rFonts w:cs="Arial"/>
                <w:noProof/>
                <w:color w:val="000000"/>
                <w:sz w:val="18"/>
                <w:szCs w:val="18"/>
                <w:lang w:eastAsia="de-DE"/>
              </w:rPr>
              <w:t xml:space="preserve">Exports </w:t>
            </w:r>
          </w:p>
        </w:tc>
        <w:tc>
          <w:tcPr>
            <w:tcW w:w="851" w:type="dxa"/>
            <w:tcBorders>
              <w:top w:val="nil"/>
              <w:bottom w:val="nil"/>
            </w:tcBorders>
            <w:noWrap/>
            <w:hideMark/>
          </w:tcPr>
          <w:p w14:paraId="7EF45B28" w14:textId="77777777" w:rsidR="004D45F1" w:rsidRDefault="004D45F1">
            <w:pPr>
              <w:jc w:val="right"/>
              <w:rPr>
                <w:rFonts w:cs="Arial"/>
                <w:noProof/>
                <w:color w:val="000000"/>
                <w:sz w:val="18"/>
                <w:szCs w:val="18"/>
                <w:lang w:eastAsia="de-DE"/>
              </w:rPr>
            </w:pPr>
            <w:r>
              <w:rPr>
                <w:rFonts w:cs="Arial"/>
                <w:noProof/>
                <w:color w:val="000000"/>
                <w:sz w:val="18"/>
                <w:szCs w:val="18"/>
              </w:rPr>
              <w:t>48.1</w:t>
            </w:r>
          </w:p>
        </w:tc>
        <w:tc>
          <w:tcPr>
            <w:tcW w:w="850" w:type="dxa"/>
            <w:tcBorders>
              <w:top w:val="nil"/>
              <w:bottom w:val="nil"/>
            </w:tcBorders>
            <w:noWrap/>
            <w:hideMark/>
          </w:tcPr>
          <w:p w14:paraId="7F5A0231" w14:textId="77777777" w:rsidR="004D45F1" w:rsidRDefault="004D45F1">
            <w:pPr>
              <w:jc w:val="right"/>
              <w:rPr>
                <w:rFonts w:cs="Arial"/>
                <w:noProof/>
                <w:color w:val="000000"/>
                <w:sz w:val="18"/>
                <w:szCs w:val="18"/>
                <w:lang w:val="de-DE" w:eastAsia="de-DE"/>
              </w:rPr>
            </w:pPr>
            <w:r>
              <w:rPr>
                <w:rFonts w:cs="Arial"/>
                <w:noProof/>
                <w:color w:val="000000"/>
                <w:sz w:val="18"/>
                <w:szCs w:val="18"/>
              </w:rPr>
              <w:t>9.3</w:t>
            </w:r>
          </w:p>
        </w:tc>
        <w:tc>
          <w:tcPr>
            <w:tcW w:w="964" w:type="dxa"/>
            <w:tcBorders>
              <w:top w:val="nil"/>
              <w:bottom w:val="nil"/>
            </w:tcBorders>
            <w:noWrap/>
            <w:hideMark/>
          </w:tcPr>
          <w:p w14:paraId="3B130AF6" w14:textId="77777777" w:rsidR="004D45F1" w:rsidRDefault="004D45F1">
            <w:pPr>
              <w:jc w:val="right"/>
              <w:rPr>
                <w:rFonts w:cs="Arial"/>
                <w:noProof/>
                <w:color w:val="000000"/>
                <w:sz w:val="18"/>
                <w:szCs w:val="18"/>
                <w:lang w:val="de-DE" w:eastAsia="de-DE"/>
              </w:rPr>
            </w:pPr>
            <w:r>
              <w:rPr>
                <w:rFonts w:cs="Arial"/>
                <w:noProof/>
                <w:color w:val="000000"/>
                <w:sz w:val="18"/>
                <w:szCs w:val="18"/>
              </w:rPr>
              <w:t>5.8</w:t>
            </w:r>
          </w:p>
        </w:tc>
        <w:tc>
          <w:tcPr>
            <w:tcW w:w="850" w:type="dxa"/>
            <w:tcBorders>
              <w:top w:val="nil"/>
              <w:bottom w:val="nil"/>
            </w:tcBorders>
            <w:noWrap/>
            <w:hideMark/>
          </w:tcPr>
          <w:p w14:paraId="64984E44" w14:textId="77777777" w:rsidR="004D45F1" w:rsidRDefault="004D45F1">
            <w:pPr>
              <w:jc w:val="right"/>
              <w:rPr>
                <w:rFonts w:cs="Arial"/>
                <w:noProof/>
                <w:color w:val="000000"/>
                <w:sz w:val="18"/>
                <w:szCs w:val="18"/>
                <w:lang w:val="de-DE" w:eastAsia="de-DE"/>
              </w:rPr>
            </w:pPr>
            <w:r>
              <w:rPr>
                <w:rFonts w:cs="Arial"/>
                <w:noProof/>
                <w:color w:val="000000"/>
                <w:sz w:val="18"/>
                <w:szCs w:val="18"/>
              </w:rPr>
              <w:t>10.7</w:t>
            </w:r>
          </w:p>
        </w:tc>
        <w:tc>
          <w:tcPr>
            <w:tcW w:w="850" w:type="dxa"/>
            <w:tcBorders>
              <w:top w:val="nil"/>
              <w:bottom w:val="nil"/>
            </w:tcBorders>
            <w:noWrap/>
            <w:hideMark/>
          </w:tcPr>
          <w:p w14:paraId="41FF6ACF" w14:textId="77777777" w:rsidR="004D45F1" w:rsidRDefault="004D45F1">
            <w:pPr>
              <w:jc w:val="right"/>
              <w:rPr>
                <w:rFonts w:cs="Arial"/>
                <w:noProof/>
                <w:color w:val="000000"/>
                <w:sz w:val="18"/>
                <w:szCs w:val="18"/>
                <w:lang w:val="de-DE" w:eastAsia="de-DE"/>
              </w:rPr>
            </w:pPr>
            <w:r>
              <w:rPr>
                <w:rFonts w:cs="Arial"/>
                <w:noProof/>
                <w:color w:val="000000"/>
                <w:sz w:val="18"/>
                <w:szCs w:val="18"/>
              </w:rPr>
              <w:t>7.3</w:t>
            </w:r>
          </w:p>
        </w:tc>
        <w:tc>
          <w:tcPr>
            <w:tcW w:w="1021" w:type="dxa"/>
            <w:tcBorders>
              <w:top w:val="nil"/>
              <w:bottom w:val="nil"/>
            </w:tcBorders>
            <w:noWrap/>
            <w:hideMark/>
          </w:tcPr>
          <w:p w14:paraId="7EB15472" w14:textId="77777777" w:rsidR="004D45F1" w:rsidRDefault="004D45F1">
            <w:pPr>
              <w:jc w:val="right"/>
              <w:rPr>
                <w:rFonts w:cs="Arial"/>
                <w:noProof/>
                <w:color w:val="000000"/>
                <w:sz w:val="18"/>
                <w:szCs w:val="18"/>
                <w:lang w:val="de-DE" w:eastAsia="de-DE"/>
              </w:rPr>
            </w:pPr>
            <w:r>
              <w:rPr>
                <w:rFonts w:cs="Arial"/>
                <w:noProof/>
                <w:color w:val="000000"/>
                <w:sz w:val="18"/>
                <w:szCs w:val="18"/>
              </w:rPr>
              <w:t>16.2</w:t>
            </w:r>
          </w:p>
        </w:tc>
        <w:tc>
          <w:tcPr>
            <w:tcW w:w="738" w:type="dxa"/>
            <w:tcBorders>
              <w:top w:val="nil"/>
              <w:bottom w:val="nil"/>
            </w:tcBorders>
            <w:noWrap/>
            <w:hideMark/>
          </w:tcPr>
          <w:p w14:paraId="7401A407" w14:textId="77777777" w:rsidR="004D45F1" w:rsidRDefault="004D45F1">
            <w:pPr>
              <w:jc w:val="right"/>
              <w:rPr>
                <w:rFonts w:cs="Arial"/>
                <w:noProof/>
                <w:color w:val="000000"/>
                <w:sz w:val="18"/>
                <w:szCs w:val="18"/>
                <w:lang w:val="de-DE" w:eastAsia="de-DE"/>
              </w:rPr>
            </w:pPr>
            <w:r>
              <w:rPr>
                <w:rFonts w:cs="Arial"/>
                <w:noProof/>
                <w:color w:val="000000"/>
                <w:sz w:val="18"/>
                <w:szCs w:val="18"/>
              </w:rPr>
              <w:t>-85%</w:t>
            </w:r>
          </w:p>
        </w:tc>
        <w:tc>
          <w:tcPr>
            <w:tcW w:w="1904" w:type="dxa"/>
            <w:tcBorders>
              <w:top w:val="single" w:sz="4" w:space="0" w:color="4472C4"/>
              <w:bottom w:val="single" w:sz="4" w:space="0" w:color="4472C4"/>
              <w:right w:val="single" w:sz="4" w:space="0" w:color="0055A0"/>
            </w:tcBorders>
            <w:noWrap/>
            <w:hideMark/>
          </w:tcPr>
          <w:p w14:paraId="7DFEA23E" w14:textId="77777777" w:rsidR="004D45F1" w:rsidRDefault="004D45F1">
            <w:pPr>
              <w:jc w:val="right"/>
              <w:rPr>
                <w:rFonts w:cs="Arial"/>
                <w:b/>
                <w:bCs/>
                <w:noProof/>
                <w:color w:val="000000"/>
                <w:sz w:val="18"/>
                <w:szCs w:val="18"/>
                <w:lang w:val="de-DE" w:eastAsia="de-DE"/>
              </w:rPr>
            </w:pPr>
            <w:r>
              <w:rPr>
                <w:noProof/>
              </w:rPr>
              <w:drawing>
                <wp:anchor distT="0" distB="0" distL="114300" distR="114300" simplePos="0" relativeHeight="251657216" behindDoc="0" locked="0" layoutInCell="1" allowOverlap="1" wp14:anchorId="340AF48C" wp14:editId="23547661">
                  <wp:simplePos x="0" y="0"/>
                  <wp:positionH relativeFrom="column">
                    <wp:posOffset>1270</wp:posOffset>
                  </wp:positionH>
                  <wp:positionV relativeFrom="paragraph">
                    <wp:posOffset>41275</wp:posOffset>
                  </wp:positionV>
                  <wp:extent cx="1071880" cy="1968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1880" cy="196850"/>
                          </a:xfrm>
                          <a:prstGeom prst="rect">
                            <a:avLst/>
                          </a:prstGeom>
                          <a:noFill/>
                        </pic:spPr>
                      </pic:pic>
                    </a:graphicData>
                  </a:graphic>
                  <wp14:sizeRelH relativeFrom="page">
                    <wp14:pctWidth>0</wp14:pctWidth>
                  </wp14:sizeRelH>
                  <wp14:sizeRelV relativeFrom="page">
                    <wp14:pctHeight>0</wp14:pctHeight>
                  </wp14:sizeRelV>
                </wp:anchor>
              </w:drawing>
            </w:r>
          </w:p>
        </w:tc>
      </w:tr>
      <w:tr w:rsidR="004D45F1" w14:paraId="57C70E29" w14:textId="77777777" w:rsidTr="004D45F1">
        <w:trPr>
          <w:cnfStyle w:val="000000100000" w:firstRow="0" w:lastRow="0" w:firstColumn="0" w:lastColumn="0" w:oddVBand="0" w:evenVBand="0" w:oddHBand="1" w:evenHBand="0" w:firstRowFirstColumn="0" w:firstRowLastColumn="0" w:lastRowFirstColumn="0" w:lastRowLastColumn="0"/>
          <w:trHeight w:val="550"/>
        </w:trPr>
        <w:tc>
          <w:tcPr>
            <w:tcW w:w="1271" w:type="dxa"/>
            <w:tcBorders>
              <w:top w:val="nil"/>
              <w:left w:val="single" w:sz="4" w:space="0" w:color="0055A0"/>
              <w:bottom w:val="single" w:sz="4" w:space="0" w:color="0055A0"/>
              <w:right w:val="single" w:sz="4" w:space="0" w:color="0055A0"/>
            </w:tcBorders>
            <w:shd w:val="clear" w:color="auto" w:fill="F3F8FF"/>
            <w:hideMark/>
          </w:tcPr>
          <w:p w14:paraId="0671EB9A" w14:textId="77777777" w:rsidR="004D45F1" w:rsidRDefault="004D45F1">
            <w:pPr>
              <w:rPr>
                <w:rFonts w:cs="Arial"/>
                <w:noProof/>
                <w:color w:val="000000"/>
                <w:sz w:val="18"/>
                <w:szCs w:val="18"/>
                <w:lang w:eastAsia="de-DE"/>
              </w:rPr>
            </w:pPr>
            <w:r>
              <w:rPr>
                <w:rFonts w:cs="Arial"/>
                <w:noProof/>
                <w:color w:val="000000"/>
                <w:sz w:val="18"/>
                <w:szCs w:val="18"/>
                <w:lang w:eastAsia="de-DE"/>
              </w:rPr>
              <w:t>Imports</w:t>
            </w:r>
          </w:p>
        </w:tc>
        <w:tc>
          <w:tcPr>
            <w:tcW w:w="851" w:type="dxa"/>
            <w:tcBorders>
              <w:top w:val="nil"/>
              <w:left w:val="single" w:sz="4" w:space="0" w:color="0055A0"/>
              <w:bottom w:val="single" w:sz="4" w:space="0" w:color="0055A0"/>
              <w:right w:val="single" w:sz="4" w:space="0" w:color="0055A0"/>
            </w:tcBorders>
            <w:shd w:val="clear" w:color="auto" w:fill="F3F8FF"/>
            <w:noWrap/>
            <w:hideMark/>
          </w:tcPr>
          <w:p w14:paraId="5B682525" w14:textId="77777777" w:rsidR="004D45F1" w:rsidRDefault="004D45F1">
            <w:pPr>
              <w:jc w:val="right"/>
              <w:rPr>
                <w:rFonts w:cs="Arial"/>
                <w:noProof/>
                <w:color w:val="000000"/>
                <w:sz w:val="18"/>
                <w:szCs w:val="18"/>
                <w:lang w:eastAsia="de-DE"/>
              </w:rPr>
            </w:pPr>
            <w:r>
              <w:rPr>
                <w:rFonts w:cs="Arial"/>
                <w:noProof/>
                <w:color w:val="000000"/>
                <w:sz w:val="18"/>
                <w:szCs w:val="18"/>
              </w:rPr>
              <w:t>0.3</w:t>
            </w:r>
          </w:p>
        </w:tc>
        <w:tc>
          <w:tcPr>
            <w:tcW w:w="850" w:type="dxa"/>
            <w:tcBorders>
              <w:top w:val="nil"/>
              <w:left w:val="single" w:sz="4" w:space="0" w:color="0055A0"/>
              <w:bottom w:val="single" w:sz="4" w:space="0" w:color="0055A0"/>
              <w:right w:val="single" w:sz="4" w:space="0" w:color="0055A0"/>
            </w:tcBorders>
            <w:shd w:val="clear" w:color="auto" w:fill="F3F8FF"/>
            <w:noWrap/>
            <w:hideMark/>
          </w:tcPr>
          <w:p w14:paraId="4565F11B" w14:textId="77777777" w:rsidR="004D45F1" w:rsidRDefault="004D45F1">
            <w:pPr>
              <w:jc w:val="right"/>
              <w:rPr>
                <w:rFonts w:cs="Arial"/>
                <w:noProof/>
                <w:color w:val="000000"/>
                <w:sz w:val="18"/>
                <w:szCs w:val="18"/>
                <w:lang w:val="de-DE" w:eastAsia="de-DE"/>
              </w:rPr>
            </w:pPr>
            <w:r>
              <w:rPr>
                <w:rFonts w:cs="Arial"/>
                <w:noProof/>
                <w:color w:val="000000"/>
                <w:sz w:val="18"/>
                <w:szCs w:val="18"/>
              </w:rPr>
              <w:t>0.0</w:t>
            </w:r>
          </w:p>
        </w:tc>
        <w:tc>
          <w:tcPr>
            <w:tcW w:w="964" w:type="dxa"/>
            <w:tcBorders>
              <w:top w:val="nil"/>
              <w:left w:val="single" w:sz="4" w:space="0" w:color="0055A0"/>
              <w:bottom w:val="single" w:sz="4" w:space="0" w:color="0055A0"/>
              <w:right w:val="single" w:sz="4" w:space="0" w:color="0055A0"/>
            </w:tcBorders>
            <w:shd w:val="clear" w:color="auto" w:fill="F3F8FF"/>
            <w:noWrap/>
            <w:hideMark/>
          </w:tcPr>
          <w:p w14:paraId="72DF6B87" w14:textId="77777777" w:rsidR="004D45F1" w:rsidRDefault="004D45F1">
            <w:pPr>
              <w:jc w:val="right"/>
              <w:rPr>
                <w:rFonts w:cs="Arial"/>
                <w:noProof/>
                <w:color w:val="000000"/>
                <w:sz w:val="18"/>
                <w:szCs w:val="18"/>
                <w:lang w:val="de-DE" w:eastAsia="de-DE"/>
              </w:rPr>
            </w:pPr>
            <w:r>
              <w:rPr>
                <w:rFonts w:cs="Arial"/>
                <w:noProof/>
                <w:color w:val="000000"/>
                <w:sz w:val="18"/>
                <w:szCs w:val="18"/>
              </w:rPr>
              <w:t>0.0</w:t>
            </w:r>
          </w:p>
        </w:tc>
        <w:tc>
          <w:tcPr>
            <w:tcW w:w="850" w:type="dxa"/>
            <w:tcBorders>
              <w:top w:val="nil"/>
              <w:left w:val="single" w:sz="4" w:space="0" w:color="0055A0"/>
              <w:bottom w:val="single" w:sz="4" w:space="0" w:color="0055A0"/>
              <w:right w:val="single" w:sz="4" w:space="0" w:color="0055A0"/>
            </w:tcBorders>
            <w:shd w:val="clear" w:color="auto" w:fill="F3F8FF"/>
            <w:noWrap/>
            <w:hideMark/>
          </w:tcPr>
          <w:p w14:paraId="002D0844" w14:textId="77777777" w:rsidR="004D45F1" w:rsidRDefault="004D45F1">
            <w:pPr>
              <w:jc w:val="right"/>
              <w:rPr>
                <w:rFonts w:cs="Arial"/>
                <w:noProof/>
                <w:color w:val="000000"/>
                <w:sz w:val="18"/>
                <w:szCs w:val="18"/>
                <w:lang w:val="de-DE" w:eastAsia="de-DE"/>
              </w:rPr>
            </w:pPr>
            <w:r>
              <w:rPr>
                <w:rFonts w:cs="Arial"/>
                <w:noProof/>
                <w:color w:val="000000"/>
                <w:sz w:val="18"/>
                <w:szCs w:val="18"/>
              </w:rPr>
              <w:t>0.0</w:t>
            </w:r>
          </w:p>
        </w:tc>
        <w:tc>
          <w:tcPr>
            <w:tcW w:w="850" w:type="dxa"/>
            <w:tcBorders>
              <w:top w:val="nil"/>
              <w:left w:val="single" w:sz="4" w:space="0" w:color="0055A0"/>
              <w:bottom w:val="single" w:sz="4" w:space="0" w:color="0055A0"/>
              <w:right w:val="single" w:sz="4" w:space="0" w:color="0055A0"/>
            </w:tcBorders>
            <w:shd w:val="clear" w:color="auto" w:fill="F3F8FF"/>
            <w:noWrap/>
            <w:hideMark/>
          </w:tcPr>
          <w:p w14:paraId="5AA2D3AC" w14:textId="77777777" w:rsidR="004D45F1" w:rsidRDefault="004D45F1">
            <w:pPr>
              <w:jc w:val="right"/>
              <w:rPr>
                <w:rFonts w:cs="Arial"/>
                <w:noProof/>
                <w:color w:val="000000"/>
                <w:sz w:val="18"/>
                <w:szCs w:val="18"/>
                <w:lang w:val="de-DE" w:eastAsia="de-DE"/>
              </w:rPr>
            </w:pPr>
            <w:r>
              <w:rPr>
                <w:rFonts w:cs="Arial"/>
                <w:noProof/>
                <w:color w:val="000000"/>
                <w:sz w:val="18"/>
                <w:szCs w:val="18"/>
              </w:rPr>
              <w:t>1.6</w:t>
            </w:r>
          </w:p>
        </w:tc>
        <w:tc>
          <w:tcPr>
            <w:tcW w:w="1021" w:type="dxa"/>
            <w:tcBorders>
              <w:top w:val="nil"/>
              <w:left w:val="single" w:sz="4" w:space="0" w:color="0055A0"/>
              <w:bottom w:val="single" w:sz="4" w:space="0" w:color="0055A0"/>
              <w:right w:val="single" w:sz="4" w:space="0" w:color="0055A0"/>
            </w:tcBorders>
            <w:shd w:val="clear" w:color="auto" w:fill="F3F8FF"/>
            <w:noWrap/>
            <w:hideMark/>
          </w:tcPr>
          <w:p w14:paraId="339F4574" w14:textId="77777777" w:rsidR="004D45F1" w:rsidRDefault="004D45F1">
            <w:pPr>
              <w:jc w:val="right"/>
              <w:rPr>
                <w:rFonts w:cs="Arial"/>
                <w:noProof/>
                <w:color w:val="000000"/>
                <w:sz w:val="18"/>
                <w:szCs w:val="18"/>
                <w:lang w:val="de-DE" w:eastAsia="de-DE"/>
              </w:rPr>
            </w:pPr>
            <w:r>
              <w:rPr>
                <w:rFonts w:cs="Arial"/>
                <w:noProof/>
                <w:color w:val="000000"/>
                <w:sz w:val="18"/>
                <w:szCs w:val="18"/>
              </w:rPr>
              <w:t>0.4</w:t>
            </w:r>
          </w:p>
        </w:tc>
        <w:tc>
          <w:tcPr>
            <w:tcW w:w="738" w:type="dxa"/>
            <w:tcBorders>
              <w:top w:val="nil"/>
              <w:left w:val="single" w:sz="4" w:space="0" w:color="0055A0"/>
              <w:bottom w:val="single" w:sz="4" w:space="0" w:color="0055A0"/>
              <w:right w:val="single" w:sz="4" w:space="0" w:color="0055A0"/>
            </w:tcBorders>
            <w:shd w:val="clear" w:color="auto" w:fill="F3F8FF"/>
            <w:noWrap/>
            <w:hideMark/>
          </w:tcPr>
          <w:p w14:paraId="00383E73" w14:textId="77777777" w:rsidR="004D45F1" w:rsidRDefault="004D45F1">
            <w:pPr>
              <w:jc w:val="right"/>
              <w:rPr>
                <w:rFonts w:cs="Arial"/>
                <w:noProof/>
                <w:color w:val="000000"/>
                <w:sz w:val="18"/>
                <w:szCs w:val="18"/>
                <w:lang w:val="de-DE" w:eastAsia="de-DE"/>
              </w:rPr>
            </w:pPr>
            <w:r>
              <w:rPr>
                <w:rFonts w:cs="Arial"/>
                <w:noProof/>
                <w:color w:val="000000"/>
                <w:sz w:val="18"/>
                <w:szCs w:val="18"/>
                <w:lang w:val="de-DE" w:eastAsia="de-DE"/>
              </w:rPr>
              <w:t>*</w:t>
            </w:r>
            <w:r>
              <w:rPr>
                <w:rFonts w:cs="Arial"/>
                <w:noProof/>
                <w:color w:val="000000"/>
                <w:sz w:val="18"/>
                <w:szCs w:val="18"/>
                <w:vertAlign w:val="subscript"/>
                <w:lang w:val="de-DE" w:eastAsia="de-DE"/>
              </w:rPr>
              <w:t>(vii)</w:t>
            </w:r>
          </w:p>
        </w:tc>
        <w:tc>
          <w:tcPr>
            <w:tcW w:w="1904" w:type="dxa"/>
            <w:tcBorders>
              <w:top w:val="single" w:sz="4" w:space="0" w:color="4472C4"/>
              <w:left w:val="single" w:sz="4" w:space="0" w:color="0055A0"/>
              <w:bottom w:val="single" w:sz="4" w:space="0" w:color="0055A0"/>
              <w:right w:val="single" w:sz="4" w:space="0" w:color="0055A0"/>
            </w:tcBorders>
            <w:noWrap/>
            <w:hideMark/>
          </w:tcPr>
          <w:p w14:paraId="08C063F3" w14:textId="77777777" w:rsidR="004D45F1" w:rsidRDefault="004D45F1">
            <w:pPr>
              <w:jc w:val="right"/>
              <w:rPr>
                <w:rFonts w:cs="Arial"/>
                <w:noProof/>
              </w:rPr>
            </w:pPr>
            <w:r>
              <w:rPr>
                <w:rFonts w:cs="Arial"/>
                <w:noProof/>
              </w:rPr>
              <w:drawing>
                <wp:inline distT="0" distB="0" distL="0" distR="0" wp14:anchorId="7A4E20B4" wp14:editId="2249A5CF">
                  <wp:extent cx="1066800" cy="2006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855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200660"/>
                          </a:xfrm>
                          <a:prstGeom prst="rect">
                            <a:avLst/>
                          </a:prstGeom>
                          <a:noFill/>
                          <a:ln>
                            <a:noFill/>
                          </a:ln>
                        </pic:spPr>
                      </pic:pic>
                    </a:graphicData>
                  </a:graphic>
                </wp:inline>
              </w:drawing>
            </w:r>
          </w:p>
        </w:tc>
      </w:tr>
    </w:tbl>
    <w:p w14:paraId="0A771B8C"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Missing data: 2015 LV (ca. 1.2 metric tonnes based on following years), 2017 HR (ca. 6 metric tonnes based on previous and following year)</w:t>
      </w:r>
    </w:p>
    <w:p w14:paraId="16687A31"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 xml:space="preserve">Missing data: 2015 LV ca. 0t, 2017 HR ca. 0.15t, </w:t>
      </w:r>
    </w:p>
    <w:p w14:paraId="41246359"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 xml:space="preserve">Missing data: 2015 LV ca. 0t, 2017 HR ca. 0.2t, </w:t>
      </w:r>
    </w:p>
    <w:p w14:paraId="2C0413FE"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 xml:space="preserve">Missing data: 2015 LV ca. 0t, 2017 HR ca. 0.001t, </w:t>
      </w:r>
    </w:p>
    <w:p w14:paraId="337FB5C4"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Missing data: 2015 LV ca 0 tODP, 2017 HR ca 0.01 tODP</w:t>
      </w:r>
    </w:p>
    <w:p w14:paraId="456CE669"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Amounts destroyed are shown as reported under Article 27 of the Ozone Regulation. In order to reflect quantities destroyed that have been recovered from equipment located in the EU, amounts imported for destruction have been subtracted from the destruction figures.</w:t>
      </w:r>
    </w:p>
    <w:p w14:paraId="7DD02B8C" w14:textId="77777777" w:rsidR="004D45F1" w:rsidRDefault="004D45F1" w:rsidP="00AD73CF">
      <w:pPr>
        <w:numPr>
          <w:ilvl w:val="0"/>
          <w:numId w:val="42"/>
        </w:numPr>
        <w:spacing w:after="120" w:line="256" w:lineRule="auto"/>
        <w:contextualSpacing/>
        <w:jc w:val="both"/>
        <w:rPr>
          <w:rFonts w:ascii="Arial" w:eastAsia="Calibri" w:hAnsi="Arial" w:cs="Arial"/>
          <w:noProof/>
          <w:sz w:val="16"/>
        </w:rPr>
      </w:pPr>
      <w:r>
        <w:rPr>
          <w:rFonts w:ascii="Arial" w:eastAsia="Calibri" w:hAnsi="Arial" w:cs="Arial"/>
          <w:noProof/>
          <w:sz w:val="16"/>
        </w:rPr>
        <w:t xml:space="preserve">A trend statistic is not relevant here. Imports continue to be very low.  </w:t>
      </w:r>
    </w:p>
    <w:p w14:paraId="36239F28" w14:textId="77777777" w:rsidR="004D45F1" w:rsidRDefault="004D45F1" w:rsidP="004D45F1">
      <w:pPr>
        <w:rPr>
          <w:rFonts w:ascii="Calibri" w:eastAsia="Calibri" w:hAnsi="Calibri" w:cs="Times New Roman"/>
          <w:b/>
          <w:bCs/>
          <w:noProof/>
        </w:rPr>
      </w:pPr>
    </w:p>
    <w:p w14:paraId="0F9DA0C5"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Halon emissions are estimated to decline from ca 43 tODP (0.027 Mt CO2e) in the period 2015 to 2019 to 23 tODP (0.014 Mt CO2e) or lower</w:t>
      </w:r>
      <w:r>
        <w:rPr>
          <w:rFonts w:ascii="Times New Roman" w:eastAsia="Calibri" w:hAnsi="Times New Roman" w:cs="Times New Roman"/>
          <w:b/>
          <w:noProof/>
          <w:sz w:val="24"/>
          <w:szCs w:val="24"/>
          <w:vertAlign w:val="superscript"/>
        </w:rPr>
        <w:footnoteReference w:id="117"/>
      </w:r>
      <w:r>
        <w:rPr>
          <w:rFonts w:ascii="Times New Roman" w:eastAsia="Calibri" w:hAnsi="Times New Roman" w:cs="Times New Roman"/>
          <w:b/>
          <w:noProof/>
          <w:sz w:val="24"/>
          <w:szCs w:val="24"/>
        </w:rPr>
        <w:t xml:space="preserve"> in 2040 </w:t>
      </w:r>
      <w:r>
        <w:rPr>
          <w:rFonts w:ascii="Times New Roman" w:eastAsia="Calibri" w:hAnsi="Times New Roman" w:cs="Times New Roman"/>
          <w:noProof/>
          <w:sz w:val="24"/>
          <w:szCs w:val="24"/>
        </w:rPr>
        <w:t xml:space="preserve">and no more emissions thereafter, as all equipment must be halon free by then. However, </w:t>
      </w:r>
      <w:r>
        <w:rPr>
          <w:rFonts w:ascii="Times New Roman" w:eastAsia="Calibri" w:hAnsi="Times New Roman" w:cs="Times New Roman"/>
          <w:b/>
          <w:noProof/>
          <w:sz w:val="24"/>
          <w:szCs w:val="24"/>
        </w:rPr>
        <w:t>the existing stocks of halon may deplete</w:t>
      </w:r>
      <w:r>
        <w:rPr>
          <w:rFonts w:ascii="Times New Roman" w:eastAsia="Calibri" w:hAnsi="Times New Roman" w:cs="Times New Roman"/>
          <w:noProof/>
          <w:sz w:val="24"/>
          <w:szCs w:val="24"/>
        </w:rPr>
        <w:t xml:space="preserve"> due to emissions, destruction and export to third countries, in particular as production of new halons is not allowed at the global level. Recent assessments carried out by the Protocol’s Halons Technical Options Committee (HTOC) indicated that non-virgin halon stocks for critical uses might not be sufficient to meet the needs from 2030 onwards at global level. New production, in particular at the global level, could lead to additional emissions of these substances with very high ODPs and GWPs. Emissions linked to critical uses where there are already alternatives available are estimated to be 6.9 tODP annually in the years preceding 2035, by when the current prohibitions becomes applicable. </w:t>
      </w:r>
    </w:p>
    <w:p w14:paraId="2D2D53E0" w14:textId="77777777" w:rsidR="004D45F1" w:rsidRDefault="004D45F1" w:rsidP="004D45F1">
      <w:pPr>
        <w:jc w:val="both"/>
        <w:rPr>
          <w:rFonts w:ascii="Times New Roman" w:eastAsia="Calibri" w:hAnsi="Times New Roman" w:cs="Times New Roman"/>
          <w:bCs/>
          <w:noProof/>
          <w:sz w:val="24"/>
          <w:szCs w:val="24"/>
        </w:rPr>
      </w:pPr>
      <w:r>
        <w:rPr>
          <w:rFonts w:ascii="Times New Roman" w:eastAsia="Calibri" w:hAnsi="Times New Roman" w:cs="Times New Roman"/>
          <w:noProof/>
          <w:sz w:val="24"/>
          <w:szCs w:val="24"/>
        </w:rPr>
        <w:t xml:space="preserve">Fig. A5.2 </w:t>
      </w:r>
      <w:r>
        <w:rPr>
          <w:rFonts w:ascii="Times New Roman" w:eastAsia="Calibri" w:hAnsi="Times New Roman" w:cs="Times New Roman"/>
          <w:bCs/>
          <w:noProof/>
          <w:sz w:val="24"/>
          <w:szCs w:val="24"/>
        </w:rPr>
        <w:t>shows the halon bank split depending on the potential availability of viable alternatives. Emissions are forecast up until 2040 using the average installed halons and associated emissions for the period 2015 - 2019. Emissions are expected to reduce as the bank size shrinks in line with different critical uses reaching their end date.</w:t>
      </w:r>
      <w:r>
        <w:rPr>
          <w:rFonts w:ascii="Times New Roman" w:hAnsi="Times New Roman" w:cs="Times New Roman"/>
          <w:noProof/>
          <w:sz w:val="24"/>
          <w:szCs w:val="24"/>
        </w:rPr>
        <w:t xml:space="preserve"> </w:t>
      </w:r>
      <w:r>
        <w:rPr>
          <w:rFonts w:ascii="Times New Roman" w:eastAsia="Calibri" w:hAnsi="Times New Roman" w:cs="Times New Roman"/>
          <w:bCs/>
          <w:noProof/>
          <w:sz w:val="24"/>
          <w:szCs w:val="24"/>
        </w:rPr>
        <w:t>The total average emissions reported in Article 26(1)(b) reports is 43 tODP, which is the average over the 2015 – 2019 period. These emissions is forecast to go down in the baseline, as shown v</w:t>
      </w:r>
      <w:r w:rsidR="00AD73CF">
        <w:rPr>
          <w:rFonts w:ascii="Times New Roman" w:eastAsia="Calibri" w:hAnsi="Times New Roman" w:cs="Times New Roman"/>
          <w:bCs/>
          <w:noProof/>
          <w:sz w:val="24"/>
          <w:szCs w:val="24"/>
        </w:rPr>
        <w:t xml:space="preserve">ia the top line in the figure. </w:t>
      </w:r>
    </w:p>
    <w:p w14:paraId="3EF77598" w14:textId="77777777" w:rsidR="004D45F1" w:rsidRDefault="004D45F1" w:rsidP="004D45F1">
      <w:pPr>
        <w:jc w:val="both"/>
        <w:rPr>
          <w:rFonts w:eastAsia="Calibri" w:cstheme="minorHAnsi"/>
          <w:iCs/>
          <w:noProof/>
          <w:color w:val="0070C0"/>
          <w:sz w:val="20"/>
          <w:szCs w:val="20"/>
        </w:rPr>
      </w:pPr>
      <w:bookmarkStart w:id="395" w:name="_Ref54705267"/>
      <w:bookmarkStart w:id="396" w:name="_Ref65067914"/>
      <w:r>
        <w:rPr>
          <w:rFonts w:eastAsia="Calibri" w:cstheme="minorHAnsi"/>
          <w:iCs/>
          <w:noProof/>
          <w:color w:val="0070C0"/>
          <w:sz w:val="20"/>
          <w:szCs w:val="20"/>
        </w:rPr>
        <w:t xml:space="preserve">Figure </w:t>
      </w:r>
      <w:bookmarkEnd w:id="395"/>
      <w:bookmarkEnd w:id="396"/>
      <w:r>
        <w:rPr>
          <w:rFonts w:eastAsia="Calibri" w:cstheme="minorHAnsi"/>
          <w:iCs/>
          <w:noProof/>
          <w:color w:val="0070C0"/>
          <w:sz w:val="20"/>
          <w:szCs w:val="20"/>
        </w:rPr>
        <w:t>A5.2 Remaining size of the active critical use halon bank in the baseline, split by availability of alternatives as identified by the Evaluation.</w:t>
      </w:r>
    </w:p>
    <w:p w14:paraId="36670B0E" w14:textId="77777777" w:rsidR="004D45F1" w:rsidRDefault="004D45F1" w:rsidP="004D45F1">
      <w:pPr>
        <w:rPr>
          <w:rFonts w:ascii="Calibri" w:eastAsia="Calibri" w:hAnsi="Calibri" w:cs="Times New Roman"/>
          <w:noProof/>
          <w:highlight w:val="yellow"/>
        </w:rPr>
      </w:pPr>
      <w:r>
        <w:rPr>
          <w:rFonts w:ascii="Arial" w:eastAsia="Calibri" w:hAnsi="Arial" w:cs="Arial"/>
          <w:i/>
          <w:noProof/>
          <w:color w:val="808080"/>
          <w:sz w:val="18"/>
          <w:szCs w:val="18"/>
          <w:lang w:eastAsia="en-GB"/>
        </w:rPr>
        <w:drawing>
          <wp:inline distT="0" distB="0" distL="0" distR="0" wp14:anchorId="7E6AB8F5" wp14:editId="5F468923">
            <wp:extent cx="5466080" cy="311594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6080" cy="3115945"/>
                    </a:xfrm>
                    <a:prstGeom prst="rect">
                      <a:avLst/>
                    </a:prstGeom>
                    <a:noFill/>
                    <a:ln>
                      <a:noFill/>
                    </a:ln>
                  </pic:spPr>
                </pic:pic>
              </a:graphicData>
            </a:graphic>
          </wp:inline>
        </w:drawing>
      </w:r>
      <w:r>
        <w:rPr>
          <w:rFonts w:ascii="Calibri" w:eastAsia="Calibri" w:hAnsi="Calibri" w:cs="Times New Roman"/>
          <w:noProof/>
          <w:highlight w:val="yellow"/>
        </w:rPr>
        <w:br w:type="page"/>
      </w:r>
    </w:p>
    <w:p w14:paraId="2A1FF2D3" w14:textId="77777777" w:rsidR="004D45F1" w:rsidRDefault="004D45F1" w:rsidP="004D45F1">
      <w:pPr>
        <w:pStyle w:val="AnnexTitle"/>
        <w:rPr>
          <w:noProof/>
        </w:rPr>
      </w:pPr>
      <w:bookmarkStart w:id="397" w:name="_Toc71561886"/>
      <w:bookmarkStart w:id="398" w:name="_Toc71559449"/>
      <w:bookmarkStart w:id="399" w:name="_Toc93511489"/>
      <w:r w:rsidRPr="00AD73CF">
        <w:rPr>
          <w:rStyle w:val="AnnexTitleChar"/>
          <w:b/>
          <w:noProof/>
        </w:rPr>
        <w:t>Annex</w:t>
      </w:r>
      <w:r>
        <w:rPr>
          <w:noProof/>
        </w:rPr>
        <w:t xml:space="preserve"> 6: Detailed information on foams recovery</w:t>
      </w:r>
      <w:bookmarkEnd w:id="397"/>
      <w:bookmarkEnd w:id="398"/>
      <w:bookmarkEnd w:id="399"/>
    </w:p>
    <w:p w14:paraId="26B36138" w14:textId="77777777" w:rsidR="004D45F1" w:rsidRDefault="004D45F1" w:rsidP="00AD73CF">
      <w:pPr>
        <w:pStyle w:val="ListParagraph"/>
        <w:numPr>
          <w:ilvl w:val="0"/>
          <w:numId w:val="43"/>
        </w:numPr>
        <w:jc w:val="both"/>
        <w:rPr>
          <w:rFonts w:ascii="Times New Roman" w:eastAsia="Times New Roman" w:hAnsi="Times New Roman" w:cs="Times New Roman"/>
          <w:noProof/>
          <w:sz w:val="24"/>
          <w:szCs w:val="20"/>
        </w:rPr>
      </w:pPr>
      <w:r>
        <w:rPr>
          <w:rFonts w:ascii="Times New Roman" w:eastAsia="Times New Roman" w:hAnsi="Times New Roman" w:cs="Times New Roman"/>
          <w:b/>
          <w:i/>
          <w:noProof/>
          <w:sz w:val="24"/>
          <w:szCs w:val="20"/>
        </w:rPr>
        <w:t>Emissions from foam banks</w:t>
      </w:r>
    </w:p>
    <w:p w14:paraId="4AA56FA5" w14:textId="77777777" w:rsidR="004D45F1" w:rsidRDefault="004D45F1" w:rsidP="004D45F1">
      <w:pPr>
        <w:jc w:val="both"/>
        <w:rPr>
          <w:rFonts w:ascii="Calibri" w:eastAsia="Calibri" w:hAnsi="Calibri" w:cs="Times New Roman"/>
          <w:noProof/>
        </w:rPr>
      </w:pPr>
      <w:r>
        <w:rPr>
          <w:rFonts w:ascii="Times New Roman" w:eastAsia="Calibri" w:hAnsi="Times New Roman" w:cs="Times New Roman"/>
          <w:b/>
          <w:bCs/>
          <w:noProof/>
          <w:sz w:val="24"/>
          <w:szCs w:val="24"/>
        </w:rPr>
        <w:t>The main source of current and future emissions are ODS banks</w:t>
      </w:r>
      <w:r>
        <w:rPr>
          <w:rFonts w:ascii="Times New Roman" w:eastAsia="Calibri" w:hAnsi="Times New Roman" w:cs="Times New Roman"/>
          <w:noProof/>
          <w:sz w:val="24"/>
          <w:szCs w:val="24"/>
        </w:rPr>
        <w:t xml:space="preserve"> in particular from certain building materials containing foams blown with ODS. The estimated size of this bank in 2010 was 570,000 tODP, of which about 1.2% is emitted each year, which is ca. 6000 tODP</w:t>
      </w:r>
      <w:r>
        <w:rPr>
          <w:rFonts w:ascii="Times New Roman" w:eastAsia="Calibri" w:hAnsi="Times New Roman" w:cs="Times New Roman"/>
          <w:noProof/>
          <w:sz w:val="24"/>
          <w:szCs w:val="24"/>
          <w:vertAlign w:val="superscript"/>
        </w:rPr>
        <w:footnoteReference w:id="118"/>
      </w:r>
      <w:r>
        <w:rPr>
          <w:rFonts w:ascii="Times New Roman" w:eastAsia="Calibri" w:hAnsi="Times New Roman" w:cs="Times New Roman"/>
          <w:noProof/>
          <w:sz w:val="24"/>
          <w:szCs w:val="24"/>
        </w:rPr>
        <w:t xml:space="preserve"> or 37 Mt CO2e (Fig. A6.2), which amounts to more than 98% of all reported ODS emissions. Most emissions occur when buildings using such foams are renovated or demolished and the foams are crushed or shredded. In addition, significant emissions also occur thereafter, if relatively intact foams from construction waste are landfilled without treatment, as the remaining ODS gases will slowly leak out over time.</w:t>
      </w:r>
      <w:r>
        <w:rPr>
          <w:rFonts w:ascii="Times New Roman" w:eastAsia="Calibri" w:hAnsi="Times New Roman" w:cs="Times New Roman"/>
          <w:noProof/>
          <w:sz w:val="24"/>
          <w:szCs w:val="24"/>
          <w:vertAlign w:val="superscript"/>
        </w:rPr>
        <w:footnoteReference w:id="119"/>
      </w:r>
      <w:r>
        <w:rPr>
          <w:rFonts w:ascii="Times New Roman" w:eastAsia="Calibri" w:hAnsi="Times New Roman" w:cs="Times New Roman"/>
          <w:noProof/>
          <w:sz w:val="24"/>
          <w:szCs w:val="24"/>
        </w:rPr>
        <w:t xml:space="preserve"> The Regulation requires recovery when it is technically and economically feasible. This is however open to interpretation and results in little recovery activity in most Member States.</w:t>
      </w:r>
    </w:p>
    <w:p w14:paraId="47B8DFA9"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Large quantities of ODS foams will enter the waste stream each year until 2050</w:t>
      </w:r>
      <w:r>
        <w:rPr>
          <w:rFonts w:ascii="Times New Roman" w:eastAsia="Calibri" w:hAnsi="Times New Roman" w:cs="Times New Roman"/>
          <w:noProof/>
          <w:sz w:val="24"/>
          <w:szCs w:val="24"/>
        </w:rPr>
        <w:t xml:space="preserve">, with an expected peak not before 2030 (Fig. A6.1). </w:t>
      </w:r>
    </w:p>
    <w:p w14:paraId="1A69449E" w14:textId="77777777" w:rsidR="004D45F1" w:rsidRDefault="004D45F1" w:rsidP="004D45F1">
      <w:pPr>
        <w:jc w:val="both"/>
        <w:rPr>
          <w:rFonts w:ascii="Calibri" w:eastAsia="Calibri" w:hAnsi="Calibri" w:cs="Calibri"/>
          <w:noProof/>
          <w:sz w:val="20"/>
          <w:szCs w:val="20"/>
        </w:rPr>
      </w:pPr>
      <w:r>
        <w:rPr>
          <w:rFonts w:ascii="Calibri" w:eastAsia="Calibri" w:hAnsi="Calibri" w:cs="Calibri"/>
          <w:b/>
          <w:noProof/>
          <w:sz w:val="20"/>
          <w:szCs w:val="20"/>
        </w:rPr>
        <w:t xml:space="preserve">Figure </w:t>
      </w:r>
      <w:r>
        <w:rPr>
          <w:rFonts w:ascii="Calibri" w:eastAsia="Calibri" w:hAnsi="Calibri" w:cs="Calibri"/>
          <w:b/>
          <w:iCs/>
          <w:noProof/>
          <w:sz w:val="20"/>
          <w:szCs w:val="20"/>
        </w:rPr>
        <w:t>A6.1</w:t>
      </w:r>
      <w:r>
        <w:rPr>
          <w:rFonts w:ascii="Calibri" w:eastAsia="Calibri" w:hAnsi="Calibri" w:cs="Calibri"/>
          <w:noProof/>
          <w:sz w:val="20"/>
          <w:szCs w:val="20"/>
        </w:rPr>
        <w:t xml:space="preserve"> Estimated annual flow of ODP trapped in legacy materials (“banks”) that is reaching end-of-life each year (in tODP).</w:t>
      </w:r>
    </w:p>
    <w:p w14:paraId="537A1C4B" w14:textId="77777777" w:rsidR="004D45F1" w:rsidRDefault="004D45F1" w:rsidP="004D45F1">
      <w:pPr>
        <w:jc w:val="both"/>
        <w:rPr>
          <w:rFonts w:ascii="Times New Roman" w:eastAsia="Calibri" w:hAnsi="Times New Roman" w:cs="Times New Roman"/>
          <w:i/>
          <w:iCs/>
          <w:noProof/>
          <w:sz w:val="24"/>
          <w:szCs w:val="24"/>
        </w:rPr>
      </w:pPr>
      <w:r>
        <w:rPr>
          <w:rFonts w:ascii="Arial" w:eastAsia="Calibri" w:hAnsi="Arial" w:cs="Arial"/>
          <w:i/>
          <w:noProof/>
          <w:color w:val="000000"/>
          <w:sz w:val="18"/>
          <w:szCs w:val="18"/>
          <w:lang w:eastAsia="en-GB"/>
        </w:rPr>
        <w:drawing>
          <wp:inline distT="0" distB="0" distL="0" distR="0" wp14:anchorId="3007E08D" wp14:editId="393E5D16">
            <wp:extent cx="5478145" cy="2562860"/>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145" cy="2562860"/>
                    </a:xfrm>
                    <a:prstGeom prst="rect">
                      <a:avLst/>
                    </a:prstGeom>
                    <a:noFill/>
                    <a:ln>
                      <a:noFill/>
                    </a:ln>
                  </pic:spPr>
                </pic:pic>
              </a:graphicData>
            </a:graphic>
          </wp:inline>
        </w:drawing>
      </w:r>
      <w:r>
        <w:rPr>
          <w:rFonts w:ascii="Times New Roman" w:eastAsia="Calibri" w:hAnsi="Times New Roman" w:cs="Times New Roman"/>
          <w:i/>
          <w:iCs/>
          <w:noProof/>
          <w:sz w:val="24"/>
          <w:szCs w:val="24"/>
          <w:highlight w:val="yellow"/>
        </w:rPr>
        <w:t xml:space="preserve"> </w:t>
      </w:r>
      <w:r>
        <w:rPr>
          <w:rFonts w:ascii="Times New Roman" w:eastAsia="Calibri" w:hAnsi="Times New Roman" w:cs="Times New Roman"/>
          <w:noProof/>
          <w:sz w:val="24"/>
          <w:szCs w:val="24"/>
          <w:highlight w:val="yellow"/>
        </w:rPr>
        <w:br/>
      </w:r>
      <w:r>
        <w:rPr>
          <w:rFonts w:ascii="Times New Roman" w:eastAsia="Calibri" w:hAnsi="Times New Roman" w:cs="Times New Roman"/>
          <w:i/>
          <w:iCs/>
          <w:noProof/>
          <w:sz w:val="20"/>
          <w:szCs w:val="20"/>
        </w:rPr>
        <w:t xml:space="preserve">Source: Ricardo using findings from </w:t>
      </w:r>
      <w:r>
        <w:rPr>
          <w:rFonts w:ascii="Times New Roman" w:eastAsia="Calibri" w:hAnsi="Times New Roman" w:cs="Times New Roman"/>
          <w:noProof/>
          <w:sz w:val="20"/>
          <w:szCs w:val="20"/>
        </w:rPr>
        <w:t>(SKM Enviros, 2012)</w:t>
      </w:r>
      <w:r>
        <w:rPr>
          <w:rFonts w:ascii="Times New Roman" w:eastAsia="Calibri" w:hAnsi="Times New Roman" w:cs="Times New Roman"/>
          <w:noProof/>
          <w:sz w:val="20"/>
          <w:szCs w:val="20"/>
          <w:vertAlign w:val="superscript"/>
        </w:rPr>
        <w:footnoteReference w:id="120"/>
      </w:r>
    </w:p>
    <w:p w14:paraId="0E9C3A3F" w14:textId="77777777" w:rsidR="004D45F1" w:rsidRDefault="004D45F1" w:rsidP="004D45F1">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Very significant amounts of emissions, in particular in climate terms, are expected to continue from the lack of recovery of ODS from foams during the refurbishment and demolition of buildings.</w:t>
      </w:r>
      <w:r>
        <w:rPr>
          <w:rFonts w:ascii="Times New Roman" w:eastAsia="Times New Roman" w:hAnsi="Times New Roman" w:cs="Times New Roman"/>
          <w:noProof/>
          <w:sz w:val="24"/>
          <w:szCs w:val="20"/>
        </w:rPr>
        <w:t xml:space="preserve"> Annual emissions will increase until 2030-35 to almost 6700 tODP or 42 million tCO2e, about half of the total amounts entering the wastes stream each year</w:t>
      </w:r>
      <w:r>
        <w:rPr>
          <w:rFonts w:ascii="Times New Roman" w:eastAsia="Times New Roman" w:hAnsi="Times New Roman" w:cs="Times New Roman"/>
          <w:noProof/>
          <w:sz w:val="24"/>
          <w:szCs w:val="20"/>
          <w:vertAlign w:val="superscript"/>
        </w:rPr>
        <w:footnoteReference w:id="121"/>
      </w:r>
      <w:r>
        <w:rPr>
          <w:rFonts w:ascii="Times New Roman" w:eastAsia="Times New Roman" w:hAnsi="Times New Roman" w:cs="Times New Roman"/>
          <w:noProof/>
          <w:sz w:val="24"/>
          <w:szCs w:val="20"/>
        </w:rPr>
        <w:t>. After 2035 this trend will reverse, but the potential emissions still remain at ca. 4000 tones tODP or 23 million tCO2e even in 2050 (Fig. A6.2). This is due to the significant contribution of long-term leakage from landfilled ODS foams in the latter years, even though the amount of ODS foams entering the waste stream will already be significantly reduced in 2050 (see Figure y).</w:t>
      </w:r>
      <w:r>
        <w:rPr>
          <w:rFonts w:ascii="Times New Roman" w:eastAsia="Calibri" w:hAnsi="Times New Roman" w:cs="Times New Roman"/>
          <w:noProof/>
          <w:sz w:val="24"/>
          <w:szCs w:val="24"/>
        </w:rPr>
        <w:t xml:space="preserve"> </w:t>
      </w:r>
      <w:r>
        <w:rPr>
          <w:rFonts w:ascii="Times New Roman" w:eastAsia="Times New Roman" w:hAnsi="Times New Roman" w:cs="Times New Roman"/>
          <w:noProof/>
          <w:sz w:val="24"/>
          <w:szCs w:val="20"/>
        </w:rPr>
        <w:t xml:space="preserve">The main sources of ODS emissions from insulation foams are metal-faced panels and laminated boards, with smaller contributions from block foam and spray foam. Many categories of insulation foam remain mostly an uncollected waste stream that goes to landfill. </w:t>
      </w:r>
    </w:p>
    <w:p w14:paraId="1A7343ED" w14:textId="77777777" w:rsidR="004D45F1" w:rsidRDefault="004D45F1" w:rsidP="004D45F1">
      <w:pPr>
        <w:tabs>
          <w:tab w:val="left" w:pos="2302"/>
        </w:tabs>
        <w:spacing w:after="240" w:line="240" w:lineRule="auto"/>
        <w:jc w:val="both"/>
        <w:rPr>
          <w:rFonts w:eastAsia="Times New Roman" w:cstheme="minorHAnsi"/>
          <w:iCs/>
          <w:noProof/>
          <w:sz w:val="20"/>
          <w:szCs w:val="20"/>
        </w:rPr>
      </w:pPr>
      <w:r>
        <w:rPr>
          <w:rFonts w:eastAsia="Times New Roman" w:cstheme="minorHAnsi"/>
          <w:b/>
          <w:noProof/>
          <w:sz w:val="20"/>
          <w:szCs w:val="20"/>
        </w:rPr>
        <w:t>Figure A6.2.</w:t>
      </w:r>
      <w:r>
        <w:rPr>
          <w:rFonts w:eastAsia="Times New Roman" w:cstheme="minorHAnsi"/>
          <w:noProof/>
          <w:sz w:val="20"/>
          <w:szCs w:val="20"/>
        </w:rPr>
        <w:t xml:space="preserve"> Expected EU annual emissions from foam banks</w:t>
      </w:r>
    </w:p>
    <w:p w14:paraId="5301A80C" w14:textId="77777777" w:rsidR="004D45F1" w:rsidRDefault="004D45F1" w:rsidP="004D45F1">
      <w:pPr>
        <w:tabs>
          <w:tab w:val="left" w:pos="2302"/>
        </w:tabs>
        <w:spacing w:after="240" w:line="240" w:lineRule="auto"/>
        <w:jc w:val="both"/>
        <w:rPr>
          <w:rFonts w:ascii="Times New Roman" w:eastAsia="Times New Roman" w:hAnsi="Times New Roman" w:cs="Times New Roman"/>
          <w:noProof/>
          <w:sz w:val="24"/>
          <w:szCs w:val="20"/>
        </w:rPr>
      </w:pPr>
      <w:r>
        <w:rPr>
          <w:noProof/>
          <w:lang w:eastAsia="en-GB"/>
        </w:rPr>
        <w:drawing>
          <wp:inline distT="0" distB="0" distL="0" distR="0" wp14:anchorId="2885E2FF" wp14:editId="3362077C">
            <wp:extent cx="5478145" cy="2646680"/>
            <wp:effectExtent l="0" t="0" r="8255" b="12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8">
                      <a:extLst>
                        <a:ext uri="{28A0092B-C50C-407E-A947-70E740481C1C}">
                          <a14:useLocalDpi xmlns:a14="http://schemas.microsoft.com/office/drawing/2010/main" val="0"/>
                        </a:ext>
                      </a:extLst>
                    </a:blip>
                    <a:srcRect b="-24"/>
                    <a:stretch>
                      <a:fillRect/>
                    </a:stretch>
                  </pic:blipFill>
                  <pic:spPr bwMode="auto">
                    <a:xfrm>
                      <a:off x="0" y="0"/>
                      <a:ext cx="5478145" cy="2646680"/>
                    </a:xfrm>
                    <a:prstGeom prst="rect">
                      <a:avLst/>
                    </a:prstGeom>
                    <a:noFill/>
                    <a:ln>
                      <a:noFill/>
                    </a:ln>
                  </pic:spPr>
                </pic:pic>
              </a:graphicData>
            </a:graphic>
          </wp:inline>
        </w:drawing>
      </w:r>
    </w:p>
    <w:p w14:paraId="0198C31C" w14:textId="77777777" w:rsidR="004D45F1" w:rsidRDefault="004D45F1" w:rsidP="00AD73CF">
      <w:pPr>
        <w:pStyle w:val="ListParagraph"/>
        <w:numPr>
          <w:ilvl w:val="0"/>
          <w:numId w:val="43"/>
        </w:numPr>
        <w:tabs>
          <w:tab w:val="left" w:pos="2302"/>
        </w:tabs>
        <w:spacing w:after="240" w:line="240" w:lineRule="auto"/>
        <w:jc w:val="both"/>
        <w:rPr>
          <w:rFonts w:ascii="Times New Roman" w:eastAsia="Times New Roman" w:hAnsi="Times New Roman" w:cs="Times New Roman"/>
          <w:b/>
          <w:i/>
          <w:noProof/>
          <w:sz w:val="24"/>
          <w:szCs w:val="20"/>
        </w:rPr>
      </w:pPr>
      <w:r>
        <w:rPr>
          <w:rFonts w:ascii="Times New Roman" w:eastAsia="Times New Roman" w:hAnsi="Times New Roman" w:cs="Times New Roman"/>
          <w:b/>
          <w:i/>
          <w:noProof/>
          <w:sz w:val="24"/>
          <w:szCs w:val="20"/>
        </w:rPr>
        <w:t>Distribution of ODS foam banks for EU Member States</w:t>
      </w:r>
    </w:p>
    <w:p w14:paraId="5C81A81E" w14:textId="77777777" w:rsidR="004D45F1" w:rsidRDefault="004D45F1" w:rsidP="004D45F1">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use of ODS foams in the past was not equally, i.e. based on population, distributed between Member States. By way of example, Eastern European countries have a lower share of the ODS-foam bank, as ODS foams were not used nearly as widespread as in other parts of Europe. The majority of CFC production was present in Northwest Europe plus France, Spain and Italy. In the period 1960 – 2000, adding insulation to buildings was also more prevalent and widespread in Northern Europe. For buildings, the use of ODS in the EU ended in 2003 for all foam applications. CFC use ended by end 1994 in the EU-15 and ended few years later in Eastern countries. In general, the demolition waste from the </w:t>
      </w:r>
      <w:r>
        <w:rPr>
          <w:rFonts w:ascii="Times New Roman" w:eastAsia="Times New Roman" w:hAnsi="Times New Roman" w:cs="Times New Roman"/>
          <w:bCs/>
          <w:noProof/>
          <w:sz w:val="24"/>
          <w:szCs w:val="20"/>
        </w:rPr>
        <w:t>building sector</w:t>
      </w:r>
      <w:r>
        <w:rPr>
          <w:rFonts w:ascii="Times New Roman" w:eastAsia="Times New Roman" w:hAnsi="Times New Roman" w:cs="Times New Roman"/>
          <w:noProof/>
          <w:sz w:val="24"/>
          <w:szCs w:val="20"/>
        </w:rPr>
        <w:t xml:space="preserve"> can be assumed to contain CFC-11/12 or HCFC 141b/142b, which were popular blowing agents for polyurethane (PU) and extruded polystyrene (XPS) foams used.</w:t>
      </w:r>
    </w:p>
    <w:p w14:paraId="751B6169" w14:textId="77777777" w:rsidR="004D45F1" w:rsidRDefault="004D45F1" w:rsidP="004D45F1">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likely distribution of foam banks across the Member States is shown in Figure A6.3. The figure does not represent the ODS-containing foam bank itself, but rather it shows the countries with the most likely largest contribution, based on 2008 use patterns of foams that would have contained ODS in the past. In the figure, the blue bars (% of ODS by bottom-up) are assumed to be more accurate, as this data is less based on economic assumptions and more on real-world data on insulation foam sales. The figure shows that Germany, France and the UK are likely to have the largest individual contribution to the European ODS foam bank, but Spain and Italy also have relatively high consumption. </w:t>
      </w:r>
    </w:p>
    <w:p w14:paraId="3674EEA2" w14:textId="77777777" w:rsidR="004D45F1" w:rsidRDefault="004D45F1" w:rsidP="004D45F1">
      <w:pPr>
        <w:tabs>
          <w:tab w:val="left" w:pos="2302"/>
        </w:tabs>
        <w:spacing w:after="240" w:line="240" w:lineRule="auto"/>
        <w:jc w:val="both"/>
        <w:rPr>
          <w:rFonts w:ascii="Calibri" w:eastAsia="Times New Roman" w:hAnsi="Calibri" w:cs="Calibri"/>
          <w:iCs/>
          <w:noProof/>
          <w:sz w:val="20"/>
          <w:szCs w:val="20"/>
        </w:rPr>
      </w:pPr>
      <w:r>
        <w:rPr>
          <w:rFonts w:ascii="Calibri" w:eastAsia="Times New Roman" w:hAnsi="Calibri" w:cs="Calibri"/>
          <w:b/>
          <w:iCs/>
          <w:noProof/>
          <w:sz w:val="20"/>
          <w:szCs w:val="20"/>
        </w:rPr>
        <w:t>Figure A6.3.</w:t>
      </w:r>
      <w:r>
        <w:rPr>
          <w:rFonts w:ascii="Calibri" w:eastAsia="Times New Roman" w:hAnsi="Calibri" w:cs="Calibri"/>
          <w:iCs/>
          <w:noProof/>
          <w:sz w:val="20"/>
          <w:szCs w:val="20"/>
        </w:rPr>
        <w:t xml:space="preserve"> Estimated ODS bank distribution for EU-28</w:t>
      </w:r>
    </w:p>
    <w:p w14:paraId="3EF38F7F" w14:textId="77777777" w:rsidR="004D45F1" w:rsidRDefault="004D45F1" w:rsidP="004D45F1">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drawing>
          <wp:inline distT="0" distB="0" distL="0" distR="0" wp14:anchorId="52C5F863" wp14:editId="0FD6CDBA">
            <wp:extent cx="5735320" cy="3773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5320" cy="3773805"/>
                    </a:xfrm>
                    <a:prstGeom prst="rect">
                      <a:avLst/>
                    </a:prstGeom>
                    <a:noFill/>
                    <a:ln>
                      <a:noFill/>
                    </a:ln>
                  </pic:spPr>
                </pic:pic>
              </a:graphicData>
            </a:graphic>
          </wp:inline>
        </w:drawing>
      </w:r>
    </w:p>
    <w:p w14:paraId="20D4E264" w14:textId="77777777" w:rsidR="004D45F1" w:rsidRDefault="004D45F1" w:rsidP="00AD73CF">
      <w:pPr>
        <w:pStyle w:val="ListParagraph"/>
        <w:numPr>
          <w:ilvl w:val="0"/>
          <w:numId w:val="43"/>
        </w:numPr>
        <w:tabs>
          <w:tab w:val="left" w:pos="2302"/>
        </w:tabs>
        <w:spacing w:after="240" w:line="240" w:lineRule="auto"/>
        <w:jc w:val="both"/>
        <w:rPr>
          <w:rFonts w:ascii="Times New Roman" w:eastAsia="Times New Roman" w:hAnsi="Times New Roman" w:cs="Times New Roman"/>
          <w:b/>
          <w:i/>
          <w:noProof/>
          <w:sz w:val="24"/>
          <w:szCs w:val="20"/>
        </w:rPr>
      </w:pPr>
      <w:r>
        <w:rPr>
          <w:rFonts w:ascii="Times New Roman" w:eastAsia="Times New Roman" w:hAnsi="Times New Roman" w:cs="Times New Roman"/>
          <w:b/>
          <w:i/>
          <w:noProof/>
          <w:sz w:val="24"/>
          <w:szCs w:val="20"/>
        </w:rPr>
        <w:t>Policies regarding Construction and Demolition Wastes (CDW) in Member States</w:t>
      </w:r>
    </w:p>
    <w:p w14:paraId="21FDD558" w14:textId="77777777" w:rsidR="004D45F1" w:rsidRDefault="004D45F1" w:rsidP="004D45F1">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About 375 million tonnes of construction and demolition waste (CDW) were generated in 2016 making it is the largest waste stream in the EU by weight (Eurostat, 2019). CDW is defined as a priority area in the EU according to the Circular Economy Action Plan, while the revised Waste Framework Directive (WFD 2008/98/EC, amended 2018/851) sets a mandatory target for its recovery of 70% by 2020. Despite a high average recovery rate, CDW is often down-cycled. Waste management options are ranked in the EU’s waste hierarchy. The highest priority is on waste prevention, followed by recycling, energy recovery and finally disposal, e.g. by landfilling. </w:t>
      </w:r>
    </w:p>
    <w:p w14:paraId="21EE6198" w14:textId="77777777" w:rsidR="004D45F1" w:rsidRDefault="004D45F1" w:rsidP="004D45F1">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Despite its potential, the level of recycling and material recovery of construction and demolition waste varies greatly across the EU, ranging from less than 10% to over 90%. EU count</w:t>
      </w:r>
      <w:r w:rsidR="001F6AEC">
        <w:rPr>
          <w:rFonts w:ascii="Times New Roman" w:eastAsia="Times New Roman" w:hAnsi="Times New Roman" w:cs="Times New Roman"/>
          <w:noProof/>
          <w:sz w:val="24"/>
          <w:szCs w:val="20"/>
        </w:rPr>
        <w:t>r</w:t>
      </w:r>
      <w:r>
        <w:rPr>
          <w:rFonts w:ascii="Times New Roman" w:eastAsia="Times New Roman" w:hAnsi="Times New Roman" w:cs="Times New Roman"/>
          <w:noProof/>
          <w:sz w:val="24"/>
          <w:szCs w:val="20"/>
        </w:rPr>
        <w:t>ies apply different definitions of construction and demolition waste, which makes cross-country comparisons difficult. The EU main objectives for this waste stream include to ensure that CDW is managed in an environmentally sound way. According to the requirements set under the Waste Framework Directive, the following objectives exist for CDW:</w:t>
      </w:r>
    </w:p>
    <w:p w14:paraId="5122C8C7" w14:textId="77777777" w:rsidR="004D45F1" w:rsidRDefault="004D45F1" w:rsidP="00AD73CF">
      <w:pPr>
        <w:numPr>
          <w:ilvl w:val="0"/>
          <w:numId w:val="44"/>
        </w:num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Promote selective demolition to enable removal and safe handling of </w:t>
      </w:r>
      <w:r>
        <w:rPr>
          <w:rFonts w:ascii="Times New Roman" w:eastAsia="Times New Roman" w:hAnsi="Times New Roman" w:cs="Times New Roman"/>
          <w:noProof/>
          <w:sz w:val="24"/>
          <w:szCs w:val="20"/>
          <w:u w:val="single"/>
        </w:rPr>
        <w:t>hazardous substances</w:t>
      </w:r>
      <w:r>
        <w:rPr>
          <w:rFonts w:ascii="Times New Roman" w:eastAsia="Times New Roman" w:hAnsi="Times New Roman" w:cs="Times New Roman"/>
          <w:noProof/>
          <w:sz w:val="24"/>
          <w:szCs w:val="20"/>
        </w:rPr>
        <w:t xml:space="preserve"> and facilitate re-use and high-quality recycling by selective removal of materials and establishing sorting systems, and</w:t>
      </w:r>
    </w:p>
    <w:p w14:paraId="3E7D5BDA" w14:textId="77777777" w:rsidR="004D45F1" w:rsidRDefault="004D45F1" w:rsidP="00AD73CF">
      <w:pPr>
        <w:numPr>
          <w:ilvl w:val="0"/>
          <w:numId w:val="44"/>
        </w:num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Increase the preparing for re-use, recycling and other material recovery (including backfilling) of </w:t>
      </w:r>
      <w:r>
        <w:rPr>
          <w:rFonts w:ascii="Times New Roman" w:eastAsia="Times New Roman" w:hAnsi="Times New Roman" w:cs="Times New Roman"/>
          <w:noProof/>
          <w:sz w:val="24"/>
          <w:szCs w:val="20"/>
          <w:u w:val="single"/>
        </w:rPr>
        <w:t>non-hazardous</w:t>
      </w:r>
      <w:r>
        <w:rPr>
          <w:rFonts w:ascii="Times New Roman" w:eastAsia="Times New Roman" w:hAnsi="Times New Roman" w:cs="Times New Roman"/>
          <w:noProof/>
          <w:sz w:val="24"/>
          <w:szCs w:val="20"/>
        </w:rPr>
        <w:t xml:space="preserve"> construction and demolition waste to a minimum of 70 % by weight by 2020.</w:t>
      </w:r>
    </w:p>
    <w:p w14:paraId="6A3980B3" w14:textId="77777777" w:rsidR="004D45F1" w:rsidRDefault="004D45F1" w:rsidP="004D45F1">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separation of ODS foam banks will be less costly in cases that legislation on separation of waste (for other materials) already pre-exists. In a recent study (2018) carried out for the European Commission, existing CDW policies were examined in a number of representative Member States: Netherlands, Denmark, Germany, Belgium, France, Italy, Poland, Czech Republic, Portugal, Romania and Malta.</w:t>
      </w:r>
      <w:r>
        <w:rPr>
          <w:rStyle w:val="FootnoteReference"/>
          <w:rFonts w:eastAsia="Times New Roman"/>
          <w:noProof/>
          <w:sz w:val="24"/>
          <w:szCs w:val="20"/>
        </w:rPr>
        <w:footnoteReference w:id="122"/>
      </w:r>
      <w:r>
        <w:rPr>
          <w:rFonts w:ascii="Times New Roman" w:eastAsia="Times New Roman" w:hAnsi="Times New Roman" w:cs="Times New Roman"/>
          <w:noProof/>
          <w:sz w:val="24"/>
          <w:szCs w:val="20"/>
        </w:rPr>
        <w:t xml:space="preserve"> While all of these countries have transposed the EU waste acquis into national legislation, CDW management is regulated to a different extent across the Member States. Except for Romania and Malta, all the other analysed Member States have regulations specifically targeting CDW. Thereby, the most developed regulations can be found in the Netherlands, Denmark, Germany, Belgium, France and Italy. These countries include also most of the ODS foam banks as shown in Figure A6.3. The legislative framework of these leading countries is characterised by a variety of </w:t>
      </w:r>
      <w:r>
        <w:rPr>
          <w:rFonts w:ascii="Times New Roman" w:eastAsia="Times New Roman" w:hAnsi="Times New Roman" w:cs="Times New Roman"/>
          <w:bCs/>
          <w:noProof/>
          <w:sz w:val="24"/>
          <w:szCs w:val="20"/>
        </w:rPr>
        <w:t>legislation specifically targeting CDW management</w:t>
      </w:r>
      <w:r>
        <w:rPr>
          <w:rFonts w:ascii="Times New Roman" w:eastAsia="Times New Roman" w:hAnsi="Times New Roman" w:cs="Times New Roman"/>
          <w:b/>
          <w:bCs/>
          <w:noProof/>
          <w:sz w:val="24"/>
          <w:szCs w:val="20"/>
        </w:rPr>
        <w:t xml:space="preserve"> </w:t>
      </w:r>
      <w:r>
        <w:rPr>
          <w:rFonts w:ascii="Times New Roman" w:eastAsia="Times New Roman" w:hAnsi="Times New Roman" w:cs="Times New Roman"/>
          <w:noProof/>
          <w:sz w:val="24"/>
          <w:szCs w:val="20"/>
        </w:rPr>
        <w:t xml:space="preserve">combined with other tools promoting recycling of CDW. The most advanced legislations targeting CDW management comprise for example specifications on separation and requirements regarding the pre-treatment of CDW, mandatory pre-audits on demolition sites, mandatory departmental CDW management plans, as well as quota of percentage for recycled materials (including construction materials) and products in public procurement and </w:t>
      </w:r>
      <w:r>
        <w:rPr>
          <w:rFonts w:ascii="Times New Roman" w:eastAsia="Times New Roman" w:hAnsi="Times New Roman" w:cs="Times New Roman"/>
          <w:bCs/>
          <w:noProof/>
          <w:sz w:val="24"/>
          <w:szCs w:val="20"/>
        </w:rPr>
        <w:t>new plants for sorting of waste materials</w:t>
      </w:r>
      <w:r>
        <w:rPr>
          <w:rFonts w:ascii="Times New Roman" w:eastAsia="Times New Roman" w:hAnsi="Times New Roman" w:cs="Times New Roman"/>
          <w:b/>
          <w:bCs/>
          <w:noProof/>
          <w:sz w:val="24"/>
          <w:szCs w:val="20"/>
        </w:rPr>
        <w:t xml:space="preserve"> </w:t>
      </w:r>
      <w:r>
        <w:rPr>
          <w:rFonts w:ascii="Times New Roman" w:eastAsia="Times New Roman" w:hAnsi="Times New Roman" w:cs="Times New Roman"/>
          <w:noProof/>
          <w:sz w:val="24"/>
          <w:szCs w:val="20"/>
        </w:rPr>
        <w:t xml:space="preserve">were opened in the Netherlands. These plants recover materials such as wood, metals, plastics and inert materials. The study also mentions that </w:t>
      </w:r>
      <w:r>
        <w:rPr>
          <w:rFonts w:ascii="Times New Roman" w:eastAsia="Times New Roman" w:hAnsi="Times New Roman" w:cs="Times New Roman"/>
          <w:bCs/>
          <w:noProof/>
          <w:sz w:val="24"/>
          <w:szCs w:val="20"/>
        </w:rPr>
        <w:t xml:space="preserve">many interviewees stressed the importance of a favourable and stable regulatory context for the economic viability of CDW recycling. </w:t>
      </w:r>
      <w:r>
        <w:rPr>
          <w:rFonts w:ascii="Times New Roman" w:eastAsia="Times New Roman" w:hAnsi="Times New Roman" w:cs="Times New Roman"/>
          <w:noProof/>
          <w:sz w:val="24"/>
          <w:szCs w:val="20"/>
        </w:rPr>
        <w:t xml:space="preserve">The recycling of CDW would greatly benefit from a harmonized EU legislation that is appropriately enforced in all Member States. Today, each Member State has different set of regulations and in many cases, there are even large regional differences. </w:t>
      </w:r>
    </w:p>
    <w:p w14:paraId="3B0B504F" w14:textId="77777777" w:rsidR="004D45F1" w:rsidRDefault="004D45F1" w:rsidP="00AD73CF">
      <w:pPr>
        <w:pStyle w:val="ListParagraph"/>
        <w:numPr>
          <w:ilvl w:val="0"/>
          <w:numId w:val="43"/>
        </w:num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b/>
          <w:i/>
          <w:noProof/>
          <w:sz w:val="24"/>
          <w:szCs w:val="20"/>
        </w:rPr>
        <w:t>Feasibility of ODS foam recovery and treatment</w:t>
      </w:r>
    </w:p>
    <w:p w14:paraId="3C14B526" w14:textId="77777777" w:rsidR="004D45F1" w:rsidRDefault="004D45F1" w:rsidP="004D45F1">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It is </w:t>
      </w:r>
      <w:r>
        <w:rPr>
          <w:rFonts w:ascii="Times New Roman" w:eastAsia="Times New Roman" w:hAnsi="Times New Roman" w:cs="Times New Roman"/>
          <w:b/>
          <w:bCs/>
          <w:noProof/>
          <w:sz w:val="24"/>
          <w:szCs w:val="20"/>
        </w:rPr>
        <w:t>more costly to separate, transport and destroy the ODS contained in the foam than standard disposal via landfilling without ODS recovery</w:t>
      </w:r>
      <w:r>
        <w:rPr>
          <w:rFonts w:ascii="Times New Roman" w:eastAsia="Times New Roman" w:hAnsi="Times New Roman" w:cs="Times New Roman"/>
          <w:noProof/>
          <w:sz w:val="24"/>
          <w:szCs w:val="20"/>
        </w:rPr>
        <w:t>. There are a number of constraints that make effective recovery and treatment difficult and/or costly. These include:</w:t>
      </w:r>
    </w:p>
    <w:p w14:paraId="01765377"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Demolition companies may have difficulties to ascertain whether there is CFCs or not in a panel, and therefore judge how it should be handled (e.g., whether it can be crushed on-site or not). Building audits are expensive and take time, but are required to ascertain level of ODS present.</w:t>
      </w:r>
    </w:p>
    <w:p w14:paraId="336CBBD8" w14:textId="77777777" w:rsidR="004D45F1" w:rsidRDefault="004D45F1" w:rsidP="00AD73CF">
      <w:pPr>
        <w:pStyle w:val="ListParagraph"/>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Transportation is expensive per tonne of material handled as ODS foams are considered hazardous materials.</w:t>
      </w:r>
    </w:p>
    <w:p w14:paraId="6D6F2F79"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Foam material with ODS cannot be crushed on site without emitting the ODS, increasing transportation cost for relatively light materials such as laminated boards panels.</w:t>
      </w:r>
    </w:p>
    <w:p w14:paraId="5D7D30C6"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Costs of waste segregation are high for some materials, especially if contaminated with bitumen. For laminated boards, segregation is required to avoid contamination by other substances or building materials</w:t>
      </w:r>
    </w:p>
    <w:p w14:paraId="26C50F3F"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recycling technology may require significant energy input.</w:t>
      </w:r>
    </w:p>
    <w:p w14:paraId="70E6AC44"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metal-faced panels, the capacity of nearby recycling facilities may be too limited to process all metal-faced panels</w:t>
      </w:r>
    </w:p>
    <w:p w14:paraId="5C6B9860"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National capacity of waste recycling plants is not evenly distributed across Member States.</w:t>
      </w:r>
    </w:p>
    <w:p w14:paraId="26C17577" w14:textId="77777777" w:rsidR="004D45F1" w:rsidRDefault="004D45F1" w:rsidP="00AD73CF">
      <w:pPr>
        <w:numPr>
          <w:ilvl w:val="0"/>
          <w:numId w:val="45"/>
        </w:numPr>
        <w:tabs>
          <w:tab w:val="left" w:pos="2302"/>
        </w:tabs>
        <w:spacing w:after="0"/>
        <w:ind w:left="714" w:hanging="357"/>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Lack of enforcement is a driver for demolition companies to avoid separation of CDW fractions and reduce costs.</w:t>
      </w:r>
    </w:p>
    <w:p w14:paraId="66C420DB" w14:textId="77777777" w:rsidR="004D45F1" w:rsidRDefault="004D45F1" w:rsidP="004D45F1">
      <w:pPr>
        <w:tabs>
          <w:tab w:val="left" w:pos="2302"/>
        </w:tabs>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The technical and economic feasibility also strongly depends on the type of foam</w:t>
      </w:r>
      <w:r>
        <w:rPr>
          <w:rFonts w:ascii="Times New Roman" w:eastAsia="Times New Roman" w:hAnsi="Times New Roman" w:cs="Times New Roman"/>
          <w:noProof/>
          <w:sz w:val="24"/>
          <w:szCs w:val="20"/>
        </w:rPr>
        <w:t xml:space="preserve"> (e.g. panels, boards, spray or block), and where it is installed (see table A6.1). </w:t>
      </w:r>
    </w:p>
    <w:p w14:paraId="0D2D6E78" w14:textId="77777777" w:rsidR="004D45F1" w:rsidRDefault="004D45F1" w:rsidP="004D45F1">
      <w:pPr>
        <w:tabs>
          <w:tab w:val="left" w:pos="2302"/>
        </w:tabs>
        <w:spacing w:after="240" w:line="240" w:lineRule="auto"/>
        <w:jc w:val="both"/>
        <w:rPr>
          <w:rFonts w:ascii="Calibri" w:eastAsia="Times New Roman" w:hAnsi="Calibri" w:cs="Calibri"/>
          <w:bCs/>
          <w:iCs/>
          <w:noProof/>
          <w:sz w:val="20"/>
          <w:szCs w:val="20"/>
        </w:rPr>
      </w:pPr>
      <w:bookmarkStart w:id="400" w:name="_Ref65569062"/>
      <w:r>
        <w:rPr>
          <w:rFonts w:ascii="Calibri" w:eastAsia="Times New Roman" w:hAnsi="Calibri" w:cs="Calibri"/>
          <w:bCs/>
          <w:iCs/>
          <w:noProof/>
          <w:sz w:val="20"/>
          <w:szCs w:val="20"/>
        </w:rPr>
        <w:t xml:space="preserve">Table </w:t>
      </w:r>
      <w:bookmarkEnd w:id="400"/>
      <w:r>
        <w:rPr>
          <w:rFonts w:ascii="Calibri" w:eastAsia="Times New Roman" w:hAnsi="Calibri" w:cs="Calibri"/>
          <w:bCs/>
          <w:iCs/>
          <w:noProof/>
          <w:sz w:val="20"/>
          <w:szCs w:val="20"/>
        </w:rPr>
        <w:t>A6.1 Feasibility of building foams recovery by material</w:t>
      </w:r>
    </w:p>
    <w:tbl>
      <w:tblPr>
        <w:tblStyle w:val="GridTable4-Accent51"/>
        <w:tblW w:w="0" w:type="auto"/>
        <w:tblLook w:val="04A0" w:firstRow="1" w:lastRow="0" w:firstColumn="1" w:lastColumn="0" w:noHBand="0" w:noVBand="1"/>
      </w:tblPr>
      <w:tblGrid>
        <w:gridCol w:w="1954"/>
        <w:gridCol w:w="1928"/>
        <w:gridCol w:w="5360"/>
      </w:tblGrid>
      <w:tr w:rsidR="004D45F1" w14:paraId="696E9FA9" w14:textId="77777777" w:rsidTr="004D45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006BB7"/>
            </w:tcBorders>
            <w:shd w:val="clear" w:color="auto" w:fill="006BB7"/>
            <w:hideMark/>
          </w:tcPr>
          <w:p w14:paraId="22F39D34" w14:textId="77777777" w:rsidR="004D45F1" w:rsidRDefault="004D45F1">
            <w:pPr>
              <w:tabs>
                <w:tab w:val="left" w:pos="2302"/>
              </w:tabs>
              <w:spacing w:after="240"/>
              <w:jc w:val="both"/>
              <w:rPr>
                <w:rFonts w:eastAsia="Times New Roman" w:cstheme="minorHAnsi"/>
                <w:noProof/>
                <w:sz w:val="20"/>
                <w:szCs w:val="20"/>
              </w:rPr>
            </w:pPr>
            <w:r>
              <w:rPr>
                <w:rFonts w:eastAsia="Times New Roman" w:cstheme="minorHAnsi"/>
                <w:noProof/>
                <w:sz w:val="20"/>
                <w:szCs w:val="20"/>
              </w:rPr>
              <w:t>Material</w:t>
            </w:r>
          </w:p>
        </w:tc>
        <w:tc>
          <w:tcPr>
            <w:tcW w:w="1559" w:type="dxa"/>
            <w:shd w:val="clear" w:color="auto" w:fill="006BB7"/>
            <w:hideMark/>
          </w:tcPr>
          <w:p w14:paraId="76E2A2C9" w14:textId="77777777" w:rsidR="004D45F1" w:rsidRDefault="004D45F1">
            <w:pPr>
              <w:tabs>
                <w:tab w:val="left" w:pos="2302"/>
              </w:tabs>
              <w:spacing w:after="240"/>
              <w:jc w:val="both"/>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0"/>
                <w:szCs w:val="20"/>
              </w:rPr>
            </w:pPr>
            <w:r>
              <w:rPr>
                <w:rFonts w:eastAsia="Times New Roman" w:cstheme="minorHAnsi"/>
                <w:noProof/>
                <w:sz w:val="20"/>
                <w:szCs w:val="20"/>
              </w:rPr>
              <w:t>Current feasibility</w:t>
            </w:r>
          </w:p>
        </w:tc>
        <w:tc>
          <w:tcPr>
            <w:tcW w:w="5477" w:type="dxa"/>
            <w:tcBorders>
              <w:right w:val="single" w:sz="4" w:space="0" w:color="006BB7"/>
            </w:tcBorders>
            <w:shd w:val="clear" w:color="auto" w:fill="006BB7"/>
            <w:hideMark/>
          </w:tcPr>
          <w:p w14:paraId="6F8C037C" w14:textId="77777777" w:rsidR="004D45F1" w:rsidRDefault="004D45F1">
            <w:pPr>
              <w:tabs>
                <w:tab w:val="left" w:pos="2302"/>
              </w:tabs>
              <w:spacing w:after="240"/>
              <w:jc w:val="both"/>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0"/>
                <w:szCs w:val="20"/>
              </w:rPr>
            </w:pPr>
            <w:r>
              <w:rPr>
                <w:rFonts w:eastAsia="Times New Roman" w:cstheme="minorHAnsi"/>
                <w:noProof/>
                <w:sz w:val="20"/>
                <w:szCs w:val="20"/>
              </w:rPr>
              <w:t>Justification</w:t>
            </w:r>
          </w:p>
        </w:tc>
      </w:tr>
      <w:tr w:rsidR="004D45F1" w14:paraId="16555B58" w14:textId="77777777" w:rsidTr="004D4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2CDDC"/>
              <w:left w:val="single" w:sz="4" w:space="0" w:color="006BB7"/>
              <w:bottom w:val="single" w:sz="4" w:space="0" w:color="006BB7"/>
              <w:right w:val="single" w:sz="4" w:space="0" w:color="006BB7"/>
            </w:tcBorders>
            <w:shd w:val="clear" w:color="auto" w:fill="E2ECF2"/>
            <w:vAlign w:val="center"/>
            <w:hideMark/>
          </w:tcPr>
          <w:p w14:paraId="53EFFAB9" w14:textId="77777777" w:rsidR="004D45F1" w:rsidRDefault="004D45F1">
            <w:pPr>
              <w:tabs>
                <w:tab w:val="left" w:pos="2302"/>
              </w:tabs>
              <w:spacing w:after="240"/>
              <w:jc w:val="both"/>
              <w:rPr>
                <w:rFonts w:eastAsia="Times New Roman" w:cstheme="minorHAnsi"/>
                <w:noProof/>
                <w:sz w:val="20"/>
                <w:szCs w:val="20"/>
              </w:rPr>
            </w:pPr>
            <w:r>
              <w:rPr>
                <w:rFonts w:eastAsia="Times New Roman" w:cstheme="minorHAnsi"/>
                <w:noProof/>
                <w:sz w:val="20"/>
                <w:szCs w:val="20"/>
              </w:rPr>
              <w:t>Metal-faced panels</w:t>
            </w:r>
          </w:p>
        </w:tc>
        <w:tc>
          <w:tcPr>
            <w:tcW w:w="1559" w:type="dxa"/>
            <w:tcBorders>
              <w:top w:val="single" w:sz="4" w:space="0" w:color="92CDDC"/>
              <w:left w:val="single" w:sz="4" w:space="0" w:color="006BB7"/>
              <w:bottom w:val="single" w:sz="4" w:space="0" w:color="006BB7"/>
              <w:right w:val="single" w:sz="4" w:space="0" w:color="006BB7"/>
            </w:tcBorders>
            <w:shd w:val="clear" w:color="auto" w:fill="E2ECF2"/>
            <w:vAlign w:val="center"/>
            <w:hideMark/>
          </w:tcPr>
          <w:p w14:paraId="38726D5D"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Medium-High</w:t>
            </w:r>
          </w:p>
          <w:p w14:paraId="18DA60AE"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noProof/>
                <w:lang w:eastAsia="en-GB"/>
              </w:rPr>
              <w:drawing>
                <wp:inline distT="0" distB="0" distL="0" distR="0" wp14:anchorId="3E9F114B" wp14:editId="776730FA">
                  <wp:extent cx="1087120" cy="541655"/>
                  <wp:effectExtent l="0" t="0" r="0" b="0"/>
                  <wp:docPr id="7" name="Picture 7" descr="wall sandwi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ll sandwich pan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7120" cy="541655"/>
                          </a:xfrm>
                          <a:prstGeom prst="rect">
                            <a:avLst/>
                          </a:prstGeom>
                          <a:noFill/>
                          <a:ln>
                            <a:noFill/>
                          </a:ln>
                        </pic:spPr>
                      </pic:pic>
                    </a:graphicData>
                  </a:graphic>
                </wp:inline>
              </w:drawing>
            </w:r>
          </w:p>
        </w:tc>
        <w:tc>
          <w:tcPr>
            <w:tcW w:w="5477" w:type="dxa"/>
            <w:tcBorders>
              <w:top w:val="single" w:sz="4" w:space="0" w:color="92CDDC"/>
              <w:left w:val="single" w:sz="4" w:space="0" w:color="006BB7"/>
              <w:bottom w:val="single" w:sz="4" w:space="0" w:color="006BB7"/>
              <w:right w:val="single" w:sz="4" w:space="0" w:color="006BB7"/>
            </w:tcBorders>
            <w:shd w:val="clear" w:color="auto" w:fill="E2ECF2"/>
            <w:vAlign w:val="center"/>
            <w:hideMark/>
          </w:tcPr>
          <w:p w14:paraId="0CBBA92A"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Refurbished recycling facilities that have so far been treating old refrigeration equipment can treat metal-faced panels. According to experts interviewed</w:t>
            </w:r>
            <w:r>
              <w:rPr>
                <w:rFonts w:eastAsia="Times New Roman" w:cstheme="minorHAnsi"/>
                <w:bCs/>
                <w:noProof/>
                <w:sz w:val="20"/>
                <w:szCs w:val="20"/>
                <w:vertAlign w:val="superscript"/>
              </w:rPr>
              <w:footnoteReference w:id="123"/>
            </w:r>
            <w:r>
              <w:rPr>
                <w:rFonts w:eastAsia="Times New Roman" w:cstheme="minorHAnsi"/>
                <w:bCs/>
                <w:noProof/>
                <w:sz w:val="20"/>
                <w:szCs w:val="20"/>
              </w:rPr>
              <w:t xml:space="preserve">, it is </w:t>
            </w:r>
            <w:r>
              <w:rPr>
                <w:rFonts w:eastAsia="Times New Roman" w:cstheme="minorHAnsi"/>
                <w:b/>
                <w:bCs/>
                <w:noProof/>
                <w:sz w:val="20"/>
                <w:szCs w:val="20"/>
              </w:rPr>
              <w:t xml:space="preserve">economically and technically feasible to recover Metal-faced panels. </w:t>
            </w:r>
            <w:r>
              <w:rPr>
                <w:rFonts w:eastAsia="Times New Roman" w:cstheme="minorHAnsi"/>
                <w:bCs/>
                <w:noProof/>
                <w:sz w:val="20"/>
                <w:szCs w:val="20"/>
              </w:rPr>
              <w:t xml:space="preserve">The Metal component accounts for approx. 50-80% by weight (depending on panel thickness) and is easy to segregate and can be treated by existing refrigerant panel recycling plants. In this study, the recovery of the metal component of panels is assumed to already be economically viable, and only the foam component is analysed with respect to additional cost. At the moment, without a mandate for separation of panels and separate disposal of the metal and foam elements, there is low natural demand for the use of refrigerator panel recycling plants for this purpose.   </w:t>
            </w:r>
          </w:p>
        </w:tc>
      </w:tr>
      <w:tr w:rsidR="004D45F1" w14:paraId="18B21488" w14:textId="77777777" w:rsidTr="004D45F1">
        <w:trPr>
          <w:trHeight w:val="1294"/>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006BB7"/>
              <w:left w:val="single" w:sz="4" w:space="0" w:color="006BB7"/>
              <w:bottom w:val="single" w:sz="4" w:space="0" w:color="92CDDC"/>
              <w:right w:val="single" w:sz="4" w:space="0" w:color="006BB7"/>
            </w:tcBorders>
            <w:vAlign w:val="center"/>
            <w:hideMark/>
          </w:tcPr>
          <w:p w14:paraId="639E0374" w14:textId="77777777" w:rsidR="004D45F1" w:rsidRDefault="004D45F1">
            <w:pPr>
              <w:tabs>
                <w:tab w:val="left" w:pos="2302"/>
              </w:tabs>
              <w:spacing w:after="240"/>
              <w:jc w:val="both"/>
              <w:rPr>
                <w:rFonts w:eastAsia="Times New Roman" w:cstheme="minorHAnsi"/>
                <w:noProof/>
                <w:sz w:val="20"/>
                <w:szCs w:val="20"/>
              </w:rPr>
            </w:pPr>
            <w:r>
              <w:rPr>
                <w:rFonts w:eastAsia="Times New Roman" w:cstheme="minorHAnsi"/>
                <w:noProof/>
                <w:sz w:val="20"/>
                <w:szCs w:val="20"/>
              </w:rPr>
              <w:t>Laminated boards</w:t>
            </w:r>
          </w:p>
        </w:tc>
        <w:tc>
          <w:tcPr>
            <w:tcW w:w="1559" w:type="dxa"/>
            <w:vMerge w:val="restart"/>
            <w:tcBorders>
              <w:top w:val="single" w:sz="4" w:space="0" w:color="006BB7"/>
              <w:left w:val="single" w:sz="4" w:space="0" w:color="006BB7"/>
              <w:bottom w:val="single" w:sz="4" w:space="0" w:color="92CDDC"/>
              <w:right w:val="single" w:sz="4" w:space="0" w:color="006BB7"/>
            </w:tcBorders>
            <w:vAlign w:val="center"/>
            <w:hideMark/>
          </w:tcPr>
          <w:p w14:paraId="3FF753BB"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Medium-Low</w:t>
            </w:r>
          </w:p>
          <w:p w14:paraId="0E53F791"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cstheme="minorHAnsi"/>
                <w:noProof/>
                <w:lang w:eastAsia="en-GB"/>
              </w:rPr>
              <w:drawing>
                <wp:inline distT="0" distB="0" distL="0" distR="0" wp14:anchorId="4CCED2A4" wp14:editId="3573C61B">
                  <wp:extent cx="1038860" cy="753745"/>
                  <wp:effectExtent l="0" t="0" r="8890" b="8255"/>
                  <wp:docPr id="6" name="Picture 6" descr="EFC61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C61D5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860" cy="753745"/>
                          </a:xfrm>
                          <a:prstGeom prst="rect">
                            <a:avLst/>
                          </a:prstGeom>
                          <a:noFill/>
                          <a:ln>
                            <a:noFill/>
                          </a:ln>
                        </pic:spPr>
                      </pic:pic>
                    </a:graphicData>
                  </a:graphic>
                </wp:inline>
              </w:drawing>
            </w:r>
          </w:p>
        </w:tc>
        <w:tc>
          <w:tcPr>
            <w:tcW w:w="5477" w:type="dxa"/>
            <w:tcBorders>
              <w:top w:val="single" w:sz="4" w:space="0" w:color="006BB7"/>
              <w:left w:val="single" w:sz="4" w:space="0" w:color="006BB7"/>
              <w:bottom w:val="single" w:sz="4" w:space="0" w:color="92CDDC"/>
              <w:right w:val="single" w:sz="4" w:space="0" w:color="006BB7"/>
            </w:tcBorders>
            <w:vAlign w:val="center"/>
            <w:hideMark/>
          </w:tcPr>
          <w:p w14:paraId="464D25DB"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 xml:space="preserve">Laminated boards are more difficult and expensive to recover than metal-faced panels. However, </w:t>
            </w:r>
            <w:r>
              <w:rPr>
                <w:rFonts w:eastAsia="Times New Roman" w:cstheme="minorHAnsi"/>
                <w:b/>
                <w:bCs/>
                <w:noProof/>
                <w:sz w:val="20"/>
                <w:szCs w:val="20"/>
              </w:rPr>
              <w:t>built-up systems</w:t>
            </w:r>
            <w:r>
              <w:rPr>
                <w:rFonts w:eastAsia="Times New Roman" w:cstheme="minorHAnsi"/>
                <w:b/>
                <w:bCs/>
                <w:noProof/>
                <w:sz w:val="20"/>
                <w:szCs w:val="20"/>
                <w:vertAlign w:val="superscript"/>
              </w:rPr>
              <w:footnoteReference w:id="124"/>
            </w:r>
            <w:r>
              <w:rPr>
                <w:rFonts w:eastAsia="Times New Roman" w:cstheme="minorHAnsi"/>
                <w:b/>
                <w:bCs/>
                <w:noProof/>
                <w:sz w:val="20"/>
                <w:szCs w:val="20"/>
              </w:rPr>
              <w:t xml:space="preserve"> could be feasible to recover</w:t>
            </w:r>
            <w:r>
              <w:rPr>
                <w:rFonts w:eastAsia="Times New Roman" w:cstheme="minorHAnsi"/>
                <w:bCs/>
                <w:noProof/>
                <w:sz w:val="20"/>
                <w:szCs w:val="20"/>
              </w:rPr>
              <w:t xml:space="preserve"> since they are easy to segregate and collect, and they can be cut into smaller pieces to transport and process without losing much ODS content.</w:t>
            </w:r>
          </w:p>
        </w:tc>
      </w:tr>
      <w:tr w:rsidR="004D45F1" w14:paraId="0AF2493C" w14:textId="77777777" w:rsidTr="004D45F1">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6BB7"/>
              <w:left w:val="single" w:sz="4" w:space="0" w:color="006BB7"/>
              <w:bottom w:val="single" w:sz="4" w:space="0" w:color="92CDDC"/>
              <w:right w:val="single" w:sz="4" w:space="0" w:color="006BB7"/>
            </w:tcBorders>
            <w:vAlign w:val="center"/>
            <w:hideMark/>
          </w:tcPr>
          <w:p w14:paraId="02CA744F" w14:textId="77777777" w:rsidR="004D45F1" w:rsidRDefault="004D45F1">
            <w:pPr>
              <w:rPr>
                <w:rFonts w:eastAsia="Times New Roman" w:cstheme="minorHAnsi"/>
                <w:noProof/>
                <w:sz w:val="20"/>
                <w:szCs w:val="20"/>
              </w:rPr>
            </w:pPr>
          </w:p>
        </w:tc>
        <w:tc>
          <w:tcPr>
            <w:tcW w:w="0" w:type="auto"/>
            <w:vMerge/>
            <w:tcBorders>
              <w:top w:val="single" w:sz="4" w:space="0" w:color="006BB7"/>
              <w:left w:val="single" w:sz="4" w:space="0" w:color="006BB7"/>
              <w:bottom w:val="single" w:sz="4" w:space="0" w:color="92CDDC"/>
              <w:right w:val="single" w:sz="4" w:space="0" w:color="006BB7"/>
            </w:tcBorders>
            <w:vAlign w:val="center"/>
            <w:hideMark/>
          </w:tcPr>
          <w:p w14:paraId="2BDCB871" w14:textId="77777777" w:rsidR="004D45F1" w:rsidRDefault="004D45F1">
            <w:pPr>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p>
        </w:tc>
        <w:tc>
          <w:tcPr>
            <w:tcW w:w="5477" w:type="dxa"/>
            <w:tcBorders>
              <w:top w:val="single" w:sz="4" w:space="0" w:color="006BB7"/>
              <w:left w:val="single" w:sz="4" w:space="0" w:color="006BB7"/>
              <w:bottom w:val="single" w:sz="4" w:space="0" w:color="92CDDC"/>
              <w:right w:val="single" w:sz="4" w:space="0" w:color="006BB7"/>
            </w:tcBorders>
            <w:vAlign w:val="center"/>
            <w:hideMark/>
          </w:tcPr>
          <w:p w14:paraId="4D9C944E"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rFonts w:eastAsia="Times New Roman" w:cstheme="minorHAnsi"/>
                <w:b/>
                <w:bCs/>
                <w:noProof/>
                <w:sz w:val="20"/>
                <w:szCs w:val="20"/>
              </w:rPr>
              <w:t>Boards in cavity structures</w:t>
            </w:r>
            <w:r>
              <w:rPr>
                <w:rFonts w:eastAsia="Times New Roman" w:cstheme="minorHAnsi"/>
                <w:b/>
                <w:bCs/>
                <w:noProof/>
                <w:sz w:val="20"/>
                <w:szCs w:val="20"/>
                <w:vertAlign w:val="superscript"/>
              </w:rPr>
              <w:footnoteReference w:id="125"/>
            </w:r>
            <w:r>
              <w:rPr>
                <w:rFonts w:eastAsia="Times New Roman" w:cstheme="minorHAnsi"/>
                <w:b/>
                <w:bCs/>
                <w:noProof/>
                <w:sz w:val="20"/>
                <w:szCs w:val="20"/>
              </w:rPr>
              <w:t xml:space="preserve"> could also be feasible to recover. Costs in some Member States like </w:t>
            </w:r>
            <w:r>
              <w:rPr>
                <w:rFonts w:eastAsia="Times New Roman" w:cstheme="minorHAnsi"/>
                <w:bCs/>
                <w:noProof/>
                <w:sz w:val="20"/>
                <w:szCs w:val="20"/>
              </w:rPr>
              <w:t>Germany, the Netherlands or Austria, would be lower due to existing waste regulations in place and favourable building practices that reduce the contamination level of the materials. There is a knowledge gap on the feasibility of this beyond these countries.</w:t>
            </w:r>
          </w:p>
        </w:tc>
      </w:tr>
      <w:tr w:rsidR="004D45F1" w14:paraId="6C42B614" w14:textId="77777777" w:rsidTr="004D45F1">
        <w:trPr>
          <w:trHeight w:val="129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6BB7"/>
              <w:left w:val="single" w:sz="4" w:space="0" w:color="006BB7"/>
              <w:bottom w:val="single" w:sz="4" w:space="0" w:color="92CDDC"/>
              <w:right w:val="single" w:sz="4" w:space="0" w:color="006BB7"/>
            </w:tcBorders>
            <w:vAlign w:val="center"/>
            <w:hideMark/>
          </w:tcPr>
          <w:p w14:paraId="0BF02E8F" w14:textId="77777777" w:rsidR="004D45F1" w:rsidRDefault="004D45F1">
            <w:pPr>
              <w:rPr>
                <w:rFonts w:eastAsia="Times New Roman" w:cstheme="minorHAnsi"/>
                <w:noProof/>
                <w:sz w:val="20"/>
                <w:szCs w:val="20"/>
              </w:rPr>
            </w:pPr>
          </w:p>
        </w:tc>
        <w:tc>
          <w:tcPr>
            <w:tcW w:w="0" w:type="auto"/>
            <w:vMerge/>
            <w:tcBorders>
              <w:top w:val="single" w:sz="4" w:space="0" w:color="006BB7"/>
              <w:left w:val="single" w:sz="4" w:space="0" w:color="006BB7"/>
              <w:bottom w:val="single" w:sz="4" w:space="0" w:color="92CDDC"/>
              <w:right w:val="single" w:sz="4" w:space="0" w:color="006BB7"/>
            </w:tcBorders>
            <w:vAlign w:val="center"/>
            <w:hideMark/>
          </w:tcPr>
          <w:p w14:paraId="1836DA6D" w14:textId="77777777" w:rsidR="004D45F1" w:rsidRDefault="004D45F1">
            <w:pPr>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p>
        </w:tc>
        <w:tc>
          <w:tcPr>
            <w:tcW w:w="5477" w:type="dxa"/>
            <w:tcBorders>
              <w:top w:val="single" w:sz="4" w:space="0" w:color="006BB7"/>
              <w:left w:val="single" w:sz="4" w:space="0" w:color="006BB7"/>
              <w:bottom w:val="single" w:sz="4" w:space="0" w:color="92CDDC"/>
              <w:right w:val="single" w:sz="4" w:space="0" w:color="006BB7"/>
            </w:tcBorders>
            <w:vAlign w:val="center"/>
            <w:hideMark/>
          </w:tcPr>
          <w:p w14:paraId="0B663D1A"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eastAsia="Times New Roman" w:cstheme="minorHAnsi"/>
                <w:b/>
                <w:bCs/>
                <w:noProof/>
                <w:sz w:val="20"/>
                <w:szCs w:val="20"/>
              </w:rPr>
              <w:t>Floor insulation boards</w:t>
            </w:r>
            <w:r>
              <w:rPr>
                <w:rFonts w:eastAsia="Times New Roman" w:cstheme="minorHAnsi"/>
                <w:bCs/>
                <w:noProof/>
                <w:sz w:val="20"/>
                <w:szCs w:val="20"/>
              </w:rPr>
              <w:t xml:space="preserve"> are not yet economically feasible to recover since they are contaminated with concrete, removal of which requires more innovation. In a board, CFC is under concrete, hence, it is highly contaminated and costly to collect and segregate.</w:t>
            </w:r>
          </w:p>
        </w:tc>
      </w:tr>
      <w:tr w:rsidR="004D45F1" w14:paraId="28DD8159" w14:textId="77777777" w:rsidTr="004D4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6BB7"/>
              <w:left w:val="single" w:sz="4" w:space="0" w:color="006BB7"/>
              <w:bottom w:val="single" w:sz="4" w:space="0" w:color="006BB7"/>
              <w:right w:val="single" w:sz="4" w:space="0" w:color="006BB7"/>
            </w:tcBorders>
            <w:shd w:val="clear" w:color="auto" w:fill="E2ECF2"/>
            <w:vAlign w:val="center"/>
            <w:hideMark/>
          </w:tcPr>
          <w:p w14:paraId="565020D7" w14:textId="77777777" w:rsidR="004D45F1" w:rsidRDefault="004D45F1">
            <w:pPr>
              <w:tabs>
                <w:tab w:val="left" w:pos="2302"/>
              </w:tabs>
              <w:spacing w:after="240"/>
              <w:jc w:val="both"/>
              <w:rPr>
                <w:rFonts w:eastAsia="Times New Roman" w:cstheme="minorHAnsi"/>
                <w:noProof/>
                <w:sz w:val="20"/>
                <w:szCs w:val="20"/>
              </w:rPr>
            </w:pPr>
            <w:r>
              <w:rPr>
                <w:rFonts w:eastAsia="Times New Roman" w:cstheme="minorHAnsi"/>
                <w:noProof/>
                <w:sz w:val="20"/>
                <w:szCs w:val="20"/>
              </w:rPr>
              <w:t>Spray foam</w:t>
            </w:r>
          </w:p>
        </w:tc>
        <w:tc>
          <w:tcPr>
            <w:tcW w:w="1559" w:type="dxa"/>
            <w:tcBorders>
              <w:top w:val="single" w:sz="4" w:space="0" w:color="006BB7"/>
              <w:left w:val="single" w:sz="4" w:space="0" w:color="006BB7"/>
              <w:bottom w:val="single" w:sz="4" w:space="0" w:color="006BB7"/>
              <w:right w:val="single" w:sz="4" w:space="0" w:color="006BB7"/>
            </w:tcBorders>
            <w:shd w:val="clear" w:color="auto" w:fill="E2ECF2"/>
            <w:vAlign w:val="center"/>
            <w:hideMark/>
          </w:tcPr>
          <w:p w14:paraId="5B08B072"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Low</w:t>
            </w:r>
          </w:p>
          <w:p w14:paraId="7765E52B"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noProof/>
                <w:lang w:eastAsia="en-GB"/>
              </w:rPr>
              <w:drawing>
                <wp:inline distT="0" distB="0" distL="0" distR="0" wp14:anchorId="3583BC32" wp14:editId="19D7A175">
                  <wp:extent cx="817880" cy="1094740"/>
                  <wp:effectExtent l="0" t="0" r="1270" b="0"/>
                  <wp:docPr id="5" name="Picture 5" descr="https://upload.wikimedia.org/wikipedia/commons/b/bd/Found_foam_ins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b/bd/Found_foam_insulatio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880" cy="1094740"/>
                          </a:xfrm>
                          <a:prstGeom prst="rect">
                            <a:avLst/>
                          </a:prstGeom>
                          <a:noFill/>
                          <a:ln>
                            <a:noFill/>
                          </a:ln>
                        </pic:spPr>
                      </pic:pic>
                    </a:graphicData>
                  </a:graphic>
                </wp:inline>
              </w:drawing>
            </w:r>
          </w:p>
        </w:tc>
        <w:tc>
          <w:tcPr>
            <w:tcW w:w="5477" w:type="dxa"/>
            <w:tcBorders>
              <w:top w:val="single" w:sz="4" w:space="0" w:color="006BB7"/>
              <w:left w:val="single" w:sz="4" w:space="0" w:color="006BB7"/>
              <w:bottom w:val="single" w:sz="4" w:space="0" w:color="006BB7"/>
              <w:right w:val="single" w:sz="4" w:space="0" w:color="006BB7"/>
            </w:tcBorders>
            <w:shd w:val="clear" w:color="auto" w:fill="E2ECF2"/>
            <w:vAlign w:val="center"/>
            <w:hideMark/>
          </w:tcPr>
          <w:p w14:paraId="1B15A812" w14:textId="77777777" w:rsidR="004D45F1" w:rsidRDefault="004D45F1">
            <w:pPr>
              <w:tabs>
                <w:tab w:val="left" w:pos="2302"/>
              </w:tabs>
              <w:spacing w:after="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 xml:space="preserve">According to the experts interviewed, spray foam recovery is </w:t>
            </w:r>
            <w:r>
              <w:rPr>
                <w:rFonts w:eastAsia="Times New Roman" w:cstheme="minorHAnsi"/>
                <w:b/>
                <w:bCs/>
                <w:noProof/>
                <w:sz w:val="20"/>
                <w:szCs w:val="20"/>
              </w:rPr>
              <w:t>not feasible in the demolition phase</w:t>
            </w:r>
            <w:r>
              <w:rPr>
                <w:rFonts w:eastAsia="Times New Roman" w:cstheme="minorHAnsi"/>
                <w:bCs/>
                <w:noProof/>
                <w:sz w:val="20"/>
                <w:szCs w:val="20"/>
              </w:rPr>
              <w:t xml:space="preserve">. ODS spray foam is mainly used in walls and roofs. It was often used on top of existing structures for e.g. roof insulation, sprayed against surfaces, pumped into cavity holes. When the walls are demolished, foams are trapped in the wreckage and it would require time- and cost-intensive manual segregation. </w:t>
            </w:r>
          </w:p>
        </w:tc>
      </w:tr>
      <w:tr w:rsidR="004D45F1" w14:paraId="10ED2C93" w14:textId="77777777" w:rsidTr="004D45F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6BB7"/>
              <w:left w:val="single" w:sz="4" w:space="0" w:color="006BB7"/>
              <w:bottom w:val="single" w:sz="4" w:space="0" w:color="006BB7"/>
              <w:right w:val="single" w:sz="4" w:space="0" w:color="006BB7"/>
            </w:tcBorders>
            <w:vAlign w:val="center"/>
            <w:hideMark/>
          </w:tcPr>
          <w:p w14:paraId="54B7FFC2" w14:textId="77777777" w:rsidR="004D45F1" w:rsidRDefault="004D45F1">
            <w:pPr>
              <w:tabs>
                <w:tab w:val="left" w:pos="2302"/>
              </w:tabs>
              <w:spacing w:after="240"/>
              <w:jc w:val="both"/>
              <w:rPr>
                <w:rFonts w:eastAsia="Times New Roman" w:cstheme="minorHAnsi"/>
                <w:noProof/>
                <w:sz w:val="20"/>
                <w:szCs w:val="20"/>
              </w:rPr>
            </w:pPr>
            <w:r>
              <w:rPr>
                <w:rFonts w:eastAsia="Times New Roman" w:cstheme="minorHAnsi"/>
                <w:noProof/>
                <w:sz w:val="20"/>
                <w:szCs w:val="20"/>
              </w:rPr>
              <w:t>Block foam</w:t>
            </w:r>
          </w:p>
        </w:tc>
        <w:tc>
          <w:tcPr>
            <w:tcW w:w="1559" w:type="dxa"/>
            <w:tcBorders>
              <w:top w:val="single" w:sz="4" w:space="0" w:color="006BB7"/>
              <w:left w:val="single" w:sz="4" w:space="0" w:color="006BB7"/>
              <w:bottom w:val="single" w:sz="4" w:space="0" w:color="006BB7"/>
              <w:right w:val="single" w:sz="4" w:space="0" w:color="006BB7"/>
            </w:tcBorders>
            <w:vAlign w:val="center"/>
            <w:hideMark/>
          </w:tcPr>
          <w:p w14:paraId="31DB99CF"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Low</w:t>
            </w:r>
          </w:p>
          <w:p w14:paraId="50A855FE"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cstheme="minorHAnsi"/>
                <w:noProof/>
                <w:lang w:eastAsia="en-GB"/>
              </w:rPr>
              <w:drawing>
                <wp:inline distT="0" distB="0" distL="0" distR="0" wp14:anchorId="0059D070" wp14:editId="109DFE61">
                  <wp:extent cx="817880" cy="817880"/>
                  <wp:effectExtent l="0" t="0" r="1270" b="1270"/>
                  <wp:docPr id="4" name="Picture 4" descr="D1EEF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EEFD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inline>
              </w:drawing>
            </w:r>
          </w:p>
        </w:tc>
        <w:tc>
          <w:tcPr>
            <w:tcW w:w="5477" w:type="dxa"/>
            <w:tcBorders>
              <w:top w:val="single" w:sz="4" w:space="0" w:color="006BB7"/>
              <w:left w:val="single" w:sz="4" w:space="0" w:color="006BB7"/>
              <w:bottom w:val="single" w:sz="4" w:space="0" w:color="006BB7"/>
              <w:right w:val="single" w:sz="4" w:space="0" w:color="006BB7"/>
            </w:tcBorders>
            <w:vAlign w:val="center"/>
            <w:hideMark/>
          </w:tcPr>
          <w:p w14:paraId="64F7C92A" w14:textId="77777777" w:rsidR="004D45F1" w:rsidRDefault="004D45F1">
            <w:pPr>
              <w:tabs>
                <w:tab w:val="left" w:pos="2302"/>
              </w:tab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noProof/>
                <w:sz w:val="20"/>
                <w:szCs w:val="20"/>
              </w:rPr>
            </w:pPr>
            <w:r>
              <w:rPr>
                <w:rFonts w:eastAsia="Times New Roman" w:cstheme="minorHAnsi"/>
                <w:bCs/>
                <w:noProof/>
                <w:sz w:val="20"/>
                <w:szCs w:val="20"/>
              </w:rPr>
              <w:t>For block foam, as part of concrete slabs, the recovery is not feasible in the demolition phase</w:t>
            </w:r>
            <w:r>
              <w:rPr>
                <w:rFonts w:eastAsia="Times New Roman" w:cstheme="minorHAnsi"/>
                <w:b/>
                <w:bCs/>
                <w:noProof/>
                <w:sz w:val="20"/>
                <w:szCs w:val="20"/>
              </w:rPr>
              <w:t xml:space="preserve"> </w:t>
            </w:r>
            <w:r>
              <w:rPr>
                <w:rFonts w:eastAsia="Times New Roman" w:cstheme="minorHAnsi"/>
                <w:bCs/>
                <w:noProof/>
                <w:sz w:val="20"/>
                <w:szCs w:val="20"/>
              </w:rPr>
              <w:t>as no examples have been identified of successful splitting of this material from the generic demolition waste stream. For block foam part of pipe insulation, recovery opportunities may exist during pipe replacement activities. No evidence however was identified during this study on the recovery of pipe (block) foam in practice.</w:t>
            </w:r>
          </w:p>
        </w:tc>
      </w:tr>
    </w:tbl>
    <w:p w14:paraId="75D3AE7C" w14:textId="77777777" w:rsidR="004D45F1" w:rsidRDefault="004D45F1" w:rsidP="004D45F1">
      <w:pPr>
        <w:tabs>
          <w:tab w:val="left" w:pos="2302"/>
        </w:tabs>
        <w:spacing w:after="240" w:line="240" w:lineRule="auto"/>
        <w:jc w:val="both"/>
        <w:rPr>
          <w:rFonts w:ascii="Times New Roman" w:eastAsia="Times New Roman" w:hAnsi="Times New Roman" w:cs="Times New Roman"/>
          <w:noProof/>
          <w:sz w:val="24"/>
          <w:szCs w:val="20"/>
        </w:rPr>
      </w:pPr>
    </w:p>
    <w:p w14:paraId="54D9B5E5" w14:textId="77777777" w:rsidR="004D45F1" w:rsidRDefault="004D45F1" w:rsidP="004D45F1">
      <w:p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summary, it is appears feasible to recover about 100% of the waste stream of metal-faced panels. They are the cheapest option given their valuable metal component and because they can be cut into smaller pieces without emitting a significant amount of ODS being released. Thus they can be treated in existing facilities for domestic appliances.</w:t>
      </w:r>
      <w:r>
        <w:rPr>
          <w:rFonts w:ascii="Times New Roman" w:eastAsia="Calibri" w:hAnsi="Times New Roman" w:cs="Times New Roman"/>
          <w:noProof/>
          <w:sz w:val="24"/>
          <w:szCs w:val="24"/>
          <w:lang w:eastAsia="en-GB"/>
        </w:rPr>
        <w:t xml:space="preserve"> It is estimated that </w:t>
      </w:r>
      <w:r>
        <w:rPr>
          <w:rFonts w:ascii="Times New Roman" w:eastAsia="Times New Roman" w:hAnsi="Times New Roman" w:cs="Times New Roman"/>
          <w:noProof/>
          <w:sz w:val="24"/>
          <w:szCs w:val="24"/>
        </w:rPr>
        <w:t>approximately 25% of built-up systems and cavity structures (the two sub-types of laminated boards) should also be feasible to recover given the evidence of suitable construction procedures.</w:t>
      </w:r>
      <w:r>
        <w:rPr>
          <w:rFonts w:ascii="Times New Roman" w:eastAsia="Calibri" w:hAnsi="Times New Roman" w:cs="Times New Roman"/>
          <w:noProof/>
          <w:sz w:val="24"/>
          <w:szCs w:val="24"/>
          <w:lang w:eastAsia="en-GB"/>
        </w:rPr>
        <w:t xml:space="preserve"> </w:t>
      </w:r>
      <w:r>
        <w:rPr>
          <w:rFonts w:ascii="Times New Roman" w:eastAsia="Times New Roman" w:hAnsi="Times New Roman" w:cs="Times New Roman"/>
          <w:noProof/>
          <w:sz w:val="24"/>
          <w:szCs w:val="24"/>
        </w:rPr>
        <w:t>Floor insulation boards may still represent too many technical or economic challenges to be a candidate for mandatory recovery because they are trapped into the wreckage in the demolition process and, collection and segregation stage is labour intensive and costly. In floor insulation, CFC is under concrete, hence, it is highly contaminated and costly to collect and segregate. Spray foam is not efficient to recover as it is expected to lose most of its ODS already in the use phase, making the cost-benefit ratio of mandatory recovery very inefficient.</w:t>
      </w:r>
    </w:p>
    <w:p w14:paraId="3F23ECEE" w14:textId="77777777" w:rsidR="004D45F1" w:rsidRDefault="004D45F1" w:rsidP="004D45F1">
      <w:p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industry is pro-actively exploring further options to divert end-of-life foam from landfill. Recycling and recovery solutions have been developed and have proven their technical feasibility. Raw material prices have been steadily increasing over the past years and are likely to continue this development. The cost for landfill is also going up. This will contribute to the economic viability of recycling and recovery options. </w:t>
      </w:r>
    </w:p>
    <w:p w14:paraId="60453F06" w14:textId="77777777" w:rsidR="004D45F1" w:rsidRDefault="004D45F1" w:rsidP="00AD73CF">
      <w:pPr>
        <w:pStyle w:val="ListParagraph"/>
        <w:numPr>
          <w:ilvl w:val="0"/>
          <w:numId w:val="43"/>
        </w:numPr>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Economic Impacts </w:t>
      </w:r>
    </w:p>
    <w:p w14:paraId="5B8FBDD7" w14:textId="77777777" w:rsidR="004D45F1" w:rsidRDefault="004D45F1" w:rsidP="004D45F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Economic impacts are assessed only for metal-faced panels, built-up system, and cavity structure laminated boards, as these are part of the policy option assessed. New evidence on the cost of recovery is based on data from two case studies and an expert interview from stakeholders engaging with waste streams in Netherlands, Germany, Austria and the United Kingdom. The final cost of the option per kg of ODS will be Member State specific, as building practices differ across the EU Member States. Therefore, these costs may be higher in other Member States than suggested for the Netherlands or Germany (where existing waste separation policy means that less additional cost is borne by the recycling plant or incinerator to obtain foam material, as it is already separated out and classified as a hazardous mono-fraction). Abatement costs in Table A6.2 are based on indicative </w:t>
      </w:r>
      <w:bookmarkStart w:id="401" w:name="_Ref65523095"/>
      <w:r>
        <w:rPr>
          <w:rFonts w:ascii="Times New Roman" w:eastAsia="Calibri" w:hAnsi="Times New Roman" w:cs="Times New Roman"/>
          <w:noProof/>
          <w:sz w:val="24"/>
          <w:szCs w:val="24"/>
        </w:rPr>
        <w:t>prices from the two case studies, but are rather moderate in terms of CO2 given the high GWP of the ODS used in these foams. The total cost of around 1,978.5 billion € are borne by a high number of building owners and/or project developers.</w:t>
      </w:r>
    </w:p>
    <w:p w14:paraId="3472DA31" w14:textId="77777777" w:rsidR="004D45F1" w:rsidRDefault="004D45F1" w:rsidP="004D45F1">
      <w:pPr>
        <w:keepNext/>
        <w:spacing w:after="120" w:line="240" w:lineRule="auto"/>
        <w:jc w:val="both"/>
        <w:rPr>
          <w:rFonts w:eastAsia="Calibri" w:cstheme="minorHAnsi"/>
          <w:iCs/>
          <w:noProof/>
          <w:color w:val="006BB7"/>
          <w:sz w:val="20"/>
          <w:szCs w:val="18"/>
        </w:rPr>
      </w:pPr>
      <w:bookmarkStart w:id="402" w:name="_Ref71533699"/>
      <w:bookmarkEnd w:id="401"/>
      <w:r>
        <w:rPr>
          <w:rFonts w:eastAsia="Calibri" w:cstheme="minorHAnsi"/>
          <w:iCs/>
          <w:noProof/>
          <w:color w:val="006BB7"/>
          <w:sz w:val="20"/>
          <w:szCs w:val="18"/>
        </w:rPr>
        <w:t xml:space="preserve">Table </w:t>
      </w:r>
      <w:bookmarkEnd w:id="402"/>
      <w:r>
        <w:rPr>
          <w:rFonts w:eastAsia="Calibri" w:cstheme="minorHAnsi"/>
          <w:iCs/>
          <w:noProof/>
          <w:color w:val="006BB7"/>
          <w:sz w:val="20"/>
          <w:szCs w:val="18"/>
        </w:rPr>
        <w:t xml:space="preserve">A6.2 Overview of the total costs of the policy scenario, with the materials targeted and the relevant </w:t>
      </w:r>
      <w:r>
        <w:rPr>
          <w:rFonts w:eastAsia="Calibri" w:cstheme="minorHAnsi"/>
          <w:iCs/>
          <w:noProof/>
          <w:color w:val="006BB7"/>
          <w:sz w:val="20"/>
          <w:szCs w:val="18"/>
          <w:vertAlign w:val="superscript"/>
        </w:rPr>
        <w:footnoteReference w:id="126"/>
      </w:r>
    </w:p>
    <w:tbl>
      <w:tblPr>
        <w:tblStyle w:val="Mainbidtables111"/>
        <w:tblW w:w="5000" w:type="pct"/>
        <w:tblLook w:val="04A0" w:firstRow="1" w:lastRow="0" w:firstColumn="1" w:lastColumn="0" w:noHBand="0" w:noVBand="1"/>
      </w:tblPr>
      <w:tblGrid>
        <w:gridCol w:w="933"/>
        <w:gridCol w:w="1026"/>
        <w:gridCol w:w="1046"/>
        <w:gridCol w:w="956"/>
        <w:gridCol w:w="1332"/>
        <w:gridCol w:w="480"/>
        <w:gridCol w:w="449"/>
        <w:gridCol w:w="895"/>
        <w:gridCol w:w="1013"/>
        <w:gridCol w:w="1112"/>
      </w:tblGrid>
      <w:tr w:rsidR="004D45F1" w14:paraId="21A9425B" w14:textId="77777777" w:rsidTr="004D45F1">
        <w:trPr>
          <w:cnfStyle w:val="100000000000" w:firstRow="1" w:lastRow="0" w:firstColumn="0" w:lastColumn="0" w:oddVBand="0" w:evenVBand="0" w:oddHBand="0" w:evenHBand="0" w:firstRowFirstColumn="0" w:firstRowLastColumn="0" w:lastRowFirstColumn="0" w:lastRowLastColumn="0"/>
          <w:trHeight w:val="300"/>
        </w:trPr>
        <w:tc>
          <w:tcPr>
            <w:tcW w:w="457" w:type="pct"/>
            <w:tcBorders>
              <w:top w:val="single" w:sz="4" w:space="0" w:color="FFFFFF"/>
              <w:left w:val="single" w:sz="4" w:space="0" w:color="FFFFFF"/>
              <w:bottom w:val="single" w:sz="4" w:space="0" w:color="FFFFFF"/>
              <w:right w:val="single" w:sz="4" w:space="0" w:color="FFFFFF"/>
            </w:tcBorders>
            <w:noWrap/>
            <w:hideMark/>
          </w:tcPr>
          <w:p w14:paraId="352951A8" w14:textId="77777777" w:rsidR="004D45F1" w:rsidRDefault="004D45F1">
            <w:pPr>
              <w:rPr>
                <w:rFonts w:eastAsia="Calibri" w:cstheme="minorHAnsi"/>
                <w:iCs/>
                <w:noProof/>
                <w:color w:val="006BB7"/>
                <w:szCs w:val="18"/>
              </w:rPr>
            </w:pPr>
          </w:p>
        </w:tc>
        <w:tc>
          <w:tcPr>
            <w:tcW w:w="567" w:type="pct"/>
            <w:tcBorders>
              <w:top w:val="single" w:sz="4" w:space="0" w:color="FFFFFF"/>
              <w:left w:val="single" w:sz="4" w:space="0" w:color="FFFFFF"/>
              <w:bottom w:val="single" w:sz="4" w:space="0" w:color="FFFFFF"/>
              <w:right w:val="single" w:sz="4" w:space="0" w:color="FFFFFF"/>
            </w:tcBorders>
            <w:noWrap/>
            <w:hideMark/>
          </w:tcPr>
          <w:p w14:paraId="0D2E7B4B" w14:textId="77777777" w:rsidR="004D45F1" w:rsidRDefault="004D45F1">
            <w:pPr>
              <w:rPr>
                <w:rFonts w:asciiTheme="minorHAnsi" w:eastAsiaTheme="minorHAnsi" w:hAnsiTheme="minorHAnsi" w:cstheme="minorBidi"/>
                <w:noProof/>
              </w:rPr>
            </w:pPr>
          </w:p>
        </w:tc>
        <w:tc>
          <w:tcPr>
            <w:tcW w:w="883" w:type="pct"/>
            <w:gridSpan w:val="2"/>
            <w:tcBorders>
              <w:top w:val="single" w:sz="4" w:space="0" w:color="FFFFFF"/>
              <w:left w:val="single" w:sz="4" w:space="0" w:color="FFFFFF"/>
              <w:bottom w:val="single" w:sz="4" w:space="0" w:color="FFFFFF"/>
              <w:right w:val="single" w:sz="4" w:space="0" w:color="FFFFFF"/>
            </w:tcBorders>
            <w:noWrap/>
            <w:hideMark/>
          </w:tcPr>
          <w:p w14:paraId="4B3C96E1" w14:textId="77777777" w:rsidR="004D45F1" w:rsidRDefault="004D45F1">
            <w:pPr>
              <w:jc w:val="center"/>
              <w:rPr>
                <w:rFonts w:cstheme="minorHAnsi"/>
                <w:noProof/>
              </w:rPr>
            </w:pPr>
            <w:r>
              <w:rPr>
                <w:rFonts w:cstheme="minorHAnsi"/>
                <w:noProof/>
              </w:rPr>
              <w:t>Estimate of policy scenario abatement</w:t>
            </w:r>
          </w:p>
        </w:tc>
        <w:tc>
          <w:tcPr>
            <w:tcW w:w="723" w:type="pct"/>
            <w:tcBorders>
              <w:top w:val="single" w:sz="4" w:space="0" w:color="FFFFFF"/>
              <w:left w:val="single" w:sz="4" w:space="0" w:color="FFFFFF"/>
              <w:bottom w:val="single" w:sz="4" w:space="0" w:color="FFFFFF"/>
              <w:right w:val="single" w:sz="4" w:space="0" w:color="FFFFFF"/>
            </w:tcBorders>
            <w:noWrap/>
            <w:hideMark/>
          </w:tcPr>
          <w:p w14:paraId="6E751D23" w14:textId="77777777" w:rsidR="004D45F1" w:rsidRDefault="004D45F1">
            <w:pPr>
              <w:rPr>
                <w:rFonts w:cstheme="minorHAnsi"/>
                <w:noProof/>
              </w:rPr>
            </w:pPr>
            <w:r>
              <w:rPr>
                <w:rFonts w:cstheme="minorHAnsi"/>
                <w:noProof/>
              </w:rPr>
              <w:t>Total cost (NPV 2020 – 2050)</w:t>
            </w:r>
          </w:p>
        </w:tc>
        <w:tc>
          <w:tcPr>
            <w:tcW w:w="803" w:type="pct"/>
            <w:gridSpan w:val="2"/>
            <w:tcBorders>
              <w:top w:val="single" w:sz="4" w:space="0" w:color="FFFFFF"/>
              <w:left w:val="single" w:sz="4" w:space="0" w:color="FFFFFF"/>
              <w:bottom w:val="single" w:sz="4" w:space="0" w:color="FFFFFF"/>
              <w:right w:val="single" w:sz="4" w:space="0" w:color="FFFFFF"/>
            </w:tcBorders>
            <w:noWrap/>
            <w:hideMark/>
          </w:tcPr>
          <w:p w14:paraId="1DEBBB08" w14:textId="77777777" w:rsidR="004D45F1" w:rsidRDefault="004D45F1">
            <w:pPr>
              <w:jc w:val="center"/>
              <w:rPr>
                <w:rFonts w:cstheme="minorHAnsi"/>
                <w:noProof/>
              </w:rPr>
            </w:pPr>
            <w:r>
              <w:rPr>
                <w:rFonts w:cstheme="minorHAnsi"/>
                <w:noProof/>
              </w:rPr>
              <w:t>Abatement cost</w:t>
            </w:r>
          </w:p>
        </w:tc>
        <w:tc>
          <w:tcPr>
            <w:tcW w:w="723" w:type="pct"/>
            <w:vMerge w:val="restart"/>
            <w:tcBorders>
              <w:top w:val="single" w:sz="4" w:space="0" w:color="FFFFFF"/>
              <w:left w:val="single" w:sz="4" w:space="0" w:color="FFFFFF"/>
              <w:right w:val="single" w:sz="4" w:space="0" w:color="FFFFFF"/>
            </w:tcBorders>
            <w:noWrap/>
            <w:hideMark/>
          </w:tcPr>
          <w:p w14:paraId="7772EA5C" w14:textId="77777777" w:rsidR="004D45F1" w:rsidRDefault="004D45F1">
            <w:pPr>
              <w:rPr>
                <w:rFonts w:cstheme="minorHAnsi"/>
                <w:noProof/>
                <w:sz w:val="16"/>
                <w:szCs w:val="16"/>
              </w:rPr>
            </w:pPr>
            <w:r>
              <w:rPr>
                <w:rFonts w:cstheme="minorHAnsi"/>
                <w:noProof/>
                <w:sz w:val="16"/>
                <w:szCs w:val="16"/>
              </w:rPr>
              <w:t>Unaddressed potential</w:t>
            </w:r>
          </w:p>
        </w:tc>
        <w:tc>
          <w:tcPr>
            <w:tcW w:w="845" w:type="pct"/>
            <w:gridSpan w:val="2"/>
            <w:tcBorders>
              <w:top w:val="single" w:sz="4" w:space="0" w:color="FFFFFF"/>
              <w:left w:val="single" w:sz="4" w:space="0" w:color="FFFFFF"/>
              <w:bottom w:val="single" w:sz="4" w:space="0" w:color="FFFFFF"/>
              <w:right w:val="single" w:sz="4" w:space="0" w:color="FFFFFF"/>
            </w:tcBorders>
            <w:noWrap/>
            <w:hideMark/>
          </w:tcPr>
          <w:p w14:paraId="0E95BE11" w14:textId="77777777" w:rsidR="004D45F1" w:rsidRDefault="004D45F1">
            <w:pPr>
              <w:rPr>
                <w:rFonts w:cstheme="minorHAnsi"/>
                <w:noProof/>
              </w:rPr>
            </w:pPr>
            <w:r>
              <w:rPr>
                <w:rFonts w:cstheme="minorHAnsi"/>
                <w:noProof/>
              </w:rPr>
              <w:t>Estimate of untargeted emissions (2020 - 2050)</w:t>
            </w:r>
          </w:p>
        </w:tc>
      </w:tr>
      <w:tr w:rsidR="00124EE6" w14:paraId="6CD6F392"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457"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75636F07" w14:textId="77777777" w:rsidR="004D45F1" w:rsidRDefault="004D45F1">
            <w:pPr>
              <w:rPr>
                <w:rFonts w:cstheme="minorHAnsi"/>
                <w:noProof/>
                <w:color w:val="FFFFFF"/>
              </w:rPr>
            </w:pPr>
            <w:r>
              <w:rPr>
                <w:rFonts w:cstheme="minorHAnsi"/>
                <w:noProof/>
                <w:color w:val="FFFFFF"/>
              </w:rPr>
              <w:t>Material</w:t>
            </w:r>
          </w:p>
        </w:tc>
        <w:tc>
          <w:tcPr>
            <w:tcW w:w="567"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02A754CF" w14:textId="77777777" w:rsidR="004D45F1" w:rsidRDefault="004D45F1">
            <w:pPr>
              <w:rPr>
                <w:rFonts w:cstheme="minorHAnsi"/>
                <w:noProof/>
                <w:color w:val="FFFFFF"/>
              </w:rPr>
            </w:pPr>
            <w:r>
              <w:rPr>
                <w:rFonts w:cstheme="minorHAnsi"/>
                <w:noProof/>
                <w:color w:val="FFFFFF"/>
              </w:rPr>
              <w:t>Policy scenario target</w:t>
            </w:r>
          </w:p>
        </w:tc>
        <w:tc>
          <w:tcPr>
            <w:tcW w:w="401"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686D4703" w14:textId="77777777" w:rsidR="004D45F1" w:rsidRDefault="004D45F1">
            <w:pPr>
              <w:rPr>
                <w:rFonts w:cstheme="minorHAnsi"/>
                <w:noProof/>
                <w:color w:val="FFFFFF"/>
                <w:sz w:val="16"/>
                <w:szCs w:val="16"/>
              </w:rPr>
            </w:pPr>
            <w:r>
              <w:rPr>
                <w:rFonts w:cstheme="minorHAnsi"/>
                <w:noProof/>
                <w:color w:val="FFFFFF"/>
                <w:sz w:val="16"/>
                <w:szCs w:val="16"/>
              </w:rPr>
              <w:t>tODP</w:t>
            </w:r>
          </w:p>
        </w:tc>
        <w:tc>
          <w:tcPr>
            <w:tcW w:w="482"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434A38AD" w14:textId="77777777" w:rsidR="004D45F1" w:rsidRDefault="004D45F1">
            <w:pPr>
              <w:rPr>
                <w:rFonts w:cstheme="minorHAnsi"/>
                <w:noProof/>
                <w:color w:val="FFFFFF"/>
                <w:sz w:val="16"/>
                <w:szCs w:val="16"/>
              </w:rPr>
            </w:pPr>
            <w:r>
              <w:rPr>
                <w:rFonts w:cstheme="minorHAnsi"/>
                <w:noProof/>
                <w:color w:val="FFFFFF"/>
                <w:sz w:val="16"/>
                <w:szCs w:val="16"/>
              </w:rPr>
              <w:t>GHG (kt CO2e)</w:t>
            </w:r>
          </w:p>
        </w:tc>
        <w:tc>
          <w:tcPr>
            <w:tcW w:w="723"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116D15A0" w14:textId="77777777" w:rsidR="004D45F1" w:rsidRDefault="004D45F1">
            <w:pPr>
              <w:rPr>
                <w:rFonts w:cstheme="minorHAnsi"/>
                <w:noProof/>
                <w:color w:val="FFFFFF"/>
              </w:rPr>
            </w:pPr>
            <w:r>
              <w:rPr>
                <w:rFonts w:cstheme="minorHAnsi"/>
                <w:noProof/>
                <w:color w:val="FFFFFF"/>
              </w:rPr>
              <w:t>EUR</w:t>
            </w:r>
          </w:p>
        </w:tc>
        <w:tc>
          <w:tcPr>
            <w:tcW w:w="420"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20E34743" w14:textId="77777777" w:rsidR="004D45F1" w:rsidRDefault="004D45F1">
            <w:pPr>
              <w:rPr>
                <w:rFonts w:cstheme="minorHAnsi"/>
                <w:noProof/>
                <w:color w:val="FFFFFF"/>
                <w:sz w:val="16"/>
                <w:szCs w:val="16"/>
              </w:rPr>
            </w:pPr>
            <w:r>
              <w:rPr>
                <w:rFonts w:cstheme="minorHAnsi"/>
                <w:noProof/>
                <w:color w:val="FFFFFF"/>
                <w:sz w:val="16"/>
                <w:szCs w:val="16"/>
              </w:rPr>
              <w:t>EUR/</w:t>
            </w:r>
          </w:p>
          <w:p w14:paraId="4A31884A" w14:textId="77777777" w:rsidR="004D45F1" w:rsidRDefault="004D45F1">
            <w:pPr>
              <w:rPr>
                <w:rFonts w:cstheme="minorHAnsi"/>
                <w:noProof/>
                <w:color w:val="FFFFFF"/>
                <w:sz w:val="16"/>
                <w:szCs w:val="16"/>
              </w:rPr>
            </w:pPr>
            <w:r>
              <w:rPr>
                <w:rFonts w:cstheme="minorHAnsi"/>
                <w:noProof/>
                <w:color w:val="FFFFFF"/>
                <w:sz w:val="16"/>
                <w:szCs w:val="16"/>
              </w:rPr>
              <w:t>tODP</w:t>
            </w:r>
          </w:p>
        </w:tc>
        <w:tc>
          <w:tcPr>
            <w:tcW w:w="382"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69466C80" w14:textId="77777777" w:rsidR="004D45F1" w:rsidRDefault="004D45F1">
            <w:pPr>
              <w:rPr>
                <w:rFonts w:cstheme="minorHAnsi"/>
                <w:noProof/>
                <w:color w:val="FFFFFF"/>
                <w:sz w:val="16"/>
                <w:szCs w:val="16"/>
              </w:rPr>
            </w:pPr>
            <w:r>
              <w:rPr>
                <w:rFonts w:cstheme="minorHAnsi"/>
                <w:noProof/>
                <w:color w:val="FFFFFF"/>
                <w:sz w:val="16"/>
                <w:szCs w:val="16"/>
              </w:rPr>
              <w:t>EUR/</w:t>
            </w:r>
          </w:p>
          <w:p w14:paraId="4DBD60BD" w14:textId="77777777" w:rsidR="004D45F1" w:rsidRDefault="004D45F1">
            <w:pPr>
              <w:rPr>
                <w:rFonts w:cstheme="minorHAnsi"/>
                <w:noProof/>
                <w:color w:val="FFFFFF"/>
                <w:sz w:val="16"/>
                <w:szCs w:val="16"/>
              </w:rPr>
            </w:pPr>
            <w:r>
              <w:rPr>
                <w:rFonts w:cstheme="minorHAnsi"/>
                <w:noProof/>
                <w:color w:val="FFFFFF"/>
                <w:sz w:val="16"/>
                <w:szCs w:val="16"/>
              </w:rPr>
              <w:t>t CO2e</w:t>
            </w:r>
          </w:p>
        </w:tc>
        <w:tc>
          <w:tcPr>
            <w:tcW w:w="0" w:type="auto"/>
            <w:vMerge/>
            <w:tcBorders>
              <w:top w:val="single" w:sz="4" w:space="0" w:color="FFFFFF"/>
              <w:left w:val="single" w:sz="4" w:space="0" w:color="FFFFFF"/>
              <w:bottom w:val="nil"/>
              <w:right w:val="single" w:sz="4" w:space="0" w:color="FFFFFF"/>
            </w:tcBorders>
            <w:hideMark/>
          </w:tcPr>
          <w:p w14:paraId="7534FE43" w14:textId="77777777" w:rsidR="004D45F1" w:rsidRDefault="004D45F1">
            <w:pPr>
              <w:spacing w:before="0"/>
              <w:rPr>
                <w:rFonts w:cstheme="minorHAnsi"/>
                <w:noProof/>
                <w:color w:val="FFFFFF"/>
                <w:sz w:val="16"/>
                <w:szCs w:val="16"/>
              </w:rPr>
            </w:pPr>
          </w:p>
        </w:tc>
        <w:tc>
          <w:tcPr>
            <w:tcW w:w="400"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0D0B34BF" w14:textId="77777777" w:rsidR="004D45F1" w:rsidRDefault="004D45F1">
            <w:pPr>
              <w:rPr>
                <w:rFonts w:cstheme="minorHAnsi"/>
                <w:noProof/>
                <w:color w:val="FFFFFF"/>
                <w:sz w:val="16"/>
                <w:szCs w:val="16"/>
              </w:rPr>
            </w:pPr>
            <w:r>
              <w:rPr>
                <w:rFonts w:cstheme="minorHAnsi"/>
                <w:noProof/>
                <w:color w:val="FFFFFF"/>
                <w:sz w:val="16"/>
                <w:szCs w:val="16"/>
              </w:rPr>
              <w:t>tODP</w:t>
            </w:r>
          </w:p>
        </w:tc>
        <w:tc>
          <w:tcPr>
            <w:tcW w:w="445" w:type="pct"/>
            <w:tcBorders>
              <w:top w:val="single" w:sz="4" w:space="0" w:color="FFFFFF"/>
              <w:left w:val="single" w:sz="4" w:space="0" w:color="FFFFFF"/>
              <w:bottom w:val="single" w:sz="4" w:space="0" w:color="FFFFFF"/>
              <w:right w:val="single" w:sz="4" w:space="0" w:color="FFFFFF"/>
            </w:tcBorders>
            <w:shd w:val="clear" w:color="auto" w:fill="0070C0"/>
            <w:noWrap/>
            <w:hideMark/>
          </w:tcPr>
          <w:p w14:paraId="01F34627" w14:textId="77777777" w:rsidR="004D45F1" w:rsidRDefault="004D45F1">
            <w:pPr>
              <w:rPr>
                <w:rFonts w:cstheme="minorHAnsi"/>
                <w:noProof/>
                <w:color w:val="FFFFFF"/>
                <w:sz w:val="16"/>
                <w:szCs w:val="16"/>
              </w:rPr>
            </w:pPr>
            <w:r>
              <w:rPr>
                <w:rFonts w:cstheme="minorHAnsi"/>
                <w:noProof/>
                <w:color w:val="FFFFFF"/>
                <w:sz w:val="16"/>
                <w:szCs w:val="16"/>
              </w:rPr>
              <w:t>GHG (kt CO2e)</w:t>
            </w:r>
          </w:p>
        </w:tc>
      </w:tr>
      <w:tr w:rsidR="00124EE6" w14:paraId="1EF85C37"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457" w:type="pct"/>
            <w:tcBorders>
              <w:top w:val="single" w:sz="4" w:space="0" w:color="FFFFFF"/>
              <w:left w:val="single" w:sz="4" w:space="0" w:color="0055A0"/>
              <w:bottom w:val="nil"/>
            </w:tcBorders>
            <w:shd w:val="clear" w:color="auto" w:fill="C5E0B3"/>
            <w:noWrap/>
            <w:hideMark/>
          </w:tcPr>
          <w:p w14:paraId="0D4B2B18" w14:textId="77777777" w:rsidR="004D45F1" w:rsidRDefault="004D45F1">
            <w:pPr>
              <w:rPr>
                <w:rFonts w:cstheme="minorHAnsi"/>
                <w:noProof/>
                <w:color w:val="000000"/>
              </w:rPr>
            </w:pPr>
            <w:r>
              <w:rPr>
                <w:rFonts w:cstheme="minorHAnsi"/>
                <w:noProof/>
                <w:color w:val="000000"/>
              </w:rPr>
              <w:t>Metal-faced panels</w:t>
            </w:r>
          </w:p>
        </w:tc>
        <w:tc>
          <w:tcPr>
            <w:tcW w:w="567" w:type="pct"/>
            <w:tcBorders>
              <w:top w:val="single" w:sz="4" w:space="0" w:color="FFFFFF"/>
              <w:bottom w:val="nil"/>
            </w:tcBorders>
            <w:shd w:val="clear" w:color="auto" w:fill="C5E0B3"/>
            <w:noWrap/>
            <w:hideMark/>
          </w:tcPr>
          <w:p w14:paraId="17C0F649" w14:textId="77777777" w:rsidR="004D45F1" w:rsidRDefault="004D45F1">
            <w:pPr>
              <w:jc w:val="right"/>
              <w:rPr>
                <w:rFonts w:cstheme="minorHAnsi"/>
                <w:noProof/>
                <w:color w:val="000000"/>
                <w:sz w:val="16"/>
                <w:szCs w:val="16"/>
              </w:rPr>
            </w:pPr>
            <w:r>
              <w:rPr>
                <w:rFonts w:cstheme="minorHAnsi"/>
                <w:noProof/>
                <w:color w:val="000000"/>
                <w:sz w:val="16"/>
                <w:szCs w:val="16"/>
              </w:rPr>
              <w:t>100%</w:t>
            </w:r>
          </w:p>
        </w:tc>
        <w:tc>
          <w:tcPr>
            <w:tcW w:w="401" w:type="pct"/>
            <w:tcBorders>
              <w:top w:val="single" w:sz="4" w:space="0" w:color="FFFFFF"/>
              <w:bottom w:val="nil"/>
            </w:tcBorders>
            <w:shd w:val="clear" w:color="auto" w:fill="C5E0B3"/>
            <w:noWrap/>
            <w:hideMark/>
          </w:tcPr>
          <w:p w14:paraId="60B51BB2" w14:textId="77777777" w:rsidR="004D45F1" w:rsidRDefault="004D45F1">
            <w:pPr>
              <w:jc w:val="right"/>
              <w:rPr>
                <w:rFonts w:cstheme="minorHAnsi"/>
                <w:noProof/>
                <w:color w:val="000000"/>
                <w:sz w:val="16"/>
                <w:szCs w:val="16"/>
              </w:rPr>
            </w:pPr>
            <w:r>
              <w:rPr>
                <w:rFonts w:cstheme="minorHAnsi"/>
                <w:noProof/>
                <w:color w:val="000000"/>
                <w:sz w:val="16"/>
                <w:szCs w:val="16"/>
              </w:rPr>
              <w:t xml:space="preserve">                                 18,200 </w:t>
            </w:r>
          </w:p>
        </w:tc>
        <w:tc>
          <w:tcPr>
            <w:tcW w:w="482" w:type="pct"/>
            <w:tcBorders>
              <w:top w:val="single" w:sz="4" w:space="0" w:color="FFFFFF"/>
              <w:bottom w:val="nil"/>
            </w:tcBorders>
            <w:shd w:val="clear" w:color="auto" w:fill="C5E0B3"/>
            <w:noWrap/>
            <w:hideMark/>
          </w:tcPr>
          <w:p w14:paraId="1EF458F4" w14:textId="77777777" w:rsidR="004D45F1" w:rsidRDefault="004D45F1">
            <w:pPr>
              <w:jc w:val="right"/>
              <w:rPr>
                <w:rFonts w:cstheme="minorHAnsi"/>
                <w:noProof/>
                <w:color w:val="000000"/>
                <w:sz w:val="16"/>
                <w:szCs w:val="16"/>
              </w:rPr>
            </w:pPr>
            <w:r>
              <w:rPr>
                <w:rFonts w:cstheme="minorHAnsi"/>
                <w:noProof/>
                <w:color w:val="000000"/>
                <w:sz w:val="16"/>
                <w:szCs w:val="16"/>
              </w:rPr>
              <w:t>88,050</w:t>
            </w:r>
          </w:p>
        </w:tc>
        <w:tc>
          <w:tcPr>
            <w:tcW w:w="723" w:type="pct"/>
            <w:tcBorders>
              <w:top w:val="single" w:sz="4" w:space="0" w:color="FFFFFF"/>
              <w:bottom w:val="nil"/>
            </w:tcBorders>
            <w:shd w:val="clear" w:color="auto" w:fill="C5E0B3"/>
            <w:noWrap/>
            <w:hideMark/>
          </w:tcPr>
          <w:p w14:paraId="1F054197" w14:textId="77777777" w:rsidR="004D45F1" w:rsidRDefault="004D45F1">
            <w:pPr>
              <w:jc w:val="right"/>
              <w:rPr>
                <w:rFonts w:cstheme="minorHAnsi"/>
                <w:noProof/>
                <w:color w:val="000000"/>
                <w:sz w:val="16"/>
                <w:szCs w:val="16"/>
              </w:rPr>
            </w:pPr>
            <w:r>
              <w:rPr>
                <w:rFonts w:cstheme="minorHAnsi"/>
                <w:noProof/>
                <w:color w:val="000000"/>
                <w:sz w:val="16"/>
                <w:szCs w:val="16"/>
              </w:rPr>
              <w:t>447,054,292</w:t>
            </w:r>
          </w:p>
        </w:tc>
        <w:tc>
          <w:tcPr>
            <w:tcW w:w="420" w:type="pct"/>
            <w:tcBorders>
              <w:top w:val="single" w:sz="4" w:space="0" w:color="FFFFFF"/>
              <w:bottom w:val="nil"/>
            </w:tcBorders>
            <w:shd w:val="clear" w:color="auto" w:fill="C5E0B3"/>
            <w:noWrap/>
            <w:hideMark/>
          </w:tcPr>
          <w:p w14:paraId="27B1F322" w14:textId="77777777" w:rsidR="004D45F1" w:rsidRDefault="004D45F1">
            <w:pPr>
              <w:jc w:val="right"/>
              <w:rPr>
                <w:rFonts w:cstheme="minorHAnsi"/>
                <w:noProof/>
                <w:color w:val="000000"/>
                <w:sz w:val="16"/>
                <w:szCs w:val="16"/>
              </w:rPr>
            </w:pPr>
            <w:r>
              <w:rPr>
                <w:rFonts w:cstheme="minorHAnsi"/>
                <w:noProof/>
                <w:color w:val="000000"/>
                <w:sz w:val="16"/>
                <w:szCs w:val="16"/>
              </w:rPr>
              <w:t>24,563</w:t>
            </w:r>
          </w:p>
        </w:tc>
        <w:tc>
          <w:tcPr>
            <w:tcW w:w="382" w:type="pct"/>
            <w:tcBorders>
              <w:top w:val="single" w:sz="4" w:space="0" w:color="FFFFFF"/>
              <w:bottom w:val="nil"/>
            </w:tcBorders>
            <w:shd w:val="clear" w:color="auto" w:fill="C5E0B3"/>
            <w:noWrap/>
            <w:hideMark/>
          </w:tcPr>
          <w:p w14:paraId="70C91872" w14:textId="77777777" w:rsidR="004D45F1" w:rsidRDefault="004D45F1">
            <w:pPr>
              <w:jc w:val="right"/>
              <w:rPr>
                <w:rFonts w:cstheme="minorHAnsi"/>
                <w:noProof/>
                <w:color w:val="000000"/>
                <w:sz w:val="16"/>
                <w:szCs w:val="16"/>
              </w:rPr>
            </w:pPr>
            <w:r>
              <w:rPr>
                <w:rFonts w:cstheme="minorHAnsi"/>
                <w:noProof/>
                <w:color w:val="000000"/>
                <w:sz w:val="16"/>
                <w:szCs w:val="16"/>
              </w:rPr>
              <w:t xml:space="preserve">5.1  </w:t>
            </w:r>
          </w:p>
        </w:tc>
        <w:tc>
          <w:tcPr>
            <w:tcW w:w="723" w:type="pct"/>
            <w:tcBorders>
              <w:top w:val="nil"/>
              <w:bottom w:val="nil"/>
            </w:tcBorders>
            <w:shd w:val="clear" w:color="auto" w:fill="DBDBDB"/>
            <w:noWrap/>
            <w:hideMark/>
          </w:tcPr>
          <w:p w14:paraId="6DBBB6FC"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00" w:type="pct"/>
            <w:tcBorders>
              <w:top w:val="single" w:sz="4" w:space="0" w:color="FFFFFF"/>
              <w:bottom w:val="nil"/>
            </w:tcBorders>
            <w:shd w:val="clear" w:color="auto" w:fill="DBDBDB"/>
            <w:noWrap/>
            <w:hideMark/>
          </w:tcPr>
          <w:p w14:paraId="5567DF33"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45" w:type="pct"/>
            <w:tcBorders>
              <w:top w:val="single" w:sz="4" w:space="0" w:color="FFFFFF"/>
              <w:bottom w:val="nil"/>
              <w:right w:val="single" w:sz="4" w:space="0" w:color="0055A0"/>
            </w:tcBorders>
            <w:shd w:val="clear" w:color="auto" w:fill="DBDBDB"/>
            <w:noWrap/>
            <w:hideMark/>
          </w:tcPr>
          <w:p w14:paraId="0CEA98E6" w14:textId="77777777" w:rsidR="004D45F1" w:rsidRDefault="004D45F1">
            <w:pPr>
              <w:jc w:val="right"/>
              <w:rPr>
                <w:rFonts w:cstheme="minorHAnsi"/>
                <w:noProof/>
                <w:color w:val="000000"/>
                <w:sz w:val="16"/>
                <w:szCs w:val="16"/>
              </w:rPr>
            </w:pPr>
            <w:r>
              <w:rPr>
                <w:rFonts w:cstheme="minorHAnsi"/>
                <w:noProof/>
                <w:color w:val="000000"/>
                <w:sz w:val="16"/>
                <w:szCs w:val="16"/>
              </w:rPr>
              <w:t>0</w:t>
            </w:r>
          </w:p>
        </w:tc>
      </w:tr>
      <w:tr w:rsidR="00124EE6" w14:paraId="6B5793A2"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457" w:type="pct"/>
            <w:tcBorders>
              <w:top w:val="nil"/>
              <w:left w:val="single" w:sz="4" w:space="0" w:color="0055A0"/>
              <w:bottom w:val="nil"/>
              <w:right w:val="single" w:sz="4" w:space="0" w:color="0055A0"/>
            </w:tcBorders>
            <w:shd w:val="clear" w:color="auto" w:fill="C5E0B3"/>
            <w:noWrap/>
            <w:hideMark/>
          </w:tcPr>
          <w:p w14:paraId="38F66759" w14:textId="77777777" w:rsidR="004D45F1" w:rsidRDefault="004D45F1">
            <w:pPr>
              <w:rPr>
                <w:rFonts w:cstheme="minorHAnsi"/>
                <w:noProof/>
                <w:color w:val="000000"/>
              </w:rPr>
            </w:pPr>
            <w:r>
              <w:rPr>
                <w:rFonts w:cstheme="minorHAnsi"/>
                <w:noProof/>
                <w:color w:val="000000"/>
              </w:rPr>
              <w:t>Built-up systems</w:t>
            </w:r>
          </w:p>
        </w:tc>
        <w:tc>
          <w:tcPr>
            <w:tcW w:w="567" w:type="pct"/>
            <w:tcBorders>
              <w:top w:val="nil"/>
              <w:left w:val="single" w:sz="4" w:space="0" w:color="0055A0"/>
              <w:bottom w:val="nil"/>
              <w:right w:val="single" w:sz="4" w:space="0" w:color="0055A0"/>
            </w:tcBorders>
            <w:shd w:val="clear" w:color="auto" w:fill="C5E0B3"/>
            <w:noWrap/>
            <w:hideMark/>
          </w:tcPr>
          <w:p w14:paraId="5FE7921A" w14:textId="77777777" w:rsidR="004D45F1" w:rsidRDefault="004D45F1">
            <w:pPr>
              <w:jc w:val="right"/>
              <w:rPr>
                <w:rFonts w:cstheme="minorHAnsi"/>
                <w:noProof/>
                <w:color w:val="000000"/>
                <w:sz w:val="16"/>
                <w:szCs w:val="16"/>
              </w:rPr>
            </w:pPr>
            <w:r>
              <w:rPr>
                <w:rFonts w:cstheme="minorHAnsi"/>
                <w:noProof/>
                <w:color w:val="000000"/>
                <w:sz w:val="16"/>
                <w:szCs w:val="16"/>
              </w:rPr>
              <w:t>25%</w:t>
            </w:r>
          </w:p>
        </w:tc>
        <w:tc>
          <w:tcPr>
            <w:tcW w:w="401" w:type="pct"/>
            <w:tcBorders>
              <w:top w:val="nil"/>
              <w:left w:val="single" w:sz="4" w:space="0" w:color="0055A0"/>
              <w:bottom w:val="nil"/>
              <w:right w:val="single" w:sz="4" w:space="0" w:color="0055A0"/>
            </w:tcBorders>
            <w:shd w:val="clear" w:color="auto" w:fill="C5E0B3"/>
            <w:noWrap/>
            <w:hideMark/>
          </w:tcPr>
          <w:p w14:paraId="51DCE84E" w14:textId="77777777" w:rsidR="004D45F1" w:rsidRDefault="004D45F1">
            <w:pPr>
              <w:jc w:val="right"/>
              <w:rPr>
                <w:rFonts w:cstheme="minorHAnsi"/>
                <w:noProof/>
                <w:color w:val="000000"/>
                <w:sz w:val="16"/>
                <w:szCs w:val="16"/>
              </w:rPr>
            </w:pPr>
            <w:r>
              <w:rPr>
                <w:rFonts w:cstheme="minorHAnsi"/>
                <w:noProof/>
                <w:color w:val="000000"/>
                <w:sz w:val="16"/>
                <w:szCs w:val="16"/>
              </w:rPr>
              <w:t xml:space="preserve">                                   7,328 </w:t>
            </w:r>
          </w:p>
        </w:tc>
        <w:tc>
          <w:tcPr>
            <w:tcW w:w="482" w:type="pct"/>
            <w:tcBorders>
              <w:top w:val="nil"/>
              <w:left w:val="single" w:sz="4" w:space="0" w:color="0055A0"/>
              <w:bottom w:val="nil"/>
              <w:right w:val="single" w:sz="4" w:space="0" w:color="0055A0"/>
            </w:tcBorders>
            <w:shd w:val="clear" w:color="auto" w:fill="C5E0B3"/>
            <w:noWrap/>
            <w:hideMark/>
          </w:tcPr>
          <w:p w14:paraId="22C8D1A7" w14:textId="77777777" w:rsidR="004D45F1" w:rsidRDefault="004D45F1">
            <w:pPr>
              <w:jc w:val="right"/>
              <w:rPr>
                <w:rFonts w:cstheme="minorHAnsi"/>
                <w:noProof/>
                <w:color w:val="000000"/>
                <w:sz w:val="16"/>
                <w:szCs w:val="16"/>
              </w:rPr>
            </w:pPr>
            <w:r>
              <w:rPr>
                <w:rFonts w:cstheme="minorHAnsi"/>
                <w:noProof/>
                <w:color w:val="000000"/>
                <w:sz w:val="16"/>
                <w:szCs w:val="16"/>
              </w:rPr>
              <w:t xml:space="preserve">42,650 </w:t>
            </w:r>
          </w:p>
        </w:tc>
        <w:tc>
          <w:tcPr>
            <w:tcW w:w="723" w:type="pct"/>
            <w:tcBorders>
              <w:top w:val="nil"/>
              <w:left w:val="single" w:sz="4" w:space="0" w:color="0055A0"/>
              <w:bottom w:val="nil"/>
              <w:right w:val="single" w:sz="4" w:space="0" w:color="0055A0"/>
            </w:tcBorders>
            <w:shd w:val="clear" w:color="auto" w:fill="C5E0B3"/>
            <w:noWrap/>
            <w:hideMark/>
          </w:tcPr>
          <w:p w14:paraId="0D1FBAEE" w14:textId="77777777" w:rsidR="004D45F1" w:rsidRDefault="004D45F1">
            <w:pPr>
              <w:jc w:val="right"/>
              <w:rPr>
                <w:rFonts w:cstheme="minorHAnsi"/>
                <w:noProof/>
                <w:color w:val="000000"/>
                <w:sz w:val="16"/>
                <w:szCs w:val="16"/>
              </w:rPr>
            </w:pPr>
            <w:r>
              <w:rPr>
                <w:rFonts w:cstheme="minorHAnsi"/>
                <w:noProof/>
                <w:color w:val="000000"/>
                <w:sz w:val="16"/>
                <w:szCs w:val="16"/>
              </w:rPr>
              <w:t>639,445,333</w:t>
            </w:r>
          </w:p>
        </w:tc>
        <w:tc>
          <w:tcPr>
            <w:tcW w:w="420" w:type="pct"/>
            <w:tcBorders>
              <w:top w:val="nil"/>
              <w:left w:val="single" w:sz="4" w:space="0" w:color="0055A0"/>
              <w:bottom w:val="nil"/>
              <w:right w:val="single" w:sz="4" w:space="0" w:color="0055A0"/>
            </w:tcBorders>
            <w:shd w:val="clear" w:color="auto" w:fill="C5E0B3"/>
            <w:noWrap/>
            <w:hideMark/>
          </w:tcPr>
          <w:p w14:paraId="1552E5F9" w14:textId="77777777" w:rsidR="004D45F1" w:rsidRDefault="004D45F1">
            <w:pPr>
              <w:jc w:val="right"/>
              <w:rPr>
                <w:rFonts w:cstheme="minorHAnsi"/>
                <w:noProof/>
                <w:color w:val="000000"/>
                <w:sz w:val="16"/>
                <w:szCs w:val="16"/>
              </w:rPr>
            </w:pPr>
            <w:r>
              <w:rPr>
                <w:rFonts w:cstheme="minorHAnsi"/>
                <w:noProof/>
                <w:color w:val="000000"/>
                <w:sz w:val="16"/>
                <w:szCs w:val="16"/>
              </w:rPr>
              <w:t>87,259</w:t>
            </w:r>
          </w:p>
        </w:tc>
        <w:tc>
          <w:tcPr>
            <w:tcW w:w="382" w:type="pct"/>
            <w:tcBorders>
              <w:top w:val="nil"/>
              <w:left w:val="single" w:sz="4" w:space="0" w:color="0055A0"/>
              <w:bottom w:val="nil"/>
              <w:right w:val="single" w:sz="4" w:space="0" w:color="0055A0"/>
            </w:tcBorders>
            <w:shd w:val="clear" w:color="auto" w:fill="C5E0B3"/>
            <w:noWrap/>
            <w:hideMark/>
          </w:tcPr>
          <w:p w14:paraId="284D4D10" w14:textId="77777777" w:rsidR="004D45F1" w:rsidRDefault="004D45F1">
            <w:pPr>
              <w:jc w:val="right"/>
              <w:rPr>
                <w:rFonts w:cstheme="minorHAnsi"/>
                <w:noProof/>
                <w:color w:val="000000"/>
                <w:sz w:val="16"/>
                <w:szCs w:val="16"/>
              </w:rPr>
            </w:pPr>
            <w:r>
              <w:rPr>
                <w:rFonts w:cstheme="minorHAnsi"/>
                <w:noProof/>
                <w:color w:val="000000"/>
                <w:sz w:val="16"/>
                <w:szCs w:val="16"/>
              </w:rPr>
              <w:t xml:space="preserve">15.0 </w:t>
            </w:r>
          </w:p>
        </w:tc>
        <w:tc>
          <w:tcPr>
            <w:tcW w:w="723" w:type="pct"/>
            <w:tcBorders>
              <w:top w:val="nil"/>
              <w:left w:val="single" w:sz="4" w:space="0" w:color="0055A0"/>
              <w:bottom w:val="nil"/>
              <w:right w:val="single" w:sz="4" w:space="0" w:color="0055A0"/>
            </w:tcBorders>
            <w:shd w:val="clear" w:color="auto" w:fill="DBDBDB"/>
            <w:noWrap/>
            <w:hideMark/>
          </w:tcPr>
          <w:p w14:paraId="38921CDB" w14:textId="77777777" w:rsidR="004D45F1" w:rsidRDefault="004D45F1">
            <w:pPr>
              <w:jc w:val="right"/>
              <w:rPr>
                <w:rFonts w:cstheme="minorHAnsi"/>
                <w:noProof/>
                <w:color w:val="000000"/>
                <w:sz w:val="16"/>
                <w:szCs w:val="16"/>
              </w:rPr>
            </w:pPr>
            <w:r>
              <w:rPr>
                <w:rFonts w:cstheme="minorHAnsi"/>
                <w:noProof/>
                <w:color w:val="000000"/>
                <w:sz w:val="16"/>
                <w:szCs w:val="16"/>
              </w:rPr>
              <w:t>75%</w:t>
            </w:r>
          </w:p>
        </w:tc>
        <w:tc>
          <w:tcPr>
            <w:tcW w:w="400" w:type="pct"/>
            <w:tcBorders>
              <w:top w:val="nil"/>
              <w:left w:val="single" w:sz="4" w:space="0" w:color="0055A0"/>
              <w:bottom w:val="nil"/>
              <w:right w:val="single" w:sz="4" w:space="0" w:color="0055A0"/>
            </w:tcBorders>
            <w:shd w:val="clear" w:color="auto" w:fill="DBDBDB"/>
            <w:noWrap/>
            <w:hideMark/>
          </w:tcPr>
          <w:p w14:paraId="5869C052" w14:textId="77777777" w:rsidR="004D45F1" w:rsidRDefault="004D45F1">
            <w:pPr>
              <w:jc w:val="right"/>
              <w:rPr>
                <w:rFonts w:cstheme="minorHAnsi"/>
                <w:noProof/>
                <w:color w:val="000000"/>
                <w:sz w:val="16"/>
                <w:szCs w:val="16"/>
              </w:rPr>
            </w:pPr>
            <w:r>
              <w:rPr>
                <w:rFonts w:cstheme="minorHAnsi"/>
                <w:noProof/>
                <w:color w:val="000000"/>
                <w:sz w:val="16"/>
                <w:szCs w:val="16"/>
              </w:rPr>
              <w:t>22,000</w:t>
            </w:r>
          </w:p>
        </w:tc>
        <w:tc>
          <w:tcPr>
            <w:tcW w:w="445" w:type="pct"/>
            <w:tcBorders>
              <w:top w:val="nil"/>
              <w:left w:val="single" w:sz="4" w:space="0" w:color="0055A0"/>
              <w:bottom w:val="nil"/>
              <w:right w:val="single" w:sz="4" w:space="0" w:color="0055A0"/>
            </w:tcBorders>
            <w:shd w:val="clear" w:color="auto" w:fill="DBDBDB"/>
            <w:noWrap/>
            <w:hideMark/>
          </w:tcPr>
          <w:p w14:paraId="6C03DD8E" w14:textId="77777777" w:rsidR="004D45F1" w:rsidRDefault="004D45F1">
            <w:pPr>
              <w:jc w:val="right"/>
              <w:rPr>
                <w:rFonts w:cstheme="minorHAnsi"/>
                <w:noProof/>
                <w:color w:val="000000"/>
                <w:sz w:val="16"/>
                <w:szCs w:val="16"/>
              </w:rPr>
            </w:pPr>
            <w:r>
              <w:rPr>
                <w:rFonts w:cstheme="minorHAnsi"/>
                <w:noProof/>
                <w:color w:val="000000"/>
                <w:sz w:val="16"/>
                <w:szCs w:val="16"/>
              </w:rPr>
              <w:t>128,000</w:t>
            </w:r>
          </w:p>
        </w:tc>
      </w:tr>
      <w:tr w:rsidR="00124EE6" w14:paraId="463BED16"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457" w:type="pct"/>
            <w:tcBorders>
              <w:top w:val="nil"/>
              <w:left w:val="single" w:sz="4" w:space="0" w:color="0055A0"/>
              <w:bottom w:val="nil"/>
            </w:tcBorders>
            <w:shd w:val="clear" w:color="auto" w:fill="C5E0B3"/>
            <w:noWrap/>
            <w:hideMark/>
          </w:tcPr>
          <w:p w14:paraId="19C7A238" w14:textId="77777777" w:rsidR="004D45F1" w:rsidRDefault="004D45F1">
            <w:pPr>
              <w:rPr>
                <w:rFonts w:cstheme="minorHAnsi"/>
                <w:noProof/>
                <w:color w:val="000000"/>
              </w:rPr>
            </w:pPr>
            <w:r>
              <w:rPr>
                <w:rFonts w:cstheme="minorHAnsi"/>
                <w:noProof/>
                <w:color w:val="000000"/>
              </w:rPr>
              <w:t>Cavity structure</w:t>
            </w:r>
          </w:p>
        </w:tc>
        <w:tc>
          <w:tcPr>
            <w:tcW w:w="567" w:type="pct"/>
            <w:tcBorders>
              <w:top w:val="nil"/>
              <w:bottom w:val="nil"/>
            </w:tcBorders>
            <w:shd w:val="clear" w:color="auto" w:fill="C5E0B3"/>
            <w:noWrap/>
            <w:hideMark/>
          </w:tcPr>
          <w:p w14:paraId="1AA6F545" w14:textId="77777777" w:rsidR="004D45F1" w:rsidRDefault="004D45F1">
            <w:pPr>
              <w:jc w:val="right"/>
              <w:rPr>
                <w:rFonts w:cstheme="minorHAnsi"/>
                <w:noProof/>
                <w:color w:val="000000"/>
                <w:sz w:val="16"/>
                <w:szCs w:val="16"/>
              </w:rPr>
            </w:pPr>
            <w:r>
              <w:rPr>
                <w:rFonts w:cstheme="minorHAnsi"/>
                <w:noProof/>
                <w:color w:val="000000"/>
                <w:sz w:val="16"/>
                <w:szCs w:val="16"/>
              </w:rPr>
              <w:t>25%</w:t>
            </w:r>
          </w:p>
        </w:tc>
        <w:tc>
          <w:tcPr>
            <w:tcW w:w="401" w:type="pct"/>
            <w:tcBorders>
              <w:top w:val="nil"/>
              <w:bottom w:val="nil"/>
            </w:tcBorders>
            <w:shd w:val="clear" w:color="auto" w:fill="C5E0B3"/>
            <w:noWrap/>
            <w:hideMark/>
          </w:tcPr>
          <w:p w14:paraId="121C1104" w14:textId="77777777" w:rsidR="004D45F1" w:rsidRDefault="004D45F1">
            <w:pPr>
              <w:jc w:val="right"/>
              <w:rPr>
                <w:rFonts w:cstheme="minorHAnsi"/>
                <w:noProof/>
                <w:color w:val="000000"/>
                <w:sz w:val="16"/>
                <w:szCs w:val="16"/>
              </w:rPr>
            </w:pPr>
            <w:r>
              <w:rPr>
                <w:rFonts w:cstheme="minorHAnsi"/>
                <w:noProof/>
                <w:color w:val="000000"/>
                <w:sz w:val="16"/>
                <w:szCs w:val="16"/>
              </w:rPr>
              <w:t xml:space="preserve">                                   6,734 </w:t>
            </w:r>
          </w:p>
        </w:tc>
        <w:tc>
          <w:tcPr>
            <w:tcW w:w="482" w:type="pct"/>
            <w:tcBorders>
              <w:top w:val="nil"/>
              <w:bottom w:val="nil"/>
            </w:tcBorders>
            <w:shd w:val="clear" w:color="auto" w:fill="C5E0B3"/>
            <w:noWrap/>
            <w:hideMark/>
          </w:tcPr>
          <w:p w14:paraId="59C57BBA" w14:textId="77777777" w:rsidR="004D45F1" w:rsidRDefault="004D45F1">
            <w:pPr>
              <w:jc w:val="right"/>
              <w:rPr>
                <w:rFonts w:cstheme="minorHAnsi"/>
                <w:noProof/>
                <w:color w:val="000000"/>
                <w:sz w:val="16"/>
                <w:szCs w:val="16"/>
              </w:rPr>
            </w:pPr>
            <w:r>
              <w:rPr>
                <w:rFonts w:cstheme="minorHAnsi"/>
                <w:noProof/>
                <w:color w:val="000000"/>
                <w:sz w:val="16"/>
                <w:szCs w:val="16"/>
              </w:rPr>
              <w:t xml:space="preserve">48,363 </w:t>
            </w:r>
          </w:p>
        </w:tc>
        <w:tc>
          <w:tcPr>
            <w:tcW w:w="723" w:type="pct"/>
            <w:tcBorders>
              <w:top w:val="nil"/>
              <w:bottom w:val="nil"/>
            </w:tcBorders>
            <w:shd w:val="clear" w:color="auto" w:fill="C5E0B3"/>
            <w:noWrap/>
            <w:hideMark/>
          </w:tcPr>
          <w:p w14:paraId="08286E08" w14:textId="77777777" w:rsidR="004D45F1" w:rsidRDefault="004D45F1">
            <w:pPr>
              <w:jc w:val="right"/>
              <w:rPr>
                <w:rFonts w:cstheme="minorHAnsi"/>
                <w:noProof/>
                <w:color w:val="000000"/>
                <w:sz w:val="16"/>
                <w:szCs w:val="16"/>
              </w:rPr>
            </w:pPr>
            <w:r>
              <w:rPr>
                <w:rFonts w:cstheme="minorHAnsi"/>
                <w:noProof/>
                <w:color w:val="000000"/>
                <w:sz w:val="16"/>
                <w:szCs w:val="16"/>
              </w:rPr>
              <w:t>891,752,000</w:t>
            </w:r>
          </w:p>
        </w:tc>
        <w:tc>
          <w:tcPr>
            <w:tcW w:w="420" w:type="pct"/>
            <w:tcBorders>
              <w:top w:val="nil"/>
              <w:bottom w:val="nil"/>
            </w:tcBorders>
            <w:shd w:val="clear" w:color="auto" w:fill="C5E0B3"/>
            <w:noWrap/>
            <w:hideMark/>
          </w:tcPr>
          <w:p w14:paraId="1211EC1F" w14:textId="77777777" w:rsidR="004D45F1" w:rsidRDefault="004D45F1">
            <w:pPr>
              <w:jc w:val="right"/>
              <w:rPr>
                <w:rFonts w:cstheme="minorHAnsi"/>
                <w:noProof/>
                <w:color w:val="000000"/>
                <w:sz w:val="16"/>
                <w:szCs w:val="16"/>
              </w:rPr>
            </w:pPr>
            <w:r>
              <w:rPr>
                <w:rFonts w:cstheme="minorHAnsi"/>
                <w:noProof/>
                <w:color w:val="000000"/>
                <w:sz w:val="16"/>
                <w:szCs w:val="16"/>
              </w:rPr>
              <w:t>132,430</w:t>
            </w:r>
          </w:p>
        </w:tc>
        <w:tc>
          <w:tcPr>
            <w:tcW w:w="382" w:type="pct"/>
            <w:tcBorders>
              <w:top w:val="nil"/>
              <w:bottom w:val="nil"/>
            </w:tcBorders>
            <w:shd w:val="clear" w:color="auto" w:fill="C5E0B3"/>
            <w:noWrap/>
            <w:hideMark/>
          </w:tcPr>
          <w:p w14:paraId="549C121D" w14:textId="77777777" w:rsidR="004D45F1" w:rsidRDefault="004D45F1">
            <w:pPr>
              <w:jc w:val="right"/>
              <w:rPr>
                <w:rFonts w:cstheme="minorHAnsi"/>
                <w:noProof/>
                <w:color w:val="000000"/>
                <w:sz w:val="16"/>
                <w:szCs w:val="16"/>
              </w:rPr>
            </w:pPr>
            <w:r>
              <w:rPr>
                <w:rFonts w:cstheme="minorHAnsi"/>
                <w:noProof/>
                <w:color w:val="000000"/>
                <w:sz w:val="16"/>
                <w:szCs w:val="16"/>
              </w:rPr>
              <w:t xml:space="preserve">18.44 </w:t>
            </w:r>
          </w:p>
        </w:tc>
        <w:tc>
          <w:tcPr>
            <w:tcW w:w="723" w:type="pct"/>
            <w:tcBorders>
              <w:top w:val="nil"/>
              <w:bottom w:val="nil"/>
            </w:tcBorders>
            <w:shd w:val="clear" w:color="auto" w:fill="DBDBDB"/>
            <w:noWrap/>
            <w:hideMark/>
          </w:tcPr>
          <w:p w14:paraId="026FCCDD" w14:textId="77777777" w:rsidR="004D45F1" w:rsidRDefault="004D45F1">
            <w:pPr>
              <w:jc w:val="right"/>
              <w:rPr>
                <w:rFonts w:cstheme="minorHAnsi"/>
                <w:noProof/>
                <w:color w:val="000000"/>
                <w:sz w:val="16"/>
                <w:szCs w:val="16"/>
              </w:rPr>
            </w:pPr>
            <w:r>
              <w:rPr>
                <w:rFonts w:cstheme="minorHAnsi"/>
                <w:noProof/>
                <w:color w:val="000000"/>
                <w:sz w:val="16"/>
                <w:szCs w:val="16"/>
              </w:rPr>
              <w:t>75%</w:t>
            </w:r>
          </w:p>
        </w:tc>
        <w:tc>
          <w:tcPr>
            <w:tcW w:w="400" w:type="pct"/>
            <w:tcBorders>
              <w:top w:val="nil"/>
              <w:bottom w:val="nil"/>
            </w:tcBorders>
            <w:shd w:val="clear" w:color="auto" w:fill="DBDBDB"/>
            <w:noWrap/>
            <w:hideMark/>
          </w:tcPr>
          <w:p w14:paraId="1612E419" w14:textId="77777777" w:rsidR="004D45F1" w:rsidRDefault="004D45F1">
            <w:pPr>
              <w:jc w:val="right"/>
              <w:rPr>
                <w:rFonts w:cstheme="minorHAnsi"/>
                <w:noProof/>
                <w:color w:val="000000"/>
                <w:sz w:val="16"/>
                <w:szCs w:val="16"/>
              </w:rPr>
            </w:pPr>
            <w:r>
              <w:rPr>
                <w:rFonts w:cstheme="minorHAnsi"/>
                <w:noProof/>
                <w:color w:val="000000"/>
                <w:sz w:val="16"/>
                <w:szCs w:val="16"/>
              </w:rPr>
              <w:t>20,200</w:t>
            </w:r>
          </w:p>
        </w:tc>
        <w:tc>
          <w:tcPr>
            <w:tcW w:w="445" w:type="pct"/>
            <w:tcBorders>
              <w:top w:val="nil"/>
              <w:bottom w:val="nil"/>
              <w:right w:val="single" w:sz="4" w:space="0" w:color="0055A0"/>
            </w:tcBorders>
            <w:shd w:val="clear" w:color="auto" w:fill="DBDBDB"/>
            <w:noWrap/>
            <w:hideMark/>
          </w:tcPr>
          <w:p w14:paraId="6DC55432" w14:textId="77777777" w:rsidR="004D45F1" w:rsidRDefault="004D45F1">
            <w:pPr>
              <w:jc w:val="right"/>
              <w:rPr>
                <w:rFonts w:cstheme="minorHAnsi"/>
                <w:noProof/>
                <w:color w:val="000000"/>
                <w:sz w:val="16"/>
                <w:szCs w:val="16"/>
              </w:rPr>
            </w:pPr>
            <w:r>
              <w:rPr>
                <w:rFonts w:cstheme="minorHAnsi"/>
                <w:noProof/>
                <w:color w:val="000000"/>
                <w:sz w:val="16"/>
                <w:szCs w:val="16"/>
              </w:rPr>
              <w:t>145,000</w:t>
            </w:r>
          </w:p>
        </w:tc>
      </w:tr>
      <w:tr w:rsidR="00124EE6" w14:paraId="14F067D7"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457" w:type="pct"/>
            <w:tcBorders>
              <w:top w:val="nil"/>
              <w:left w:val="single" w:sz="4" w:space="0" w:color="0055A0"/>
              <w:bottom w:val="nil"/>
              <w:right w:val="single" w:sz="4" w:space="0" w:color="0055A0"/>
            </w:tcBorders>
            <w:shd w:val="clear" w:color="auto" w:fill="DBDBDB"/>
            <w:noWrap/>
            <w:hideMark/>
          </w:tcPr>
          <w:p w14:paraId="040346A1" w14:textId="77777777" w:rsidR="004D45F1" w:rsidRDefault="004D45F1">
            <w:pPr>
              <w:rPr>
                <w:rFonts w:cstheme="minorHAnsi"/>
                <w:noProof/>
                <w:color w:val="000000"/>
              </w:rPr>
            </w:pPr>
            <w:r>
              <w:rPr>
                <w:rFonts w:cstheme="minorHAnsi"/>
                <w:noProof/>
                <w:color w:val="000000"/>
              </w:rPr>
              <w:t>Floor insulation</w:t>
            </w:r>
          </w:p>
        </w:tc>
        <w:tc>
          <w:tcPr>
            <w:tcW w:w="567" w:type="pct"/>
            <w:tcBorders>
              <w:top w:val="nil"/>
              <w:left w:val="single" w:sz="4" w:space="0" w:color="0055A0"/>
              <w:bottom w:val="nil"/>
              <w:right w:val="single" w:sz="4" w:space="0" w:color="0055A0"/>
            </w:tcBorders>
            <w:shd w:val="clear" w:color="auto" w:fill="DBDBDB"/>
            <w:noWrap/>
            <w:hideMark/>
          </w:tcPr>
          <w:p w14:paraId="0CB9359B"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01" w:type="pct"/>
            <w:tcBorders>
              <w:top w:val="nil"/>
              <w:left w:val="single" w:sz="4" w:space="0" w:color="0055A0"/>
              <w:bottom w:val="nil"/>
              <w:right w:val="single" w:sz="4" w:space="0" w:color="0055A0"/>
            </w:tcBorders>
            <w:shd w:val="clear" w:color="auto" w:fill="DBDBDB"/>
            <w:noWrap/>
            <w:hideMark/>
          </w:tcPr>
          <w:p w14:paraId="384A27BE"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82" w:type="pct"/>
            <w:tcBorders>
              <w:top w:val="nil"/>
              <w:left w:val="single" w:sz="4" w:space="0" w:color="0055A0"/>
              <w:bottom w:val="nil"/>
              <w:right w:val="single" w:sz="4" w:space="0" w:color="0055A0"/>
            </w:tcBorders>
            <w:shd w:val="clear" w:color="auto" w:fill="DBDBDB"/>
            <w:noWrap/>
            <w:hideMark/>
          </w:tcPr>
          <w:p w14:paraId="0FE372DA"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723" w:type="pct"/>
            <w:tcBorders>
              <w:top w:val="nil"/>
              <w:left w:val="single" w:sz="4" w:space="0" w:color="0055A0"/>
              <w:bottom w:val="nil"/>
              <w:right w:val="single" w:sz="4" w:space="0" w:color="0055A0"/>
            </w:tcBorders>
            <w:shd w:val="clear" w:color="auto" w:fill="DBDBDB"/>
            <w:noWrap/>
            <w:hideMark/>
          </w:tcPr>
          <w:p w14:paraId="23B9CBF8" w14:textId="77777777" w:rsidR="004D45F1" w:rsidRDefault="004D45F1">
            <w:pPr>
              <w:rPr>
                <w:rFonts w:cstheme="minorHAnsi"/>
                <w:noProof/>
                <w:color w:val="000000"/>
                <w:sz w:val="16"/>
                <w:szCs w:val="16"/>
              </w:rPr>
            </w:pPr>
          </w:p>
        </w:tc>
        <w:tc>
          <w:tcPr>
            <w:tcW w:w="420" w:type="pct"/>
            <w:tcBorders>
              <w:top w:val="nil"/>
              <w:left w:val="single" w:sz="4" w:space="0" w:color="0055A0"/>
              <w:bottom w:val="nil"/>
              <w:right w:val="single" w:sz="4" w:space="0" w:color="0055A0"/>
            </w:tcBorders>
            <w:shd w:val="clear" w:color="auto" w:fill="DBDBDB"/>
            <w:noWrap/>
            <w:hideMark/>
          </w:tcPr>
          <w:p w14:paraId="29D2BA78" w14:textId="77777777" w:rsidR="004D45F1" w:rsidRDefault="004D45F1">
            <w:pPr>
              <w:jc w:val="right"/>
              <w:rPr>
                <w:rFonts w:cstheme="minorHAnsi"/>
                <w:noProof/>
                <w:color w:val="000000"/>
                <w:sz w:val="16"/>
                <w:szCs w:val="16"/>
              </w:rPr>
            </w:pPr>
            <w:r>
              <w:rPr>
                <w:rFonts w:cstheme="minorHAnsi"/>
                <w:noProof/>
                <w:color w:val="000000"/>
                <w:sz w:val="16"/>
                <w:szCs w:val="16"/>
              </w:rPr>
              <w:t>-</w:t>
            </w:r>
          </w:p>
        </w:tc>
        <w:tc>
          <w:tcPr>
            <w:tcW w:w="382" w:type="pct"/>
            <w:tcBorders>
              <w:top w:val="nil"/>
              <w:left w:val="single" w:sz="4" w:space="0" w:color="0055A0"/>
              <w:bottom w:val="nil"/>
              <w:right w:val="single" w:sz="4" w:space="0" w:color="0055A0"/>
            </w:tcBorders>
            <w:shd w:val="clear" w:color="auto" w:fill="DBDBDB"/>
            <w:noWrap/>
            <w:hideMark/>
          </w:tcPr>
          <w:p w14:paraId="14484B1D" w14:textId="77777777" w:rsidR="004D45F1" w:rsidRDefault="004D45F1">
            <w:pPr>
              <w:rPr>
                <w:rFonts w:cstheme="minorHAnsi"/>
                <w:noProof/>
                <w:color w:val="000000"/>
                <w:sz w:val="16"/>
                <w:szCs w:val="16"/>
              </w:rPr>
            </w:pPr>
          </w:p>
        </w:tc>
        <w:tc>
          <w:tcPr>
            <w:tcW w:w="723" w:type="pct"/>
            <w:tcBorders>
              <w:top w:val="nil"/>
              <w:left w:val="single" w:sz="4" w:space="0" w:color="0055A0"/>
              <w:bottom w:val="nil"/>
              <w:right w:val="single" w:sz="4" w:space="0" w:color="0055A0"/>
            </w:tcBorders>
            <w:shd w:val="clear" w:color="auto" w:fill="DBDBDB"/>
            <w:noWrap/>
            <w:hideMark/>
          </w:tcPr>
          <w:p w14:paraId="34764FE2" w14:textId="77777777" w:rsidR="004D45F1" w:rsidRDefault="004D45F1">
            <w:pPr>
              <w:jc w:val="right"/>
              <w:rPr>
                <w:rFonts w:cstheme="minorHAnsi"/>
                <w:noProof/>
                <w:color w:val="000000"/>
                <w:sz w:val="16"/>
                <w:szCs w:val="16"/>
              </w:rPr>
            </w:pPr>
            <w:r>
              <w:rPr>
                <w:rFonts w:cstheme="minorHAnsi"/>
                <w:noProof/>
                <w:color w:val="000000"/>
                <w:sz w:val="16"/>
                <w:szCs w:val="16"/>
              </w:rPr>
              <w:t>100%</w:t>
            </w:r>
          </w:p>
        </w:tc>
        <w:tc>
          <w:tcPr>
            <w:tcW w:w="400" w:type="pct"/>
            <w:tcBorders>
              <w:top w:val="nil"/>
              <w:left w:val="single" w:sz="4" w:space="0" w:color="0055A0"/>
              <w:bottom w:val="nil"/>
              <w:right w:val="single" w:sz="4" w:space="0" w:color="0055A0"/>
            </w:tcBorders>
            <w:shd w:val="clear" w:color="auto" w:fill="DBDBDB"/>
            <w:noWrap/>
            <w:hideMark/>
          </w:tcPr>
          <w:p w14:paraId="39E35B5B" w14:textId="77777777" w:rsidR="004D45F1" w:rsidRDefault="004D45F1">
            <w:pPr>
              <w:jc w:val="right"/>
              <w:rPr>
                <w:rFonts w:cstheme="minorHAnsi"/>
                <w:noProof/>
                <w:color w:val="000000"/>
                <w:sz w:val="16"/>
                <w:szCs w:val="16"/>
              </w:rPr>
            </w:pPr>
            <w:r>
              <w:rPr>
                <w:rFonts w:cstheme="minorHAnsi"/>
                <w:noProof/>
                <w:color w:val="000000"/>
                <w:sz w:val="16"/>
                <w:szCs w:val="16"/>
              </w:rPr>
              <w:t>19,800</w:t>
            </w:r>
          </w:p>
        </w:tc>
        <w:tc>
          <w:tcPr>
            <w:tcW w:w="445" w:type="pct"/>
            <w:tcBorders>
              <w:top w:val="nil"/>
              <w:left w:val="single" w:sz="4" w:space="0" w:color="0055A0"/>
              <w:bottom w:val="nil"/>
              <w:right w:val="single" w:sz="4" w:space="0" w:color="0055A0"/>
            </w:tcBorders>
            <w:shd w:val="clear" w:color="auto" w:fill="DBDBDB"/>
            <w:noWrap/>
            <w:hideMark/>
          </w:tcPr>
          <w:p w14:paraId="62348C1F" w14:textId="77777777" w:rsidR="004D45F1" w:rsidRDefault="004D45F1">
            <w:pPr>
              <w:jc w:val="right"/>
              <w:rPr>
                <w:rFonts w:cstheme="minorHAnsi"/>
                <w:noProof/>
                <w:color w:val="000000"/>
                <w:sz w:val="16"/>
                <w:szCs w:val="16"/>
              </w:rPr>
            </w:pPr>
            <w:r>
              <w:rPr>
                <w:rFonts w:cstheme="minorHAnsi"/>
                <w:noProof/>
                <w:color w:val="000000"/>
                <w:sz w:val="16"/>
                <w:szCs w:val="16"/>
              </w:rPr>
              <w:t>151,000</w:t>
            </w:r>
          </w:p>
        </w:tc>
      </w:tr>
      <w:tr w:rsidR="00124EE6" w14:paraId="4CA4E5A2"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457" w:type="pct"/>
            <w:tcBorders>
              <w:top w:val="nil"/>
              <w:left w:val="single" w:sz="4" w:space="0" w:color="0055A0"/>
              <w:bottom w:val="nil"/>
            </w:tcBorders>
            <w:shd w:val="clear" w:color="auto" w:fill="DBDBDB"/>
            <w:noWrap/>
            <w:hideMark/>
          </w:tcPr>
          <w:p w14:paraId="65CC7021" w14:textId="77777777" w:rsidR="004D45F1" w:rsidRDefault="004D45F1">
            <w:pPr>
              <w:rPr>
                <w:rFonts w:cstheme="minorHAnsi"/>
                <w:noProof/>
                <w:color w:val="000000"/>
              </w:rPr>
            </w:pPr>
            <w:r>
              <w:rPr>
                <w:rFonts w:cstheme="minorHAnsi"/>
                <w:noProof/>
                <w:color w:val="000000"/>
              </w:rPr>
              <w:t>Spray foam</w:t>
            </w:r>
          </w:p>
        </w:tc>
        <w:tc>
          <w:tcPr>
            <w:tcW w:w="567" w:type="pct"/>
            <w:tcBorders>
              <w:top w:val="nil"/>
              <w:bottom w:val="nil"/>
            </w:tcBorders>
            <w:shd w:val="clear" w:color="auto" w:fill="DBDBDB"/>
            <w:noWrap/>
            <w:hideMark/>
          </w:tcPr>
          <w:p w14:paraId="6EF697B3"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01" w:type="pct"/>
            <w:tcBorders>
              <w:top w:val="nil"/>
              <w:bottom w:val="nil"/>
            </w:tcBorders>
            <w:shd w:val="clear" w:color="auto" w:fill="DBDBDB"/>
            <w:noWrap/>
            <w:hideMark/>
          </w:tcPr>
          <w:p w14:paraId="05269595"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82" w:type="pct"/>
            <w:tcBorders>
              <w:top w:val="nil"/>
              <w:bottom w:val="nil"/>
            </w:tcBorders>
            <w:shd w:val="clear" w:color="auto" w:fill="DBDBDB"/>
            <w:noWrap/>
            <w:hideMark/>
          </w:tcPr>
          <w:p w14:paraId="344529CE"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723" w:type="pct"/>
            <w:tcBorders>
              <w:top w:val="nil"/>
              <w:bottom w:val="nil"/>
            </w:tcBorders>
            <w:shd w:val="clear" w:color="auto" w:fill="DBDBDB"/>
            <w:noWrap/>
            <w:hideMark/>
          </w:tcPr>
          <w:p w14:paraId="5C6191E9" w14:textId="77777777" w:rsidR="004D45F1" w:rsidRDefault="004D45F1">
            <w:pPr>
              <w:rPr>
                <w:rFonts w:cstheme="minorHAnsi"/>
                <w:noProof/>
                <w:color w:val="000000"/>
                <w:sz w:val="16"/>
                <w:szCs w:val="16"/>
              </w:rPr>
            </w:pPr>
          </w:p>
        </w:tc>
        <w:tc>
          <w:tcPr>
            <w:tcW w:w="420" w:type="pct"/>
            <w:tcBorders>
              <w:top w:val="nil"/>
              <w:bottom w:val="nil"/>
            </w:tcBorders>
            <w:shd w:val="clear" w:color="auto" w:fill="DBDBDB"/>
            <w:noWrap/>
            <w:hideMark/>
          </w:tcPr>
          <w:p w14:paraId="26277BD3" w14:textId="77777777" w:rsidR="004D45F1" w:rsidRDefault="004D45F1">
            <w:pPr>
              <w:jc w:val="right"/>
              <w:rPr>
                <w:rFonts w:cstheme="minorHAnsi"/>
                <w:noProof/>
                <w:color w:val="000000"/>
                <w:sz w:val="16"/>
                <w:szCs w:val="16"/>
              </w:rPr>
            </w:pPr>
            <w:r>
              <w:rPr>
                <w:rFonts w:cstheme="minorHAnsi"/>
                <w:noProof/>
                <w:color w:val="000000"/>
                <w:sz w:val="16"/>
                <w:szCs w:val="16"/>
              </w:rPr>
              <w:t>-</w:t>
            </w:r>
          </w:p>
        </w:tc>
        <w:tc>
          <w:tcPr>
            <w:tcW w:w="382" w:type="pct"/>
            <w:tcBorders>
              <w:top w:val="nil"/>
              <w:bottom w:val="nil"/>
            </w:tcBorders>
            <w:shd w:val="clear" w:color="auto" w:fill="DBDBDB"/>
            <w:noWrap/>
            <w:hideMark/>
          </w:tcPr>
          <w:p w14:paraId="53C621DF" w14:textId="77777777" w:rsidR="004D45F1" w:rsidRDefault="004D45F1">
            <w:pPr>
              <w:rPr>
                <w:rFonts w:cstheme="minorHAnsi"/>
                <w:noProof/>
                <w:color w:val="000000"/>
                <w:sz w:val="16"/>
                <w:szCs w:val="16"/>
              </w:rPr>
            </w:pPr>
          </w:p>
        </w:tc>
        <w:tc>
          <w:tcPr>
            <w:tcW w:w="723" w:type="pct"/>
            <w:tcBorders>
              <w:top w:val="nil"/>
              <w:bottom w:val="nil"/>
            </w:tcBorders>
            <w:shd w:val="clear" w:color="auto" w:fill="DBDBDB"/>
            <w:noWrap/>
            <w:hideMark/>
          </w:tcPr>
          <w:p w14:paraId="730E4824" w14:textId="77777777" w:rsidR="004D45F1" w:rsidRDefault="004D45F1">
            <w:pPr>
              <w:jc w:val="right"/>
              <w:rPr>
                <w:rFonts w:cstheme="minorHAnsi"/>
                <w:noProof/>
                <w:color w:val="000000"/>
                <w:sz w:val="16"/>
                <w:szCs w:val="16"/>
              </w:rPr>
            </w:pPr>
            <w:r>
              <w:rPr>
                <w:rFonts w:cstheme="minorHAnsi"/>
                <w:noProof/>
                <w:color w:val="000000"/>
                <w:sz w:val="16"/>
                <w:szCs w:val="16"/>
              </w:rPr>
              <w:t>100%</w:t>
            </w:r>
          </w:p>
        </w:tc>
        <w:tc>
          <w:tcPr>
            <w:tcW w:w="400" w:type="pct"/>
            <w:tcBorders>
              <w:top w:val="nil"/>
              <w:bottom w:val="nil"/>
            </w:tcBorders>
            <w:shd w:val="clear" w:color="auto" w:fill="DBDBDB"/>
            <w:noWrap/>
            <w:hideMark/>
          </w:tcPr>
          <w:p w14:paraId="05F28F02" w14:textId="77777777" w:rsidR="004D45F1" w:rsidRDefault="004D45F1">
            <w:pPr>
              <w:jc w:val="right"/>
              <w:rPr>
                <w:rFonts w:cstheme="minorHAnsi"/>
                <w:noProof/>
                <w:color w:val="000000"/>
                <w:sz w:val="16"/>
                <w:szCs w:val="16"/>
              </w:rPr>
            </w:pPr>
            <w:r>
              <w:rPr>
                <w:rFonts w:cstheme="minorHAnsi"/>
                <w:noProof/>
                <w:color w:val="000000"/>
                <w:sz w:val="16"/>
                <w:szCs w:val="16"/>
              </w:rPr>
              <w:t>5,300</w:t>
            </w:r>
          </w:p>
        </w:tc>
        <w:tc>
          <w:tcPr>
            <w:tcW w:w="445" w:type="pct"/>
            <w:tcBorders>
              <w:top w:val="nil"/>
              <w:bottom w:val="nil"/>
              <w:right w:val="single" w:sz="4" w:space="0" w:color="0055A0"/>
            </w:tcBorders>
            <w:shd w:val="clear" w:color="auto" w:fill="DBDBDB"/>
            <w:noWrap/>
            <w:hideMark/>
          </w:tcPr>
          <w:p w14:paraId="4564F201" w14:textId="77777777" w:rsidR="004D45F1" w:rsidRDefault="004D45F1">
            <w:pPr>
              <w:jc w:val="right"/>
              <w:rPr>
                <w:rFonts w:cstheme="minorHAnsi"/>
                <w:noProof/>
                <w:color w:val="000000"/>
                <w:sz w:val="16"/>
                <w:szCs w:val="16"/>
              </w:rPr>
            </w:pPr>
            <w:r>
              <w:rPr>
                <w:rFonts w:cstheme="minorHAnsi"/>
                <w:noProof/>
                <w:color w:val="000000"/>
                <w:sz w:val="16"/>
                <w:szCs w:val="16"/>
              </w:rPr>
              <w:t>25,500</w:t>
            </w:r>
          </w:p>
        </w:tc>
      </w:tr>
      <w:tr w:rsidR="00124EE6" w14:paraId="74B7F8B6" w14:textId="77777777" w:rsidTr="004D45F1">
        <w:trPr>
          <w:cnfStyle w:val="000000100000" w:firstRow="0" w:lastRow="0" w:firstColumn="0" w:lastColumn="0" w:oddVBand="0" w:evenVBand="0" w:oddHBand="1" w:evenHBand="0" w:firstRowFirstColumn="0" w:firstRowLastColumn="0" w:lastRowFirstColumn="0" w:lastRowLastColumn="0"/>
          <w:trHeight w:val="300"/>
        </w:trPr>
        <w:tc>
          <w:tcPr>
            <w:tcW w:w="457" w:type="pct"/>
            <w:tcBorders>
              <w:top w:val="nil"/>
              <w:left w:val="single" w:sz="4" w:space="0" w:color="0055A0"/>
              <w:bottom w:val="nil"/>
              <w:right w:val="single" w:sz="4" w:space="0" w:color="0055A0"/>
            </w:tcBorders>
            <w:shd w:val="clear" w:color="auto" w:fill="DBDBDB"/>
            <w:noWrap/>
            <w:hideMark/>
          </w:tcPr>
          <w:p w14:paraId="6D0A4673" w14:textId="77777777" w:rsidR="004D45F1" w:rsidRDefault="004D45F1">
            <w:pPr>
              <w:rPr>
                <w:rFonts w:cstheme="minorHAnsi"/>
                <w:noProof/>
                <w:color w:val="000000"/>
              </w:rPr>
            </w:pPr>
            <w:r>
              <w:rPr>
                <w:rFonts w:cstheme="minorHAnsi"/>
                <w:noProof/>
                <w:color w:val="000000"/>
              </w:rPr>
              <w:t>Block foam</w:t>
            </w:r>
          </w:p>
        </w:tc>
        <w:tc>
          <w:tcPr>
            <w:tcW w:w="567" w:type="pct"/>
            <w:tcBorders>
              <w:top w:val="nil"/>
              <w:left w:val="single" w:sz="4" w:space="0" w:color="0055A0"/>
              <w:bottom w:val="nil"/>
              <w:right w:val="single" w:sz="4" w:space="0" w:color="0055A0"/>
            </w:tcBorders>
            <w:shd w:val="clear" w:color="auto" w:fill="DBDBDB"/>
            <w:noWrap/>
            <w:hideMark/>
          </w:tcPr>
          <w:p w14:paraId="3E3D985F"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01" w:type="pct"/>
            <w:tcBorders>
              <w:top w:val="nil"/>
              <w:left w:val="single" w:sz="4" w:space="0" w:color="0055A0"/>
              <w:bottom w:val="nil"/>
              <w:right w:val="single" w:sz="4" w:space="0" w:color="0055A0"/>
            </w:tcBorders>
            <w:shd w:val="clear" w:color="auto" w:fill="DBDBDB"/>
            <w:noWrap/>
            <w:hideMark/>
          </w:tcPr>
          <w:p w14:paraId="5C0B523F"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482" w:type="pct"/>
            <w:tcBorders>
              <w:top w:val="nil"/>
              <w:left w:val="single" w:sz="4" w:space="0" w:color="0055A0"/>
              <w:bottom w:val="nil"/>
              <w:right w:val="single" w:sz="4" w:space="0" w:color="0055A0"/>
            </w:tcBorders>
            <w:shd w:val="clear" w:color="auto" w:fill="DBDBDB"/>
            <w:noWrap/>
            <w:hideMark/>
          </w:tcPr>
          <w:p w14:paraId="395F1DA5" w14:textId="77777777" w:rsidR="004D45F1" w:rsidRDefault="004D45F1">
            <w:pPr>
              <w:jc w:val="right"/>
              <w:rPr>
                <w:rFonts w:cstheme="minorHAnsi"/>
                <w:noProof/>
                <w:color w:val="000000"/>
                <w:sz w:val="16"/>
                <w:szCs w:val="16"/>
              </w:rPr>
            </w:pPr>
            <w:r>
              <w:rPr>
                <w:rFonts w:cstheme="minorHAnsi"/>
                <w:noProof/>
                <w:color w:val="000000"/>
                <w:sz w:val="16"/>
                <w:szCs w:val="16"/>
              </w:rPr>
              <w:t>0</w:t>
            </w:r>
          </w:p>
        </w:tc>
        <w:tc>
          <w:tcPr>
            <w:tcW w:w="723" w:type="pct"/>
            <w:tcBorders>
              <w:top w:val="nil"/>
              <w:left w:val="single" w:sz="4" w:space="0" w:color="0055A0"/>
              <w:bottom w:val="nil"/>
              <w:right w:val="single" w:sz="4" w:space="0" w:color="0055A0"/>
            </w:tcBorders>
            <w:shd w:val="clear" w:color="auto" w:fill="DBDBDB"/>
            <w:noWrap/>
            <w:hideMark/>
          </w:tcPr>
          <w:p w14:paraId="110105DB" w14:textId="77777777" w:rsidR="004D45F1" w:rsidRDefault="004D45F1">
            <w:pPr>
              <w:rPr>
                <w:rFonts w:cstheme="minorHAnsi"/>
                <w:noProof/>
                <w:color w:val="000000"/>
                <w:sz w:val="16"/>
                <w:szCs w:val="16"/>
              </w:rPr>
            </w:pPr>
          </w:p>
        </w:tc>
        <w:tc>
          <w:tcPr>
            <w:tcW w:w="420" w:type="pct"/>
            <w:tcBorders>
              <w:top w:val="nil"/>
              <w:left w:val="single" w:sz="4" w:space="0" w:color="0055A0"/>
              <w:bottom w:val="nil"/>
              <w:right w:val="single" w:sz="4" w:space="0" w:color="0055A0"/>
            </w:tcBorders>
            <w:shd w:val="clear" w:color="auto" w:fill="DBDBDB"/>
            <w:noWrap/>
            <w:hideMark/>
          </w:tcPr>
          <w:p w14:paraId="6F4A5DE6" w14:textId="77777777" w:rsidR="004D45F1" w:rsidRDefault="004D45F1">
            <w:pPr>
              <w:jc w:val="right"/>
              <w:rPr>
                <w:rFonts w:cstheme="minorHAnsi"/>
                <w:noProof/>
                <w:color w:val="000000"/>
                <w:sz w:val="16"/>
                <w:szCs w:val="16"/>
              </w:rPr>
            </w:pPr>
            <w:r>
              <w:rPr>
                <w:rFonts w:cstheme="minorHAnsi"/>
                <w:noProof/>
                <w:color w:val="000000"/>
                <w:sz w:val="16"/>
                <w:szCs w:val="16"/>
              </w:rPr>
              <w:t>-</w:t>
            </w:r>
          </w:p>
        </w:tc>
        <w:tc>
          <w:tcPr>
            <w:tcW w:w="382" w:type="pct"/>
            <w:tcBorders>
              <w:top w:val="nil"/>
              <w:left w:val="single" w:sz="4" w:space="0" w:color="0055A0"/>
              <w:bottom w:val="nil"/>
              <w:right w:val="single" w:sz="4" w:space="0" w:color="0055A0"/>
            </w:tcBorders>
            <w:shd w:val="clear" w:color="auto" w:fill="DBDBDB"/>
            <w:noWrap/>
            <w:hideMark/>
          </w:tcPr>
          <w:p w14:paraId="13013B5D" w14:textId="77777777" w:rsidR="004D45F1" w:rsidRDefault="004D45F1">
            <w:pPr>
              <w:rPr>
                <w:rFonts w:cstheme="minorHAnsi"/>
                <w:noProof/>
                <w:color w:val="000000"/>
                <w:sz w:val="16"/>
                <w:szCs w:val="16"/>
              </w:rPr>
            </w:pPr>
          </w:p>
        </w:tc>
        <w:tc>
          <w:tcPr>
            <w:tcW w:w="723" w:type="pct"/>
            <w:tcBorders>
              <w:top w:val="nil"/>
              <w:left w:val="single" w:sz="4" w:space="0" w:color="0055A0"/>
              <w:bottom w:val="nil"/>
              <w:right w:val="single" w:sz="4" w:space="0" w:color="0055A0"/>
            </w:tcBorders>
            <w:shd w:val="clear" w:color="auto" w:fill="DBDBDB"/>
            <w:noWrap/>
            <w:hideMark/>
          </w:tcPr>
          <w:p w14:paraId="314F2D89" w14:textId="77777777" w:rsidR="004D45F1" w:rsidRDefault="004D45F1">
            <w:pPr>
              <w:jc w:val="right"/>
              <w:rPr>
                <w:rFonts w:cstheme="minorHAnsi"/>
                <w:noProof/>
                <w:color w:val="000000"/>
                <w:sz w:val="16"/>
                <w:szCs w:val="16"/>
              </w:rPr>
            </w:pPr>
            <w:r>
              <w:rPr>
                <w:rFonts w:cstheme="minorHAnsi"/>
                <w:noProof/>
                <w:color w:val="000000"/>
                <w:sz w:val="16"/>
                <w:szCs w:val="16"/>
              </w:rPr>
              <w:t>100%</w:t>
            </w:r>
          </w:p>
        </w:tc>
        <w:tc>
          <w:tcPr>
            <w:tcW w:w="400" w:type="pct"/>
            <w:tcBorders>
              <w:top w:val="nil"/>
              <w:left w:val="single" w:sz="4" w:space="0" w:color="0055A0"/>
              <w:bottom w:val="nil"/>
              <w:right w:val="single" w:sz="4" w:space="0" w:color="0055A0"/>
            </w:tcBorders>
            <w:shd w:val="clear" w:color="auto" w:fill="DBDBDB"/>
            <w:noWrap/>
            <w:hideMark/>
          </w:tcPr>
          <w:p w14:paraId="4592B6F0" w14:textId="77777777" w:rsidR="004D45F1" w:rsidRDefault="004D45F1">
            <w:pPr>
              <w:jc w:val="right"/>
              <w:rPr>
                <w:rFonts w:cstheme="minorHAnsi"/>
                <w:noProof/>
                <w:color w:val="000000"/>
                <w:sz w:val="16"/>
                <w:szCs w:val="16"/>
              </w:rPr>
            </w:pPr>
            <w:r>
              <w:rPr>
                <w:rFonts w:cstheme="minorHAnsi"/>
                <w:noProof/>
                <w:color w:val="000000"/>
                <w:sz w:val="16"/>
                <w:szCs w:val="16"/>
              </w:rPr>
              <w:t>3,800</w:t>
            </w:r>
          </w:p>
        </w:tc>
        <w:tc>
          <w:tcPr>
            <w:tcW w:w="445" w:type="pct"/>
            <w:tcBorders>
              <w:top w:val="nil"/>
              <w:left w:val="single" w:sz="4" w:space="0" w:color="0055A0"/>
              <w:bottom w:val="nil"/>
              <w:right w:val="single" w:sz="4" w:space="0" w:color="0055A0"/>
            </w:tcBorders>
            <w:shd w:val="clear" w:color="auto" w:fill="DBDBDB"/>
            <w:noWrap/>
            <w:hideMark/>
          </w:tcPr>
          <w:p w14:paraId="2880EAAF" w14:textId="77777777" w:rsidR="004D45F1" w:rsidRDefault="004D45F1">
            <w:pPr>
              <w:jc w:val="right"/>
              <w:rPr>
                <w:rFonts w:cstheme="minorHAnsi"/>
                <w:noProof/>
                <w:color w:val="000000"/>
                <w:sz w:val="16"/>
                <w:szCs w:val="16"/>
              </w:rPr>
            </w:pPr>
            <w:r>
              <w:rPr>
                <w:rFonts w:cstheme="minorHAnsi"/>
                <w:noProof/>
                <w:color w:val="000000"/>
                <w:sz w:val="16"/>
                <w:szCs w:val="16"/>
              </w:rPr>
              <w:t>20,000</w:t>
            </w:r>
          </w:p>
        </w:tc>
      </w:tr>
      <w:tr w:rsidR="004D45F1" w14:paraId="5ECF515E" w14:textId="77777777" w:rsidTr="004D45F1">
        <w:trPr>
          <w:cnfStyle w:val="000000010000" w:firstRow="0" w:lastRow="0" w:firstColumn="0" w:lastColumn="0" w:oddVBand="0" w:evenVBand="0" w:oddHBand="0" w:evenHBand="1" w:firstRowFirstColumn="0" w:firstRowLastColumn="0" w:lastRowFirstColumn="0" w:lastRowLastColumn="0"/>
          <w:trHeight w:val="300"/>
        </w:trPr>
        <w:tc>
          <w:tcPr>
            <w:tcW w:w="457" w:type="pct"/>
            <w:tcBorders>
              <w:top w:val="nil"/>
              <w:left w:val="single" w:sz="4" w:space="0" w:color="0055A0"/>
              <w:bottom w:val="single" w:sz="4" w:space="0" w:color="0055A0"/>
            </w:tcBorders>
            <w:noWrap/>
            <w:hideMark/>
          </w:tcPr>
          <w:p w14:paraId="50CD66B6" w14:textId="77777777" w:rsidR="004D45F1" w:rsidRDefault="004D45F1">
            <w:pPr>
              <w:rPr>
                <w:rFonts w:cstheme="minorHAnsi"/>
                <w:b/>
                <w:bCs/>
                <w:noProof/>
                <w:color w:val="000000"/>
              </w:rPr>
            </w:pPr>
            <w:r>
              <w:rPr>
                <w:rFonts w:cstheme="minorHAnsi"/>
                <w:b/>
                <w:bCs/>
                <w:noProof/>
                <w:color w:val="000000"/>
              </w:rPr>
              <w:t>Total</w:t>
            </w:r>
          </w:p>
        </w:tc>
        <w:tc>
          <w:tcPr>
            <w:tcW w:w="567" w:type="pct"/>
            <w:tcBorders>
              <w:top w:val="nil"/>
              <w:bottom w:val="single" w:sz="4" w:space="0" w:color="0055A0"/>
            </w:tcBorders>
            <w:noWrap/>
            <w:hideMark/>
          </w:tcPr>
          <w:p w14:paraId="72EA330C" w14:textId="77777777" w:rsidR="004D45F1" w:rsidRDefault="004D45F1">
            <w:pPr>
              <w:rPr>
                <w:rFonts w:cstheme="minorHAnsi"/>
                <w:b/>
                <w:bCs/>
                <w:noProof/>
                <w:color w:val="000000"/>
              </w:rPr>
            </w:pPr>
          </w:p>
        </w:tc>
        <w:tc>
          <w:tcPr>
            <w:tcW w:w="401" w:type="pct"/>
            <w:tcBorders>
              <w:top w:val="nil"/>
              <w:bottom w:val="single" w:sz="4" w:space="0" w:color="0055A0"/>
            </w:tcBorders>
            <w:noWrap/>
            <w:hideMark/>
          </w:tcPr>
          <w:p w14:paraId="1DB558E2" w14:textId="77777777" w:rsidR="004D45F1" w:rsidRDefault="004D45F1">
            <w:pPr>
              <w:jc w:val="right"/>
              <w:rPr>
                <w:rFonts w:cstheme="minorHAnsi"/>
                <w:b/>
                <w:bCs/>
                <w:noProof/>
                <w:color w:val="000000"/>
                <w:sz w:val="16"/>
                <w:szCs w:val="16"/>
              </w:rPr>
            </w:pPr>
            <w:r>
              <w:rPr>
                <w:rFonts w:cstheme="minorHAnsi"/>
                <w:b/>
                <w:bCs/>
                <w:noProof/>
                <w:color w:val="000000"/>
                <w:sz w:val="16"/>
                <w:szCs w:val="16"/>
              </w:rPr>
              <w:t>32,262</w:t>
            </w:r>
          </w:p>
        </w:tc>
        <w:tc>
          <w:tcPr>
            <w:tcW w:w="482" w:type="pct"/>
            <w:tcBorders>
              <w:top w:val="nil"/>
              <w:bottom w:val="single" w:sz="4" w:space="0" w:color="0055A0"/>
            </w:tcBorders>
            <w:noWrap/>
            <w:hideMark/>
          </w:tcPr>
          <w:p w14:paraId="511FA3F4" w14:textId="77777777" w:rsidR="004D45F1" w:rsidRDefault="004D45F1">
            <w:pPr>
              <w:jc w:val="right"/>
              <w:rPr>
                <w:rFonts w:cstheme="minorHAnsi"/>
                <w:b/>
                <w:bCs/>
                <w:noProof/>
                <w:color w:val="000000"/>
                <w:sz w:val="16"/>
                <w:szCs w:val="16"/>
              </w:rPr>
            </w:pPr>
            <w:r>
              <w:rPr>
                <w:rFonts w:cstheme="minorHAnsi"/>
                <w:b/>
                <w:bCs/>
                <w:noProof/>
                <w:color w:val="000000"/>
                <w:sz w:val="16"/>
                <w:szCs w:val="16"/>
              </w:rPr>
              <w:t>179,063</w:t>
            </w:r>
          </w:p>
        </w:tc>
        <w:tc>
          <w:tcPr>
            <w:tcW w:w="723" w:type="pct"/>
            <w:tcBorders>
              <w:top w:val="nil"/>
              <w:bottom w:val="single" w:sz="4" w:space="0" w:color="0055A0"/>
            </w:tcBorders>
            <w:noWrap/>
            <w:hideMark/>
          </w:tcPr>
          <w:p w14:paraId="45E196EA" w14:textId="77777777" w:rsidR="004D45F1" w:rsidRDefault="004D45F1">
            <w:pPr>
              <w:jc w:val="center"/>
              <w:rPr>
                <w:rFonts w:cstheme="minorHAnsi"/>
                <w:b/>
                <w:bCs/>
                <w:noProof/>
                <w:color w:val="000000"/>
                <w:sz w:val="16"/>
                <w:szCs w:val="16"/>
              </w:rPr>
            </w:pPr>
            <w:r>
              <w:rPr>
                <w:rFonts w:cstheme="minorHAnsi"/>
                <w:b/>
                <w:bCs/>
                <w:noProof/>
                <w:color w:val="000000"/>
                <w:sz w:val="16"/>
                <w:szCs w:val="16"/>
              </w:rPr>
              <w:t>1,978,251,625</w:t>
            </w:r>
          </w:p>
        </w:tc>
        <w:tc>
          <w:tcPr>
            <w:tcW w:w="420" w:type="pct"/>
            <w:tcBorders>
              <w:top w:val="nil"/>
              <w:bottom w:val="single" w:sz="4" w:space="0" w:color="0055A0"/>
            </w:tcBorders>
            <w:noWrap/>
          </w:tcPr>
          <w:p w14:paraId="7A676F96" w14:textId="77777777" w:rsidR="004D45F1" w:rsidRDefault="004D45F1">
            <w:pPr>
              <w:jc w:val="right"/>
              <w:rPr>
                <w:rFonts w:cstheme="minorHAnsi"/>
                <w:b/>
                <w:bCs/>
                <w:noProof/>
                <w:color w:val="000000"/>
                <w:sz w:val="16"/>
                <w:szCs w:val="16"/>
              </w:rPr>
            </w:pPr>
          </w:p>
        </w:tc>
        <w:tc>
          <w:tcPr>
            <w:tcW w:w="382" w:type="pct"/>
            <w:tcBorders>
              <w:top w:val="nil"/>
              <w:bottom w:val="single" w:sz="4" w:space="0" w:color="0055A0"/>
            </w:tcBorders>
            <w:noWrap/>
          </w:tcPr>
          <w:p w14:paraId="6D30D2DD" w14:textId="77777777" w:rsidR="004D45F1" w:rsidRDefault="004D45F1">
            <w:pPr>
              <w:jc w:val="right"/>
              <w:rPr>
                <w:rFonts w:cstheme="minorHAnsi"/>
                <w:b/>
                <w:bCs/>
                <w:noProof/>
                <w:color w:val="000000"/>
                <w:sz w:val="16"/>
                <w:szCs w:val="16"/>
              </w:rPr>
            </w:pPr>
          </w:p>
        </w:tc>
        <w:tc>
          <w:tcPr>
            <w:tcW w:w="723" w:type="pct"/>
            <w:tcBorders>
              <w:top w:val="nil"/>
              <w:bottom w:val="single" w:sz="4" w:space="0" w:color="0055A0"/>
            </w:tcBorders>
            <w:noWrap/>
            <w:hideMark/>
          </w:tcPr>
          <w:p w14:paraId="05164E6B" w14:textId="77777777" w:rsidR="004D45F1" w:rsidRDefault="004D45F1">
            <w:pPr>
              <w:rPr>
                <w:rFonts w:cstheme="minorHAnsi"/>
                <w:b/>
                <w:bCs/>
                <w:noProof/>
                <w:color w:val="000000"/>
                <w:sz w:val="16"/>
                <w:szCs w:val="16"/>
              </w:rPr>
            </w:pPr>
          </w:p>
        </w:tc>
        <w:tc>
          <w:tcPr>
            <w:tcW w:w="400" w:type="pct"/>
            <w:tcBorders>
              <w:top w:val="nil"/>
              <w:bottom w:val="single" w:sz="4" w:space="0" w:color="0055A0"/>
            </w:tcBorders>
            <w:noWrap/>
            <w:hideMark/>
          </w:tcPr>
          <w:p w14:paraId="43CB022A" w14:textId="77777777" w:rsidR="004D45F1" w:rsidRDefault="004D45F1">
            <w:pPr>
              <w:jc w:val="right"/>
              <w:rPr>
                <w:rFonts w:cstheme="minorHAnsi"/>
                <w:b/>
                <w:bCs/>
                <w:noProof/>
                <w:color w:val="000000"/>
                <w:sz w:val="16"/>
                <w:szCs w:val="16"/>
              </w:rPr>
            </w:pPr>
            <w:r>
              <w:rPr>
                <w:rFonts w:cstheme="minorHAnsi"/>
                <w:b/>
                <w:bCs/>
                <w:noProof/>
                <w:color w:val="000000"/>
                <w:sz w:val="16"/>
                <w:szCs w:val="16"/>
              </w:rPr>
              <w:t>71,100</w:t>
            </w:r>
          </w:p>
        </w:tc>
        <w:tc>
          <w:tcPr>
            <w:tcW w:w="445" w:type="pct"/>
            <w:tcBorders>
              <w:top w:val="nil"/>
              <w:bottom w:val="single" w:sz="4" w:space="0" w:color="0055A0"/>
              <w:right w:val="single" w:sz="4" w:space="0" w:color="0055A0"/>
            </w:tcBorders>
            <w:noWrap/>
            <w:hideMark/>
          </w:tcPr>
          <w:p w14:paraId="5E1ECDF0" w14:textId="77777777" w:rsidR="004D45F1" w:rsidRDefault="004D45F1">
            <w:pPr>
              <w:jc w:val="right"/>
              <w:rPr>
                <w:rFonts w:cstheme="minorHAnsi"/>
                <w:b/>
                <w:bCs/>
                <w:noProof/>
                <w:color w:val="000000"/>
                <w:sz w:val="16"/>
                <w:szCs w:val="16"/>
              </w:rPr>
            </w:pPr>
            <w:r>
              <w:rPr>
                <w:rFonts w:cstheme="minorHAnsi"/>
                <w:b/>
                <w:bCs/>
                <w:noProof/>
                <w:color w:val="000000"/>
                <w:sz w:val="16"/>
                <w:szCs w:val="16"/>
              </w:rPr>
              <w:t>469,500</w:t>
            </w:r>
          </w:p>
        </w:tc>
      </w:tr>
    </w:tbl>
    <w:p w14:paraId="5271738A" w14:textId="77777777" w:rsidR="004D45F1" w:rsidRDefault="004D45F1" w:rsidP="004D45F1">
      <w:pPr>
        <w:spacing w:after="120"/>
        <w:jc w:val="both"/>
        <w:rPr>
          <w:rFonts w:ascii="Arial" w:eastAsia="Calibri" w:hAnsi="Arial" w:cs="Arial"/>
          <w:b/>
          <w:bCs/>
          <w:noProof/>
          <w:sz w:val="20"/>
          <w:lang w:eastAsia="en-GB"/>
        </w:rPr>
      </w:pPr>
    </w:p>
    <w:p w14:paraId="656A60A7" w14:textId="77777777" w:rsidR="004D45F1" w:rsidRDefault="004D45F1" w:rsidP="004D45F1">
      <w:pPr>
        <w:jc w:val="both"/>
        <w:rPr>
          <w:rFonts w:ascii="Times New Roman" w:eastAsia="Calibri" w:hAnsi="Times New Roman" w:cs="Times New Roman"/>
          <w:noProof/>
          <w:sz w:val="24"/>
          <w:szCs w:val="24"/>
        </w:rPr>
      </w:pPr>
      <w:bookmarkStart w:id="403" w:name="_Ref71272054"/>
      <w:r>
        <w:rPr>
          <w:rFonts w:ascii="Times New Roman" w:eastAsia="Calibri" w:hAnsi="Times New Roman" w:cs="Times New Roman"/>
          <w:noProof/>
          <w:sz w:val="24"/>
          <w:szCs w:val="24"/>
        </w:rPr>
        <w:t xml:space="preserve">Table A6.3 shows a comparison of abatement costs for metal-faced panels, built-up systems and cavity structures, and compares with the estimates made with the abatement costs in SKM (2012). SKM (2012) presented these costs only for GHG equivalent, and therefore this comparison is not made for tODP. Based on evidence from the stakeholder consultation, for those countries with an available waste stream, technical progress achieved over the last decade resulted in a significant likely decrease in recovery costs compared to the lower cost limit presented in SKM (2012). Note that this is known to be applicable in the Netherlands, Belgium, Austria and Germany, where the plants from the case studies source their material. Note that for metal-faced panels, it is assumed in this study that there exists a business case for the recovery of the metal, and therefore the calculated abatement cost is only for the additional cost to separate and recover the foam. </w:t>
      </w:r>
    </w:p>
    <w:p w14:paraId="3D0AD99C" w14:textId="77777777" w:rsidR="004D45F1" w:rsidRDefault="004D45F1" w:rsidP="004D45F1">
      <w:pPr>
        <w:keepNext/>
        <w:spacing w:after="120" w:line="240" w:lineRule="auto"/>
        <w:jc w:val="both"/>
        <w:rPr>
          <w:rFonts w:eastAsia="Calibri" w:cstheme="minorHAnsi"/>
          <w:iCs/>
          <w:noProof/>
          <w:color w:val="006BB7"/>
          <w:sz w:val="20"/>
          <w:szCs w:val="18"/>
        </w:rPr>
      </w:pPr>
      <w:r>
        <w:rPr>
          <w:rFonts w:eastAsia="Calibri" w:cstheme="minorHAnsi"/>
          <w:iCs/>
          <w:noProof/>
          <w:color w:val="006BB7"/>
          <w:sz w:val="20"/>
          <w:szCs w:val="18"/>
        </w:rPr>
        <w:t xml:space="preserve">Table </w:t>
      </w:r>
      <w:bookmarkEnd w:id="403"/>
      <w:r>
        <w:rPr>
          <w:rFonts w:eastAsia="Calibri" w:cstheme="minorHAnsi"/>
          <w:iCs/>
          <w:noProof/>
          <w:color w:val="006BB7"/>
          <w:sz w:val="20"/>
          <w:szCs w:val="18"/>
        </w:rPr>
        <w:t>A6.3 Blowing agent recovery cost assumptions (EUR / kt CO2e)</w:t>
      </w:r>
    </w:p>
    <w:tbl>
      <w:tblPr>
        <w:tblW w:w="3300" w:type="pct"/>
        <w:tblLook w:val="04A0" w:firstRow="1" w:lastRow="0" w:firstColumn="1" w:lastColumn="0" w:noHBand="0" w:noVBand="1"/>
      </w:tblPr>
      <w:tblGrid>
        <w:gridCol w:w="1906"/>
        <w:gridCol w:w="995"/>
        <w:gridCol w:w="1717"/>
        <w:gridCol w:w="1717"/>
        <w:gridCol w:w="60"/>
        <w:gridCol w:w="879"/>
        <w:gridCol w:w="683"/>
        <w:gridCol w:w="683"/>
      </w:tblGrid>
      <w:tr w:rsidR="004D45F1" w14:paraId="09FAFFB1" w14:textId="77777777" w:rsidTr="004D45F1">
        <w:trPr>
          <w:trHeight w:val="276"/>
        </w:trPr>
        <w:tc>
          <w:tcPr>
            <w:tcW w:w="708" w:type="pct"/>
            <w:noWrap/>
            <w:vAlign w:val="bottom"/>
            <w:hideMark/>
          </w:tcPr>
          <w:p w14:paraId="644B0193" w14:textId="77777777" w:rsidR="004D45F1" w:rsidRDefault="004D45F1">
            <w:pPr>
              <w:rPr>
                <w:rFonts w:eastAsia="Calibri" w:cstheme="minorHAnsi"/>
                <w:iCs/>
                <w:noProof/>
                <w:color w:val="006BB7"/>
                <w:sz w:val="20"/>
                <w:szCs w:val="18"/>
              </w:rPr>
            </w:pPr>
          </w:p>
        </w:tc>
        <w:tc>
          <w:tcPr>
            <w:tcW w:w="707" w:type="pct"/>
            <w:noWrap/>
            <w:vAlign w:val="bottom"/>
            <w:hideMark/>
          </w:tcPr>
          <w:p w14:paraId="2C883E51" w14:textId="77777777" w:rsidR="004D45F1" w:rsidRDefault="004D45F1">
            <w:pPr>
              <w:rPr>
                <w:noProof/>
                <w:sz w:val="20"/>
                <w:szCs w:val="20"/>
                <w:lang w:eastAsia="en-GB"/>
              </w:rPr>
            </w:pPr>
          </w:p>
        </w:tc>
        <w:tc>
          <w:tcPr>
            <w:tcW w:w="1258" w:type="pct"/>
            <w:tcBorders>
              <w:top w:val="single" w:sz="8" w:space="0" w:color="002060"/>
              <w:left w:val="single" w:sz="8" w:space="0" w:color="002060"/>
              <w:bottom w:val="nil"/>
              <w:right w:val="single" w:sz="8" w:space="0" w:color="002060"/>
            </w:tcBorders>
            <w:shd w:val="clear" w:color="auto" w:fill="006BB7"/>
            <w:noWrap/>
            <w:vAlign w:val="center"/>
            <w:hideMark/>
          </w:tcPr>
          <w:p w14:paraId="01CB8212"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Ricardo 2021</w:t>
            </w:r>
          </w:p>
        </w:tc>
        <w:tc>
          <w:tcPr>
            <w:tcW w:w="1180" w:type="pct"/>
            <w:gridSpan w:val="3"/>
            <w:tcBorders>
              <w:top w:val="single" w:sz="8" w:space="0" w:color="002060"/>
              <w:left w:val="nil"/>
              <w:bottom w:val="nil"/>
              <w:right w:val="single" w:sz="8" w:space="0" w:color="002060"/>
            </w:tcBorders>
            <w:shd w:val="clear" w:color="auto" w:fill="006BB7"/>
            <w:noWrap/>
            <w:vAlign w:val="center"/>
            <w:hideMark/>
          </w:tcPr>
          <w:p w14:paraId="77499B71"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SKM 2012</w:t>
            </w:r>
          </w:p>
        </w:tc>
        <w:tc>
          <w:tcPr>
            <w:tcW w:w="1147" w:type="pct"/>
            <w:gridSpan w:val="2"/>
            <w:tcBorders>
              <w:top w:val="single" w:sz="8" w:space="0" w:color="002060"/>
              <w:left w:val="nil"/>
              <w:bottom w:val="nil"/>
              <w:right w:val="single" w:sz="8" w:space="0" w:color="002060"/>
            </w:tcBorders>
            <w:shd w:val="clear" w:color="auto" w:fill="006BB7"/>
            <w:noWrap/>
            <w:vAlign w:val="center"/>
            <w:hideMark/>
          </w:tcPr>
          <w:p w14:paraId="5DDD3304"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Change (%)</w:t>
            </w:r>
          </w:p>
        </w:tc>
      </w:tr>
      <w:tr w:rsidR="004D45F1" w14:paraId="33AB5A05" w14:textId="77777777" w:rsidTr="004D45F1">
        <w:trPr>
          <w:trHeight w:val="286"/>
        </w:trPr>
        <w:tc>
          <w:tcPr>
            <w:tcW w:w="708" w:type="pct"/>
            <w:noWrap/>
            <w:vAlign w:val="bottom"/>
            <w:hideMark/>
          </w:tcPr>
          <w:p w14:paraId="7D2FD79A" w14:textId="77777777" w:rsidR="004D45F1" w:rsidRDefault="004D45F1">
            <w:pPr>
              <w:rPr>
                <w:rFonts w:ascii="Arial" w:eastAsia="Times New Roman" w:hAnsi="Arial" w:cs="Arial"/>
                <w:noProof/>
                <w:color w:val="FFFFFF"/>
                <w:sz w:val="20"/>
                <w:szCs w:val="20"/>
                <w:lang w:eastAsia="en-GB"/>
              </w:rPr>
            </w:pPr>
          </w:p>
        </w:tc>
        <w:tc>
          <w:tcPr>
            <w:tcW w:w="707" w:type="pct"/>
            <w:noWrap/>
            <w:vAlign w:val="bottom"/>
            <w:hideMark/>
          </w:tcPr>
          <w:p w14:paraId="2F6F38E4" w14:textId="77777777" w:rsidR="004D45F1" w:rsidRDefault="004D45F1">
            <w:pPr>
              <w:spacing w:after="0"/>
              <w:rPr>
                <w:noProof/>
                <w:sz w:val="20"/>
                <w:szCs w:val="20"/>
                <w:lang w:eastAsia="en-GB"/>
              </w:rPr>
            </w:pPr>
          </w:p>
        </w:tc>
        <w:tc>
          <w:tcPr>
            <w:tcW w:w="1258" w:type="pct"/>
            <w:tcBorders>
              <w:top w:val="nil"/>
              <w:left w:val="single" w:sz="8" w:space="0" w:color="002060"/>
              <w:bottom w:val="nil"/>
              <w:right w:val="single" w:sz="8" w:space="0" w:color="002060"/>
            </w:tcBorders>
            <w:shd w:val="clear" w:color="auto" w:fill="006BB7"/>
            <w:noWrap/>
            <w:vAlign w:val="center"/>
            <w:hideMark/>
          </w:tcPr>
          <w:p w14:paraId="58E645BD" w14:textId="77777777" w:rsidR="004D45F1" w:rsidRDefault="004D45F1">
            <w:pPr>
              <w:spacing w:after="0"/>
              <w:rPr>
                <w:noProof/>
                <w:sz w:val="20"/>
                <w:szCs w:val="20"/>
                <w:lang w:eastAsia="en-GB"/>
              </w:rPr>
            </w:pPr>
          </w:p>
        </w:tc>
        <w:tc>
          <w:tcPr>
            <w:tcW w:w="550" w:type="pct"/>
            <w:shd w:val="clear" w:color="auto" w:fill="006BB7"/>
            <w:noWrap/>
            <w:vAlign w:val="center"/>
            <w:hideMark/>
          </w:tcPr>
          <w:p w14:paraId="150E455F"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Low</w:t>
            </w:r>
          </w:p>
        </w:tc>
        <w:tc>
          <w:tcPr>
            <w:tcW w:w="630" w:type="pct"/>
            <w:gridSpan w:val="2"/>
            <w:tcBorders>
              <w:top w:val="nil"/>
              <w:left w:val="nil"/>
              <w:bottom w:val="nil"/>
              <w:right w:val="single" w:sz="8" w:space="0" w:color="002060"/>
            </w:tcBorders>
            <w:shd w:val="clear" w:color="auto" w:fill="006BB7"/>
            <w:noWrap/>
            <w:vAlign w:val="center"/>
            <w:hideMark/>
          </w:tcPr>
          <w:p w14:paraId="5F87FB97"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High</w:t>
            </w:r>
          </w:p>
        </w:tc>
        <w:tc>
          <w:tcPr>
            <w:tcW w:w="550" w:type="pct"/>
            <w:shd w:val="clear" w:color="auto" w:fill="006BB7"/>
            <w:noWrap/>
            <w:vAlign w:val="center"/>
            <w:hideMark/>
          </w:tcPr>
          <w:p w14:paraId="7ECBC4E4"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Low</w:t>
            </w:r>
          </w:p>
        </w:tc>
        <w:tc>
          <w:tcPr>
            <w:tcW w:w="597" w:type="pct"/>
            <w:tcBorders>
              <w:top w:val="nil"/>
              <w:left w:val="nil"/>
              <w:bottom w:val="nil"/>
              <w:right w:val="single" w:sz="8" w:space="0" w:color="002060"/>
            </w:tcBorders>
            <w:shd w:val="clear" w:color="auto" w:fill="006BB7"/>
            <w:noWrap/>
            <w:vAlign w:val="center"/>
            <w:hideMark/>
          </w:tcPr>
          <w:p w14:paraId="6A4D5463" w14:textId="77777777" w:rsidR="004D45F1" w:rsidRDefault="004D45F1">
            <w:pPr>
              <w:spacing w:after="0" w:line="240" w:lineRule="auto"/>
              <w:jc w:val="center"/>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High</w:t>
            </w:r>
          </w:p>
        </w:tc>
      </w:tr>
      <w:tr w:rsidR="004D45F1" w14:paraId="71B44AB8" w14:textId="77777777" w:rsidTr="004D45F1">
        <w:trPr>
          <w:trHeight w:val="286"/>
        </w:trPr>
        <w:tc>
          <w:tcPr>
            <w:tcW w:w="708" w:type="pct"/>
            <w:tcBorders>
              <w:top w:val="single" w:sz="8" w:space="0" w:color="002060"/>
              <w:left w:val="single" w:sz="8" w:space="0" w:color="002060"/>
              <w:bottom w:val="single" w:sz="8" w:space="0" w:color="002060"/>
              <w:right w:val="nil"/>
            </w:tcBorders>
            <w:shd w:val="clear" w:color="auto" w:fill="006BB7"/>
            <w:noWrap/>
            <w:vAlign w:val="bottom"/>
            <w:hideMark/>
          </w:tcPr>
          <w:p w14:paraId="4FA9358D" w14:textId="77777777" w:rsidR="004D45F1" w:rsidRDefault="004D45F1">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Metal-faced panels</w:t>
            </w:r>
          </w:p>
        </w:tc>
        <w:tc>
          <w:tcPr>
            <w:tcW w:w="707" w:type="pct"/>
            <w:tcBorders>
              <w:top w:val="single" w:sz="8" w:space="0" w:color="002060"/>
              <w:left w:val="nil"/>
              <w:bottom w:val="single" w:sz="8" w:space="0" w:color="002060"/>
              <w:right w:val="single" w:sz="8" w:space="0" w:color="002060"/>
            </w:tcBorders>
            <w:shd w:val="clear" w:color="auto" w:fill="006BB7"/>
            <w:noWrap/>
            <w:vAlign w:val="bottom"/>
            <w:hideMark/>
          </w:tcPr>
          <w:p w14:paraId="297843DB" w14:textId="77777777" w:rsidR="004D45F1" w:rsidRDefault="004D45F1">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 </w:t>
            </w:r>
          </w:p>
        </w:tc>
        <w:tc>
          <w:tcPr>
            <w:tcW w:w="1258" w:type="pct"/>
            <w:tcBorders>
              <w:top w:val="nil"/>
              <w:left w:val="nil"/>
              <w:bottom w:val="nil"/>
              <w:right w:val="single" w:sz="8" w:space="0" w:color="002060"/>
            </w:tcBorders>
            <w:shd w:val="clear" w:color="auto" w:fill="B0CEFF"/>
            <w:noWrap/>
            <w:vAlign w:val="bottom"/>
            <w:hideMark/>
          </w:tcPr>
          <w:p w14:paraId="05CFF60A"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w:t>
            </w:r>
          </w:p>
          <w:p w14:paraId="161E8A11"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5 </w:t>
            </w:r>
          </w:p>
        </w:tc>
        <w:tc>
          <w:tcPr>
            <w:tcW w:w="550" w:type="pct"/>
            <w:shd w:val="clear" w:color="auto" w:fill="B0CEFF"/>
            <w:noWrap/>
            <w:vAlign w:val="bottom"/>
            <w:hideMark/>
          </w:tcPr>
          <w:p w14:paraId="2CA37D00"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25 </w:t>
            </w:r>
          </w:p>
        </w:tc>
        <w:tc>
          <w:tcPr>
            <w:tcW w:w="630" w:type="pct"/>
            <w:gridSpan w:val="2"/>
            <w:tcBorders>
              <w:top w:val="nil"/>
              <w:left w:val="nil"/>
              <w:bottom w:val="nil"/>
              <w:right w:val="single" w:sz="8" w:space="0" w:color="002060"/>
            </w:tcBorders>
            <w:shd w:val="clear" w:color="auto" w:fill="B0CEFF"/>
            <w:noWrap/>
            <w:vAlign w:val="bottom"/>
            <w:hideMark/>
          </w:tcPr>
          <w:p w14:paraId="16FF4624"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120 </w:t>
            </w:r>
          </w:p>
        </w:tc>
        <w:tc>
          <w:tcPr>
            <w:tcW w:w="550" w:type="pct"/>
            <w:shd w:val="clear" w:color="auto" w:fill="B0CEFF"/>
            <w:noWrap/>
            <w:vAlign w:val="bottom"/>
            <w:hideMark/>
          </w:tcPr>
          <w:p w14:paraId="5A327E16"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-82%</w:t>
            </w:r>
          </w:p>
        </w:tc>
        <w:tc>
          <w:tcPr>
            <w:tcW w:w="597" w:type="pct"/>
            <w:tcBorders>
              <w:top w:val="nil"/>
              <w:left w:val="nil"/>
              <w:bottom w:val="nil"/>
              <w:right w:val="single" w:sz="8" w:space="0" w:color="002060"/>
            </w:tcBorders>
            <w:shd w:val="clear" w:color="auto" w:fill="B0CEFF"/>
            <w:noWrap/>
            <w:vAlign w:val="bottom"/>
            <w:hideMark/>
          </w:tcPr>
          <w:p w14:paraId="5E1BF5DF"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-97%</w:t>
            </w:r>
          </w:p>
        </w:tc>
      </w:tr>
      <w:tr w:rsidR="004D45F1" w14:paraId="105A7806" w14:textId="77777777" w:rsidTr="004D45F1">
        <w:trPr>
          <w:trHeight w:val="496"/>
        </w:trPr>
        <w:tc>
          <w:tcPr>
            <w:tcW w:w="708" w:type="pct"/>
            <w:vMerge w:val="restart"/>
            <w:tcBorders>
              <w:top w:val="nil"/>
              <w:left w:val="single" w:sz="8" w:space="0" w:color="002060"/>
              <w:bottom w:val="single" w:sz="8" w:space="0" w:color="002060"/>
              <w:right w:val="nil"/>
            </w:tcBorders>
            <w:shd w:val="clear" w:color="auto" w:fill="006BB7"/>
            <w:noWrap/>
            <w:vAlign w:val="center"/>
            <w:hideMark/>
          </w:tcPr>
          <w:p w14:paraId="2CA36576" w14:textId="77777777" w:rsidR="004D45F1" w:rsidRDefault="004D45F1">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Laminated boards</w:t>
            </w:r>
          </w:p>
        </w:tc>
        <w:tc>
          <w:tcPr>
            <w:tcW w:w="707" w:type="pct"/>
            <w:tcBorders>
              <w:top w:val="nil"/>
              <w:left w:val="nil"/>
              <w:bottom w:val="nil"/>
              <w:right w:val="single" w:sz="8" w:space="0" w:color="002060"/>
            </w:tcBorders>
            <w:shd w:val="clear" w:color="auto" w:fill="006BB7"/>
            <w:vAlign w:val="bottom"/>
            <w:hideMark/>
          </w:tcPr>
          <w:p w14:paraId="13783A02" w14:textId="77777777" w:rsidR="004D45F1" w:rsidRDefault="004D45F1">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Built-up systems</w:t>
            </w:r>
          </w:p>
        </w:tc>
        <w:tc>
          <w:tcPr>
            <w:tcW w:w="1258" w:type="pct"/>
            <w:tcBorders>
              <w:top w:val="nil"/>
              <w:left w:val="nil"/>
              <w:bottom w:val="nil"/>
              <w:right w:val="single" w:sz="8" w:space="0" w:color="002060"/>
            </w:tcBorders>
            <w:noWrap/>
            <w:vAlign w:val="bottom"/>
            <w:hideMark/>
          </w:tcPr>
          <w:p w14:paraId="065625EA"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w:t>
            </w:r>
          </w:p>
          <w:p w14:paraId="31F9248D"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15</w:t>
            </w:r>
          </w:p>
        </w:tc>
        <w:tc>
          <w:tcPr>
            <w:tcW w:w="590" w:type="pct"/>
            <w:gridSpan w:val="2"/>
            <w:tcBorders>
              <w:top w:val="nil"/>
              <w:left w:val="single" w:sz="8" w:space="0" w:color="002060"/>
              <w:bottom w:val="nil"/>
              <w:right w:val="single" w:sz="4" w:space="0" w:color="FFFFFF"/>
            </w:tcBorders>
            <w:noWrap/>
            <w:vAlign w:val="bottom"/>
            <w:hideMark/>
          </w:tcPr>
          <w:p w14:paraId="3DFC04F2"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50 </w:t>
            </w:r>
          </w:p>
        </w:tc>
        <w:tc>
          <w:tcPr>
            <w:tcW w:w="590" w:type="pct"/>
            <w:tcBorders>
              <w:top w:val="nil"/>
              <w:left w:val="single" w:sz="4" w:space="0" w:color="FFFFFF"/>
              <w:bottom w:val="nil"/>
              <w:right w:val="single" w:sz="8" w:space="0" w:color="002060"/>
            </w:tcBorders>
            <w:vAlign w:val="bottom"/>
            <w:hideMark/>
          </w:tcPr>
          <w:p w14:paraId="08569BF2"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150</w:t>
            </w:r>
          </w:p>
        </w:tc>
        <w:tc>
          <w:tcPr>
            <w:tcW w:w="550" w:type="pct"/>
            <w:tcBorders>
              <w:top w:val="nil"/>
              <w:left w:val="single" w:sz="8" w:space="0" w:color="002060"/>
              <w:bottom w:val="nil"/>
              <w:right w:val="nil"/>
            </w:tcBorders>
            <w:noWrap/>
            <w:vAlign w:val="bottom"/>
            <w:hideMark/>
          </w:tcPr>
          <w:p w14:paraId="7DA95932"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-70%</w:t>
            </w:r>
          </w:p>
        </w:tc>
        <w:tc>
          <w:tcPr>
            <w:tcW w:w="597" w:type="pct"/>
            <w:tcBorders>
              <w:top w:val="nil"/>
              <w:left w:val="nil"/>
              <w:bottom w:val="nil"/>
              <w:right w:val="single" w:sz="8" w:space="0" w:color="002060"/>
            </w:tcBorders>
            <w:noWrap/>
            <w:vAlign w:val="bottom"/>
            <w:hideMark/>
          </w:tcPr>
          <w:p w14:paraId="64CFBB8A"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-90%</w:t>
            </w:r>
          </w:p>
        </w:tc>
      </w:tr>
      <w:tr w:rsidR="004D45F1" w14:paraId="1DC78346" w14:textId="77777777" w:rsidTr="004D45F1">
        <w:trPr>
          <w:trHeight w:val="505"/>
        </w:trPr>
        <w:tc>
          <w:tcPr>
            <w:tcW w:w="0" w:type="auto"/>
            <w:vMerge/>
            <w:tcBorders>
              <w:top w:val="nil"/>
              <w:left w:val="single" w:sz="8" w:space="0" w:color="002060"/>
              <w:bottom w:val="single" w:sz="8" w:space="0" w:color="002060"/>
              <w:right w:val="nil"/>
            </w:tcBorders>
            <w:vAlign w:val="center"/>
            <w:hideMark/>
          </w:tcPr>
          <w:p w14:paraId="79BB3E51" w14:textId="77777777" w:rsidR="004D45F1" w:rsidRDefault="004D45F1">
            <w:pPr>
              <w:spacing w:after="0"/>
              <w:rPr>
                <w:rFonts w:ascii="Arial" w:eastAsia="Times New Roman" w:hAnsi="Arial" w:cs="Arial"/>
                <w:noProof/>
                <w:color w:val="FFFFFF"/>
                <w:sz w:val="20"/>
                <w:szCs w:val="20"/>
                <w:lang w:eastAsia="en-GB"/>
              </w:rPr>
            </w:pPr>
          </w:p>
        </w:tc>
        <w:tc>
          <w:tcPr>
            <w:tcW w:w="707" w:type="pct"/>
            <w:tcBorders>
              <w:top w:val="nil"/>
              <w:left w:val="nil"/>
              <w:bottom w:val="single" w:sz="8" w:space="0" w:color="002060"/>
              <w:right w:val="single" w:sz="8" w:space="0" w:color="002060"/>
            </w:tcBorders>
            <w:shd w:val="clear" w:color="auto" w:fill="006BB7"/>
            <w:vAlign w:val="bottom"/>
            <w:hideMark/>
          </w:tcPr>
          <w:p w14:paraId="1F5295D9" w14:textId="77777777" w:rsidR="004D45F1" w:rsidRDefault="004D45F1">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Cavity structure</w:t>
            </w:r>
          </w:p>
        </w:tc>
        <w:tc>
          <w:tcPr>
            <w:tcW w:w="1258" w:type="pct"/>
            <w:tcBorders>
              <w:top w:val="nil"/>
              <w:left w:val="nil"/>
              <w:bottom w:val="single" w:sz="8" w:space="0" w:color="002060"/>
              <w:right w:val="single" w:sz="8" w:space="0" w:color="002060"/>
            </w:tcBorders>
            <w:noWrap/>
            <w:vAlign w:val="bottom"/>
            <w:hideMark/>
          </w:tcPr>
          <w:p w14:paraId="3E4B7961"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w:t>
            </w:r>
          </w:p>
          <w:p w14:paraId="707C4604"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                       18 </w:t>
            </w:r>
          </w:p>
        </w:tc>
        <w:tc>
          <w:tcPr>
            <w:tcW w:w="590" w:type="pct"/>
            <w:gridSpan w:val="2"/>
            <w:tcBorders>
              <w:top w:val="nil"/>
              <w:left w:val="single" w:sz="8" w:space="0" w:color="002060"/>
              <w:bottom w:val="single" w:sz="8" w:space="0" w:color="002060"/>
              <w:right w:val="single" w:sz="4" w:space="0" w:color="FFFFFF"/>
            </w:tcBorders>
            <w:vAlign w:val="bottom"/>
            <w:hideMark/>
          </w:tcPr>
          <w:p w14:paraId="6A97081A"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50</w:t>
            </w:r>
          </w:p>
        </w:tc>
        <w:tc>
          <w:tcPr>
            <w:tcW w:w="590" w:type="pct"/>
            <w:tcBorders>
              <w:top w:val="nil"/>
              <w:left w:val="single" w:sz="4" w:space="0" w:color="FFFFFF"/>
              <w:bottom w:val="single" w:sz="8" w:space="0" w:color="002060"/>
              <w:right w:val="single" w:sz="8" w:space="0" w:color="002060"/>
            </w:tcBorders>
            <w:vAlign w:val="bottom"/>
            <w:hideMark/>
          </w:tcPr>
          <w:p w14:paraId="3F1EC901"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150</w:t>
            </w:r>
          </w:p>
        </w:tc>
        <w:tc>
          <w:tcPr>
            <w:tcW w:w="550" w:type="pct"/>
            <w:tcBorders>
              <w:top w:val="nil"/>
              <w:left w:val="single" w:sz="8" w:space="0" w:color="002060"/>
              <w:bottom w:val="single" w:sz="8" w:space="0" w:color="002060"/>
              <w:right w:val="nil"/>
            </w:tcBorders>
            <w:noWrap/>
            <w:vAlign w:val="bottom"/>
            <w:hideMark/>
          </w:tcPr>
          <w:p w14:paraId="1B11F2FF"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-65%</w:t>
            </w:r>
          </w:p>
        </w:tc>
        <w:tc>
          <w:tcPr>
            <w:tcW w:w="597" w:type="pct"/>
            <w:tcBorders>
              <w:top w:val="nil"/>
              <w:left w:val="nil"/>
              <w:bottom w:val="single" w:sz="8" w:space="0" w:color="002060"/>
              <w:right w:val="single" w:sz="8" w:space="0" w:color="002060"/>
            </w:tcBorders>
            <w:noWrap/>
            <w:vAlign w:val="bottom"/>
            <w:hideMark/>
          </w:tcPr>
          <w:p w14:paraId="1AA3ECFE" w14:textId="77777777" w:rsidR="004D45F1" w:rsidRDefault="004D45F1">
            <w:pPr>
              <w:spacing w:after="0" w:line="240" w:lineRule="auto"/>
              <w:jc w:val="right"/>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-88%</w:t>
            </w:r>
          </w:p>
        </w:tc>
      </w:tr>
    </w:tbl>
    <w:p w14:paraId="0A03D459" w14:textId="77777777" w:rsidR="004D45F1" w:rsidRDefault="004D45F1" w:rsidP="004D45F1">
      <w:pPr>
        <w:spacing w:after="120"/>
        <w:jc w:val="both"/>
        <w:rPr>
          <w:rFonts w:ascii="Times New Roman" w:eastAsia="Calibri" w:hAnsi="Times New Roman" w:cs="Times New Roman"/>
          <w:i/>
          <w:noProof/>
          <w:sz w:val="24"/>
          <w:szCs w:val="24"/>
          <w:highlight w:val="yellow"/>
          <w:lang w:eastAsia="en-GB"/>
        </w:rPr>
      </w:pPr>
    </w:p>
    <w:p w14:paraId="4FF60B7C"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To compensate for a lack of observed quantitative data on the costs across all Member States, the costs for the practice of asbestos panel recovery was examined as a proxy. Compared to the foam category of metal-faced panels, asbestos panels are somewhat similar in that they are still in use as covering in old buildings, and need specific recovery actions to protect the environment and human health as buildings are decommissioned. Further, asbestos panels cannot be shredded on site to save space in transport, similarly to what would be required of ODS-containing insulation panels. Asbestos recovery, because of its requirements for personal protective equipment, is of course expected to be significantly more expensive at the demolition stage than even the costliest example of foam panel recovery. Asbestos recovery cost should therefore represent a useful worst case upper limit of the segregation and transport costs panels with hazardous materials in different Member States. </w:t>
      </w:r>
    </w:p>
    <w:p w14:paraId="2D2373E2"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asbestos panels can be given a ”shadow carbon price” by calculating what the carbon price of recovery would be, if the asbestos panels contained an amount of ODS similar to ODS-containing metal-faced panels (which is about 200 – 220 gram per m</w:t>
      </w:r>
      <w:r>
        <w:rPr>
          <w:rFonts w:ascii="Times New Roman" w:eastAsia="Calibri" w:hAnsi="Times New Roman" w:cs="Times New Roman"/>
          <w:noProof/>
          <w:sz w:val="24"/>
          <w:szCs w:val="24"/>
          <w:vertAlign w:val="superscript"/>
        </w:rPr>
        <w:t>2</w:t>
      </w:r>
      <w:r>
        <w:rPr>
          <w:rFonts w:ascii="Times New Roman" w:eastAsia="Calibri" w:hAnsi="Times New Roman" w:cs="Times New Roman"/>
          <w:noProof/>
          <w:sz w:val="24"/>
          <w:szCs w:val="24"/>
          <w:vertAlign w:val="subscript"/>
        </w:rPr>
        <w:t xml:space="preserve"> </w:t>
      </w:r>
      <w:r>
        <w:rPr>
          <w:rFonts w:ascii="Times New Roman" w:eastAsia="Calibri" w:hAnsi="Times New Roman" w:cs="Times New Roman"/>
          <w:noProof/>
          <w:sz w:val="24"/>
          <w:szCs w:val="24"/>
        </w:rPr>
        <w:t>panel</w:t>
      </w:r>
      <w:r>
        <w:rPr>
          <w:rFonts w:ascii="Times New Roman" w:eastAsia="Calibri" w:hAnsi="Times New Roman" w:cs="Times New Roman"/>
          <w:noProof/>
          <w:sz w:val="24"/>
          <w:szCs w:val="24"/>
          <w:vertAlign w:val="superscript"/>
        </w:rPr>
        <w:footnoteReference w:id="127"/>
      </w:r>
      <w:r>
        <w:rPr>
          <w:rFonts w:ascii="Times New Roman" w:eastAsia="Calibri" w:hAnsi="Times New Roman" w:cs="Times New Roman"/>
          <w:noProof/>
          <w:sz w:val="24"/>
          <w:szCs w:val="24"/>
        </w:rPr>
        <w:t>,</w:t>
      </w:r>
      <w:r>
        <w:rPr>
          <w:rFonts w:ascii="Times New Roman" w:eastAsia="Calibri" w:hAnsi="Times New Roman" w:cs="Times New Roman"/>
          <w:noProof/>
          <w:sz w:val="24"/>
          <w:szCs w:val="24"/>
          <w:vertAlign w:val="subscript"/>
        </w:rPr>
        <w:t xml:space="preserve"> </w:t>
      </w:r>
      <w:r>
        <w:rPr>
          <w:rFonts w:ascii="Times New Roman" w:eastAsia="Calibri" w:hAnsi="Times New Roman" w:cs="Times New Roman"/>
          <w:noProof/>
          <w:sz w:val="24"/>
          <w:szCs w:val="24"/>
        </w:rPr>
        <w:t>equalling about ~ 1 ton of CO</w:t>
      </w:r>
      <w:r>
        <w:rPr>
          <w:rFonts w:ascii="Times New Roman" w:eastAsia="Calibri" w:hAnsi="Times New Roman" w:cs="Times New Roman"/>
          <w:noProof/>
          <w:sz w:val="24"/>
          <w:szCs w:val="24"/>
          <w:vertAlign w:val="subscript"/>
        </w:rPr>
        <w:t>2</w:t>
      </w:r>
      <w:r>
        <w:rPr>
          <w:rFonts w:ascii="Times New Roman" w:eastAsia="Calibri" w:hAnsi="Times New Roman" w:cs="Times New Roman"/>
          <w:noProof/>
          <w:sz w:val="24"/>
          <w:szCs w:val="24"/>
        </w:rPr>
        <w:t>e per m</w:t>
      </w:r>
      <w:r>
        <w:rPr>
          <w:rFonts w:ascii="Times New Roman" w:eastAsia="Calibri" w:hAnsi="Times New Roman" w:cs="Times New Roman"/>
          <w:noProof/>
          <w:sz w:val="24"/>
          <w:szCs w:val="24"/>
          <w:vertAlign w:val="superscript"/>
        </w:rPr>
        <w:t>2</w:t>
      </w:r>
      <w:r>
        <w:rPr>
          <w:rFonts w:ascii="Times New Roman" w:eastAsia="Calibri" w:hAnsi="Times New Roman" w:cs="Times New Roman"/>
          <w:noProof/>
          <w:sz w:val="24"/>
          <w:szCs w:val="24"/>
        </w:rPr>
        <w:t>, assuming a CFC-11/12 blown foam). The price data per m</w:t>
      </w:r>
      <w:r>
        <w:rPr>
          <w:rFonts w:ascii="Times New Roman" w:eastAsia="Calibri" w:hAnsi="Times New Roman" w:cs="Times New Roman"/>
          <w:noProof/>
          <w:sz w:val="24"/>
          <w:szCs w:val="24"/>
          <w:vertAlign w:val="superscript"/>
        </w:rPr>
        <w:t>2</w:t>
      </w:r>
      <w:r>
        <w:rPr>
          <w:rFonts w:ascii="Times New Roman" w:eastAsia="Calibri" w:hAnsi="Times New Roman" w:cs="Times New Roman"/>
          <w:noProof/>
          <w:sz w:val="24"/>
          <w:szCs w:val="24"/>
        </w:rPr>
        <w:t xml:space="preserve"> panel is available for different Member States. While price ranges can vary by up to one magnitude within a country, they are rather similar across the different countries.</w:t>
      </w:r>
    </w:p>
    <w:p w14:paraId="442164CA" w14:textId="77777777" w:rsidR="004D45F1" w:rsidRDefault="004D45F1" w:rsidP="004D45F1">
      <w:pPr>
        <w:spacing w:after="0" w:line="254" w:lineRule="auto"/>
        <w:rPr>
          <w:rFonts w:ascii="Times New Roman" w:eastAsia="Calibri" w:hAnsi="Times New Roman" w:cs="Times New Roman"/>
          <w:noProof/>
          <w:sz w:val="24"/>
          <w:szCs w:val="24"/>
        </w:rPr>
      </w:pPr>
    </w:p>
    <w:p w14:paraId="5024825B" w14:textId="77777777" w:rsidR="00AD73CF" w:rsidRDefault="00AD73CF" w:rsidP="00AD73CF">
      <w:pPr>
        <w:keepNext/>
        <w:spacing w:after="120" w:line="240" w:lineRule="auto"/>
        <w:rPr>
          <w:rFonts w:eastAsia="Calibri" w:cs="Arial"/>
          <w:iCs/>
          <w:noProof/>
          <w:color w:val="006BB7"/>
          <w:sz w:val="20"/>
          <w:szCs w:val="18"/>
        </w:rPr>
      </w:pPr>
      <w:bookmarkStart w:id="404" w:name="_Ref83826017"/>
      <w:r>
        <w:rPr>
          <w:rFonts w:eastAsia="Calibri" w:cs="Arial"/>
          <w:iCs/>
          <w:noProof/>
          <w:color w:val="006BB7"/>
          <w:sz w:val="20"/>
          <w:szCs w:val="18"/>
        </w:rPr>
        <w:t>Table A6.4 Example of asbestos removal costs (full process costs per m</w:t>
      </w:r>
      <w:r>
        <w:rPr>
          <w:rFonts w:eastAsia="Calibri" w:cs="Arial"/>
          <w:iCs/>
          <w:noProof/>
          <w:color w:val="006BB7"/>
          <w:sz w:val="20"/>
          <w:szCs w:val="18"/>
        </w:rPr>
        <w:softHyphen/>
      </w:r>
      <w:r>
        <w:rPr>
          <w:rFonts w:eastAsia="Calibri" w:cs="Arial"/>
          <w:iCs/>
          <w:noProof/>
          <w:color w:val="006BB7"/>
          <w:sz w:val="20"/>
          <w:szCs w:val="18"/>
        </w:rPr>
        <w:softHyphen/>
      </w:r>
      <w:r>
        <w:rPr>
          <w:rFonts w:eastAsia="Calibri" w:cs="Arial"/>
          <w:iCs/>
          <w:noProof/>
          <w:color w:val="006BB7"/>
          <w:sz w:val="20"/>
          <w:szCs w:val="18"/>
          <w:vertAlign w:val="superscript"/>
        </w:rPr>
        <w:t>2</w:t>
      </w:r>
      <w:r>
        <w:rPr>
          <w:rFonts w:eastAsia="Calibri" w:cs="Arial"/>
          <w:iCs/>
          <w:noProof/>
          <w:color w:val="006BB7"/>
          <w:sz w:val="20"/>
          <w:szCs w:val="18"/>
        </w:rPr>
        <w:t xml:space="preserve"> panel) in different Member States.</w:t>
      </w:r>
      <w:bookmarkEnd w:id="404"/>
    </w:p>
    <w:tbl>
      <w:tblPr>
        <w:tblStyle w:val="TableGrid1215"/>
        <w:tblW w:w="3918" w:type="pct"/>
        <w:tblInd w:w="0" w:type="dxa"/>
        <w:tblLook w:val="04A0" w:firstRow="1" w:lastRow="0" w:firstColumn="1" w:lastColumn="0" w:noHBand="0" w:noVBand="1"/>
      </w:tblPr>
      <w:tblGrid>
        <w:gridCol w:w="1354"/>
        <w:gridCol w:w="2710"/>
        <w:gridCol w:w="3178"/>
      </w:tblGrid>
      <w:tr w:rsidR="00AD73CF" w14:paraId="4EFC3FC5" w14:textId="77777777" w:rsidTr="00DB7010">
        <w:trPr>
          <w:cnfStyle w:val="100000000000" w:firstRow="1" w:lastRow="0" w:firstColumn="0" w:lastColumn="0" w:oddVBand="0" w:evenVBand="0" w:oddHBand="0" w:evenHBand="0" w:firstRowFirstColumn="0" w:firstRowLastColumn="0" w:lastRowFirstColumn="0" w:lastRowLastColumn="0"/>
        </w:trPr>
        <w:tc>
          <w:tcPr>
            <w:tcW w:w="935" w:type="pct"/>
            <w:hideMark/>
          </w:tcPr>
          <w:p w14:paraId="23A9C942" w14:textId="77777777" w:rsidR="00AD73CF" w:rsidRDefault="00AD73CF" w:rsidP="00DB7010">
            <w:pPr>
              <w:spacing w:after="120"/>
              <w:rPr>
                <w:rFonts w:eastAsia="Calibri" w:cs="Arial"/>
                <w:noProof/>
                <w:lang w:val="en-GB" w:eastAsia="en-GB"/>
              </w:rPr>
            </w:pPr>
            <w:r>
              <w:rPr>
                <w:rFonts w:eastAsia="Calibri" w:cs="Arial"/>
                <w:noProof/>
                <w:lang w:val="en-GB" w:eastAsia="en-GB"/>
              </w:rPr>
              <w:t>Member State</w:t>
            </w:r>
          </w:p>
        </w:tc>
        <w:tc>
          <w:tcPr>
            <w:tcW w:w="1871" w:type="pct"/>
            <w:hideMark/>
          </w:tcPr>
          <w:p w14:paraId="439AA78B" w14:textId="77777777" w:rsidR="00AD73CF" w:rsidRDefault="00AD73CF" w:rsidP="00DB7010">
            <w:pPr>
              <w:spacing w:after="120"/>
              <w:rPr>
                <w:rFonts w:eastAsia="Calibri" w:cs="Arial"/>
                <w:noProof/>
                <w:lang w:val="en-GB" w:eastAsia="en-GB"/>
              </w:rPr>
            </w:pPr>
            <w:r>
              <w:rPr>
                <w:rFonts w:eastAsia="Calibri" w:cs="Arial"/>
                <w:noProof/>
                <w:lang w:val="en-GB" w:eastAsia="en-GB"/>
              </w:rPr>
              <w:t>Asbestos – proxy recovery costs (with landfill disposal destination)</w:t>
            </w:r>
          </w:p>
        </w:tc>
        <w:tc>
          <w:tcPr>
            <w:tcW w:w="2194" w:type="pct"/>
            <w:hideMark/>
          </w:tcPr>
          <w:p w14:paraId="1F1A4CAD" w14:textId="77777777" w:rsidR="00AD73CF" w:rsidRDefault="00AD73CF" w:rsidP="00DB7010">
            <w:pPr>
              <w:spacing w:after="120"/>
              <w:rPr>
                <w:rFonts w:eastAsia="Calibri" w:cs="Arial"/>
                <w:noProof/>
                <w:lang w:val="en-GB" w:eastAsia="en-GB"/>
              </w:rPr>
            </w:pPr>
            <w:r>
              <w:rPr>
                <w:rFonts w:eastAsia="Calibri" w:cs="Arial"/>
                <w:noProof/>
                <w:lang w:val="en-GB" w:eastAsia="en-GB"/>
              </w:rPr>
              <w:t>Shadow carbon price of asbestos panel recovery, if the panels contained 220 grams of CFC-11 (GWP 4660), similar to metal-faced panels</w:t>
            </w:r>
          </w:p>
        </w:tc>
      </w:tr>
      <w:tr w:rsidR="00AD73CF" w14:paraId="454DA66F" w14:textId="77777777" w:rsidTr="00DB7010">
        <w:trPr>
          <w:cnfStyle w:val="000000100000" w:firstRow="0" w:lastRow="0" w:firstColumn="0" w:lastColumn="0" w:oddVBand="0" w:evenVBand="0" w:oddHBand="1" w:evenHBand="0" w:firstRowFirstColumn="0" w:firstRowLastColumn="0" w:lastRowFirstColumn="0" w:lastRowLastColumn="0"/>
        </w:trPr>
        <w:tc>
          <w:tcPr>
            <w:tcW w:w="935" w:type="pct"/>
            <w:tcBorders>
              <w:top w:val="nil"/>
              <w:left w:val="single" w:sz="4" w:space="0" w:color="0055A0"/>
              <w:bottom w:val="nil"/>
              <w:right w:val="single" w:sz="4" w:space="0" w:color="0055A0"/>
            </w:tcBorders>
            <w:shd w:val="clear" w:color="auto" w:fill="FFFFFF"/>
            <w:hideMark/>
          </w:tcPr>
          <w:p w14:paraId="3E2747E0" w14:textId="77777777" w:rsidR="00AD73CF" w:rsidRDefault="00AD73CF" w:rsidP="00DB7010">
            <w:pPr>
              <w:spacing w:after="120"/>
              <w:rPr>
                <w:rFonts w:eastAsia="Calibri" w:cs="Arial"/>
                <w:noProof/>
                <w:sz w:val="18"/>
                <w:szCs w:val="18"/>
                <w:lang w:val="en-GB" w:eastAsia="en-GB"/>
              </w:rPr>
            </w:pPr>
            <w:r>
              <w:rPr>
                <w:rFonts w:eastAsia="Calibri" w:cs="Arial"/>
                <w:noProof/>
                <w:lang w:val="en-GB" w:eastAsia="en-GB"/>
              </w:rPr>
              <w:t>Netherlands</w:t>
            </w:r>
          </w:p>
        </w:tc>
        <w:tc>
          <w:tcPr>
            <w:tcW w:w="1871" w:type="pct"/>
            <w:tcBorders>
              <w:top w:val="nil"/>
              <w:left w:val="single" w:sz="4" w:space="0" w:color="0055A0"/>
              <w:bottom w:val="nil"/>
              <w:right w:val="single" w:sz="4" w:space="0" w:color="0055A0"/>
            </w:tcBorders>
            <w:shd w:val="clear" w:color="auto" w:fill="FFFFFF"/>
            <w:hideMark/>
          </w:tcPr>
          <w:p w14:paraId="03FD3804"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Cost of removal (including landfill) 14 – 50 €/m</w:t>
            </w:r>
            <w:r>
              <w:rPr>
                <w:rFonts w:eastAsia="Calibri" w:cs="Arial"/>
                <w:noProof/>
                <w:sz w:val="18"/>
                <w:szCs w:val="18"/>
                <w:vertAlign w:val="superscript"/>
                <w:lang w:val="en-GB" w:eastAsia="en-GB"/>
              </w:rPr>
              <w:t>2</w:t>
            </w:r>
          </w:p>
        </w:tc>
        <w:tc>
          <w:tcPr>
            <w:tcW w:w="2194" w:type="pct"/>
            <w:tcBorders>
              <w:top w:val="nil"/>
              <w:left w:val="single" w:sz="4" w:space="0" w:color="0055A0"/>
              <w:bottom w:val="nil"/>
              <w:right w:val="single" w:sz="4" w:space="0" w:color="0055A0"/>
            </w:tcBorders>
            <w:shd w:val="clear" w:color="auto" w:fill="FFFFFF"/>
            <w:hideMark/>
          </w:tcPr>
          <w:p w14:paraId="245AAA8D" w14:textId="77777777" w:rsidR="00AD73CF" w:rsidRDefault="00AD73CF" w:rsidP="00DB7010">
            <w:pPr>
              <w:spacing w:after="120"/>
              <w:rPr>
                <w:rFonts w:eastAsia="Calibri" w:cs="Arial"/>
                <w:noProof/>
                <w:sz w:val="18"/>
                <w:szCs w:val="18"/>
                <w:vertAlign w:val="superscript"/>
                <w:lang w:val="en-GB" w:eastAsia="en-GB"/>
              </w:rPr>
            </w:pPr>
            <w:r>
              <w:rPr>
                <w:rFonts w:eastAsia="Calibri" w:cs="Arial"/>
                <w:noProof/>
                <w:sz w:val="18"/>
                <w:szCs w:val="18"/>
                <w:lang w:val="en-GB" w:eastAsia="en-GB"/>
              </w:rPr>
              <w:t>€ 51./m</w:t>
            </w:r>
            <w:r>
              <w:rPr>
                <w:rFonts w:eastAsia="Calibri" w:cs="Arial"/>
                <w:noProof/>
                <w:sz w:val="18"/>
                <w:szCs w:val="18"/>
                <w:vertAlign w:val="superscript"/>
                <w:lang w:val="en-GB" w:eastAsia="en-GB"/>
              </w:rPr>
              <w:t>2</w:t>
            </w:r>
          </w:p>
        </w:tc>
      </w:tr>
      <w:tr w:rsidR="00AD73CF" w14:paraId="541F0779" w14:textId="77777777" w:rsidTr="00DB7010">
        <w:trPr>
          <w:cnfStyle w:val="000000010000" w:firstRow="0" w:lastRow="0" w:firstColumn="0" w:lastColumn="0" w:oddVBand="0" w:evenVBand="0" w:oddHBand="0" w:evenHBand="1" w:firstRowFirstColumn="0" w:firstRowLastColumn="0" w:lastRowFirstColumn="0" w:lastRowLastColumn="0"/>
        </w:trPr>
        <w:tc>
          <w:tcPr>
            <w:tcW w:w="935" w:type="pct"/>
            <w:tcBorders>
              <w:top w:val="nil"/>
              <w:left w:val="single" w:sz="4" w:space="0" w:color="0055A0"/>
              <w:bottom w:val="nil"/>
            </w:tcBorders>
            <w:hideMark/>
          </w:tcPr>
          <w:p w14:paraId="4EF6C78A" w14:textId="77777777" w:rsidR="00AD73CF" w:rsidRDefault="00AD73CF" w:rsidP="00DB7010">
            <w:pPr>
              <w:spacing w:after="120"/>
              <w:rPr>
                <w:rFonts w:eastAsia="Calibri" w:cs="Arial"/>
                <w:noProof/>
                <w:sz w:val="18"/>
                <w:szCs w:val="18"/>
                <w:lang w:val="en-GB" w:eastAsia="en-GB"/>
              </w:rPr>
            </w:pPr>
            <w:r>
              <w:rPr>
                <w:rFonts w:eastAsia="Calibri" w:cs="Arial"/>
                <w:noProof/>
                <w:lang w:val="en-GB" w:eastAsia="en-GB"/>
              </w:rPr>
              <w:t>Austria</w:t>
            </w:r>
          </w:p>
        </w:tc>
        <w:tc>
          <w:tcPr>
            <w:tcW w:w="1871" w:type="pct"/>
            <w:tcBorders>
              <w:top w:val="nil"/>
              <w:bottom w:val="nil"/>
            </w:tcBorders>
            <w:hideMark/>
          </w:tcPr>
          <w:p w14:paraId="6C51E374"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€ 30/m2</w:t>
            </w:r>
          </w:p>
        </w:tc>
        <w:tc>
          <w:tcPr>
            <w:tcW w:w="2194" w:type="pct"/>
            <w:tcBorders>
              <w:top w:val="nil"/>
              <w:bottom w:val="nil"/>
              <w:right w:val="single" w:sz="4" w:space="0" w:color="0055A0"/>
            </w:tcBorders>
            <w:hideMark/>
          </w:tcPr>
          <w:p w14:paraId="1C8FCFAE"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€ 31./m</w:t>
            </w:r>
            <w:r>
              <w:rPr>
                <w:rFonts w:eastAsia="Calibri" w:cs="Arial"/>
                <w:noProof/>
                <w:sz w:val="18"/>
                <w:szCs w:val="18"/>
                <w:vertAlign w:val="superscript"/>
                <w:lang w:val="en-GB" w:eastAsia="en-GB"/>
              </w:rPr>
              <w:t>2</w:t>
            </w:r>
          </w:p>
        </w:tc>
      </w:tr>
      <w:tr w:rsidR="00AD73CF" w14:paraId="7D1286DA" w14:textId="77777777" w:rsidTr="00DB7010">
        <w:trPr>
          <w:cnfStyle w:val="000000100000" w:firstRow="0" w:lastRow="0" w:firstColumn="0" w:lastColumn="0" w:oddVBand="0" w:evenVBand="0" w:oddHBand="1" w:evenHBand="0" w:firstRowFirstColumn="0" w:firstRowLastColumn="0" w:lastRowFirstColumn="0" w:lastRowLastColumn="0"/>
        </w:trPr>
        <w:tc>
          <w:tcPr>
            <w:tcW w:w="935" w:type="pct"/>
            <w:tcBorders>
              <w:top w:val="nil"/>
              <w:left w:val="single" w:sz="4" w:space="0" w:color="0055A0"/>
              <w:bottom w:val="nil"/>
              <w:right w:val="single" w:sz="4" w:space="0" w:color="0055A0"/>
            </w:tcBorders>
            <w:hideMark/>
          </w:tcPr>
          <w:p w14:paraId="456E8ED0" w14:textId="77777777" w:rsidR="00AD73CF" w:rsidRDefault="00AD73CF" w:rsidP="00DB7010">
            <w:pPr>
              <w:spacing w:after="120"/>
              <w:rPr>
                <w:rFonts w:eastAsia="Calibri" w:cs="Arial"/>
                <w:noProof/>
                <w:sz w:val="18"/>
                <w:szCs w:val="18"/>
                <w:lang w:val="en-GB" w:eastAsia="en-GB"/>
              </w:rPr>
            </w:pPr>
            <w:r>
              <w:rPr>
                <w:rFonts w:eastAsia="Calibri" w:cs="Arial"/>
                <w:noProof/>
                <w:lang w:val="en-GB" w:eastAsia="en-GB"/>
              </w:rPr>
              <w:t>France</w:t>
            </w:r>
          </w:p>
        </w:tc>
        <w:tc>
          <w:tcPr>
            <w:tcW w:w="1871" w:type="pct"/>
            <w:tcBorders>
              <w:top w:val="nil"/>
              <w:left w:val="single" w:sz="4" w:space="0" w:color="0055A0"/>
              <w:bottom w:val="nil"/>
              <w:right w:val="single" w:sz="4" w:space="0" w:color="0055A0"/>
            </w:tcBorders>
            <w:hideMark/>
          </w:tcPr>
          <w:p w14:paraId="3D69A3F2"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Cost of recovery: 25-150 €/m</w:t>
            </w:r>
            <w:r>
              <w:rPr>
                <w:rFonts w:eastAsia="Calibri" w:cs="Arial"/>
                <w:noProof/>
                <w:sz w:val="18"/>
                <w:szCs w:val="18"/>
                <w:vertAlign w:val="superscript"/>
                <w:lang w:val="en-GB" w:eastAsia="en-GB"/>
              </w:rPr>
              <w:t>2</w:t>
            </w:r>
          </w:p>
          <w:p w14:paraId="18C34159"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Cost of landfill disposal: 300-500 €/ton</w:t>
            </w:r>
          </w:p>
        </w:tc>
        <w:tc>
          <w:tcPr>
            <w:tcW w:w="2194" w:type="pct"/>
            <w:tcBorders>
              <w:top w:val="nil"/>
              <w:left w:val="single" w:sz="4" w:space="0" w:color="0055A0"/>
              <w:bottom w:val="nil"/>
              <w:right w:val="single" w:sz="4" w:space="0" w:color="0055A0"/>
            </w:tcBorders>
            <w:hideMark/>
          </w:tcPr>
          <w:p w14:paraId="15AEC349" w14:textId="77777777" w:rsidR="00AD73CF" w:rsidRDefault="00AD73CF" w:rsidP="00DB7010">
            <w:pPr>
              <w:spacing w:after="120"/>
              <w:rPr>
                <w:rFonts w:eastAsia="Calibri" w:cs="Arial"/>
                <w:noProof/>
                <w:sz w:val="18"/>
                <w:szCs w:val="18"/>
                <w:vertAlign w:val="subscript"/>
                <w:lang w:val="en-GB" w:eastAsia="en-GB"/>
              </w:rPr>
            </w:pPr>
            <w:r>
              <w:rPr>
                <w:rFonts w:eastAsia="Calibri" w:cs="Arial"/>
                <w:noProof/>
                <w:sz w:val="18"/>
                <w:szCs w:val="18"/>
                <w:lang w:val="en-GB" w:eastAsia="en-GB"/>
              </w:rPr>
              <w:t>€ 25 – 153 /m</w:t>
            </w:r>
            <w:r>
              <w:rPr>
                <w:rFonts w:eastAsia="Calibri" w:cs="Arial"/>
                <w:noProof/>
                <w:sz w:val="18"/>
                <w:szCs w:val="18"/>
                <w:vertAlign w:val="superscript"/>
                <w:lang w:val="en-GB" w:eastAsia="en-GB"/>
              </w:rPr>
              <w:t>2</w:t>
            </w:r>
            <w:r>
              <w:rPr>
                <w:rFonts w:eastAsia="Calibri" w:cs="Arial"/>
                <w:noProof/>
                <w:sz w:val="18"/>
                <w:szCs w:val="18"/>
                <w:vertAlign w:val="subscript"/>
                <w:lang w:val="en-GB" w:eastAsia="en-GB"/>
              </w:rPr>
              <w:t xml:space="preserve"> </w:t>
            </w:r>
            <w:r>
              <w:rPr>
                <w:rFonts w:eastAsia="Calibri" w:cs="Arial"/>
                <w:noProof/>
                <w:sz w:val="18"/>
                <w:szCs w:val="18"/>
                <w:vertAlign w:val="subscript"/>
                <w:lang w:val="en-GB" w:eastAsia="en-GB"/>
              </w:rPr>
              <w:softHyphen/>
            </w:r>
          </w:p>
          <w:p w14:paraId="6C8673BA" w14:textId="77777777" w:rsidR="00AD73CF" w:rsidRDefault="00AD73CF" w:rsidP="00DB7010">
            <w:pPr>
              <w:spacing w:after="120"/>
              <w:rPr>
                <w:rFonts w:eastAsia="Calibri" w:cs="Arial"/>
                <w:noProof/>
                <w:sz w:val="18"/>
                <w:szCs w:val="18"/>
                <w:lang w:val="en-GB" w:eastAsia="en-GB"/>
              </w:rPr>
            </w:pPr>
            <w:r>
              <w:rPr>
                <w:rFonts w:eastAsia="Calibri" w:cs="Arial"/>
                <w:noProof/>
                <w:sz w:val="16"/>
                <w:szCs w:val="16"/>
                <w:lang w:val="en-GB" w:eastAsia="en-GB"/>
              </w:rPr>
              <w:t>Per ton comparison on landfill not comparable due to weight differences between asbestos and metal-faced panels, and significant additional landfill requirements for asbestos</w:t>
            </w:r>
          </w:p>
        </w:tc>
      </w:tr>
      <w:tr w:rsidR="00AD73CF" w14:paraId="75838A35" w14:textId="77777777" w:rsidTr="00DB7010">
        <w:trPr>
          <w:cnfStyle w:val="000000010000" w:firstRow="0" w:lastRow="0" w:firstColumn="0" w:lastColumn="0" w:oddVBand="0" w:evenVBand="0" w:oddHBand="0" w:evenHBand="1" w:firstRowFirstColumn="0" w:firstRowLastColumn="0" w:lastRowFirstColumn="0" w:lastRowLastColumn="0"/>
        </w:trPr>
        <w:tc>
          <w:tcPr>
            <w:tcW w:w="935" w:type="pct"/>
            <w:tcBorders>
              <w:top w:val="nil"/>
              <w:left w:val="single" w:sz="4" w:space="0" w:color="0055A0"/>
              <w:bottom w:val="nil"/>
            </w:tcBorders>
            <w:hideMark/>
          </w:tcPr>
          <w:p w14:paraId="4ACC42C5" w14:textId="77777777" w:rsidR="00AD73CF" w:rsidRDefault="00AD73CF" w:rsidP="00DB7010">
            <w:pPr>
              <w:spacing w:after="120"/>
              <w:rPr>
                <w:rFonts w:eastAsia="Calibri" w:cs="Arial"/>
                <w:noProof/>
                <w:sz w:val="18"/>
                <w:szCs w:val="18"/>
                <w:lang w:val="en-GB" w:eastAsia="en-GB"/>
              </w:rPr>
            </w:pPr>
            <w:r>
              <w:rPr>
                <w:rFonts w:eastAsia="Calibri" w:cs="Arial"/>
                <w:noProof/>
                <w:lang w:val="en-GB" w:eastAsia="en-GB"/>
              </w:rPr>
              <w:t>Spain</w:t>
            </w:r>
          </w:p>
        </w:tc>
        <w:tc>
          <w:tcPr>
            <w:tcW w:w="1871" w:type="pct"/>
            <w:tcBorders>
              <w:top w:val="nil"/>
              <w:bottom w:val="nil"/>
            </w:tcBorders>
            <w:hideMark/>
          </w:tcPr>
          <w:p w14:paraId="192A56DC"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Cost of recovery: 100-150 €/m</w:t>
            </w:r>
            <w:r>
              <w:rPr>
                <w:rFonts w:eastAsia="Calibri" w:cs="Arial"/>
                <w:noProof/>
                <w:sz w:val="18"/>
                <w:szCs w:val="18"/>
                <w:vertAlign w:val="superscript"/>
                <w:lang w:val="en-GB" w:eastAsia="en-GB"/>
              </w:rPr>
              <w:t>2</w:t>
            </w:r>
          </w:p>
          <w:p w14:paraId="085300DB" w14:textId="77777777" w:rsidR="00AD73CF" w:rsidRDefault="00AD73CF" w:rsidP="00DB7010">
            <w:pPr>
              <w:spacing w:after="120"/>
              <w:rPr>
                <w:rFonts w:eastAsia="Calibri" w:cs="Arial"/>
                <w:noProof/>
                <w:sz w:val="18"/>
                <w:szCs w:val="18"/>
                <w:vertAlign w:val="superscript"/>
                <w:lang w:val="en-GB" w:eastAsia="en-GB"/>
              </w:rPr>
            </w:pPr>
            <w:r>
              <w:rPr>
                <w:rFonts w:eastAsia="Calibri" w:cs="Arial"/>
                <w:noProof/>
                <w:sz w:val="18"/>
                <w:szCs w:val="18"/>
                <w:lang w:val="en-GB" w:eastAsia="en-GB"/>
              </w:rPr>
              <w:t>Cost of landfill disposal: 160 €/m</w:t>
            </w:r>
            <w:r>
              <w:rPr>
                <w:rFonts w:eastAsia="Calibri" w:cs="Arial"/>
                <w:noProof/>
                <w:sz w:val="18"/>
                <w:szCs w:val="18"/>
                <w:vertAlign w:val="superscript"/>
                <w:lang w:val="en-GB" w:eastAsia="en-GB"/>
              </w:rPr>
              <w:t>3</w:t>
            </w:r>
          </w:p>
        </w:tc>
        <w:tc>
          <w:tcPr>
            <w:tcW w:w="2194" w:type="pct"/>
            <w:tcBorders>
              <w:top w:val="nil"/>
              <w:bottom w:val="nil"/>
              <w:right w:val="single" w:sz="4" w:space="0" w:color="0055A0"/>
            </w:tcBorders>
            <w:hideMark/>
          </w:tcPr>
          <w:p w14:paraId="7354773F" w14:textId="77777777" w:rsidR="00AD73CF" w:rsidRDefault="00AD73CF" w:rsidP="00DB7010">
            <w:pPr>
              <w:spacing w:after="120"/>
              <w:rPr>
                <w:rFonts w:eastAsia="Calibri" w:cs="Arial"/>
                <w:noProof/>
                <w:sz w:val="18"/>
                <w:szCs w:val="18"/>
                <w:vertAlign w:val="subscript"/>
                <w:lang w:val="en-GB" w:eastAsia="en-GB"/>
              </w:rPr>
            </w:pPr>
            <w:r>
              <w:rPr>
                <w:rFonts w:eastAsia="Calibri" w:cs="Arial"/>
                <w:noProof/>
                <w:sz w:val="18"/>
                <w:szCs w:val="18"/>
                <w:lang w:val="en-GB" w:eastAsia="en-GB"/>
              </w:rPr>
              <w:t>€ 102 – 153 /m</w:t>
            </w:r>
            <w:r>
              <w:rPr>
                <w:rFonts w:eastAsia="Calibri" w:cs="Arial"/>
                <w:noProof/>
                <w:sz w:val="18"/>
                <w:szCs w:val="18"/>
                <w:vertAlign w:val="superscript"/>
                <w:lang w:val="en-GB" w:eastAsia="en-GB"/>
              </w:rPr>
              <w:t>2</w:t>
            </w:r>
            <w:r>
              <w:rPr>
                <w:rFonts w:eastAsia="Calibri" w:cs="Arial"/>
                <w:noProof/>
                <w:sz w:val="18"/>
                <w:szCs w:val="18"/>
                <w:vertAlign w:val="subscript"/>
                <w:lang w:val="en-GB" w:eastAsia="en-GB"/>
              </w:rPr>
              <w:t xml:space="preserve"> </w:t>
            </w:r>
            <w:r>
              <w:rPr>
                <w:rFonts w:eastAsia="Calibri" w:cs="Arial"/>
                <w:noProof/>
                <w:sz w:val="18"/>
                <w:szCs w:val="18"/>
                <w:vertAlign w:val="subscript"/>
                <w:lang w:val="en-GB" w:eastAsia="en-GB"/>
              </w:rPr>
              <w:softHyphen/>
            </w:r>
          </w:p>
          <w:p w14:paraId="0A6F93BE" w14:textId="77777777" w:rsidR="00AD73CF" w:rsidRDefault="00AD73CF" w:rsidP="00DB7010">
            <w:pPr>
              <w:spacing w:after="120"/>
              <w:rPr>
                <w:rFonts w:eastAsia="Calibri" w:cs="Arial"/>
                <w:noProof/>
                <w:sz w:val="18"/>
                <w:szCs w:val="18"/>
                <w:lang w:val="en-GB" w:eastAsia="en-GB"/>
              </w:rPr>
            </w:pPr>
            <w:r>
              <w:rPr>
                <w:rFonts w:eastAsia="Calibri" w:cs="Arial"/>
                <w:noProof/>
                <w:sz w:val="16"/>
                <w:szCs w:val="16"/>
                <w:lang w:val="en-GB" w:eastAsia="en-GB"/>
              </w:rPr>
              <w:t>Per m</w:t>
            </w:r>
            <w:r>
              <w:rPr>
                <w:rFonts w:eastAsia="Calibri" w:cs="Arial"/>
                <w:noProof/>
                <w:sz w:val="16"/>
                <w:szCs w:val="16"/>
                <w:vertAlign w:val="superscript"/>
                <w:lang w:val="en-GB" w:eastAsia="en-GB"/>
              </w:rPr>
              <w:t>3</w:t>
            </w:r>
            <w:r>
              <w:rPr>
                <w:rFonts w:eastAsia="Calibri" w:cs="Arial"/>
                <w:noProof/>
                <w:sz w:val="16"/>
                <w:szCs w:val="16"/>
                <w:lang w:val="en-GB" w:eastAsia="en-GB"/>
              </w:rPr>
              <w:t xml:space="preserve"> comparison not comparable due to weight differences between asbestos and metal-faced panels, and significant additional landfill requirements for asbestos</w:t>
            </w:r>
          </w:p>
        </w:tc>
      </w:tr>
      <w:tr w:rsidR="00AD73CF" w14:paraId="57BCBC39" w14:textId="77777777" w:rsidTr="00DB7010">
        <w:trPr>
          <w:cnfStyle w:val="000000100000" w:firstRow="0" w:lastRow="0" w:firstColumn="0" w:lastColumn="0" w:oddVBand="0" w:evenVBand="0" w:oddHBand="1" w:evenHBand="0" w:firstRowFirstColumn="0" w:firstRowLastColumn="0" w:lastRowFirstColumn="0" w:lastRowLastColumn="0"/>
        </w:trPr>
        <w:tc>
          <w:tcPr>
            <w:tcW w:w="935" w:type="pct"/>
            <w:tcBorders>
              <w:top w:val="nil"/>
              <w:left w:val="single" w:sz="4" w:space="0" w:color="0055A0"/>
              <w:bottom w:val="single" w:sz="4" w:space="0" w:color="0055A0"/>
              <w:right w:val="single" w:sz="4" w:space="0" w:color="0055A0"/>
            </w:tcBorders>
            <w:hideMark/>
          </w:tcPr>
          <w:p w14:paraId="5259F735" w14:textId="77777777" w:rsidR="00AD73CF" w:rsidRDefault="00AD73CF" w:rsidP="00DB7010">
            <w:pPr>
              <w:spacing w:after="120"/>
              <w:rPr>
                <w:rFonts w:eastAsia="Calibri" w:cs="Arial"/>
                <w:noProof/>
                <w:sz w:val="18"/>
                <w:szCs w:val="18"/>
                <w:lang w:val="en-GB" w:eastAsia="en-GB"/>
              </w:rPr>
            </w:pPr>
            <w:r>
              <w:rPr>
                <w:rFonts w:eastAsia="Calibri" w:cs="Arial"/>
                <w:noProof/>
                <w:lang w:val="en-GB" w:eastAsia="en-GB"/>
              </w:rPr>
              <w:t>Bulgaria</w:t>
            </w:r>
          </w:p>
        </w:tc>
        <w:tc>
          <w:tcPr>
            <w:tcW w:w="1871" w:type="pct"/>
            <w:tcBorders>
              <w:top w:val="nil"/>
              <w:left w:val="single" w:sz="4" w:space="0" w:color="0055A0"/>
              <w:bottom w:val="single" w:sz="4" w:space="0" w:color="0055A0"/>
              <w:right w:val="single" w:sz="4" w:space="0" w:color="0055A0"/>
            </w:tcBorders>
            <w:hideMark/>
          </w:tcPr>
          <w:p w14:paraId="606D9214"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 xml:space="preserve">Cost of recovery  36 – 51 €/m2 </w:t>
            </w:r>
          </w:p>
        </w:tc>
        <w:tc>
          <w:tcPr>
            <w:tcW w:w="2194" w:type="pct"/>
            <w:tcBorders>
              <w:top w:val="nil"/>
              <w:left w:val="single" w:sz="4" w:space="0" w:color="0055A0"/>
              <w:bottom w:val="single" w:sz="4" w:space="0" w:color="0055A0"/>
              <w:right w:val="single" w:sz="4" w:space="0" w:color="0055A0"/>
            </w:tcBorders>
            <w:hideMark/>
          </w:tcPr>
          <w:p w14:paraId="668A03B2" w14:textId="77777777" w:rsidR="00AD73CF" w:rsidRDefault="00AD73CF" w:rsidP="00DB7010">
            <w:pPr>
              <w:spacing w:after="120"/>
              <w:rPr>
                <w:rFonts w:eastAsia="Calibri" w:cs="Arial"/>
                <w:noProof/>
                <w:sz w:val="18"/>
                <w:szCs w:val="18"/>
                <w:lang w:val="en-GB" w:eastAsia="en-GB"/>
              </w:rPr>
            </w:pPr>
            <w:r>
              <w:rPr>
                <w:rFonts w:eastAsia="Calibri" w:cs="Arial"/>
                <w:noProof/>
                <w:sz w:val="18"/>
                <w:szCs w:val="18"/>
                <w:lang w:val="en-GB" w:eastAsia="en-GB"/>
              </w:rPr>
              <w:t>€ 37 – 52 /m</w:t>
            </w:r>
            <w:r>
              <w:rPr>
                <w:rFonts w:eastAsia="Calibri" w:cs="Arial"/>
                <w:noProof/>
                <w:sz w:val="18"/>
                <w:szCs w:val="18"/>
                <w:vertAlign w:val="superscript"/>
                <w:lang w:val="en-GB" w:eastAsia="en-GB"/>
              </w:rPr>
              <w:t>2</w:t>
            </w:r>
          </w:p>
        </w:tc>
      </w:tr>
    </w:tbl>
    <w:p w14:paraId="7E8DBA82" w14:textId="77777777" w:rsidR="00AD73CF" w:rsidRDefault="00AD73CF" w:rsidP="004D45F1">
      <w:pPr>
        <w:spacing w:after="0" w:line="254" w:lineRule="auto"/>
        <w:rPr>
          <w:rFonts w:ascii="Times New Roman" w:eastAsia="Calibri" w:hAnsi="Times New Roman" w:cs="Times New Roman"/>
          <w:noProof/>
          <w:sz w:val="24"/>
          <w:szCs w:val="24"/>
        </w:rPr>
        <w:sectPr w:rsidR="00AD73CF" w:rsidSect="00D07DE8">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pgNumType w:start="1"/>
          <w:cols w:space="720"/>
        </w:sectPr>
      </w:pPr>
    </w:p>
    <w:p w14:paraId="1E390B55" w14:textId="77777777" w:rsidR="004D45F1" w:rsidRDefault="004D45F1" w:rsidP="00AD73CF">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asbestos recovery costs can be seen as an </w:t>
      </w:r>
      <w:r>
        <w:rPr>
          <w:rFonts w:ascii="Times New Roman" w:eastAsia="Calibri" w:hAnsi="Times New Roman" w:cs="Times New Roman"/>
          <w:b/>
          <w:bCs/>
          <w:noProof/>
          <w:sz w:val="24"/>
          <w:szCs w:val="24"/>
        </w:rPr>
        <w:t>upper limit to the costs of segregation and transport.</w:t>
      </w:r>
      <w:r>
        <w:rPr>
          <w:rFonts w:ascii="Times New Roman" w:eastAsia="Calibri" w:hAnsi="Times New Roman" w:cs="Times New Roman"/>
          <w:noProof/>
          <w:sz w:val="24"/>
          <w:szCs w:val="24"/>
        </w:rPr>
        <w:t xml:space="preserve"> Asbestos is generally assumed to be stored in landfill sites, and therefore do not have further significant costs after the material has been transported to the site. In the hypothetical scenario that segregating and transporting ODS insulation panels would cost just as much as segregating asbestos panels (real prices would be much less!), and the final destination requires incineration at the prices quoted by Austria, then these costs, based on the data obtained in this study, would be about € 75 +  € 153 = € 228 per t CO</w:t>
      </w:r>
      <w:r>
        <w:rPr>
          <w:rFonts w:ascii="Times New Roman" w:eastAsia="Calibri" w:hAnsi="Times New Roman" w:cs="Times New Roman"/>
          <w:noProof/>
          <w:sz w:val="24"/>
          <w:szCs w:val="24"/>
          <w:vertAlign w:val="subscript"/>
        </w:rPr>
        <w:t>2</w:t>
      </w:r>
      <w:r>
        <w:rPr>
          <w:rFonts w:ascii="Times New Roman" w:eastAsia="Calibri" w:hAnsi="Times New Roman" w:cs="Times New Roman"/>
          <w:noProof/>
          <w:sz w:val="24"/>
          <w:szCs w:val="24"/>
        </w:rPr>
        <w:t>e.</w:t>
      </w:r>
    </w:p>
    <w:p w14:paraId="0D748A55" w14:textId="77777777" w:rsidR="004D45F1" w:rsidRDefault="004D45F1" w:rsidP="00AD73CF">
      <w:pPr>
        <w:pStyle w:val="ListParagraph"/>
        <w:numPr>
          <w:ilvl w:val="0"/>
          <w:numId w:val="43"/>
        </w:numPr>
        <w:spacing w:after="120"/>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Social Impacts</w:t>
      </w:r>
    </w:p>
    <w:p w14:paraId="4AEB992C" w14:textId="77777777" w:rsidR="004D45F1" w:rsidRDefault="004D45F1" w:rsidP="004D45F1">
      <w:pPr>
        <w:spacing w:after="120"/>
        <w:jc w:val="both"/>
        <w:rPr>
          <w:rFonts w:ascii="Times New Roman" w:eastAsia="Calibri" w:hAnsi="Times New Roman" w:cs="Times New Roman"/>
          <w:b/>
          <w:noProof/>
          <w:sz w:val="24"/>
          <w:szCs w:val="24"/>
          <w:lang w:eastAsia="en-GB"/>
        </w:rPr>
      </w:pPr>
      <w:r>
        <w:rPr>
          <w:rFonts w:ascii="Times New Roman" w:eastAsia="Calibri" w:hAnsi="Times New Roman" w:cs="Times New Roman"/>
          <w:b/>
          <w:noProof/>
          <w:sz w:val="24"/>
          <w:szCs w:val="24"/>
          <w:lang w:eastAsia="en-GB"/>
        </w:rPr>
        <w:t>Research and development</w:t>
      </w:r>
    </w:p>
    <w:p w14:paraId="4B6012F6"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According to interviewed experts the recovery of foam banks can be expected to spur innovation since it will create an incentive to reduce costs of reclamation via research and development into demolition and recycling technologies. Based also on the experience related to the mandatory recovery from domestic appliances, such a policy is likely to result in better and cheaper ways to ensure recovery. Since 2002, the Ozone Regulation mandates the recovery and destruction of ODS contained in insulation foams within domestic refrigerators and freezers</w:t>
      </w:r>
      <w:sdt>
        <w:sdtPr>
          <w:rPr>
            <w:rFonts w:ascii="Times New Roman" w:eastAsia="Calibri" w:hAnsi="Times New Roman" w:cs="Times New Roman"/>
            <w:noProof/>
            <w:sz w:val="24"/>
            <w:szCs w:val="24"/>
            <w:lang w:eastAsia="en-GB"/>
          </w:rPr>
          <w:id w:val="-975371247"/>
          <w:citation/>
        </w:sdtPr>
        <w:sdtEndPr/>
        <w:sdtContent>
          <w:r>
            <w:rPr>
              <w:rFonts w:ascii="Times New Roman" w:eastAsia="Calibri" w:hAnsi="Times New Roman" w:cs="Times New Roman"/>
              <w:noProof/>
              <w:sz w:val="24"/>
              <w:szCs w:val="24"/>
              <w:lang w:eastAsia="en-GB"/>
            </w:rPr>
            <w:fldChar w:fldCharType="begin"/>
          </w:r>
          <w:r>
            <w:rPr>
              <w:rFonts w:ascii="Times New Roman" w:eastAsia="Calibri" w:hAnsi="Times New Roman" w:cs="Times New Roman"/>
              <w:noProof/>
              <w:sz w:val="24"/>
              <w:szCs w:val="24"/>
              <w:lang w:eastAsia="en-GB"/>
            </w:rPr>
            <w:instrText xml:space="preserve"> CITATION SKM12 \l 2057 </w:instrText>
          </w:r>
          <w:r>
            <w:rPr>
              <w:rFonts w:ascii="Times New Roman" w:eastAsia="Calibri" w:hAnsi="Times New Roman" w:cs="Times New Roman"/>
              <w:noProof/>
              <w:sz w:val="24"/>
              <w:szCs w:val="24"/>
              <w:lang w:eastAsia="en-GB"/>
            </w:rPr>
            <w:fldChar w:fldCharType="separate"/>
          </w:r>
          <w:r>
            <w:rPr>
              <w:rFonts w:ascii="Times New Roman" w:eastAsia="Calibri" w:hAnsi="Times New Roman" w:cs="Times New Roman"/>
              <w:noProof/>
              <w:sz w:val="24"/>
              <w:szCs w:val="24"/>
              <w:lang w:eastAsia="en-GB"/>
            </w:rPr>
            <w:t xml:space="preserve"> (SKM Enviros, 2012)</w:t>
          </w:r>
          <w:r>
            <w:rPr>
              <w:rFonts w:ascii="Times New Roman" w:eastAsia="Calibri" w:hAnsi="Times New Roman" w:cs="Times New Roman"/>
              <w:noProof/>
              <w:sz w:val="24"/>
              <w:szCs w:val="24"/>
              <w:lang w:eastAsia="en-GB"/>
            </w:rPr>
            <w:fldChar w:fldCharType="end"/>
          </w:r>
        </w:sdtContent>
      </w:sdt>
      <w:r>
        <w:rPr>
          <w:rFonts w:ascii="Times New Roman" w:eastAsia="Calibri" w:hAnsi="Times New Roman" w:cs="Times New Roman"/>
          <w:noProof/>
          <w:sz w:val="24"/>
          <w:szCs w:val="24"/>
          <w:lang w:eastAsia="en-GB"/>
        </w:rPr>
        <w:t xml:space="preserve">. Prior to the introduction of the requirement, there were no incentives to allocate resources to research recovery technologies and the recovery was expensive. However, in order to comply with the new requirement, companies invested in research and development to reduce costs and as a result, the recovery of domestic refrigerators and freezers which was already proven as technically feasible became much more economical. </w:t>
      </w:r>
    </w:p>
    <w:p w14:paraId="3FC44960"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In sum, the effect of mandatory recovery of building foams on research and development is expected to be positive and significant for metal-faced faced panels and some types of laminated boards, for which technical feasibility has been already proven. Moreover, given that transport costs are high, research and development is likely to be carried out by domestic companies, creating added value within the European Union.</w:t>
      </w:r>
    </w:p>
    <w:p w14:paraId="683FB1D4" w14:textId="77777777" w:rsidR="004D45F1" w:rsidRDefault="004D45F1" w:rsidP="004D45F1">
      <w:pPr>
        <w:spacing w:after="120"/>
        <w:jc w:val="both"/>
        <w:rPr>
          <w:rFonts w:ascii="Times New Roman" w:eastAsia="Calibri" w:hAnsi="Times New Roman" w:cs="Times New Roman"/>
          <w:b/>
          <w:bCs/>
          <w:noProof/>
          <w:sz w:val="24"/>
          <w:szCs w:val="24"/>
          <w:lang w:eastAsia="en-GB"/>
        </w:rPr>
      </w:pPr>
      <w:r>
        <w:rPr>
          <w:rFonts w:ascii="Times New Roman" w:eastAsia="Calibri" w:hAnsi="Times New Roman" w:cs="Times New Roman"/>
          <w:b/>
          <w:bCs/>
          <w:noProof/>
          <w:sz w:val="24"/>
          <w:szCs w:val="24"/>
          <w:lang w:eastAsia="en-GB"/>
        </w:rPr>
        <w:t>Consumer prices</w:t>
      </w:r>
    </w:p>
    <w:p w14:paraId="6E95F691"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implementation of policy option A4 could potentially increase consumer prices, i.e. for owners renovating or constructing a building. If new construction in a building site must be preceded by incurring in the recovery of ODS from the decommissioned building, real estate prices could increase slightly as a result. However, there is evidence in the literature suggesting that construction prices have a low influence on the evolution of real estate prices </w:t>
      </w:r>
      <w:sdt>
        <w:sdtPr>
          <w:rPr>
            <w:rFonts w:ascii="Times New Roman" w:eastAsia="Calibri" w:hAnsi="Times New Roman" w:cs="Times New Roman"/>
            <w:noProof/>
            <w:sz w:val="24"/>
            <w:szCs w:val="24"/>
            <w:lang w:eastAsia="en-GB"/>
          </w:rPr>
          <w:id w:val="-373779256"/>
          <w:citation/>
        </w:sdtPr>
        <w:sdtEndPr/>
        <w:sdtContent>
          <w:r>
            <w:rPr>
              <w:rFonts w:ascii="Times New Roman" w:eastAsia="Calibri" w:hAnsi="Times New Roman" w:cs="Times New Roman"/>
              <w:noProof/>
              <w:sz w:val="24"/>
              <w:szCs w:val="24"/>
              <w:lang w:eastAsia="en-GB"/>
            </w:rPr>
            <w:fldChar w:fldCharType="begin"/>
          </w:r>
          <w:r>
            <w:rPr>
              <w:rFonts w:ascii="Times New Roman" w:eastAsia="Calibri" w:hAnsi="Times New Roman" w:cs="Times New Roman"/>
              <w:noProof/>
              <w:sz w:val="24"/>
              <w:szCs w:val="24"/>
              <w:lang w:eastAsia="en-GB"/>
            </w:rPr>
            <w:instrText xml:space="preserve"> CITATION Mar20 \l 2057 </w:instrText>
          </w:r>
          <w:r>
            <w:rPr>
              <w:rFonts w:ascii="Times New Roman" w:eastAsia="Calibri" w:hAnsi="Times New Roman" w:cs="Times New Roman"/>
              <w:noProof/>
              <w:sz w:val="24"/>
              <w:szCs w:val="24"/>
              <w:lang w:eastAsia="en-GB"/>
            </w:rPr>
            <w:fldChar w:fldCharType="separate"/>
          </w:r>
          <w:r>
            <w:rPr>
              <w:rFonts w:ascii="Times New Roman" w:eastAsia="Calibri" w:hAnsi="Times New Roman" w:cs="Times New Roman"/>
              <w:noProof/>
              <w:sz w:val="24"/>
              <w:szCs w:val="24"/>
              <w:lang w:eastAsia="en-GB"/>
            </w:rPr>
            <w:t>(Martins et al., 2020)</w:t>
          </w:r>
          <w:r>
            <w:rPr>
              <w:rFonts w:ascii="Times New Roman" w:eastAsia="Calibri" w:hAnsi="Times New Roman" w:cs="Times New Roman"/>
              <w:noProof/>
              <w:sz w:val="24"/>
              <w:szCs w:val="24"/>
              <w:lang w:eastAsia="en-GB"/>
            </w:rPr>
            <w:fldChar w:fldCharType="end"/>
          </w:r>
        </w:sdtContent>
      </w:sdt>
      <w:r>
        <w:rPr>
          <w:rFonts w:ascii="Times New Roman" w:eastAsia="Calibri" w:hAnsi="Times New Roman" w:cs="Times New Roman"/>
          <w:noProof/>
          <w:sz w:val="24"/>
          <w:szCs w:val="24"/>
          <w:lang w:eastAsia="en-GB"/>
        </w:rPr>
        <w:t xml:space="preserve">. </w:t>
      </w:r>
    </w:p>
    <w:p w14:paraId="0A210FBE"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higher demolition costs are expected to be borne by the building owners, as demolition companies would pass these on. The costs are therefore distributed over a large number of persons and the additional costs compared to the overall costs of demolishing or refurbishing the building would tend to be rather small. </w:t>
      </w:r>
    </w:p>
    <w:p w14:paraId="31659144"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lang w:eastAsia="en-GB"/>
        </w:rPr>
        <w:t>New buildings</w:t>
      </w:r>
      <w:r>
        <w:rPr>
          <w:rFonts w:ascii="Times New Roman" w:eastAsia="Calibri" w:hAnsi="Times New Roman" w:cs="Times New Roman"/>
          <w:noProof/>
          <w:sz w:val="24"/>
          <w:szCs w:val="24"/>
          <w:lang w:eastAsia="en-GB"/>
        </w:rPr>
        <w:t xml:space="preserve"> are more expensive on average, and hence mostly bought by households</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lang w:eastAsia="en-GB"/>
        </w:rPr>
        <w:t xml:space="preserve">with high purchasing power or by companies as office space. Thus vulnerable consumers are less likely to be affected by such price increases. Moreover, richer households pay high premiums (e.g. for “good neighbourhood”) hence the potential increase in consumer prices due to additional costs of recycling, even if realised, would be very marginal compared to the final housing price. </w:t>
      </w:r>
    </w:p>
    <w:p w14:paraId="20829BBF"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In case of </w:t>
      </w:r>
      <w:r>
        <w:rPr>
          <w:rFonts w:ascii="Times New Roman" w:eastAsia="Calibri" w:hAnsi="Times New Roman" w:cs="Times New Roman"/>
          <w:i/>
          <w:noProof/>
          <w:sz w:val="24"/>
          <w:szCs w:val="24"/>
          <w:lang w:eastAsia="en-GB"/>
        </w:rPr>
        <w:t>existing buildings</w:t>
      </w:r>
      <w:r>
        <w:rPr>
          <w:rFonts w:ascii="Times New Roman" w:eastAsia="Calibri" w:hAnsi="Times New Roman" w:cs="Times New Roman"/>
          <w:noProof/>
          <w:sz w:val="24"/>
          <w:szCs w:val="24"/>
          <w:lang w:eastAsia="en-GB"/>
        </w:rPr>
        <w:t xml:space="preserve">, foam removal would in all likelihood only be linked to substantial overhaul or refurbishment activities. Conversely, necessary maintenance or emergency reparations would in almost all cases not include ODS foams removal. Thus consumers with little financial means would usually not have to worry about also paying the bill for foam replacement activities. </w:t>
      </w:r>
    </w:p>
    <w:p w14:paraId="4D9DB126" w14:textId="77777777" w:rsidR="004D45F1" w:rsidRDefault="004D45F1" w:rsidP="004D45F1">
      <w:pPr>
        <w:spacing w:after="120"/>
        <w:jc w:val="both"/>
        <w:rPr>
          <w:rFonts w:ascii="Times New Roman" w:eastAsia="Calibri" w:hAnsi="Times New Roman" w:cs="Times New Roman"/>
          <w:b/>
          <w:noProof/>
          <w:sz w:val="24"/>
          <w:szCs w:val="24"/>
          <w:lang w:eastAsia="en-GB"/>
        </w:rPr>
      </w:pPr>
      <w:r>
        <w:rPr>
          <w:rFonts w:ascii="Times New Roman" w:eastAsia="Calibri" w:hAnsi="Times New Roman" w:cs="Times New Roman"/>
          <w:b/>
          <w:noProof/>
          <w:sz w:val="24"/>
          <w:szCs w:val="24"/>
          <w:lang w:eastAsia="en-GB"/>
        </w:rPr>
        <w:t>Employment</w:t>
      </w:r>
    </w:p>
    <w:p w14:paraId="35A1D293"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policy option A4 may increase employment due to the labour-intensive and complex nature of the demolition and reclamation processes. </w:t>
      </w:r>
    </w:p>
    <w:p w14:paraId="1C182E17" w14:textId="77777777" w:rsidR="004D45F1" w:rsidRDefault="004D45F1" w:rsidP="004D45F1">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 xml:space="preserve">Currently demolition, segregation and insulation foam recovery processes are largely mechanised and are not labour-intensive activities, although there are differences among Member States. </w:t>
      </w:r>
      <w:r>
        <w:rPr>
          <w:rFonts w:ascii="Times New Roman" w:eastAsia="Calibri" w:hAnsi="Times New Roman" w:cs="Times New Roman"/>
          <w:noProof/>
          <w:sz w:val="24"/>
          <w:szCs w:val="24"/>
        </w:rPr>
        <w:t>According to the literature</w:t>
      </w:r>
      <w:r>
        <w:rPr>
          <w:rStyle w:val="FootnoteReference"/>
          <w:rFonts w:eastAsia="Calibri"/>
          <w:noProof/>
          <w:sz w:val="24"/>
          <w:szCs w:val="24"/>
        </w:rPr>
        <w:footnoteReference w:id="128"/>
      </w:r>
      <w:r>
        <w:rPr>
          <w:rFonts w:ascii="Times New Roman" w:eastAsia="Calibri" w:hAnsi="Times New Roman" w:cs="Times New Roman"/>
          <w:noProof/>
          <w:sz w:val="24"/>
          <w:szCs w:val="24"/>
        </w:rPr>
        <w:t xml:space="preserve"> it is unlikely that recycling will add labour time (or cost). In fact, in many cases recycling would save time spent on waste management.</w:t>
      </w:r>
    </w:p>
    <w:p w14:paraId="66ACF647" w14:textId="77777777" w:rsidR="004D45F1" w:rsidRDefault="004D45F1" w:rsidP="004D45F1">
      <w:p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Foam insulation recycling accounts for a small part of the activities and it is difficult to isolate the current number of associated recovery jobs in the EU. However, as an example, a representative company for recycling refrigeration equipment interviewed has a revenue-employee ratio of 1.8 employees per million € of revenues. This would suggest creation of approximately 215 FTEs in the EU for the medium effort scenario, and 2,377 FTEs in the high effort scenario. </w:t>
      </w:r>
    </w:p>
    <w:p w14:paraId="1470FE67" w14:textId="77777777" w:rsidR="004D45F1" w:rsidRDefault="004D45F1" w:rsidP="004D45F1">
      <w:pPr>
        <w:rPr>
          <w:rFonts w:ascii="Calibri" w:eastAsia="Calibri" w:hAnsi="Calibri" w:cs="Times New Roman"/>
          <w:noProof/>
        </w:rPr>
      </w:pPr>
    </w:p>
    <w:p w14:paraId="4DDC6B84" w14:textId="77777777" w:rsidR="004D45F1" w:rsidRDefault="004D45F1" w:rsidP="004D45F1">
      <w:pPr>
        <w:rPr>
          <w:rFonts w:ascii="Calibri" w:eastAsia="Calibri" w:hAnsi="Calibri" w:cs="Times New Roman"/>
          <w:noProof/>
        </w:rPr>
      </w:pPr>
      <w:r>
        <w:rPr>
          <w:rFonts w:ascii="Calibri" w:eastAsia="Calibri" w:hAnsi="Calibri" w:cs="Times New Roman"/>
          <w:noProof/>
        </w:rPr>
        <w:br w:type="page"/>
      </w:r>
    </w:p>
    <w:p w14:paraId="1C158657" w14:textId="77777777" w:rsidR="004D45F1" w:rsidRDefault="004D45F1" w:rsidP="004D45F1">
      <w:pPr>
        <w:pStyle w:val="AnnexTitle"/>
        <w:rPr>
          <w:noProof/>
        </w:rPr>
      </w:pPr>
      <w:bookmarkStart w:id="405" w:name="_Toc71561887"/>
      <w:bookmarkStart w:id="406" w:name="_Toc71559450"/>
      <w:bookmarkStart w:id="407" w:name="_Toc93511490"/>
      <w:r w:rsidRPr="00AD73CF">
        <w:rPr>
          <w:rStyle w:val="AnnexTitleChar"/>
          <w:b/>
          <w:noProof/>
        </w:rPr>
        <w:t>Annex</w:t>
      </w:r>
      <w:r w:rsidRPr="00AD73CF">
        <w:rPr>
          <w:b w:val="0"/>
          <w:noProof/>
        </w:rPr>
        <w:t xml:space="preserve"> 7</w:t>
      </w:r>
      <w:r>
        <w:rPr>
          <w:noProof/>
        </w:rPr>
        <w:t>: List of clarifications needed in Regulation</w:t>
      </w:r>
      <w:bookmarkEnd w:id="405"/>
      <w:bookmarkEnd w:id="406"/>
      <w:bookmarkEnd w:id="407"/>
    </w:p>
    <w:tbl>
      <w:tblPr>
        <w:tblStyle w:val="DocumentTable1"/>
        <w:tblW w:w="8613" w:type="dxa"/>
        <w:tblLook w:val="04A0" w:firstRow="1" w:lastRow="0" w:firstColumn="1" w:lastColumn="0" w:noHBand="0" w:noVBand="1"/>
      </w:tblPr>
      <w:tblGrid>
        <w:gridCol w:w="8613"/>
      </w:tblGrid>
      <w:tr w:rsidR="004D45F1" w14:paraId="319C272C"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00CF73DA"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Clarify definition of destruction in relation to feedstock.</w:t>
            </w:r>
          </w:p>
        </w:tc>
      </w:tr>
      <w:tr w:rsidR="004D45F1" w14:paraId="26126E3D"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4E978692"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Add definition of non-refillable container.</w:t>
            </w:r>
          </w:p>
        </w:tc>
      </w:tr>
      <w:tr w:rsidR="004D45F1" w14:paraId="434205A7"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2C1BD834"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For non-refillable containers, in addition to placing on the market prohibit transport and possession, unless the containers are intended for laboratory and analytical use.</w:t>
            </w:r>
          </w:p>
        </w:tc>
      </w:tr>
      <w:tr w:rsidR="004D45F1" w14:paraId="5DC0C45F"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56DFAB70"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One incorrect reference has been identified in Article 15(2)(k) to Article 11(5) where it should be to Article 11(8).</w:t>
            </w:r>
          </w:p>
        </w:tc>
      </w:tr>
      <w:tr w:rsidR="004D45F1" w14:paraId="2639E2B8"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473A64CD"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 xml:space="preserve">Clarify the wording of Article 5(3) and make clear that both servicing of equipment with controlled substances and any other use of controlled substances, except for the uses exempted in other articles, are prohibited. </w:t>
            </w:r>
          </w:p>
        </w:tc>
      </w:tr>
      <w:tr w:rsidR="004D45F1" w14:paraId="50CF96EF"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15BB62F2" w14:textId="77777777" w:rsidR="004D45F1" w:rsidRDefault="004D45F1" w:rsidP="00AD73CF">
            <w:pPr>
              <w:pStyle w:val="ListParagraph"/>
              <w:numPr>
                <w:ilvl w:val="0"/>
                <w:numId w:val="46"/>
              </w:numPr>
              <w:jc w:val="both"/>
              <w:rPr>
                <w:rFonts w:ascii="Times New Roman" w:hAnsi="Times New Roman"/>
                <w:bCs/>
                <w:noProof/>
                <w:sz w:val="24"/>
                <w:szCs w:val="24"/>
              </w:rPr>
            </w:pPr>
            <w:r>
              <w:rPr>
                <w:rFonts w:ascii="Times New Roman" w:hAnsi="Times New Roman"/>
                <w:bCs/>
                <w:noProof/>
                <w:sz w:val="24"/>
                <w:szCs w:val="24"/>
              </w:rPr>
              <w:t>Clarify the links with additional airworthiness specifications: Refer to Regulation (EU) 2015/640</w:t>
            </w:r>
            <w:r>
              <w:rPr>
                <w:noProof/>
                <w:vertAlign w:val="superscript"/>
              </w:rPr>
              <w:footnoteReference w:id="129"/>
            </w:r>
            <w:r>
              <w:rPr>
                <w:rFonts w:ascii="Times New Roman" w:hAnsi="Times New Roman"/>
                <w:bCs/>
                <w:noProof/>
                <w:sz w:val="24"/>
                <w:szCs w:val="24"/>
              </w:rPr>
              <w:t xml:space="preserve">  (as amended by Implementing Regulation (EU) 2019/133</w:t>
            </w:r>
            <w:r>
              <w:rPr>
                <w:noProof/>
                <w:vertAlign w:val="superscript"/>
              </w:rPr>
              <w:footnoteReference w:id="130"/>
            </w:r>
            <w:r>
              <w:rPr>
                <w:rFonts w:ascii="Times New Roman" w:hAnsi="Times New Roman"/>
                <w:bCs/>
                <w:noProof/>
                <w:sz w:val="24"/>
                <w:szCs w:val="24"/>
              </w:rPr>
              <w:t>), prohibitions to use halons in lavatories from 18 May 2019 and in handheld fire extinguishers from 18 February 2020 in all newly produced large aeroplanes and large helicopters (“forward fit dates”)</w:t>
            </w:r>
          </w:p>
        </w:tc>
      </w:tr>
      <w:tr w:rsidR="004D45F1" w14:paraId="551B244C"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46DE316E"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Reference to Directive 91/414/EEC should be replaced by reference to new Regulation (EC) No 1107/2009 and reference to Directive 98/8/EC should be replaced by reference to new Regulation (EU) No 528/2012</w:t>
            </w:r>
          </w:p>
        </w:tc>
      </w:tr>
      <w:tr w:rsidR="004D45F1" w14:paraId="46477EA5"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0D4C6190"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eastAsia="Calibri" w:hAnsi="Times New Roman"/>
                <w:bCs/>
                <w:noProof/>
                <w:sz w:val="24"/>
                <w:szCs w:val="24"/>
              </w:rPr>
              <w:t>Replace references to Decision 1999/468/EC</w:t>
            </w:r>
            <w:r>
              <w:rPr>
                <w:rFonts w:ascii="Times New Roman" w:eastAsia="Calibri" w:hAnsi="Times New Roman"/>
                <w:noProof/>
                <w:sz w:val="24"/>
                <w:szCs w:val="24"/>
                <w:vertAlign w:val="superscript"/>
              </w:rPr>
              <w:footnoteReference w:id="131"/>
            </w:r>
            <w:r>
              <w:rPr>
                <w:rFonts w:ascii="Times New Roman" w:eastAsia="Calibri" w:hAnsi="Times New Roman"/>
                <w:bCs/>
                <w:noProof/>
                <w:sz w:val="24"/>
                <w:szCs w:val="24"/>
              </w:rPr>
              <w:t xml:space="preserve"> with Regulation (EU) No 182/2011</w:t>
            </w:r>
            <w:r>
              <w:rPr>
                <w:rFonts w:ascii="Times New Roman" w:eastAsia="Calibri" w:hAnsi="Times New Roman"/>
                <w:noProof/>
                <w:sz w:val="24"/>
                <w:szCs w:val="24"/>
                <w:vertAlign w:val="superscript"/>
              </w:rPr>
              <w:footnoteReference w:id="132"/>
            </w:r>
          </w:p>
        </w:tc>
      </w:tr>
      <w:tr w:rsidR="004D45F1" w14:paraId="032D0672"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3FD255A9"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Delete the reference to 15(2)(h) from Art. 17(2)(d), as imported ODS for destruction should not be allowed to be re-exported for destruction.</w:t>
            </w:r>
          </w:p>
        </w:tc>
      </w:tr>
      <w:tr w:rsidR="004D45F1" w14:paraId="15E0015C"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715CF2EA"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Adjust Article 23(1) so that it includes the specific terms of the obligation to limit ODS emissions, including during production, transport and storage and prohibits venting</w:t>
            </w:r>
          </w:p>
        </w:tc>
      </w:tr>
      <w:tr w:rsidR="004D45F1" w14:paraId="30720B9B"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4DA0E4B0"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Clarify (the obvious fact) that “products and equipment containing or relying on ozone depleting substances shall be decommissioned when they reach the end of their life”</w:t>
            </w:r>
          </w:p>
        </w:tc>
      </w:tr>
      <w:tr w:rsidR="004D45F1" w14:paraId="400C4A4A"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223400B8"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Simplify the leakage rules taking into account the general servicing ban on equipment and the fact that little relevant equipment remains.</w:t>
            </w:r>
          </w:p>
        </w:tc>
      </w:tr>
      <w:tr w:rsidR="004D45F1" w14:paraId="15243977" w14:textId="77777777" w:rsidTr="004D45F1">
        <w:tc>
          <w:tcPr>
            <w:tcW w:w="8613" w:type="dxa"/>
            <w:tcBorders>
              <w:top w:val="single" w:sz="4" w:space="0" w:color="auto"/>
              <w:left w:val="single" w:sz="4" w:space="0" w:color="auto"/>
              <w:bottom w:val="single" w:sz="4" w:space="0" w:color="auto"/>
              <w:right w:val="single" w:sz="4" w:space="0" w:color="auto"/>
            </w:tcBorders>
            <w:hideMark/>
          </w:tcPr>
          <w:p w14:paraId="328AE29C" w14:textId="77777777" w:rsidR="004D45F1" w:rsidRDefault="004D45F1" w:rsidP="00AD73CF">
            <w:pPr>
              <w:numPr>
                <w:ilvl w:val="0"/>
                <w:numId w:val="46"/>
              </w:numPr>
              <w:spacing w:before="120"/>
              <w:contextualSpacing/>
              <w:rPr>
                <w:rFonts w:ascii="Times New Roman" w:hAnsi="Times New Roman"/>
                <w:noProof/>
                <w:sz w:val="24"/>
                <w:szCs w:val="24"/>
              </w:rPr>
            </w:pPr>
            <w:r>
              <w:rPr>
                <w:rFonts w:ascii="Times New Roman" w:hAnsi="Times New Roman"/>
                <w:noProof/>
                <w:sz w:val="24"/>
                <w:szCs w:val="24"/>
              </w:rPr>
              <w:t xml:space="preserve">Delete obsolete provisions. </w:t>
            </w:r>
          </w:p>
        </w:tc>
      </w:tr>
    </w:tbl>
    <w:p w14:paraId="29BD45F3" w14:textId="77777777" w:rsidR="004D45F1" w:rsidRDefault="004D45F1" w:rsidP="004D45F1">
      <w:pPr>
        <w:spacing w:after="0" w:line="240" w:lineRule="auto"/>
        <w:rPr>
          <w:rFonts w:ascii="Times New Roman" w:eastAsia="Times New Roman" w:hAnsi="Times New Roman" w:cs="Times New Roman"/>
          <w:b/>
          <w:noProof/>
          <w:sz w:val="32"/>
          <w:szCs w:val="20"/>
        </w:rPr>
        <w:sectPr w:rsidR="004D45F1">
          <w:headerReference w:type="even" r:id="rId60"/>
          <w:headerReference w:type="default" r:id="rId61"/>
          <w:footerReference w:type="even" r:id="rId62"/>
          <w:footerReference w:type="default" r:id="rId63"/>
          <w:headerReference w:type="first" r:id="rId64"/>
          <w:footerReference w:type="first" r:id="rId65"/>
          <w:pgSz w:w="11906" w:h="16838"/>
          <w:pgMar w:top="1021" w:right="1701" w:bottom="1021" w:left="1588" w:header="601" w:footer="1077" w:gutter="0"/>
          <w:cols w:space="720"/>
        </w:sectPr>
      </w:pPr>
    </w:p>
    <w:p w14:paraId="5D314C33" w14:textId="77777777" w:rsidR="004D45F1" w:rsidRDefault="004D45F1" w:rsidP="004D45F1">
      <w:pPr>
        <w:pStyle w:val="AnnexTitle"/>
        <w:rPr>
          <w:noProof/>
        </w:rPr>
      </w:pPr>
      <w:bookmarkStart w:id="408" w:name="_Toc71561888"/>
      <w:bookmarkStart w:id="409" w:name="_Toc71559451"/>
      <w:bookmarkStart w:id="410" w:name="_Toc93511491"/>
      <w:r>
        <w:rPr>
          <w:rStyle w:val="AnnexTitleChar"/>
          <w:noProof/>
        </w:rPr>
        <w:t>Annex</w:t>
      </w:r>
      <w:r>
        <w:rPr>
          <w:noProof/>
        </w:rPr>
        <w:t xml:space="preserve"> 8: Measures and Intervention logic of Regulation (EC) No 1005/2009</w:t>
      </w:r>
      <w:bookmarkEnd w:id="408"/>
      <w:bookmarkEnd w:id="409"/>
      <w:bookmarkEnd w:id="410"/>
    </w:p>
    <w:tbl>
      <w:tblPr>
        <w:tblStyle w:val="Mainbidtables2"/>
        <w:tblW w:w="12994" w:type="dxa"/>
        <w:tblInd w:w="1289" w:type="dxa"/>
        <w:tblLook w:val="04A0" w:firstRow="1" w:lastRow="0" w:firstColumn="1" w:lastColumn="0" w:noHBand="0" w:noVBand="1"/>
      </w:tblPr>
      <w:tblGrid>
        <w:gridCol w:w="7891"/>
        <w:gridCol w:w="5103"/>
      </w:tblGrid>
      <w:tr w:rsidR="004D45F1" w14:paraId="39E40D0F" w14:textId="77777777" w:rsidTr="004D45F1">
        <w:trPr>
          <w:cnfStyle w:val="100000000000" w:firstRow="1" w:lastRow="0" w:firstColumn="0" w:lastColumn="0" w:oddVBand="0" w:evenVBand="0" w:oddHBand="0" w:evenHBand="0" w:firstRowFirstColumn="0" w:firstRowLastColumn="0" w:lastRowFirstColumn="0" w:lastRowLastColumn="0"/>
        </w:trPr>
        <w:tc>
          <w:tcPr>
            <w:tcW w:w="7891" w:type="dxa"/>
            <w:hideMark/>
          </w:tcPr>
          <w:p w14:paraId="474520F6" w14:textId="77777777" w:rsidR="004D45F1" w:rsidRDefault="004D45F1">
            <w:pPr>
              <w:spacing w:after="120"/>
              <w:ind w:left="171"/>
              <w:jc w:val="center"/>
              <w:rPr>
                <w:rFonts w:ascii="Calibri" w:eastAsia="Calibri" w:hAnsi="Calibri" w:cs="Calibri"/>
                <w:noProof/>
                <w:sz w:val="18"/>
                <w:szCs w:val="18"/>
              </w:rPr>
            </w:pPr>
            <w:r>
              <w:rPr>
                <w:rFonts w:ascii="Calibri" w:eastAsia="Calibri" w:hAnsi="Calibri" w:cs="Calibri"/>
                <w:noProof/>
                <w:sz w:val="18"/>
                <w:szCs w:val="18"/>
              </w:rPr>
              <w:t>Measure</w:t>
            </w:r>
          </w:p>
        </w:tc>
        <w:tc>
          <w:tcPr>
            <w:tcW w:w="5103" w:type="dxa"/>
            <w:hideMark/>
          </w:tcPr>
          <w:p w14:paraId="420E4E71" w14:textId="77777777" w:rsidR="004D45F1" w:rsidRDefault="004D45F1">
            <w:pPr>
              <w:spacing w:after="120"/>
              <w:ind w:left="199"/>
              <w:jc w:val="center"/>
              <w:rPr>
                <w:rFonts w:ascii="Calibri" w:eastAsia="Calibri" w:hAnsi="Calibri" w:cs="Calibri"/>
                <w:noProof/>
                <w:sz w:val="18"/>
                <w:szCs w:val="18"/>
              </w:rPr>
            </w:pPr>
            <w:r>
              <w:rPr>
                <w:rFonts w:ascii="Calibri" w:eastAsia="Calibri" w:hAnsi="Calibri" w:cs="Calibri"/>
                <w:noProof/>
                <w:sz w:val="18"/>
                <w:szCs w:val="18"/>
              </w:rPr>
              <w:t>Relevant Articles of the Ozone Regulation</w:t>
            </w:r>
          </w:p>
        </w:tc>
      </w:tr>
      <w:tr w:rsidR="004D45F1" w14:paraId="44BD65DF"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nil"/>
              <w:right w:val="single" w:sz="4" w:space="0" w:color="0055A0"/>
            </w:tcBorders>
            <w:hideMark/>
          </w:tcPr>
          <w:p w14:paraId="7CD5C147"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General prohibitions to produce, place on the market or use ODS as bulk or in products or equipment</w:t>
            </w:r>
          </w:p>
        </w:tc>
        <w:tc>
          <w:tcPr>
            <w:tcW w:w="5103" w:type="dxa"/>
            <w:tcBorders>
              <w:top w:val="nil"/>
              <w:left w:val="single" w:sz="4" w:space="0" w:color="0055A0"/>
              <w:bottom w:val="nil"/>
              <w:right w:val="single" w:sz="4" w:space="0" w:color="0055A0"/>
            </w:tcBorders>
            <w:hideMark/>
          </w:tcPr>
          <w:p w14:paraId="2F64AFEA"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Articles 4-6 prohibiting production, placing on the market and use of all ODS in Annex I (e.g. CFCs, HCFCs, halons, methyl bromide,..) including in products and equipment</w:t>
            </w:r>
          </w:p>
        </w:tc>
      </w:tr>
      <w:tr w:rsidR="004D45F1" w14:paraId="1151DEE0" w14:textId="77777777" w:rsidTr="004D45F1">
        <w:trPr>
          <w:cnfStyle w:val="000000010000" w:firstRow="0" w:lastRow="0" w:firstColumn="0" w:lastColumn="0" w:oddVBand="0" w:evenVBand="0" w:oddHBand="0" w:evenHBand="1" w:firstRowFirstColumn="0" w:firstRowLastColumn="0" w:lastRowFirstColumn="0" w:lastRowLastColumn="0"/>
        </w:trPr>
        <w:tc>
          <w:tcPr>
            <w:tcW w:w="7891" w:type="dxa"/>
            <w:tcBorders>
              <w:top w:val="nil"/>
              <w:left w:val="single" w:sz="4" w:space="0" w:color="0055A0"/>
              <w:bottom w:val="nil"/>
            </w:tcBorders>
            <w:hideMark/>
          </w:tcPr>
          <w:p w14:paraId="30F9E8E4"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 xml:space="preserve">Exemptions from the general prohibition </w:t>
            </w:r>
          </w:p>
        </w:tc>
        <w:tc>
          <w:tcPr>
            <w:tcW w:w="5103" w:type="dxa"/>
            <w:tcBorders>
              <w:top w:val="nil"/>
              <w:bottom w:val="nil"/>
              <w:right w:val="single" w:sz="4" w:space="0" w:color="0055A0"/>
            </w:tcBorders>
            <w:hideMark/>
          </w:tcPr>
          <w:p w14:paraId="7E68343D"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In relation to:</w:t>
            </w:r>
          </w:p>
          <w:p w14:paraId="7EA8F7F3"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7: Feedstock uses</w:t>
            </w:r>
          </w:p>
          <w:p w14:paraId="333D25C8"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8: Process Agent uses</w:t>
            </w:r>
          </w:p>
          <w:p w14:paraId="4BDF30EA"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9: Destruction and Reclamation</w:t>
            </w:r>
          </w:p>
          <w:p w14:paraId="4C6450E2"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10: Laboratory and analytical uses</w:t>
            </w:r>
          </w:p>
          <w:p w14:paraId="3F7FB9B4"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12: Methyl bromide emergency use</w:t>
            </w:r>
          </w:p>
          <w:p w14:paraId="220412CC" w14:textId="77777777" w:rsidR="004D45F1" w:rsidRDefault="004D45F1">
            <w:pPr>
              <w:ind w:left="198"/>
              <w:jc w:val="both"/>
              <w:rPr>
                <w:rFonts w:ascii="Calibri" w:eastAsia="Calibri" w:hAnsi="Calibri" w:cs="Calibri"/>
                <w:noProof/>
                <w:sz w:val="18"/>
                <w:szCs w:val="18"/>
              </w:rPr>
            </w:pPr>
            <w:r>
              <w:rPr>
                <w:rFonts w:ascii="Calibri" w:eastAsia="Calibri" w:hAnsi="Calibri" w:cs="Calibri"/>
                <w:noProof/>
                <w:sz w:val="18"/>
                <w:szCs w:val="18"/>
              </w:rPr>
              <w:t>Article 13: Critical halon uses</w:t>
            </w:r>
          </w:p>
        </w:tc>
      </w:tr>
      <w:tr w:rsidR="004D45F1" w14:paraId="586562E5"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nil"/>
              <w:right w:val="single" w:sz="4" w:space="0" w:color="0055A0"/>
            </w:tcBorders>
            <w:hideMark/>
          </w:tcPr>
          <w:p w14:paraId="0CDFE4C9"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Prohibitions on trade (import export) unless related to exempted uses, as well as licensing requirements for trade</w:t>
            </w:r>
          </w:p>
        </w:tc>
        <w:tc>
          <w:tcPr>
            <w:tcW w:w="5103" w:type="dxa"/>
            <w:tcBorders>
              <w:top w:val="nil"/>
              <w:left w:val="single" w:sz="4" w:space="0" w:color="0055A0"/>
              <w:bottom w:val="nil"/>
              <w:right w:val="single" w:sz="4" w:space="0" w:color="0055A0"/>
            </w:tcBorders>
            <w:hideMark/>
          </w:tcPr>
          <w:p w14:paraId="0458A959"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Articles 15, 17 and  18</w:t>
            </w:r>
          </w:p>
        </w:tc>
      </w:tr>
      <w:tr w:rsidR="004D45F1" w14:paraId="4AF14D67" w14:textId="77777777" w:rsidTr="004D45F1">
        <w:trPr>
          <w:cnfStyle w:val="000000010000" w:firstRow="0" w:lastRow="0" w:firstColumn="0" w:lastColumn="0" w:oddVBand="0" w:evenVBand="0" w:oddHBand="0" w:evenHBand="1" w:firstRowFirstColumn="0" w:firstRowLastColumn="0" w:lastRowFirstColumn="0" w:lastRowLastColumn="0"/>
        </w:trPr>
        <w:tc>
          <w:tcPr>
            <w:tcW w:w="7891" w:type="dxa"/>
            <w:tcBorders>
              <w:top w:val="nil"/>
              <w:left w:val="single" w:sz="4" w:space="0" w:color="0055A0"/>
              <w:bottom w:val="nil"/>
            </w:tcBorders>
            <w:hideMark/>
          </w:tcPr>
          <w:p w14:paraId="448FC16F"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Quota limitations related to the exempted uses</w:t>
            </w:r>
          </w:p>
        </w:tc>
        <w:tc>
          <w:tcPr>
            <w:tcW w:w="5103" w:type="dxa"/>
            <w:tcBorders>
              <w:top w:val="nil"/>
              <w:bottom w:val="nil"/>
              <w:right w:val="single" w:sz="4" w:space="0" w:color="0055A0"/>
            </w:tcBorders>
            <w:hideMark/>
          </w:tcPr>
          <w:p w14:paraId="59FC9BC9"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16</w:t>
            </w:r>
          </w:p>
        </w:tc>
      </w:tr>
      <w:tr w:rsidR="004D45F1" w14:paraId="4B6AB1E7"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nil"/>
              <w:right w:val="single" w:sz="4" w:space="0" w:color="0055A0"/>
            </w:tcBorders>
            <w:hideMark/>
          </w:tcPr>
          <w:p w14:paraId="26334B07"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 xml:space="preserve">Registration requirements for laboratory and analytical uses </w:t>
            </w:r>
          </w:p>
        </w:tc>
        <w:tc>
          <w:tcPr>
            <w:tcW w:w="5103" w:type="dxa"/>
            <w:tcBorders>
              <w:top w:val="nil"/>
              <w:left w:val="single" w:sz="4" w:space="0" w:color="0055A0"/>
              <w:bottom w:val="nil"/>
              <w:right w:val="single" w:sz="4" w:space="0" w:color="0055A0"/>
            </w:tcBorders>
            <w:hideMark/>
          </w:tcPr>
          <w:p w14:paraId="18D20085"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10</w:t>
            </w:r>
          </w:p>
        </w:tc>
      </w:tr>
      <w:tr w:rsidR="004D45F1" w14:paraId="41115829" w14:textId="77777777" w:rsidTr="004D45F1">
        <w:trPr>
          <w:cnfStyle w:val="000000010000" w:firstRow="0" w:lastRow="0" w:firstColumn="0" w:lastColumn="0" w:oddVBand="0" w:evenVBand="0" w:oddHBand="0" w:evenHBand="1" w:firstRowFirstColumn="0" w:firstRowLastColumn="0" w:lastRowFirstColumn="0" w:lastRowLastColumn="0"/>
        </w:trPr>
        <w:tc>
          <w:tcPr>
            <w:tcW w:w="7891" w:type="dxa"/>
            <w:tcBorders>
              <w:top w:val="nil"/>
              <w:left w:val="single" w:sz="4" w:space="0" w:color="0055A0"/>
              <w:bottom w:val="nil"/>
            </w:tcBorders>
            <w:hideMark/>
          </w:tcPr>
          <w:p w14:paraId="5737BE9D"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Technical requirements for labelling that are mirroring the exemptions</w:t>
            </w:r>
          </w:p>
        </w:tc>
        <w:tc>
          <w:tcPr>
            <w:tcW w:w="5103" w:type="dxa"/>
            <w:tcBorders>
              <w:top w:val="nil"/>
              <w:bottom w:val="nil"/>
              <w:right w:val="single" w:sz="4" w:space="0" w:color="0055A0"/>
            </w:tcBorders>
            <w:hideMark/>
          </w:tcPr>
          <w:p w14:paraId="109862C2"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7, 8, 10, and 11</w:t>
            </w:r>
          </w:p>
        </w:tc>
      </w:tr>
      <w:tr w:rsidR="004D45F1" w14:paraId="5D962647"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nil"/>
              <w:right w:val="single" w:sz="4" w:space="0" w:color="0055A0"/>
            </w:tcBorders>
            <w:hideMark/>
          </w:tcPr>
          <w:p w14:paraId="516FF2C3"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 xml:space="preserve">Recovery and destruction </w:t>
            </w:r>
          </w:p>
        </w:tc>
        <w:tc>
          <w:tcPr>
            <w:tcW w:w="5103" w:type="dxa"/>
            <w:tcBorders>
              <w:top w:val="nil"/>
              <w:left w:val="single" w:sz="4" w:space="0" w:color="0055A0"/>
              <w:bottom w:val="nil"/>
              <w:right w:val="single" w:sz="4" w:space="0" w:color="0055A0"/>
            </w:tcBorders>
            <w:hideMark/>
          </w:tcPr>
          <w:p w14:paraId="4EC102D3"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22, Annex VII</w:t>
            </w:r>
          </w:p>
        </w:tc>
      </w:tr>
      <w:tr w:rsidR="004D45F1" w14:paraId="6DD19702" w14:textId="77777777" w:rsidTr="004D45F1">
        <w:trPr>
          <w:cnfStyle w:val="000000010000" w:firstRow="0" w:lastRow="0" w:firstColumn="0" w:lastColumn="0" w:oddVBand="0" w:evenVBand="0" w:oddHBand="0" w:evenHBand="1" w:firstRowFirstColumn="0" w:firstRowLastColumn="0" w:lastRowFirstColumn="0" w:lastRowLastColumn="0"/>
        </w:trPr>
        <w:tc>
          <w:tcPr>
            <w:tcW w:w="7891" w:type="dxa"/>
            <w:tcBorders>
              <w:top w:val="nil"/>
              <w:left w:val="single" w:sz="4" w:space="0" w:color="0055A0"/>
              <w:bottom w:val="nil"/>
            </w:tcBorders>
            <w:hideMark/>
          </w:tcPr>
          <w:p w14:paraId="64475286"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 xml:space="preserve">Obligations to prevent leakage and emissions  </w:t>
            </w:r>
          </w:p>
        </w:tc>
        <w:tc>
          <w:tcPr>
            <w:tcW w:w="5103" w:type="dxa"/>
            <w:tcBorders>
              <w:top w:val="nil"/>
              <w:bottom w:val="nil"/>
              <w:right w:val="single" w:sz="4" w:space="0" w:color="0055A0"/>
            </w:tcBorders>
            <w:hideMark/>
          </w:tcPr>
          <w:p w14:paraId="1F35CBA1"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23</w:t>
            </w:r>
          </w:p>
        </w:tc>
      </w:tr>
      <w:tr w:rsidR="004D45F1" w14:paraId="1DC3FD60"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nil"/>
              <w:right w:val="single" w:sz="4" w:space="0" w:color="0055A0"/>
            </w:tcBorders>
            <w:hideMark/>
          </w:tcPr>
          <w:p w14:paraId="1C9B186C"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Obligations on Member States to conduct inspections  and have penalties</w:t>
            </w:r>
          </w:p>
        </w:tc>
        <w:tc>
          <w:tcPr>
            <w:tcW w:w="5103" w:type="dxa"/>
            <w:tcBorders>
              <w:top w:val="nil"/>
              <w:left w:val="single" w:sz="4" w:space="0" w:color="0055A0"/>
              <w:bottom w:val="nil"/>
              <w:right w:val="single" w:sz="4" w:space="0" w:color="0055A0"/>
            </w:tcBorders>
            <w:hideMark/>
          </w:tcPr>
          <w:p w14:paraId="0504A1E8"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28 and 29</w:t>
            </w:r>
          </w:p>
        </w:tc>
      </w:tr>
      <w:tr w:rsidR="004D45F1" w14:paraId="51669AB5" w14:textId="77777777" w:rsidTr="004D45F1">
        <w:trPr>
          <w:cnfStyle w:val="000000010000" w:firstRow="0" w:lastRow="0" w:firstColumn="0" w:lastColumn="0" w:oddVBand="0" w:evenVBand="0" w:oddHBand="0" w:evenHBand="1" w:firstRowFirstColumn="0" w:firstRowLastColumn="0" w:lastRowFirstColumn="0" w:lastRowLastColumn="0"/>
        </w:trPr>
        <w:tc>
          <w:tcPr>
            <w:tcW w:w="7891" w:type="dxa"/>
            <w:tcBorders>
              <w:top w:val="nil"/>
              <w:left w:val="single" w:sz="4" w:space="0" w:color="0055A0"/>
              <w:bottom w:val="nil"/>
            </w:tcBorders>
            <w:hideMark/>
          </w:tcPr>
          <w:p w14:paraId="02DC1948"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 xml:space="preserve">Reporting requirements for EU Member States and undertakings (including illegal trade) </w:t>
            </w:r>
          </w:p>
        </w:tc>
        <w:tc>
          <w:tcPr>
            <w:tcW w:w="5103" w:type="dxa"/>
            <w:tcBorders>
              <w:top w:val="nil"/>
              <w:bottom w:val="nil"/>
              <w:right w:val="single" w:sz="4" w:space="0" w:color="0055A0"/>
            </w:tcBorders>
            <w:hideMark/>
          </w:tcPr>
          <w:p w14:paraId="50C2849F"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26</w:t>
            </w:r>
          </w:p>
        </w:tc>
      </w:tr>
      <w:tr w:rsidR="004D45F1" w14:paraId="1460DD64" w14:textId="77777777" w:rsidTr="004D45F1">
        <w:trPr>
          <w:cnfStyle w:val="000000100000" w:firstRow="0" w:lastRow="0" w:firstColumn="0" w:lastColumn="0" w:oddVBand="0" w:evenVBand="0" w:oddHBand="1" w:evenHBand="0" w:firstRowFirstColumn="0" w:firstRowLastColumn="0" w:lastRowFirstColumn="0" w:lastRowLastColumn="0"/>
        </w:trPr>
        <w:tc>
          <w:tcPr>
            <w:tcW w:w="7891" w:type="dxa"/>
            <w:tcBorders>
              <w:top w:val="nil"/>
              <w:left w:val="single" w:sz="4" w:space="0" w:color="0055A0"/>
              <w:bottom w:val="single" w:sz="4" w:space="0" w:color="0055A0"/>
              <w:right w:val="single" w:sz="4" w:space="0" w:color="0055A0"/>
            </w:tcBorders>
            <w:hideMark/>
          </w:tcPr>
          <w:p w14:paraId="684A0584" w14:textId="77777777" w:rsidR="004D45F1" w:rsidRDefault="004D45F1">
            <w:pPr>
              <w:spacing w:after="120"/>
              <w:ind w:left="171"/>
              <w:jc w:val="both"/>
              <w:rPr>
                <w:rFonts w:ascii="Calibri" w:eastAsia="Calibri" w:hAnsi="Calibri" w:cs="Calibri"/>
                <w:noProof/>
                <w:sz w:val="18"/>
                <w:szCs w:val="18"/>
              </w:rPr>
            </w:pPr>
            <w:r>
              <w:rPr>
                <w:rFonts w:ascii="Calibri" w:eastAsia="Calibri" w:hAnsi="Calibri" w:cs="Calibri"/>
                <w:noProof/>
                <w:sz w:val="18"/>
                <w:szCs w:val="18"/>
              </w:rPr>
              <w:t>Company reporting on ODS</w:t>
            </w:r>
          </w:p>
        </w:tc>
        <w:tc>
          <w:tcPr>
            <w:tcW w:w="5103" w:type="dxa"/>
            <w:tcBorders>
              <w:top w:val="nil"/>
              <w:left w:val="single" w:sz="4" w:space="0" w:color="0055A0"/>
              <w:bottom w:val="single" w:sz="4" w:space="0" w:color="0055A0"/>
              <w:right w:val="single" w:sz="4" w:space="0" w:color="0055A0"/>
            </w:tcBorders>
            <w:hideMark/>
          </w:tcPr>
          <w:p w14:paraId="7AC28B24" w14:textId="77777777" w:rsidR="004D45F1" w:rsidRDefault="004D45F1">
            <w:pPr>
              <w:spacing w:after="120"/>
              <w:ind w:left="199"/>
              <w:jc w:val="both"/>
              <w:rPr>
                <w:rFonts w:ascii="Calibri" w:eastAsia="Calibri" w:hAnsi="Calibri" w:cs="Calibri"/>
                <w:noProof/>
                <w:sz w:val="18"/>
                <w:szCs w:val="18"/>
              </w:rPr>
            </w:pPr>
            <w:r>
              <w:rPr>
                <w:rFonts w:ascii="Calibri" w:eastAsia="Calibri" w:hAnsi="Calibri" w:cs="Calibri"/>
                <w:noProof/>
                <w:sz w:val="18"/>
                <w:szCs w:val="18"/>
              </w:rPr>
              <w:t>Article 27</w:t>
            </w:r>
          </w:p>
        </w:tc>
      </w:tr>
    </w:tbl>
    <w:p w14:paraId="6319FBCD" w14:textId="77777777" w:rsidR="004D45F1" w:rsidRDefault="004D45F1" w:rsidP="004D45F1">
      <w:pPr>
        <w:rPr>
          <w:rFonts w:ascii="Calibri" w:eastAsia="Calibri" w:hAnsi="Calibri" w:cs="Times New Roman"/>
          <w:noProof/>
        </w:rPr>
      </w:pPr>
      <w:r>
        <w:rPr>
          <w:noProof/>
          <w:lang w:eastAsia="en-GB"/>
        </w:rPr>
        <w:drawing>
          <wp:anchor distT="0" distB="0" distL="114300" distR="114300" simplePos="0" relativeHeight="251659264" behindDoc="0" locked="0" layoutInCell="1" allowOverlap="1" wp14:anchorId="183490BB" wp14:editId="33A10E56">
            <wp:simplePos x="0" y="0"/>
            <wp:positionH relativeFrom="column">
              <wp:align>center</wp:align>
            </wp:positionH>
            <wp:positionV relativeFrom="paragraph">
              <wp:posOffset>3810</wp:posOffset>
            </wp:positionV>
            <wp:extent cx="8164830" cy="5652135"/>
            <wp:effectExtent l="0" t="0" r="762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64830" cy="5652135"/>
                    </a:xfrm>
                    <a:prstGeom prst="rect">
                      <a:avLst/>
                    </a:prstGeom>
                    <a:noFill/>
                  </pic:spPr>
                </pic:pic>
              </a:graphicData>
            </a:graphic>
            <wp14:sizeRelH relativeFrom="margin">
              <wp14:pctWidth>0</wp14:pctWidth>
            </wp14:sizeRelH>
            <wp14:sizeRelV relativeFrom="margin">
              <wp14:pctHeight>0</wp14:pctHeight>
            </wp14:sizeRelV>
          </wp:anchor>
        </w:drawing>
      </w:r>
    </w:p>
    <w:p w14:paraId="76DDC355" w14:textId="77777777" w:rsidR="004D45F1" w:rsidRDefault="004D45F1" w:rsidP="004D45F1">
      <w:pPr>
        <w:spacing w:after="0"/>
        <w:rPr>
          <w:rFonts w:ascii="Calibri" w:eastAsia="Calibri" w:hAnsi="Calibri" w:cs="Times New Roman"/>
          <w:noProof/>
        </w:rPr>
        <w:sectPr w:rsidR="004D45F1">
          <w:headerReference w:type="even" r:id="rId67"/>
          <w:headerReference w:type="default" r:id="rId68"/>
          <w:footerReference w:type="even" r:id="rId69"/>
          <w:footerReference w:type="default" r:id="rId70"/>
          <w:headerReference w:type="first" r:id="rId71"/>
          <w:footerReference w:type="first" r:id="rId72"/>
          <w:pgSz w:w="16838" w:h="11906" w:orient="landscape"/>
          <w:pgMar w:top="1588" w:right="1021" w:bottom="1701" w:left="1021" w:header="601" w:footer="1077" w:gutter="0"/>
          <w:cols w:space="720"/>
        </w:sectPr>
      </w:pPr>
    </w:p>
    <w:p w14:paraId="349B883E" w14:textId="77777777" w:rsidR="004D45F1" w:rsidRDefault="004D45F1" w:rsidP="004D45F1">
      <w:pPr>
        <w:pStyle w:val="AnnexTitle"/>
        <w:rPr>
          <w:noProof/>
        </w:rPr>
      </w:pPr>
      <w:bookmarkStart w:id="411" w:name="_Toc93511492"/>
      <w:r w:rsidRPr="00AD73CF">
        <w:rPr>
          <w:rStyle w:val="AnnexTitleChar"/>
          <w:b/>
          <w:noProof/>
        </w:rPr>
        <w:t>Annex</w:t>
      </w:r>
      <w:r>
        <w:rPr>
          <w:noProof/>
        </w:rPr>
        <w:t xml:space="preserve"> 9: List of discarded options</w:t>
      </w:r>
      <w:bookmarkEnd w:id="411"/>
    </w:p>
    <w:p w14:paraId="4DC68FCF" w14:textId="77777777" w:rsidR="004D45F1" w:rsidRDefault="004D45F1" w:rsidP="004D45F1">
      <w:pPr>
        <w:spacing w:after="120"/>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A9.1 Discarded options regarding the exempted uses</w:t>
      </w:r>
    </w:p>
    <w:p w14:paraId="5587D782"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Impose strict maximum limit for use and placing on the market for feedstock uses. </w:t>
      </w:r>
      <w:r>
        <w:rPr>
          <w:rFonts w:ascii="Times New Roman" w:eastAsia="Calibri" w:hAnsi="Times New Roman" w:cs="Times New Roman"/>
          <w:noProof/>
          <w:sz w:val="24"/>
          <w:szCs w:val="24"/>
        </w:rPr>
        <w:t>Such a general requirement, in the absence of viable alternatives, will result in a restriction of the production in the installations where such feedstock is used. This may result in relocation of the affected chemical production processes outside of the EU, with potentially very high economic impacts. This would not lead to any environmental gains, as emissions would result elsewhere and very likely under less strict controls. For the impact assessment, it was decided to investigate the option A2 further, namely a list of only those processes where alternatives appear to be available.</w:t>
      </w:r>
    </w:p>
    <w:p w14:paraId="576371DD"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Introduce emissions controls on feedstocks (and process agents).</w:t>
      </w:r>
      <w:r>
        <w:rPr>
          <w:rFonts w:ascii="Times New Roman" w:eastAsia="Calibri" w:hAnsi="Times New Roman" w:cs="Times New Roman"/>
          <w:noProof/>
          <w:sz w:val="24"/>
          <w:szCs w:val="24"/>
        </w:rPr>
        <w:t xml:space="preserve"> This option was regarded as a possible duplication of emission control systems under the Industrial Emissions Directive (IED). Some provisions in the IED already apply to some ODS (Annex I) producers, users of ODS (Annex I) as feedstock and destruction companies. ODS are addressed in some BAT document, but a more general consideration there could be useful. The reduction of emissions of ODS (Annex I) from feedstock and process agent uses could therefore be regulated further under the IED as appropriate, rather than through new provisions introduced under the Regulation.</w:t>
      </w:r>
    </w:p>
    <w:p w14:paraId="1D140ABF" w14:textId="77777777" w:rsidR="004D45F1" w:rsidRDefault="004D45F1" w:rsidP="00AD73CF">
      <w:pPr>
        <w:numPr>
          <w:ilvl w:val="0"/>
          <w:numId w:val="47"/>
        </w:numPr>
        <w:spacing w:after="120"/>
        <w:ind w:left="426" w:hanging="426"/>
        <w:jc w:val="both"/>
        <w:rPr>
          <w:rFonts w:ascii="Times New Roman" w:eastAsia="Calibri" w:hAnsi="Times New Roman" w:cs="Times New Roman"/>
          <w:i/>
          <w:noProof/>
          <w:sz w:val="24"/>
          <w:szCs w:val="24"/>
        </w:rPr>
      </w:pPr>
      <w:r>
        <w:rPr>
          <w:rFonts w:ascii="Times New Roman" w:eastAsia="Calibri" w:hAnsi="Times New Roman" w:cs="Times New Roman"/>
          <w:b/>
          <w:noProof/>
          <w:sz w:val="24"/>
          <w:szCs w:val="24"/>
        </w:rPr>
        <w:t xml:space="preserve">Introduce a prohibition date for process agents. </w:t>
      </w:r>
      <w:r>
        <w:rPr>
          <w:rFonts w:ascii="Times New Roman" w:eastAsia="Calibri" w:hAnsi="Times New Roman" w:cs="Times New Roman"/>
          <w:noProof/>
          <w:sz w:val="24"/>
          <w:szCs w:val="24"/>
        </w:rPr>
        <w:t xml:space="preserve">This option would likely have significant negative economic impacts for the few businesses concerned since it would directly restrict their highly specialised business activity and could lead to closure of plants. Considering the low quantities being used by EU undertakings and corresponding emissions (yearly emissions amount to circa 4-5 tODP), a complete ban of these processes appears not cost-effective. </w:t>
      </w:r>
    </w:p>
    <w:p w14:paraId="24ED0499"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Impose a lower maximum limit for laboratory and analytical uses.</w:t>
      </w:r>
      <w:r>
        <w:rPr>
          <w:rFonts w:ascii="Times New Roman" w:eastAsia="Calibri" w:hAnsi="Times New Roman" w:cs="Times New Roman"/>
          <w:noProof/>
          <w:sz w:val="24"/>
          <w:szCs w:val="24"/>
        </w:rPr>
        <w:t xml:space="preserve"> This option would have technically constrained business activity due to the limited availability of alternatives, particularly the use as reference material. </w:t>
      </w:r>
    </w:p>
    <w:p w14:paraId="33D638CD"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Require a permit for destruction of halons. </w:t>
      </w:r>
      <w:r>
        <w:rPr>
          <w:rFonts w:ascii="Times New Roman" w:eastAsia="Calibri" w:hAnsi="Times New Roman" w:cs="Times New Roman"/>
          <w:noProof/>
          <w:sz w:val="24"/>
          <w:szCs w:val="24"/>
        </w:rPr>
        <w:t xml:space="preserve">This option would require destruction facilities to request a permit for destruction of halons including a proof that reclamation back to specification standards is not possible, e.g. due to technical issues based on the low purity of the product and excessive costs for multiple distillation processes. The destruction facility would have to check the purity of the halon in question first, and then either apply for permit (if certain criteria appear to be met) or return the halon back to the supplier. Further taking into the account the need to issue permits by competent authorities, this option was expected to entail excessive costs for the destruction facility and the authorities. </w:t>
      </w:r>
    </w:p>
    <w:p w14:paraId="3C4DD46F"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Permit the use of mixtures containing HCFCs as an alternative to halons when non-ODS alternatives do not exist.</w:t>
      </w:r>
      <w:r>
        <w:rPr>
          <w:rFonts w:ascii="Times New Roman" w:eastAsia="Calibri" w:hAnsi="Times New Roman" w:cs="Times New Roman"/>
          <w:noProof/>
          <w:sz w:val="24"/>
          <w:szCs w:val="24"/>
        </w:rPr>
        <w:t xml:space="preserve"> Mixtures containing HCFCs could be suitable alternatives to halons for firefighting, as both GWP and ODP are lower, but are currently not allowed under the Regulation. However, such an option would not be in line with the current requirements set by the Montreal Protocol, which allows servicing only (not first fill) for fire equipment already in use by 1 January 2020 (and only until 2030). Stakeholders indicated that the number of corresponding equipment falling into this category might be very low, if existent at all, which is why this option was discarded. Should these rules under the Protocol change in the future, a flexibility clause in the Regulation would help to capitalise on such developments (see option D3). </w:t>
      </w:r>
    </w:p>
    <w:p w14:paraId="10DB7680" w14:textId="77777777" w:rsidR="004D45F1" w:rsidRDefault="004D45F1" w:rsidP="004D45F1">
      <w:pPr>
        <w:spacing w:after="120"/>
        <w:jc w:val="both"/>
        <w:rPr>
          <w:rFonts w:ascii="Times New Roman" w:eastAsia="Calibri" w:hAnsi="Times New Roman" w:cs="Times New Roman"/>
          <w:i/>
          <w:noProof/>
          <w:sz w:val="24"/>
          <w:szCs w:val="24"/>
        </w:rPr>
      </w:pPr>
      <w:r>
        <w:rPr>
          <w:rFonts w:ascii="Times New Roman" w:eastAsia="Calibri" w:hAnsi="Times New Roman" w:cs="Times New Roman"/>
          <w:i/>
          <w:iCs/>
          <w:noProof/>
          <w:sz w:val="24"/>
          <w:szCs w:val="24"/>
        </w:rPr>
        <w:t>A9.2 Discarded options related to emission prevention from equipment using ODS:</w:t>
      </w:r>
    </w:p>
    <w:p w14:paraId="4E5DCD9D"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Align qualification requirements for with the F-gas Regulation</w:t>
      </w:r>
      <w:r>
        <w:rPr>
          <w:rFonts w:ascii="Times New Roman" w:eastAsia="Calibri" w:hAnsi="Times New Roman" w:cs="Times New Roman"/>
          <w:noProof/>
          <w:sz w:val="24"/>
          <w:szCs w:val="24"/>
        </w:rPr>
        <w:t xml:space="preserve"> for personnel that is involved in handling refrigeration, air-conditioning and heat pump equipment, including at the end of useful life, i.e. leakage checking, recovery and decommissioning. However, such equipment still containing or relying on ODS (Annex I) after 2020 is very small. Furthermore such ODS equipment is very likely serviced and decommissioned by the same personnel as F-gas equipment, which would therefore already be sufficiently trained and certified. Close alignment would require relevant Commission Implementing Regulations related to the F-gas Regulation to be adjusted and, at Member State level, national vocational systems would need to be changed to reflect these changes. This appears disproportionate to the small remaining quantities. </w:t>
      </w:r>
    </w:p>
    <w:p w14:paraId="7FA5D3F4"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Move (some) substances from Annex II Part B to Part A.</w:t>
      </w:r>
      <w:r>
        <w:rPr>
          <w:rFonts w:ascii="Times New Roman" w:eastAsia="Calibri" w:hAnsi="Times New Roman" w:cs="Times New Roman"/>
          <w:noProof/>
          <w:sz w:val="24"/>
          <w:szCs w:val="24"/>
        </w:rPr>
        <w:t xml:space="preserve"> This options would mean prohibiting these new ODS except for the exempted uses. The largest quantities of these substances are used for feedstock, in which case the option would have no effect as feedstock uses are exempted. However, some of these substances such as methyl chloride appear to be used as solvents, for which the availability of technically and economically feasible alternatives is uncertain. Others are already banned for such use under REACH (n-propyl bromide). As there does not appear any immediate environmental gains from this option while there might be some complications, this option was not retained.  </w:t>
      </w:r>
    </w:p>
    <w:p w14:paraId="17C12244"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Include ODS not yet covered under the Ozone Regulation directly in Annex II Part A</w:t>
      </w:r>
      <w:r>
        <w:rPr>
          <w:rFonts w:ascii="Times New Roman" w:eastAsia="Calibri" w:hAnsi="Times New Roman" w:cs="Times New Roman"/>
          <w:noProof/>
          <w:sz w:val="24"/>
          <w:szCs w:val="24"/>
        </w:rPr>
        <w:t xml:space="preserve">, i.e. prohibiting them except for exempted uses. This was not retained as more information would need to be collected first on quantities, their uses and their relevance for the EU industry to justify such a requirement. </w:t>
      </w:r>
    </w:p>
    <w:p w14:paraId="674C5076" w14:textId="77777777" w:rsidR="004D45F1" w:rsidRDefault="004D45F1" w:rsidP="004D45F1">
      <w:pPr>
        <w:spacing w:after="120"/>
        <w:ind w:left="426" w:hanging="426"/>
        <w:rPr>
          <w:rFonts w:ascii="Times New Roman" w:eastAsia="Calibri" w:hAnsi="Times New Roman" w:cs="Times New Roman"/>
          <w:i/>
          <w:noProof/>
          <w:sz w:val="24"/>
          <w:szCs w:val="24"/>
        </w:rPr>
      </w:pPr>
      <w:r>
        <w:rPr>
          <w:rFonts w:ascii="Times New Roman" w:eastAsia="Calibri" w:hAnsi="Times New Roman" w:cs="Times New Roman"/>
          <w:i/>
          <w:iCs/>
          <w:noProof/>
          <w:sz w:val="24"/>
          <w:szCs w:val="24"/>
        </w:rPr>
        <w:t>A9.3 Discarded options related to achieving more efficiency</w:t>
      </w:r>
    </w:p>
    <w:p w14:paraId="75B79CD3"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Simplify the registration system for laboratories. </w:t>
      </w:r>
      <w:r>
        <w:rPr>
          <w:rFonts w:ascii="Times New Roman" w:eastAsia="Calibri" w:hAnsi="Times New Roman" w:cs="Times New Roman"/>
          <w:noProof/>
          <w:sz w:val="24"/>
          <w:szCs w:val="24"/>
        </w:rPr>
        <w:t xml:space="preserve">This option introduces </w:t>
      </w:r>
      <w:r>
        <w:rPr>
          <w:rFonts w:ascii="Times New Roman" w:eastAsia="Calibri" w:hAnsi="Times New Roman" w:cs="Times New Roman"/>
          <w:i/>
          <w:iCs/>
          <w:noProof/>
          <w:sz w:val="24"/>
          <w:szCs w:val="24"/>
        </w:rPr>
        <w:t xml:space="preserve">de minimis </w:t>
      </w:r>
      <w:r>
        <w:rPr>
          <w:rFonts w:ascii="Times New Roman" w:eastAsia="Calibri" w:hAnsi="Times New Roman" w:cs="Times New Roman"/>
          <w:noProof/>
          <w:sz w:val="24"/>
          <w:szCs w:val="24"/>
        </w:rPr>
        <w:t xml:space="preserve">thresholds for registration to lower the number of affected low-scale users. However, if the coverage is incomplete and a diversion of ODS can thus not be excluded, there seems to be little advantage to the option of abolishing the registration altogether and achieve higher cost savings (option B4). </w:t>
      </w:r>
    </w:p>
    <w:p w14:paraId="20084251"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Introduce a </w:t>
      </w:r>
      <w:r>
        <w:rPr>
          <w:rFonts w:ascii="Times New Roman" w:eastAsia="Calibri" w:hAnsi="Times New Roman" w:cs="Times New Roman"/>
          <w:b/>
          <w:i/>
          <w:noProof/>
          <w:sz w:val="24"/>
          <w:szCs w:val="24"/>
        </w:rPr>
        <w:t>de minimis</w:t>
      </w:r>
      <w:r>
        <w:rPr>
          <w:rFonts w:ascii="Times New Roman" w:eastAsia="Calibri" w:hAnsi="Times New Roman" w:cs="Times New Roman"/>
          <w:b/>
          <w:noProof/>
          <w:sz w:val="24"/>
          <w:szCs w:val="24"/>
        </w:rPr>
        <w:t xml:space="preserve"> for the annual quota allocation process</w:t>
      </w:r>
      <w:r>
        <w:rPr>
          <w:rFonts w:ascii="Times New Roman" w:eastAsia="Calibri" w:hAnsi="Times New Roman" w:cs="Times New Roman"/>
          <w:noProof/>
          <w:sz w:val="24"/>
          <w:szCs w:val="24"/>
        </w:rPr>
        <w:t xml:space="preserve"> that would still require annual quota allocation by large-scale importers, but would exempt transactions dealing with small amounts. Such a hybrid system would not achieve a lot of control or provide an incentive for using alternatives and is due to lower savings on balance not preferable to the complete abolishment of quotas (option B5). </w:t>
      </w:r>
    </w:p>
    <w:p w14:paraId="77E4D40C"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Add a requirement for customs to close licenses </w:t>
      </w:r>
      <w:r>
        <w:rPr>
          <w:rFonts w:ascii="Times New Roman" w:eastAsia="Calibri" w:hAnsi="Times New Roman" w:cs="Times New Roman"/>
          <w:noProof/>
          <w:sz w:val="24"/>
          <w:szCs w:val="24"/>
        </w:rPr>
        <w:t>to ensure that the licenses of ODS shipments are checked</w:t>
      </w:r>
      <w:r>
        <w:rPr>
          <w:rFonts w:ascii="Times New Roman" w:eastAsia="Calibri" w:hAnsi="Times New Roman" w:cs="Times New Roman"/>
          <w:b/>
          <w:noProof/>
          <w:sz w:val="24"/>
          <w:szCs w:val="24"/>
        </w:rPr>
        <w:t>.</w:t>
      </w:r>
      <w:r>
        <w:rPr>
          <w:rFonts w:ascii="Times New Roman" w:eastAsia="Calibri" w:hAnsi="Times New Roman" w:cs="Times New Roman"/>
          <w:noProof/>
          <w:sz w:val="24"/>
          <w:szCs w:val="24"/>
        </w:rPr>
        <w:t xml:space="preserve"> This was not retained as this option would add to the administrative burden for customs and it becomes obsolete as soon as the EU-Single Environment for Customs is operable and mandatory in all Member States.</w:t>
      </w:r>
    </w:p>
    <w:p w14:paraId="20A7BA29"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Add requirements for customs to liaise with competent authorities where appropriate</w:t>
      </w:r>
      <w:r>
        <w:rPr>
          <w:rFonts w:ascii="Times New Roman" w:eastAsia="Calibri" w:hAnsi="Times New Roman" w:cs="Times New Roman"/>
          <w:noProof/>
          <w:sz w:val="24"/>
          <w:szCs w:val="24"/>
        </w:rPr>
        <w:t xml:space="preserve">. This was not retained as this option would add to the administrative burden for customs and it becomes obsolete as soon as the EU-Single Environment for Customs is operable (i.e. custom offices and competent authorities are connected to the ODS Licensing System) and mandatory in all Member States. </w:t>
      </w:r>
    </w:p>
    <w:p w14:paraId="5D9D7CA7"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Add additional labelling requirements.</w:t>
      </w:r>
      <w:r>
        <w:rPr>
          <w:rFonts w:ascii="Times New Roman" w:eastAsia="Calibri" w:hAnsi="Times New Roman" w:cs="Times New Roman"/>
          <w:noProof/>
          <w:sz w:val="24"/>
          <w:szCs w:val="24"/>
        </w:rPr>
        <w:t xml:space="preserve"> ODS have to be labelled under the CLP Regulation by indicating the name of substance and the hazard phrase that it is damaging the ozone layer. Noting that the EU Single Window Environment for Custom will include information on the substances of a licence, the requirement to introduce an additional labelling scheme appears to be not needed. </w:t>
      </w:r>
    </w:p>
    <w:p w14:paraId="7DC3F0A0" w14:textId="77777777"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Establish a barcode system for bulk gases</w:t>
      </w:r>
      <w:r>
        <w:rPr>
          <w:rFonts w:ascii="Times New Roman" w:eastAsia="Calibri" w:hAnsi="Times New Roman" w:cs="Times New Roman"/>
          <w:noProof/>
          <w:sz w:val="24"/>
          <w:szCs w:val="24"/>
        </w:rPr>
        <w:t xml:space="preserve"> to allow digitised tracking of shipments as a means of controlling illegal trade. As the implementation of such a system in all 27 EU Member States would likely involve a high administrative burden and costs for customs and economic operators of the whole supply chain, this option was discarded. </w:t>
      </w:r>
    </w:p>
    <w:p w14:paraId="60F321C9" w14:textId="77777777" w:rsidR="004D45F1" w:rsidRDefault="004D45F1" w:rsidP="004D45F1">
      <w:pPr>
        <w:spacing w:after="120"/>
        <w:jc w:val="both"/>
        <w:rPr>
          <w:rFonts w:ascii="Times New Roman" w:eastAsia="Calibri" w:hAnsi="Times New Roman" w:cs="Times New Roman"/>
          <w:i/>
          <w:noProof/>
          <w:sz w:val="24"/>
          <w:szCs w:val="24"/>
        </w:rPr>
      </w:pPr>
      <w:r>
        <w:rPr>
          <w:rFonts w:ascii="Times New Roman" w:eastAsia="Calibri" w:hAnsi="Times New Roman" w:cs="Times New Roman"/>
          <w:i/>
          <w:iCs/>
          <w:noProof/>
          <w:sz w:val="24"/>
          <w:szCs w:val="24"/>
        </w:rPr>
        <w:t>A9.4 Discarded options related to better monitoring</w:t>
      </w:r>
    </w:p>
    <w:p w14:paraId="6A63F901" w14:textId="5FCFC865" w:rsidR="004D45F1" w:rsidRDefault="004D45F1" w:rsidP="00AD73CF">
      <w:pPr>
        <w:numPr>
          <w:ilvl w:val="0"/>
          <w:numId w:val="47"/>
        </w:numPr>
        <w:spacing w:after="120"/>
        <w:ind w:left="426" w:hanging="426"/>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Require emissions data collection from remaining ODS banks by Member States. </w:t>
      </w:r>
      <w:r>
        <w:rPr>
          <w:rFonts w:ascii="Times New Roman" w:eastAsia="Calibri" w:hAnsi="Times New Roman" w:cs="Times New Roman"/>
          <w:noProof/>
          <w:sz w:val="24"/>
          <w:szCs w:val="24"/>
        </w:rPr>
        <w:t xml:space="preserve">The main remaining ODS equipment reaching its end of useful life today are foams used in construction of buildings in the past. Collecting data systematically is difficult and costly due to the disperse and widespread use of these foams. Sustained leakage is also expected from landfills, where a requirement to measure in a systematic </w:t>
      </w:r>
      <w:r w:rsidR="005522F3">
        <w:rPr>
          <w:rFonts w:ascii="Times New Roman" w:eastAsia="Calibri" w:hAnsi="Times New Roman" w:cs="Times New Roman"/>
          <w:noProof/>
          <w:sz w:val="24"/>
          <w:szCs w:val="24"/>
        </w:rPr>
        <w:t>fashion would</w:t>
      </w:r>
      <w:r>
        <w:rPr>
          <w:rFonts w:ascii="Times New Roman" w:eastAsia="Calibri" w:hAnsi="Times New Roman" w:cs="Times New Roman"/>
          <w:noProof/>
          <w:sz w:val="24"/>
          <w:szCs w:val="24"/>
        </w:rPr>
        <w:t xml:space="preserve"> similarly be disproportionate. One-off surveys are probably a more appropriate approach to gather such data and do not require a legal basis. </w:t>
      </w:r>
    </w:p>
    <w:p w14:paraId="1854852A"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Add minimum reporting limits for laboratory and analytical uses. </w:t>
      </w:r>
      <w:r>
        <w:rPr>
          <w:rFonts w:ascii="Times New Roman" w:eastAsia="Calibri" w:hAnsi="Times New Roman" w:cs="Times New Roman"/>
          <w:noProof/>
          <w:sz w:val="24"/>
          <w:szCs w:val="24"/>
        </w:rPr>
        <w:t>This option was not retained as it would not be in line with reporting requirements of the Protocol.</w:t>
      </w:r>
    </w:p>
    <w:p w14:paraId="7D856203"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Require registration for ODS suppliers, users and destruction facilities</w:t>
      </w:r>
      <w:r>
        <w:rPr>
          <w:rFonts w:ascii="Times New Roman" w:eastAsia="Calibri" w:hAnsi="Times New Roman" w:cs="Times New Roman"/>
          <w:noProof/>
          <w:sz w:val="24"/>
          <w:szCs w:val="24"/>
        </w:rPr>
        <w:t xml:space="preserve"> as well as prohibiting the sale to a non-registered entity. This option would involve mandatory record keeping on names of purchaser, quantities supplied to the purchaser and reason of the purchase. Given the likely additional administrative burden for companies, national authorities and the EC, this option was screened out.</w:t>
      </w:r>
    </w:p>
    <w:p w14:paraId="010E116B"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Add unsaturated hydrochlorofluorocarbons (HCFOs) for monitoring purposes. </w:t>
      </w:r>
      <w:r>
        <w:rPr>
          <w:rFonts w:ascii="Times New Roman" w:eastAsia="Calibri" w:hAnsi="Times New Roman" w:cs="Times New Roman"/>
          <w:noProof/>
          <w:sz w:val="24"/>
          <w:szCs w:val="24"/>
        </w:rPr>
        <w:t>As some of these substances belonging to this group are already monitored under the F-gas Regulation, it seems more appropriate to consider the inclusion for monitoring of any other gas belonging to that group there.</w:t>
      </w:r>
    </w:p>
    <w:p w14:paraId="13BEE0F5" w14:textId="77777777" w:rsidR="004D45F1" w:rsidRDefault="004D45F1" w:rsidP="00AD73CF">
      <w:pPr>
        <w:numPr>
          <w:ilvl w:val="0"/>
          <w:numId w:val="47"/>
        </w:numPr>
        <w:spacing w:after="120"/>
        <w:ind w:left="426" w:hanging="426"/>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Add a criteria based on ODP for an automatic inclusion of substance for monitoring. </w:t>
      </w:r>
      <w:r>
        <w:rPr>
          <w:rFonts w:ascii="Times New Roman" w:eastAsia="Calibri" w:hAnsi="Times New Roman" w:cs="Times New Roman"/>
          <w:noProof/>
          <w:sz w:val="24"/>
          <w:szCs w:val="24"/>
        </w:rPr>
        <w:t>This option would include all substances with a certain ODP automatically in Annex II Part B. Inclusion of some ODS that are not yet covered under the Ozone Regulation might require reporting by many undertakings that are not yet registered in the reporting system. Also, there are substances such as N</w:t>
      </w:r>
      <w:r>
        <w:rPr>
          <w:rFonts w:ascii="Times New Roman" w:eastAsia="Calibri" w:hAnsi="Times New Roman" w:cs="Times New Roman"/>
          <w:noProof/>
          <w:sz w:val="24"/>
          <w:szCs w:val="24"/>
          <w:vertAlign w:val="subscript"/>
        </w:rPr>
        <w:t>2</w:t>
      </w:r>
      <w:r>
        <w:rPr>
          <w:rFonts w:ascii="Times New Roman" w:eastAsia="Calibri" w:hAnsi="Times New Roman" w:cs="Times New Roman"/>
          <w:noProof/>
          <w:sz w:val="24"/>
          <w:szCs w:val="24"/>
        </w:rPr>
        <w:t xml:space="preserve">O, which have an ODP, but are used in completely different sectors alien to those the Ozone Regulation (e.g. agriculture and natural sources for N2O) and where the measures of the Regulation are ill suited to address these. An automatic inclusion would therefore have unwanted and unforeseen circumstances. </w:t>
      </w:r>
    </w:p>
    <w:p w14:paraId="1CC8DB7E" w14:textId="77777777" w:rsidR="004D45F1" w:rsidRDefault="004D45F1" w:rsidP="004D45F1">
      <w:pPr>
        <w:jc w:val="center"/>
        <w:rPr>
          <w:rFonts w:ascii="Calibri" w:eastAsia="Calibri" w:hAnsi="Calibri" w:cs="Times New Roman"/>
          <w:b/>
          <w:i/>
          <w:noProof/>
        </w:rPr>
      </w:pPr>
    </w:p>
    <w:p w14:paraId="60993080" w14:textId="77777777" w:rsidR="004D45F1" w:rsidRDefault="004D45F1" w:rsidP="004D45F1">
      <w:pPr>
        <w:jc w:val="center"/>
        <w:rPr>
          <w:rFonts w:ascii="Calibri" w:eastAsia="Calibri" w:hAnsi="Calibri" w:cs="Times New Roman"/>
          <w:b/>
          <w:i/>
          <w:noProof/>
        </w:rPr>
      </w:pPr>
    </w:p>
    <w:p w14:paraId="6FE677C6" w14:textId="77777777" w:rsidR="004D45F1" w:rsidRDefault="004D45F1" w:rsidP="004D45F1">
      <w:pPr>
        <w:jc w:val="center"/>
        <w:rPr>
          <w:rFonts w:ascii="Calibri" w:eastAsia="Calibri" w:hAnsi="Calibri" w:cs="Times New Roman"/>
          <w:b/>
          <w:i/>
          <w:noProof/>
        </w:rPr>
      </w:pPr>
    </w:p>
    <w:p w14:paraId="778DE435" w14:textId="77777777" w:rsidR="004D45F1" w:rsidRDefault="004D45F1" w:rsidP="004D45F1">
      <w:pPr>
        <w:rPr>
          <w:rFonts w:ascii="Calibri" w:eastAsia="Calibri" w:hAnsi="Calibri" w:cs="Times New Roman"/>
          <w:b/>
          <w:i/>
          <w:noProof/>
        </w:rPr>
      </w:pPr>
      <w:r>
        <w:rPr>
          <w:rFonts w:ascii="Calibri" w:eastAsia="Calibri" w:hAnsi="Calibri" w:cs="Times New Roman"/>
          <w:b/>
          <w:i/>
          <w:noProof/>
        </w:rPr>
        <w:br w:type="page"/>
      </w:r>
    </w:p>
    <w:p w14:paraId="1978BA12" w14:textId="77777777" w:rsidR="004D45F1" w:rsidRDefault="004D45F1" w:rsidP="004D45F1">
      <w:pPr>
        <w:pStyle w:val="AnnexTitle"/>
        <w:rPr>
          <w:noProof/>
        </w:rPr>
      </w:pPr>
      <w:bookmarkStart w:id="412" w:name="_Toc93511493"/>
      <w:r w:rsidRPr="00AD73CF">
        <w:rPr>
          <w:rStyle w:val="AnnexTitleChar"/>
          <w:b/>
          <w:noProof/>
        </w:rPr>
        <w:t>Annex</w:t>
      </w:r>
      <w:r w:rsidRPr="00AD73CF">
        <w:rPr>
          <w:b w:val="0"/>
          <w:noProof/>
        </w:rPr>
        <w:t xml:space="preserve"> </w:t>
      </w:r>
      <w:r>
        <w:rPr>
          <w:noProof/>
        </w:rPr>
        <w:t>10: Visual aid showing the links between the problems identified, relevant drivers and individual measures to address the problems</w:t>
      </w:r>
      <w:bookmarkEnd w:id="412"/>
    </w:p>
    <w:p w14:paraId="4786FEE8" w14:textId="77777777" w:rsidR="004D45F1" w:rsidRDefault="00AD73CF" w:rsidP="004D45F1">
      <w:pPr>
        <w:rPr>
          <w:rFonts w:ascii="Calibri" w:eastAsia="Calibri" w:hAnsi="Calibri" w:cs="Times New Roman"/>
          <w:b/>
          <w:i/>
          <w:noProof/>
        </w:rPr>
      </w:pPr>
      <w:r>
        <w:rPr>
          <w:noProof/>
          <w:lang w:eastAsia="en-GB"/>
        </w:rPr>
        <mc:AlternateContent>
          <mc:Choice Requires="wps">
            <w:drawing>
              <wp:anchor distT="0" distB="0" distL="114300" distR="114300" simplePos="0" relativeHeight="251666432" behindDoc="0" locked="0" layoutInCell="1" allowOverlap="1" wp14:anchorId="44AFD250" wp14:editId="282427A6">
                <wp:simplePos x="0" y="0"/>
                <wp:positionH relativeFrom="column">
                  <wp:posOffset>2722044</wp:posOffset>
                </wp:positionH>
                <wp:positionV relativeFrom="paragraph">
                  <wp:posOffset>5665671</wp:posOffset>
                </wp:positionV>
                <wp:extent cx="2585720" cy="1752600"/>
                <wp:effectExtent l="0" t="0" r="24130" b="19050"/>
                <wp:wrapNone/>
                <wp:docPr id="31" name="Text Box 31"/>
                <wp:cNvGraphicFramePr/>
                <a:graphic xmlns:a="http://schemas.openxmlformats.org/drawingml/2006/main">
                  <a:graphicData uri="http://schemas.microsoft.com/office/word/2010/wordprocessingShape">
                    <wps:wsp>
                      <wps:cNvSpPr txBox="1"/>
                      <wps:spPr>
                        <a:xfrm>
                          <a:off x="0" y="0"/>
                          <a:ext cx="2585720" cy="1752600"/>
                        </a:xfrm>
                        <a:prstGeom prst="rect">
                          <a:avLst/>
                        </a:prstGeom>
                        <a:solidFill>
                          <a:schemeClr val="lt1"/>
                        </a:solidFill>
                        <a:ln w="6350">
                          <a:solidFill>
                            <a:prstClr val="black"/>
                          </a:solidFill>
                        </a:ln>
                      </wps:spPr>
                      <wps:txbx>
                        <w:txbxContent>
                          <w:p w14:paraId="41AE0F47" w14:textId="77777777" w:rsidR="000B4FC1" w:rsidRDefault="000B4FC1" w:rsidP="004D45F1">
                            <w:r>
                              <w:rPr>
                                <w:highlight w:val="yellow"/>
                              </w:rPr>
                              <w:t>Policy Option 1</w:t>
                            </w:r>
                          </w:p>
                          <w:p w14:paraId="4D8CEE89" w14:textId="77777777" w:rsidR="000B4FC1" w:rsidRDefault="000B4FC1" w:rsidP="004D45F1">
                            <w:r>
                              <w:rPr>
                                <w:highlight w:val="green"/>
                              </w:rPr>
                              <w:t>Policy Option 2</w:t>
                            </w:r>
                            <w:r>
                              <w:t xml:space="preserve">: also includes </w:t>
                            </w:r>
                            <w:r>
                              <w:rPr>
                                <w:highlight w:val="yellow"/>
                              </w:rPr>
                              <w:t xml:space="preserve">PO1 </w:t>
                            </w:r>
                            <w:r>
                              <w:t>measures</w:t>
                            </w:r>
                          </w:p>
                          <w:p w14:paraId="32A7CC25" w14:textId="77777777" w:rsidR="000B4FC1" w:rsidRDefault="000B4FC1" w:rsidP="004D45F1">
                            <w:r>
                              <w:rPr>
                                <w:highlight w:val="red"/>
                              </w:rPr>
                              <w:t>Policy Option 3</w:t>
                            </w:r>
                            <w:r>
                              <w:t xml:space="preserve">: also includes </w:t>
                            </w:r>
                            <w:r>
                              <w:rPr>
                                <w:highlight w:val="yellow"/>
                              </w:rPr>
                              <w:t>PO1</w:t>
                            </w:r>
                            <w:r>
                              <w:t xml:space="preserve"> and </w:t>
                            </w:r>
                            <w:r>
                              <w:rPr>
                                <w:highlight w:val="green"/>
                              </w:rPr>
                              <w:t>PO2</w:t>
                            </w:r>
                            <w:r>
                              <w:t xml:space="preserve"> measures </w:t>
                            </w:r>
                          </w:p>
                          <w:p w14:paraId="6A4F8121" w14:textId="77777777" w:rsidR="000B4FC1" w:rsidRDefault="000B4FC1" w:rsidP="004D45F1">
                            <w:pPr>
                              <w:rPr>
                                <w:sz w:val="16"/>
                                <w:szCs w:val="16"/>
                              </w:rPr>
                            </w:pPr>
                            <w:r>
                              <w:rPr>
                                <w:sz w:val="16"/>
                                <w:szCs w:val="16"/>
                              </w:rPr>
                              <w:t>n.b.: Measure A1 is more ambitious for PO2 and PO3, compared to PO1, as it also includes laminated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D250" id="Text Box 31" o:spid="_x0000_s1028" type="#_x0000_t202" style="position:absolute;margin-left:214.35pt;margin-top:446.1pt;width:203.6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" fillcolor="white [3201]" strokeweight=".5pt">
                <v:textbox>
                  <w:txbxContent>
                    <w:p w14:paraId="41AE0F47" w14:textId="77777777" w:rsidR="000B4FC1" w:rsidRDefault="000B4FC1" w:rsidP="004D45F1">
                      <w:r>
                        <w:rPr>
                          <w:highlight w:val="yellow"/>
                        </w:rPr>
                        <w:t>Policy Option 1</w:t>
                      </w:r>
                    </w:p>
                    <w:p w14:paraId="4D8CEE89" w14:textId="77777777" w:rsidR="000B4FC1" w:rsidRDefault="000B4FC1" w:rsidP="004D45F1">
                      <w:r>
                        <w:rPr>
                          <w:highlight w:val="green"/>
                        </w:rPr>
                        <w:t>Policy Option 2</w:t>
                      </w:r>
                      <w:r>
                        <w:t xml:space="preserve">: also includes </w:t>
                      </w:r>
                      <w:r>
                        <w:rPr>
                          <w:highlight w:val="yellow"/>
                        </w:rPr>
                        <w:t xml:space="preserve">PO1 </w:t>
                      </w:r>
                      <w:r>
                        <w:t>measures</w:t>
                      </w:r>
                    </w:p>
                    <w:p w14:paraId="32A7CC25" w14:textId="77777777" w:rsidR="000B4FC1" w:rsidRDefault="000B4FC1" w:rsidP="004D45F1">
                      <w:r>
                        <w:rPr>
                          <w:highlight w:val="red"/>
                        </w:rPr>
                        <w:t>Policy Option 3</w:t>
                      </w:r>
                      <w:r>
                        <w:t xml:space="preserve">: also includes </w:t>
                      </w:r>
                      <w:r>
                        <w:rPr>
                          <w:highlight w:val="yellow"/>
                        </w:rPr>
                        <w:t>PO1</w:t>
                      </w:r>
                      <w:r>
                        <w:t xml:space="preserve"> and </w:t>
                      </w:r>
                      <w:r>
                        <w:rPr>
                          <w:highlight w:val="green"/>
                        </w:rPr>
                        <w:t>PO2</w:t>
                      </w:r>
                      <w:r>
                        <w:t xml:space="preserve"> measures </w:t>
                      </w:r>
                    </w:p>
                    <w:p w14:paraId="6A4F8121" w14:textId="77777777" w:rsidR="000B4FC1" w:rsidRDefault="000B4FC1" w:rsidP="004D45F1">
                      <w:pPr>
                        <w:rPr>
                          <w:sz w:val="16"/>
                          <w:szCs w:val="16"/>
                        </w:rPr>
                      </w:pPr>
                      <w:r>
                        <w:rPr>
                          <w:sz w:val="16"/>
                          <w:szCs w:val="16"/>
                        </w:rPr>
                        <w:t>n.b.: Measure A1 is more ambitious for PO2 and PO3, compared to PO1, as it also includes laminated boards</w:t>
                      </w:r>
                    </w:p>
                  </w:txbxContent>
                </v:textbox>
              </v:shape>
            </w:pict>
          </mc:Fallback>
        </mc:AlternateContent>
      </w:r>
      <w:r w:rsidR="004D45F1">
        <w:rPr>
          <w:noProof/>
          <w:lang w:eastAsia="en-GB"/>
        </w:rPr>
        <mc:AlternateContent>
          <mc:Choice Requires="wpg">
            <w:drawing>
              <wp:anchor distT="0" distB="0" distL="114300" distR="114300" simplePos="0" relativeHeight="251665408" behindDoc="0" locked="0" layoutInCell="1" allowOverlap="1" wp14:anchorId="0E11C3F4" wp14:editId="5A972767">
                <wp:simplePos x="0" y="0"/>
                <wp:positionH relativeFrom="column">
                  <wp:posOffset>3957955</wp:posOffset>
                </wp:positionH>
                <wp:positionV relativeFrom="paragraph">
                  <wp:posOffset>289560</wp:posOffset>
                </wp:positionV>
                <wp:extent cx="1514475" cy="5196205"/>
                <wp:effectExtent l="0" t="0" r="28575" b="23495"/>
                <wp:wrapNone/>
                <wp:docPr id="30" name="Group 30"/>
                <wp:cNvGraphicFramePr/>
                <a:graphic xmlns:a="http://schemas.openxmlformats.org/drawingml/2006/main">
                  <a:graphicData uri="http://schemas.microsoft.com/office/word/2010/wordprocessingGroup">
                    <wpg:wgp>
                      <wpg:cNvGrpSpPr/>
                      <wpg:grpSpPr>
                        <a:xfrm>
                          <a:off x="0" y="0"/>
                          <a:ext cx="1514475" cy="5195570"/>
                          <a:chOff x="0" y="0"/>
                          <a:chExt cx="1514792" cy="5195888"/>
                        </a:xfrm>
                      </wpg:grpSpPr>
                      <wps:wsp>
                        <wps:cNvPr id="32" name="Rectangle 32"/>
                        <wps:cNvSpPr/>
                        <wps:spPr>
                          <a:xfrm>
                            <a:off x="23812" y="0"/>
                            <a:ext cx="1490980" cy="228600"/>
                          </a:xfrm>
                          <a:prstGeom prst="rect">
                            <a:avLst/>
                          </a:prstGeom>
                          <a:solidFill>
                            <a:srgbClr val="FFFF00">
                              <a:alpha val="3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3812" y="1657350"/>
                            <a:ext cx="1490663" cy="228600"/>
                          </a:xfrm>
                          <a:prstGeom prst="rect">
                            <a:avLst/>
                          </a:prstGeom>
                          <a:solidFill>
                            <a:srgbClr val="FFFF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3812" y="2124075"/>
                            <a:ext cx="1490663" cy="685800"/>
                          </a:xfrm>
                          <a:prstGeom prst="rect">
                            <a:avLst/>
                          </a:prstGeom>
                          <a:solidFill>
                            <a:srgbClr val="FFFF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812" y="3148013"/>
                            <a:ext cx="1490663" cy="228600"/>
                          </a:xfrm>
                          <a:prstGeom prst="rect">
                            <a:avLst/>
                          </a:prstGeom>
                          <a:solidFill>
                            <a:srgbClr val="FFFF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9525" y="3676650"/>
                            <a:ext cx="1504632" cy="228600"/>
                          </a:xfrm>
                          <a:prstGeom prst="rect">
                            <a:avLst/>
                          </a:prstGeom>
                          <a:solidFill>
                            <a:srgbClr val="FFFF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4914900"/>
                            <a:ext cx="1490662" cy="280988"/>
                          </a:xfrm>
                          <a:prstGeom prst="rect">
                            <a:avLst/>
                          </a:prstGeom>
                          <a:solidFill>
                            <a:srgbClr val="FFFF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3812" y="704850"/>
                            <a:ext cx="1490663" cy="228600"/>
                          </a:xfrm>
                          <a:prstGeom prst="rect">
                            <a:avLst/>
                          </a:prstGeom>
                          <a:solidFill>
                            <a:srgbClr val="00B05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812" y="1885950"/>
                            <a:ext cx="1490663" cy="228600"/>
                          </a:xfrm>
                          <a:prstGeom prst="rect">
                            <a:avLst/>
                          </a:prstGeom>
                          <a:solidFill>
                            <a:srgbClr val="00B05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3812" y="3905250"/>
                            <a:ext cx="1490663" cy="714375"/>
                          </a:xfrm>
                          <a:prstGeom prst="rect">
                            <a:avLst/>
                          </a:prstGeom>
                          <a:solidFill>
                            <a:srgbClr val="00B05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3812" y="3376613"/>
                            <a:ext cx="1490663" cy="300037"/>
                          </a:xfrm>
                          <a:prstGeom prst="rect">
                            <a:avLst/>
                          </a:prstGeom>
                          <a:solidFill>
                            <a:srgbClr val="00B05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3812" y="233363"/>
                            <a:ext cx="1490663" cy="471487"/>
                          </a:xfrm>
                          <a:prstGeom prst="rect">
                            <a:avLst/>
                          </a:prstGeom>
                          <a:solidFill>
                            <a:srgbClr val="C000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3812" y="933450"/>
                            <a:ext cx="1490663" cy="228600"/>
                          </a:xfrm>
                          <a:prstGeom prst="rect">
                            <a:avLst/>
                          </a:prstGeom>
                          <a:solidFill>
                            <a:srgbClr val="C00000">
                              <a:alpha val="3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00220" id="Group 30" o:spid="_x0000_s1026" style="position:absolute;margin-left:311.65pt;margin-top:22.8pt;width:119.25pt;height:409.15pt;z-index:251665408" coordsize="15147,5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">
                <v:rect id="Rectangle 32" o:spid="_x0000_s1027" style="position:absolute;left:238;width:149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" fillcolor="yellow" strokecolor="#243f60 [1604]" strokeweight="2pt">
                  <v:fill opacity="19789f"/>
                </v:rect>
                <v:rect id="Rectangle 33" o:spid="_x0000_s1028" style="position:absolute;left:238;top:16573;width:149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" fillcolor="yellow" strokecolor="#41719c" strokeweight="1pt">
                  <v:fill opacity="19789f"/>
                </v:rect>
                <v:rect id="Rectangle 34" o:spid="_x0000_s1029" style="position:absolute;left:238;top:21240;width:1490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" fillcolor="yellow" strokecolor="#41719c" strokeweight="1pt">
                  <v:fill opacity="19789f"/>
                </v:rect>
                <v:rect id="Rectangle 35" o:spid="_x0000_s1030" style="position:absolute;left:238;top:31480;width:149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" fillcolor="yellow" strokecolor="#41719c" strokeweight="1pt">
                  <v:fill opacity="19789f"/>
                </v:rect>
                <v:rect id="Rectangle 36" o:spid="_x0000_s1031" style="position:absolute;left:95;top:36766;width:150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" fillcolor="yellow" strokecolor="#41719c" strokeweight="1pt">
                  <v:fill opacity="19789f"/>
                </v:rect>
                <v:rect id="Rectangle 37" o:spid="_x0000_s1032" style="position:absolute;top:49149;width:14906;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" fillcolor="yellow" strokecolor="#41719c" strokeweight="1pt">
                  <v:fill opacity="19789f"/>
                </v:rect>
                <v:rect id="Rectangle 38" o:spid="_x0000_s1033" style="position:absolute;left:238;top:7048;width:149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" fillcolor="#00b050" strokecolor="#41719c" strokeweight="1pt">
                  <v:fill opacity="19789f"/>
                </v:rect>
                <v:rect id="Rectangle 39" o:spid="_x0000_s1034" style="position:absolute;left:238;top:18859;width:149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" fillcolor="#00b050" strokecolor="#41719c" strokeweight="1pt">
                  <v:fill opacity="19789f"/>
                </v:rect>
                <v:rect id="Rectangle 40" o:spid="_x0000_s1035" style="position:absolute;left:238;top:39052;width:14906;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" fillcolor="#00b050" strokecolor="#41719c" strokeweight="1pt">
                  <v:fill opacity="19789f"/>
                </v:rect>
                <v:rect id="Rectangle 41" o:spid="_x0000_s1036" style="position:absolute;left:238;top:33766;width:1490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" fillcolor="#00b050" strokecolor="#41719c" strokeweight="1pt">
                  <v:fill opacity="19789f"/>
                </v:rect>
                <v:rect id="Rectangle 42" o:spid="_x0000_s1037" style="position:absolute;left:238;top:2333;width:14906;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" fillcolor="#c00000" strokecolor="#41719c" strokeweight="1pt">
                  <v:fill opacity="19789f"/>
                </v:rect>
                <v:rect id="Rectangle 43" o:spid="_x0000_s1038" style="position:absolute;left:238;top:9334;width:149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" fillcolor="#c00000" strokecolor="#41719c" strokeweight="1pt">
                  <v:fill opacity="19789f"/>
                </v:rect>
              </v:group>
            </w:pict>
          </mc:Fallback>
        </mc:AlternateContent>
      </w:r>
      <w:r w:rsidR="004D45F1">
        <w:rPr>
          <w:rFonts w:ascii="Times New Roman" w:eastAsia="Calibri" w:hAnsi="Times New Roman" w:cs="Times New Roman"/>
          <w:noProof/>
          <w:lang w:eastAsia="en-GB"/>
        </w:rPr>
        <w:drawing>
          <wp:inline distT="0" distB="0" distL="0" distR="0" wp14:anchorId="73CF8A5C" wp14:editId="7BFBD37E">
            <wp:extent cx="5478145" cy="5755005"/>
            <wp:effectExtent l="0" t="0" r="8255" b="0"/>
            <wp:docPr id="3" name="Picture 3" descr="ODSIA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SIAFl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145" cy="5755005"/>
                    </a:xfrm>
                    <a:prstGeom prst="rect">
                      <a:avLst/>
                    </a:prstGeom>
                    <a:noFill/>
                    <a:ln>
                      <a:noFill/>
                    </a:ln>
                  </pic:spPr>
                </pic:pic>
              </a:graphicData>
            </a:graphic>
          </wp:inline>
        </w:drawing>
      </w:r>
    </w:p>
    <w:p w14:paraId="20EDF73B" w14:textId="77777777" w:rsidR="004D45F1" w:rsidRPr="003C3145" w:rsidRDefault="004D45F1" w:rsidP="009217B3">
      <w:pPr>
        <w:spacing w:after="120"/>
        <w:jc w:val="both"/>
        <w:rPr>
          <w:rFonts w:ascii="Times New Roman" w:hAnsi="Times New Roman" w:cs="Times New Roman"/>
          <w:noProof/>
          <w:sz w:val="24"/>
          <w:szCs w:val="24"/>
        </w:rPr>
      </w:pPr>
    </w:p>
    <w:sectPr w:rsidR="004D45F1" w:rsidRPr="003C3145" w:rsidSect="00D07DE8">
      <w:headerReference w:type="even" r:id="rId74"/>
      <w:headerReference w:type="default" r:id="rId75"/>
      <w:footerReference w:type="even" r:id="rId76"/>
      <w:footerReference w:type="default" r:id="rId77"/>
      <w:headerReference w:type="first" r:id="rId78"/>
      <w:footerReference w:type="first" r:id="rId79"/>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45639" w14:textId="77777777" w:rsidR="00A06A4E" w:rsidRDefault="00A06A4E" w:rsidP="006B087E">
      <w:pPr>
        <w:spacing w:after="0" w:line="240" w:lineRule="auto"/>
      </w:pPr>
      <w:r>
        <w:separator/>
      </w:r>
    </w:p>
  </w:endnote>
  <w:endnote w:type="continuationSeparator" w:id="0">
    <w:p w14:paraId="0C428DC3" w14:textId="77777777" w:rsidR="00A06A4E" w:rsidRDefault="00A06A4E" w:rsidP="006B087E">
      <w:pPr>
        <w:spacing w:after="0" w:line="240" w:lineRule="auto"/>
      </w:pPr>
      <w:r>
        <w:continuationSeparator/>
      </w:r>
    </w:p>
  </w:endnote>
  <w:endnote w:type="continuationNotice" w:id="1">
    <w:p w14:paraId="26BB515A" w14:textId="77777777" w:rsidR="00A06A4E" w:rsidRDefault="00A06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MinionPro-Bold">
    <w:altName w:val="Cambria"/>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BC23" w14:textId="77777777" w:rsidR="00C105BC" w:rsidRPr="00C105BC" w:rsidRDefault="00C105BC" w:rsidP="00C105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3B31" w14:textId="77777777" w:rsidR="00E7718E" w:rsidRDefault="00E771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6713" w14:textId="2FFCAC23" w:rsidR="00E7718E" w:rsidRDefault="00E7718E">
    <w:pPr>
      <w:pStyle w:val="Footer"/>
      <w:jc w:val="center"/>
    </w:pPr>
    <w:r>
      <w:fldChar w:fldCharType="begin"/>
    </w:r>
    <w:r>
      <w:instrText>PAGE</w:instrText>
    </w:r>
    <w:r>
      <w:fldChar w:fldCharType="separate"/>
    </w:r>
    <w:r w:rsidR="00D07DE8">
      <w:rPr>
        <w:noProof/>
      </w:rPr>
      <w:t>89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91415"/>
      <w:docPartObj>
        <w:docPartGallery w:val="Page Numbers (Bottom of Page)"/>
        <w:docPartUnique/>
      </w:docPartObj>
    </w:sdtPr>
    <w:sdtEndPr>
      <w:rPr>
        <w:noProof/>
      </w:rPr>
    </w:sdtEndPr>
    <w:sdtContent>
      <w:p w14:paraId="65041574" w14:textId="77777777" w:rsidR="00E7718E" w:rsidRDefault="00E7718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68B7E9A4" w14:textId="77777777" w:rsidR="00E7718E" w:rsidRDefault="00E7718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0744" w14:textId="77777777" w:rsidR="00E7718E" w:rsidRDefault="00E7718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BFED" w14:textId="4D86F930" w:rsidR="00E7718E" w:rsidRDefault="00E7718E">
    <w:pPr>
      <w:pStyle w:val="Footer"/>
      <w:jc w:val="center"/>
    </w:pPr>
    <w:r>
      <w:fldChar w:fldCharType="begin"/>
    </w:r>
    <w:r>
      <w:instrText>PAGE</w:instrText>
    </w:r>
    <w:r>
      <w:fldChar w:fldCharType="separate"/>
    </w:r>
    <w:r w:rsidR="00D07DE8">
      <w:rPr>
        <w:noProof/>
      </w:rPr>
      <w:t>91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411530"/>
      <w:docPartObj>
        <w:docPartGallery w:val="Page Numbers (Bottom of Page)"/>
        <w:docPartUnique/>
      </w:docPartObj>
    </w:sdtPr>
    <w:sdtEndPr>
      <w:rPr>
        <w:noProof/>
      </w:rPr>
    </w:sdtEndPr>
    <w:sdtContent>
      <w:p w14:paraId="6426BDED" w14:textId="77777777" w:rsidR="00E7718E" w:rsidRDefault="00E7718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3D512A14" w14:textId="77777777" w:rsidR="00E7718E" w:rsidRDefault="00E7718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5E87" w14:textId="77777777" w:rsidR="000B4FC1" w:rsidRDefault="000B4FC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930"/>
      <w:docPartObj>
        <w:docPartGallery w:val="Page Numbers (Bottom of Page)"/>
        <w:docPartUnique/>
      </w:docPartObj>
    </w:sdtPr>
    <w:sdtEndPr>
      <w:rPr>
        <w:sz w:val="20"/>
        <w:szCs w:val="20"/>
      </w:rPr>
    </w:sdtEndPr>
    <w:sdtContent>
      <w:p w14:paraId="0848265C" w14:textId="6E1B434C" w:rsidR="000B4FC1" w:rsidRPr="006A241F" w:rsidRDefault="000B4FC1">
        <w:pPr>
          <w:pStyle w:val="Footer"/>
          <w:jc w:val="center"/>
          <w:rPr>
            <w:sz w:val="20"/>
            <w:szCs w:val="20"/>
          </w:rPr>
        </w:pPr>
        <w:r w:rsidRPr="00D84F38">
          <w:rPr>
            <w:sz w:val="20"/>
            <w:szCs w:val="20"/>
          </w:rPr>
          <w:fldChar w:fldCharType="begin"/>
        </w:r>
        <w:r w:rsidRPr="00B26A8E">
          <w:rPr>
            <w:sz w:val="20"/>
            <w:szCs w:val="20"/>
          </w:rPr>
          <w:instrText xml:space="preserve"> PAGE   \* MERGEFORMAT </w:instrText>
        </w:r>
        <w:r w:rsidRPr="00D84F38">
          <w:rPr>
            <w:sz w:val="20"/>
            <w:szCs w:val="20"/>
          </w:rPr>
          <w:fldChar w:fldCharType="separate"/>
        </w:r>
        <w:r w:rsidR="00D07DE8">
          <w:rPr>
            <w:noProof/>
            <w:sz w:val="20"/>
            <w:szCs w:val="20"/>
          </w:rPr>
          <w:t>96</w:t>
        </w:r>
        <w:r w:rsidRPr="00D84F38">
          <w:rPr>
            <w:sz w:val="20"/>
            <w:szCs w:val="20"/>
          </w:rPr>
          <w:fldChar w:fldCharType="end"/>
        </w:r>
      </w:p>
    </w:sdtContent>
  </w:sdt>
  <w:p w14:paraId="52F45324" w14:textId="77777777" w:rsidR="000B4FC1" w:rsidRPr="00CD516A" w:rsidRDefault="000B4FC1" w:rsidP="003158B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A010" w14:textId="2FEF8DEA" w:rsidR="000B4FC1" w:rsidRDefault="000B4FC1" w:rsidP="00B01A7B">
    <w:pPr>
      <w:pStyle w:val="Footer"/>
      <w:jc w:val="cente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07DE8">
      <w:rPr>
        <w:caps/>
        <w:noProof/>
        <w:color w:val="4F81BD" w:themeColor="accent1"/>
      </w:rPr>
      <w:t>92</w:t>
    </w:r>
    <w:r>
      <w:rPr>
        <w:caps/>
        <w:noProof/>
        <w:color w:val="4F81BD"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7F64" w14:textId="5E5364F9" w:rsidR="00F42426" w:rsidRPr="00C105BC" w:rsidRDefault="00C105BC" w:rsidP="00C105BC">
    <w:pPr>
      <w:pStyle w:val="FooterCoverPage"/>
      <w:rPr>
        <w:rFonts w:ascii="Arial" w:hAnsi="Arial" w:cs="Arial"/>
        <w:b/>
        <w:sz w:val="48"/>
      </w:rPr>
    </w:pPr>
    <w:r w:rsidRPr="00C105BC">
      <w:rPr>
        <w:rFonts w:ascii="Arial" w:hAnsi="Arial" w:cs="Arial"/>
        <w:b/>
        <w:sz w:val="48"/>
      </w:rPr>
      <w:t>EN</w:t>
    </w:r>
    <w:r w:rsidRPr="00C105BC">
      <w:rPr>
        <w:rFonts w:ascii="Arial" w:hAnsi="Arial" w:cs="Arial"/>
        <w:b/>
        <w:sz w:val="48"/>
      </w:rPr>
      <w:tab/>
    </w:r>
    <w:r w:rsidRPr="00C105BC">
      <w:rPr>
        <w:rFonts w:ascii="Arial" w:hAnsi="Arial" w:cs="Arial"/>
        <w:b/>
        <w:sz w:val="48"/>
      </w:rPr>
      <w:tab/>
    </w:r>
    <w:r w:rsidRPr="00C105BC">
      <w:tab/>
    </w:r>
    <w:r w:rsidRPr="00C105B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B764" w14:textId="77777777" w:rsidR="00C105BC" w:rsidRPr="00C105BC" w:rsidRDefault="00C105BC" w:rsidP="00C105B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2687" w14:textId="77777777" w:rsidR="000B4FC1" w:rsidRDefault="000B4F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91CB5" w14:textId="50F27CDA" w:rsidR="000B4FC1" w:rsidRDefault="000B4FC1">
    <w:pPr>
      <w:pStyle w:val="Footer"/>
      <w:jc w:val="center"/>
    </w:pPr>
    <w:r>
      <w:fldChar w:fldCharType="begin"/>
    </w:r>
    <w:r>
      <w:instrText>PAGE</w:instrText>
    </w:r>
    <w:r>
      <w:fldChar w:fldCharType="separate"/>
    </w:r>
    <w:r w:rsidR="00C105BC">
      <w:rPr>
        <w:noProof/>
      </w:rPr>
      <w:t>vi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9700"/>
      <w:docPartObj>
        <w:docPartGallery w:val="Page Numbers (Bottom of Page)"/>
        <w:docPartUnique/>
      </w:docPartObj>
    </w:sdtPr>
    <w:sdtEndPr>
      <w:rPr>
        <w:noProof/>
      </w:rPr>
    </w:sdtEndPr>
    <w:sdtContent>
      <w:p w14:paraId="0FB1C41C" w14:textId="1C876A0F" w:rsidR="000B4FC1" w:rsidRDefault="000B4FC1">
        <w:pPr>
          <w:pStyle w:val="Footer"/>
          <w:jc w:val="center"/>
        </w:pPr>
        <w:r>
          <w:fldChar w:fldCharType="begin"/>
        </w:r>
        <w:r>
          <w:instrText xml:space="preserve"> PAGE   \* MERGEFORMAT </w:instrText>
        </w:r>
        <w:r>
          <w:fldChar w:fldCharType="separate"/>
        </w:r>
        <w:r w:rsidR="00C105BC">
          <w:rPr>
            <w:noProof/>
          </w:rPr>
          <w:t>i</w:t>
        </w:r>
        <w:r>
          <w:rPr>
            <w:noProof/>
          </w:rPr>
          <w:fldChar w:fldCharType="end"/>
        </w:r>
      </w:p>
    </w:sdtContent>
  </w:sdt>
  <w:p w14:paraId="31BD1E5F" w14:textId="77777777" w:rsidR="000B4FC1" w:rsidRDefault="000B4FC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AB331" w14:textId="77777777" w:rsidR="00E7718E" w:rsidRDefault="00E771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E8316" w14:textId="5F6D3F44" w:rsidR="00E7718E" w:rsidRDefault="00E7718E">
    <w:pPr>
      <w:pStyle w:val="Footer"/>
      <w:jc w:val="center"/>
    </w:pPr>
    <w:r>
      <w:fldChar w:fldCharType="begin"/>
    </w:r>
    <w:r>
      <w:instrText>PAGE</w:instrText>
    </w:r>
    <w:r>
      <w:fldChar w:fldCharType="separate"/>
    </w:r>
    <w:r w:rsidR="00C105BC">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764190"/>
      <w:docPartObj>
        <w:docPartGallery w:val="Page Numbers (Bottom of Page)"/>
        <w:docPartUnique/>
      </w:docPartObj>
    </w:sdtPr>
    <w:sdtEndPr>
      <w:rPr>
        <w:noProof/>
      </w:rPr>
    </w:sdtEndPr>
    <w:sdtContent>
      <w:p w14:paraId="52B0B35B" w14:textId="77777777" w:rsidR="00E7718E" w:rsidRDefault="00E7718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FDD7CDA" w14:textId="77777777" w:rsidR="00E7718E" w:rsidRDefault="00E77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75CA6" w14:textId="77777777" w:rsidR="00A06A4E" w:rsidRDefault="00A06A4E" w:rsidP="006B087E">
      <w:pPr>
        <w:spacing w:after="0" w:line="240" w:lineRule="auto"/>
      </w:pPr>
      <w:r>
        <w:separator/>
      </w:r>
    </w:p>
  </w:footnote>
  <w:footnote w:type="continuationSeparator" w:id="0">
    <w:p w14:paraId="1410E19A" w14:textId="77777777" w:rsidR="00A06A4E" w:rsidRDefault="00A06A4E" w:rsidP="006B087E">
      <w:pPr>
        <w:spacing w:after="0" w:line="240" w:lineRule="auto"/>
      </w:pPr>
      <w:r>
        <w:continuationSeparator/>
      </w:r>
    </w:p>
  </w:footnote>
  <w:footnote w:type="continuationNotice" w:id="1">
    <w:p w14:paraId="5FEC7369" w14:textId="77777777" w:rsidR="00A06A4E" w:rsidRDefault="00A06A4E">
      <w:pPr>
        <w:spacing w:after="0" w:line="240" w:lineRule="auto"/>
      </w:pPr>
    </w:p>
  </w:footnote>
  <w:footnote w:id="2">
    <w:p w14:paraId="0957C838" w14:textId="77777777" w:rsidR="000B4FC1" w:rsidRPr="00397500" w:rsidRDefault="000B4FC1" w:rsidP="00A14107">
      <w:pPr>
        <w:pStyle w:val="FootnoteText"/>
        <w:rPr>
          <w:rStyle w:val="Hyperlink"/>
          <w:rFonts w:ascii="Calibri" w:hAnsi="Calibri" w:cs="Calibri"/>
        </w:rPr>
      </w:pPr>
      <w:r>
        <w:rPr>
          <w:rStyle w:val="FootnoteReference"/>
        </w:rPr>
        <w:footnoteRef/>
      </w:r>
      <w:r>
        <w:t xml:space="preserve"> </w:t>
      </w:r>
      <w:r w:rsidRPr="00397500">
        <w:rPr>
          <w:rStyle w:val="Hyperlink"/>
          <w:rFonts w:ascii="Calibri" w:hAnsi="Calibri" w:cs="Calibri"/>
        </w:rPr>
        <w:t>https://ec.europa.eu/info/strategy/priorities-2019-2024/european-green-deal_en</w:t>
      </w:r>
    </w:p>
  </w:footnote>
  <w:footnote w:id="3">
    <w:p w14:paraId="07A8B2DC" w14:textId="77777777" w:rsidR="000B4FC1" w:rsidRPr="00397500" w:rsidRDefault="000B4FC1" w:rsidP="00A14107">
      <w:pPr>
        <w:pStyle w:val="FootnoteText"/>
        <w:jc w:val="left"/>
        <w:rPr>
          <w:rFonts w:ascii="Calibri" w:hAnsi="Calibri" w:cs="Calibri"/>
        </w:rPr>
      </w:pPr>
      <w:r w:rsidRPr="00397500">
        <w:rPr>
          <w:rStyle w:val="FootnoteReference"/>
          <w:rFonts w:ascii="Calibri" w:hAnsi="Calibri" w:cs="Calibri"/>
        </w:rPr>
        <w:footnoteRef/>
      </w:r>
      <w:r w:rsidRPr="00397500">
        <w:rPr>
          <w:rFonts w:ascii="Calibri" w:hAnsi="Calibri" w:cs="Calibri"/>
        </w:rPr>
        <w:t xml:space="preserve"> Expected for the second half of the century</w:t>
      </w:r>
    </w:p>
  </w:footnote>
  <w:footnote w:id="4">
    <w:p w14:paraId="6DE26355" w14:textId="77777777" w:rsidR="000B4FC1" w:rsidRPr="00397500" w:rsidRDefault="000B4FC1" w:rsidP="00A14107">
      <w:pPr>
        <w:pStyle w:val="FootnoteText"/>
        <w:jc w:val="left"/>
        <w:rPr>
          <w:rFonts w:ascii="Calibri" w:hAnsi="Calibri" w:cs="Calibri"/>
        </w:rPr>
      </w:pPr>
      <w:r w:rsidRPr="00397500">
        <w:rPr>
          <w:rStyle w:val="FootnoteReference"/>
          <w:rFonts w:ascii="Calibri" w:hAnsi="Calibri" w:cs="Calibri"/>
        </w:rPr>
        <w:footnoteRef/>
      </w:r>
      <w:r w:rsidRPr="00397500">
        <w:rPr>
          <w:rFonts w:ascii="Calibri" w:hAnsi="Calibri" w:cs="Calibri"/>
        </w:rPr>
        <w:t xml:space="preserve"> UNEP (2011). A critical link in protecting the climate and the ozone layer. </w:t>
      </w:r>
      <w:hyperlink r:id="rId1" w:history="1">
        <w:r w:rsidRPr="00397500">
          <w:rPr>
            <w:rStyle w:val="Hyperlink"/>
            <w:rFonts w:ascii="Calibri" w:hAnsi="Calibri" w:cs="Calibri"/>
          </w:rPr>
          <w:t>https://www.unep.org/resources/report/hfcs-critical-link-protecting-climate-and-ozone-layer</w:t>
        </w:r>
      </w:hyperlink>
      <w:r w:rsidRPr="00397500">
        <w:rPr>
          <w:rFonts w:ascii="Calibri" w:hAnsi="Calibri" w:cs="Calibri"/>
        </w:rPr>
        <w:t xml:space="preserve"> </w:t>
      </w:r>
    </w:p>
  </w:footnote>
  <w:footnote w:id="5">
    <w:p w14:paraId="2109A3AD" w14:textId="77777777" w:rsidR="000B4FC1" w:rsidRPr="00397500" w:rsidRDefault="000B4FC1" w:rsidP="00A14107">
      <w:pPr>
        <w:pStyle w:val="FootnoteText"/>
        <w:rPr>
          <w:rFonts w:asciiTheme="minorHAnsi" w:hAnsiTheme="minorHAnsi" w:cstheme="minorHAnsi"/>
        </w:rPr>
      </w:pPr>
      <w:r w:rsidRPr="00397500">
        <w:rPr>
          <w:rStyle w:val="FootnoteReference"/>
          <w:rFonts w:asciiTheme="minorHAnsi" w:hAnsiTheme="minorHAnsi" w:cstheme="minorHAnsi"/>
        </w:rPr>
        <w:footnoteRef/>
      </w:r>
      <w:r w:rsidRPr="00397500">
        <w:rPr>
          <w:rFonts w:asciiTheme="minorHAnsi" w:hAnsiTheme="minorHAnsi" w:cstheme="minorHAnsi"/>
        </w:rPr>
        <w:t xml:space="preserve"> Current annual EU ODS emissions are about as large as Sweden’s</w:t>
      </w:r>
      <w:r>
        <w:rPr>
          <w:rFonts w:asciiTheme="minorHAnsi" w:hAnsiTheme="minorHAnsi" w:cstheme="minorHAnsi"/>
        </w:rPr>
        <w:t xml:space="preserve"> emissions</w:t>
      </w:r>
    </w:p>
  </w:footnote>
  <w:footnote w:id="6">
    <w:p w14:paraId="09D8D7A0" w14:textId="77777777" w:rsidR="000B4FC1" w:rsidRPr="00397500" w:rsidRDefault="000B4FC1" w:rsidP="00A14107">
      <w:pPr>
        <w:pStyle w:val="FootnoteText"/>
        <w:spacing w:after="60"/>
        <w:jc w:val="left"/>
        <w:rPr>
          <w:rFonts w:ascii="Calibri" w:hAnsi="Calibri" w:cs="Calibri"/>
        </w:rPr>
      </w:pPr>
      <w:r w:rsidRPr="00397500">
        <w:rPr>
          <w:rStyle w:val="FootnoteReference"/>
          <w:rFonts w:ascii="Calibri" w:hAnsi="Calibri" w:cs="Calibri"/>
        </w:rPr>
        <w:footnoteRef/>
      </w:r>
      <w:r w:rsidRPr="00397500">
        <w:rPr>
          <w:rFonts w:ascii="Calibri" w:hAnsi="Calibri" w:cs="Calibri"/>
        </w:rPr>
        <w:t xml:space="preserve"> Text of the original Montreal Protocol, see </w:t>
      </w:r>
      <w:hyperlink r:id="rId2" w:history="1">
        <w:r w:rsidRPr="00397500">
          <w:rPr>
            <w:rStyle w:val="Hyperlink"/>
            <w:rFonts w:ascii="Calibri" w:hAnsi="Calibri" w:cs="Calibri"/>
          </w:rPr>
          <w:t>https://treaties.un.org/doc/publication/unts/volume%201522/volume-1522-i-26369-english.pdf</w:t>
        </w:r>
      </w:hyperlink>
      <w:r w:rsidRPr="00397500">
        <w:rPr>
          <w:rFonts w:ascii="Calibri" w:hAnsi="Calibri" w:cs="Calibri"/>
        </w:rPr>
        <w:t>.</w:t>
      </w:r>
    </w:p>
  </w:footnote>
  <w:footnote w:id="7">
    <w:p w14:paraId="5ED4DC4E" w14:textId="77777777" w:rsidR="000B4FC1" w:rsidRPr="00397500" w:rsidRDefault="000B4FC1" w:rsidP="00A14107">
      <w:pPr>
        <w:spacing w:after="0" w:line="240" w:lineRule="auto"/>
        <w:rPr>
          <w:rFonts w:ascii="Calibri" w:hAnsi="Calibri" w:cs="Calibri"/>
          <w:sz w:val="20"/>
          <w:szCs w:val="20"/>
        </w:rPr>
      </w:pPr>
      <w:r w:rsidRPr="00397500">
        <w:rPr>
          <w:rStyle w:val="FootnoteReference"/>
          <w:rFonts w:ascii="Calibri" w:hAnsi="Calibri" w:cs="Calibri"/>
          <w:sz w:val="20"/>
          <w:szCs w:val="20"/>
        </w:rPr>
        <w:footnoteRef/>
      </w:r>
      <w:r w:rsidRPr="00397500">
        <w:rPr>
          <w:rFonts w:ascii="Arial" w:hAnsi="Arial" w:cs="Arial"/>
          <w:sz w:val="16"/>
          <w:szCs w:val="16"/>
        </w:rPr>
        <w:t xml:space="preserve"> </w:t>
      </w:r>
      <w:r w:rsidRPr="00397500">
        <w:rPr>
          <w:rFonts w:ascii="Calibri" w:hAnsi="Calibri" w:cs="Calibri"/>
          <w:sz w:val="20"/>
          <w:szCs w:val="20"/>
        </w:rPr>
        <w:t xml:space="preserve">Consumption is calculated based on import, export, production and destruction. </w:t>
      </w:r>
    </w:p>
  </w:footnote>
  <w:footnote w:id="8">
    <w:p w14:paraId="27148B9B" w14:textId="77777777" w:rsidR="000B4FC1" w:rsidRPr="00397500" w:rsidRDefault="000B4FC1" w:rsidP="00A14107">
      <w:pPr>
        <w:pStyle w:val="FootnoteText"/>
        <w:jc w:val="left"/>
        <w:rPr>
          <w:rFonts w:ascii="Calibri" w:hAnsi="Calibri" w:cs="Calibri"/>
        </w:rPr>
      </w:pPr>
      <w:r w:rsidRPr="00397500">
        <w:rPr>
          <w:rStyle w:val="FootnoteReference"/>
          <w:rFonts w:ascii="Calibri" w:hAnsi="Calibri" w:cs="Calibri"/>
        </w:rPr>
        <w:footnoteRef/>
      </w:r>
      <w:r w:rsidRPr="00397500">
        <w:rPr>
          <w:rFonts w:ascii="Calibri" w:hAnsi="Calibri" w:cs="Calibri"/>
        </w:rPr>
        <w:t xml:space="preserve"> For instance within the group of CFCs there are 15 types of CFCs, e.g. CFC11 and CFC217</w:t>
      </w:r>
    </w:p>
  </w:footnote>
  <w:footnote w:id="9">
    <w:p w14:paraId="5A3C8908" w14:textId="77777777" w:rsidR="000B4FC1" w:rsidRPr="00920444" w:rsidRDefault="000B4FC1" w:rsidP="00A14107">
      <w:pPr>
        <w:pStyle w:val="FootnoteText"/>
        <w:rPr>
          <w:rFonts w:asciiTheme="minorHAnsi" w:hAnsiTheme="minorHAnsi" w:cstheme="minorHAnsi"/>
        </w:rPr>
      </w:pPr>
      <w:r w:rsidRPr="00920444">
        <w:rPr>
          <w:rStyle w:val="FootnoteReference"/>
          <w:rFonts w:ascii="Calibri" w:hAnsi="Calibri" w:cs="Calibri"/>
        </w:rPr>
        <w:footnoteRef/>
      </w:r>
      <w:r w:rsidRPr="00920444">
        <w:rPr>
          <w:rFonts w:ascii="Calibri" w:hAnsi="Calibri" w:cs="Calibri"/>
        </w:rPr>
        <w:t xml:space="preserve"> The </w:t>
      </w:r>
      <w:r w:rsidRPr="00920444">
        <w:rPr>
          <w:rFonts w:ascii="Calibri" w:hAnsi="Calibri" w:cs="Calibri"/>
          <w:b/>
        </w:rPr>
        <w:t>ODP</w:t>
      </w:r>
      <w:r w:rsidRPr="00920444">
        <w:rPr>
          <w:rFonts w:ascii="Calibri" w:hAnsi="Calibri" w:cs="Calibri"/>
        </w:rPr>
        <w:t xml:space="preserve"> of a substance refers to </w:t>
      </w:r>
      <w:r>
        <w:rPr>
          <w:rFonts w:ascii="Calibri" w:hAnsi="Calibri" w:cs="Calibri"/>
        </w:rPr>
        <w:t>its</w:t>
      </w:r>
      <w:r w:rsidRPr="00CB2D88">
        <w:rPr>
          <w:rFonts w:ascii="Calibri" w:hAnsi="Calibri" w:cs="Calibri"/>
        </w:rPr>
        <w:t xml:space="preserve"> </w:t>
      </w:r>
      <w:r w:rsidRPr="00920444">
        <w:rPr>
          <w:rFonts w:ascii="Calibri" w:hAnsi="Calibri" w:cs="Calibri"/>
        </w:rPr>
        <w:t xml:space="preserve">relative amount of </w:t>
      </w:r>
      <w:r w:rsidRPr="00920444">
        <w:rPr>
          <w:rFonts w:ascii="Calibri" w:hAnsi="Calibri" w:cs="Calibri"/>
          <w:b/>
        </w:rPr>
        <w:t>ozone depletion</w:t>
      </w:r>
      <w:r w:rsidRPr="00920444">
        <w:rPr>
          <w:rFonts w:ascii="Calibri" w:hAnsi="Calibri" w:cs="Calibri"/>
        </w:rPr>
        <w:t xml:space="preserve"> caused by it compared to the impact of a similar mass of CFC-11</w:t>
      </w:r>
      <w:r>
        <w:rPr>
          <w:rFonts w:ascii="Calibri" w:hAnsi="Calibri" w:cs="Calibri"/>
        </w:rPr>
        <w:t xml:space="preserve"> (ODP = 1), e.g Halon 1301 has on ODP of 10, so for the same amount based on weight Halon-1301 it 10 times worse than for CFC-11</w:t>
      </w:r>
      <w:r w:rsidRPr="00920444">
        <w:rPr>
          <w:rFonts w:ascii="Calibri" w:hAnsi="Calibri" w:cs="Calibri"/>
        </w:rPr>
        <w:t xml:space="preserve">. The </w:t>
      </w:r>
      <w:r w:rsidRPr="00920444">
        <w:rPr>
          <w:rFonts w:ascii="Calibri" w:hAnsi="Calibri" w:cs="Calibri"/>
          <w:b/>
        </w:rPr>
        <w:t>GWP</w:t>
      </w:r>
      <w:r w:rsidRPr="00CB2D88">
        <w:rPr>
          <w:rFonts w:ascii="Calibri" w:hAnsi="Calibri" w:cs="Calibri"/>
        </w:rPr>
        <w:t xml:space="preserve"> </w:t>
      </w:r>
      <w:r>
        <w:rPr>
          <w:rFonts w:ascii="Calibri" w:hAnsi="Calibri" w:cs="Calibri"/>
        </w:rPr>
        <w:t xml:space="preserve">of a substance refers to its </w:t>
      </w:r>
      <w:r w:rsidRPr="00920444">
        <w:rPr>
          <w:rFonts w:ascii="Calibri" w:hAnsi="Calibri" w:cs="Calibri"/>
        </w:rPr>
        <w:t xml:space="preserve">relative contribution to </w:t>
      </w:r>
      <w:r w:rsidRPr="00920444">
        <w:rPr>
          <w:rFonts w:ascii="Calibri" w:hAnsi="Calibri" w:cs="Calibri"/>
          <w:b/>
        </w:rPr>
        <w:t>climate warming</w:t>
      </w:r>
      <w:r>
        <w:rPr>
          <w:rFonts w:ascii="Calibri" w:hAnsi="Calibri" w:cs="Calibri"/>
        </w:rPr>
        <w:t xml:space="preserve"> compared to</w:t>
      </w:r>
      <w:r w:rsidRPr="00CB2D88">
        <w:rPr>
          <w:rFonts w:ascii="Calibri" w:hAnsi="Calibri" w:cs="Calibri"/>
        </w:rPr>
        <w:t xml:space="preserve"> </w:t>
      </w:r>
      <w:r>
        <w:rPr>
          <w:rFonts w:ascii="Calibri" w:hAnsi="Calibri" w:cs="Calibri"/>
        </w:rPr>
        <w:t xml:space="preserve">the impact of a similar mass of </w:t>
      </w:r>
      <w:r w:rsidRPr="00920444">
        <w:rPr>
          <w:rFonts w:ascii="Calibri" w:hAnsi="Calibri" w:cs="Calibri"/>
        </w:rPr>
        <w:t>carbon dioxide (CO</w:t>
      </w:r>
      <w:r w:rsidRPr="00920444">
        <w:rPr>
          <w:rFonts w:ascii="Calibri" w:hAnsi="Calibri" w:cs="Calibri"/>
          <w:vertAlign w:val="subscript"/>
        </w:rPr>
        <w:t>2</w:t>
      </w:r>
      <w:r w:rsidRPr="00920444">
        <w:rPr>
          <w:rFonts w:ascii="Calibri" w:hAnsi="Calibri" w:cs="Calibri"/>
        </w:rPr>
        <w:t>)</w:t>
      </w:r>
      <w:r>
        <w:rPr>
          <w:rFonts w:ascii="Calibri" w:hAnsi="Calibri" w:cs="Calibri"/>
        </w:rPr>
        <w:t xml:space="preserve">, .e.g. </w:t>
      </w:r>
      <w:r w:rsidRPr="00920444">
        <w:rPr>
          <w:rFonts w:ascii="Calibri" w:hAnsi="Calibri" w:cs="Calibri"/>
        </w:rPr>
        <w:t>CFC11</w:t>
      </w:r>
      <w:r w:rsidRPr="00920444">
        <w:rPr>
          <w:rFonts w:ascii="Calibri" w:hAnsi="Calibri" w:cs="Calibri"/>
          <w:vertAlign w:val="subscript"/>
        </w:rPr>
        <w:t xml:space="preserve"> </w:t>
      </w:r>
      <w:r w:rsidRPr="00920444">
        <w:rPr>
          <w:rFonts w:ascii="Calibri" w:hAnsi="Calibri" w:cs="Calibri"/>
        </w:rPr>
        <w:t xml:space="preserve">has a GWP of 4660, </w:t>
      </w:r>
      <w:r>
        <w:rPr>
          <w:rFonts w:ascii="Calibri" w:hAnsi="Calibri" w:cs="Calibri"/>
        </w:rPr>
        <w:t xml:space="preserve">so </w:t>
      </w:r>
      <w:r w:rsidRPr="00920444">
        <w:rPr>
          <w:rFonts w:ascii="Calibri" w:hAnsi="Calibri" w:cs="Calibri"/>
        </w:rPr>
        <w:t xml:space="preserve">its “climate forcing” is almost 5000 times worse than the same </w:t>
      </w:r>
      <w:r>
        <w:rPr>
          <w:rFonts w:ascii="Calibri" w:hAnsi="Calibri" w:cs="Calibri"/>
        </w:rPr>
        <w:t xml:space="preserve">mass of </w:t>
      </w:r>
      <w:r w:rsidRPr="00920444">
        <w:rPr>
          <w:rFonts w:ascii="Calibri" w:hAnsi="Calibri" w:cs="Calibri"/>
        </w:rPr>
        <w:t>CO</w:t>
      </w:r>
      <w:r w:rsidRPr="00920444">
        <w:rPr>
          <w:rFonts w:ascii="Calibri" w:hAnsi="Calibri" w:cs="Calibri"/>
          <w:vertAlign w:val="subscript"/>
        </w:rPr>
        <w:t xml:space="preserve">2 </w:t>
      </w:r>
      <w:r>
        <w:rPr>
          <w:rFonts w:ascii="Calibri" w:hAnsi="Calibri" w:cs="Calibri"/>
        </w:rPr>
        <w:t>(GWP used here is based on the impact over 100 years)</w:t>
      </w:r>
      <w:r w:rsidRPr="00920444">
        <w:rPr>
          <w:rFonts w:ascii="Calibri" w:hAnsi="Calibri" w:cs="Calibri"/>
        </w:rPr>
        <w:t>.</w:t>
      </w:r>
    </w:p>
  </w:footnote>
  <w:footnote w:id="10">
    <w:p w14:paraId="5F61DBEF" w14:textId="77777777" w:rsidR="000B4FC1" w:rsidRPr="00942B85" w:rsidRDefault="000B4FC1">
      <w:pPr>
        <w:pStyle w:val="FootnoteText"/>
        <w:rPr>
          <w:rFonts w:ascii="Calibri" w:hAnsi="Calibri" w:cs="Calibri"/>
        </w:rPr>
      </w:pPr>
      <w:r w:rsidRPr="00942B85">
        <w:rPr>
          <w:rStyle w:val="FootnoteReference"/>
          <w:rFonts w:ascii="Calibri" w:hAnsi="Calibri" w:cs="Calibri"/>
        </w:rPr>
        <w:footnoteRef/>
      </w:r>
      <w:r w:rsidRPr="00942B85">
        <w:rPr>
          <w:rFonts w:ascii="Calibri" w:hAnsi="Calibri" w:cs="Calibri"/>
        </w:rPr>
        <w:t xml:space="preserve"> https://eur-lex.europa.eu/legal-content/EN/TXT/?uri=celex%3A32009R1005</w:t>
      </w:r>
    </w:p>
  </w:footnote>
  <w:footnote w:id="11">
    <w:p w14:paraId="483F4C78" w14:textId="77777777" w:rsidR="000B4FC1" w:rsidRPr="00920444" w:rsidRDefault="000B4FC1" w:rsidP="00A14107">
      <w:pPr>
        <w:pStyle w:val="FootnoteText"/>
        <w:rPr>
          <w:rFonts w:ascii="Calibri" w:hAnsi="Calibri" w:cs="Calibri"/>
        </w:rPr>
      </w:pPr>
      <w:r w:rsidRPr="00920444">
        <w:rPr>
          <w:rStyle w:val="FootnoteReference"/>
          <w:rFonts w:asciiTheme="minorHAnsi" w:hAnsiTheme="minorHAnsi" w:cstheme="minorHAnsi"/>
        </w:rPr>
        <w:footnoteRef/>
      </w:r>
      <w:r w:rsidRPr="00920444">
        <w:rPr>
          <w:rFonts w:asciiTheme="minorHAnsi" w:hAnsiTheme="minorHAnsi" w:cstheme="minorHAnsi"/>
        </w:rPr>
        <w:t xml:space="preserve"> </w:t>
      </w:r>
      <w:r w:rsidRPr="00920444">
        <w:rPr>
          <w:rFonts w:ascii="Calibri" w:hAnsi="Calibri" w:cs="Calibri"/>
        </w:rPr>
        <w:t xml:space="preserve">In feedstock use, the chemical undergoes chemical transformation in a process to synthesise other chemicals </w:t>
      </w:r>
      <w:r>
        <w:rPr>
          <w:rFonts w:ascii="Calibri" w:hAnsi="Calibri" w:cs="Calibri"/>
        </w:rPr>
        <w:t>during</w:t>
      </w:r>
      <w:r w:rsidRPr="00920444">
        <w:rPr>
          <w:rFonts w:ascii="Calibri" w:hAnsi="Calibri" w:cs="Calibri"/>
        </w:rPr>
        <w:t xml:space="preserve"> which it is entirely converted from its original composition</w:t>
      </w:r>
    </w:p>
  </w:footnote>
  <w:footnote w:id="12">
    <w:p w14:paraId="3F657FF8" w14:textId="77777777" w:rsidR="000B4FC1" w:rsidRPr="00920444" w:rsidRDefault="000B4FC1" w:rsidP="00A14107">
      <w:pPr>
        <w:pStyle w:val="FootnoteText"/>
        <w:rPr>
          <w:rFonts w:ascii="Calibri" w:hAnsi="Calibri" w:cs="Calibri"/>
        </w:rPr>
      </w:pPr>
      <w:r w:rsidRPr="00920444">
        <w:rPr>
          <w:rStyle w:val="FootnoteReference"/>
          <w:rFonts w:ascii="Calibri" w:hAnsi="Calibri" w:cs="Calibri"/>
        </w:rPr>
        <w:footnoteRef/>
      </w:r>
      <w:r w:rsidRPr="00920444">
        <w:rPr>
          <w:rFonts w:ascii="Calibri" w:hAnsi="Calibri" w:cs="Calibri"/>
        </w:rPr>
        <w:t xml:space="preserve"> </w:t>
      </w:r>
      <w:r w:rsidRPr="00CB2D88">
        <w:rPr>
          <w:rFonts w:ascii="Calibri" w:hAnsi="Calibri" w:cs="Calibri"/>
        </w:rPr>
        <w:t xml:space="preserve">In process agent use, the </w:t>
      </w:r>
      <w:r>
        <w:rPr>
          <w:rFonts w:ascii="Calibri" w:hAnsi="Calibri" w:cs="Calibri"/>
        </w:rPr>
        <w:t>ODS</w:t>
      </w:r>
      <w:r w:rsidRPr="00CB2D88">
        <w:rPr>
          <w:rFonts w:ascii="Calibri" w:hAnsi="Calibri" w:cs="Calibri"/>
        </w:rPr>
        <w:t xml:space="preserve"> is </w:t>
      </w:r>
      <w:r w:rsidRPr="00180C8A">
        <w:rPr>
          <w:rFonts w:ascii="Calibri" w:hAnsi="Calibri" w:cs="Calibri"/>
        </w:rPr>
        <w:t>facilitat</w:t>
      </w:r>
      <w:r>
        <w:rPr>
          <w:rFonts w:ascii="Calibri" w:hAnsi="Calibri" w:cs="Calibri"/>
        </w:rPr>
        <w:t>ing</w:t>
      </w:r>
      <w:r w:rsidRPr="00CB2D88">
        <w:rPr>
          <w:rFonts w:ascii="Calibri" w:hAnsi="Calibri" w:cs="Calibri"/>
        </w:rPr>
        <w:t xml:space="preserve"> or </w:t>
      </w:r>
      <w:r w:rsidRPr="00180C8A">
        <w:rPr>
          <w:rFonts w:ascii="Calibri" w:hAnsi="Calibri" w:cs="Calibri"/>
        </w:rPr>
        <w:t>inhibit</w:t>
      </w:r>
      <w:r>
        <w:rPr>
          <w:rFonts w:ascii="Calibri" w:hAnsi="Calibri" w:cs="Calibri"/>
        </w:rPr>
        <w:t>ing</w:t>
      </w:r>
      <w:r w:rsidRPr="00CB2D88">
        <w:rPr>
          <w:rFonts w:ascii="Calibri" w:hAnsi="Calibri" w:cs="Calibri"/>
        </w:rPr>
        <w:t xml:space="preserve"> a chemical reaction in an industrial process, </w:t>
      </w:r>
      <w:r>
        <w:rPr>
          <w:rFonts w:ascii="Calibri" w:hAnsi="Calibri" w:cs="Calibri"/>
        </w:rPr>
        <w:t>and</w:t>
      </w:r>
      <w:r w:rsidRPr="00180C8A">
        <w:rPr>
          <w:rFonts w:ascii="Calibri" w:hAnsi="Calibri" w:cs="Calibri"/>
        </w:rPr>
        <w:t xml:space="preserve"> </w:t>
      </w:r>
      <w:r w:rsidRPr="00CB2D88">
        <w:rPr>
          <w:rFonts w:ascii="Calibri" w:hAnsi="Calibri" w:cs="Calibri"/>
        </w:rPr>
        <w:t xml:space="preserve">contrary to </w:t>
      </w:r>
      <w:r w:rsidRPr="00180C8A">
        <w:rPr>
          <w:rFonts w:ascii="Calibri" w:hAnsi="Calibri" w:cs="Calibri"/>
        </w:rPr>
        <w:t>feedstock</w:t>
      </w:r>
      <w:r>
        <w:rPr>
          <w:rFonts w:ascii="Calibri" w:hAnsi="Calibri" w:cs="Calibri"/>
        </w:rPr>
        <w:t xml:space="preserve"> use</w:t>
      </w:r>
      <w:r w:rsidRPr="00180C8A">
        <w:rPr>
          <w:rFonts w:ascii="Calibri" w:hAnsi="Calibri" w:cs="Calibri"/>
        </w:rPr>
        <w:t xml:space="preserve">, </w:t>
      </w:r>
      <w:r>
        <w:rPr>
          <w:rFonts w:ascii="Calibri" w:hAnsi="Calibri" w:cs="Calibri"/>
        </w:rPr>
        <w:t>the ODS remains intact (is</w:t>
      </w:r>
      <w:r w:rsidRPr="00CB2D88">
        <w:rPr>
          <w:rFonts w:ascii="Calibri" w:hAnsi="Calibri" w:cs="Calibri"/>
        </w:rPr>
        <w:t xml:space="preserve"> not </w:t>
      </w:r>
      <w:r>
        <w:rPr>
          <w:rFonts w:ascii="Calibri" w:hAnsi="Calibri" w:cs="Calibri"/>
        </w:rPr>
        <w:t xml:space="preserve">being </w:t>
      </w:r>
      <w:r w:rsidRPr="00180C8A">
        <w:rPr>
          <w:rFonts w:ascii="Calibri" w:hAnsi="Calibri" w:cs="Calibri"/>
        </w:rPr>
        <w:t>chemical</w:t>
      </w:r>
      <w:r>
        <w:rPr>
          <w:rFonts w:ascii="Calibri" w:hAnsi="Calibri" w:cs="Calibri"/>
        </w:rPr>
        <w:t>ly</w:t>
      </w:r>
      <w:r w:rsidRPr="00180C8A">
        <w:rPr>
          <w:rFonts w:ascii="Calibri" w:hAnsi="Calibri" w:cs="Calibri"/>
        </w:rPr>
        <w:t xml:space="preserve"> transform</w:t>
      </w:r>
      <w:r>
        <w:rPr>
          <w:rFonts w:ascii="Calibri" w:hAnsi="Calibri" w:cs="Calibri"/>
        </w:rPr>
        <w:t>ed)</w:t>
      </w:r>
      <w:r w:rsidRPr="00920444">
        <w:rPr>
          <w:rFonts w:ascii="Calibri" w:hAnsi="Calibri" w:cs="Calibri"/>
        </w:rPr>
        <w:t xml:space="preserve"> </w:t>
      </w:r>
    </w:p>
  </w:footnote>
  <w:footnote w:id="13">
    <w:p w14:paraId="33EB27E8" w14:textId="77777777" w:rsidR="000B4FC1" w:rsidRPr="000E74DE" w:rsidRDefault="000B4FC1" w:rsidP="00A14107">
      <w:pPr>
        <w:pStyle w:val="FootnoteText"/>
        <w:rPr>
          <w:rFonts w:ascii="Calibri" w:hAnsi="Calibri" w:cs="Calibri"/>
        </w:rPr>
      </w:pPr>
      <w:r w:rsidRPr="000E74DE">
        <w:rPr>
          <w:rStyle w:val="FootnoteReference"/>
          <w:rFonts w:ascii="Calibri" w:hAnsi="Calibri" w:cs="Calibri"/>
        </w:rPr>
        <w:footnoteRef/>
      </w:r>
      <w:r w:rsidRPr="000E74DE">
        <w:rPr>
          <w:rFonts w:ascii="Calibri" w:hAnsi="Calibri" w:cs="Calibri"/>
        </w:rPr>
        <w:t xml:space="preserve"> On a permit from the European Commission only, based on a request from a competent authority of a Member State.</w:t>
      </w:r>
    </w:p>
  </w:footnote>
  <w:footnote w:id="14">
    <w:p w14:paraId="5F66CED0" w14:textId="77777777" w:rsidR="000B4FC1" w:rsidRPr="000E74DE" w:rsidRDefault="000B4FC1" w:rsidP="00A14107">
      <w:pPr>
        <w:pStyle w:val="FootnoteText"/>
        <w:rPr>
          <w:rFonts w:ascii="Calibri" w:hAnsi="Calibri" w:cs="Calibri"/>
        </w:rPr>
      </w:pPr>
      <w:r w:rsidRPr="000E74DE">
        <w:rPr>
          <w:rStyle w:val="FootnoteReference"/>
          <w:rFonts w:ascii="Calibri" w:hAnsi="Calibri" w:cs="Calibri"/>
        </w:rPr>
        <w:footnoteRef/>
      </w:r>
      <w:r w:rsidRPr="000E74DE">
        <w:rPr>
          <w:rFonts w:ascii="Calibri" w:hAnsi="Calibri" w:cs="Calibri"/>
        </w:rPr>
        <w:t xml:space="preserve"> This possibility has not been used in the EU since 2010.</w:t>
      </w:r>
    </w:p>
  </w:footnote>
  <w:footnote w:id="15">
    <w:p w14:paraId="0618F21C" w14:textId="77777777" w:rsidR="000B4FC1" w:rsidRPr="000E74DE" w:rsidRDefault="000B4FC1" w:rsidP="00A14107">
      <w:pPr>
        <w:pStyle w:val="FootnoteText"/>
        <w:jc w:val="left"/>
        <w:rPr>
          <w:rFonts w:ascii="Calibri" w:hAnsi="Calibri" w:cs="Calibri"/>
          <w:sz w:val="18"/>
          <w:szCs w:val="18"/>
        </w:rPr>
      </w:pPr>
      <w:r w:rsidRPr="000E74DE">
        <w:rPr>
          <w:rStyle w:val="FootnoteReference"/>
          <w:rFonts w:ascii="Calibri" w:hAnsi="Calibri" w:cs="Calibri"/>
        </w:rPr>
        <w:footnoteRef/>
      </w:r>
      <w:r w:rsidRPr="000E74DE">
        <w:rPr>
          <w:rFonts w:ascii="Calibri" w:hAnsi="Calibri" w:cs="Calibri"/>
        </w:rPr>
        <w:t xml:space="preserve"> EVALUATION of Regulation (EC) No 1005/2009 of the European Parliament and of the Council of 16 September 2009 on substances that deplete the ozone layer {SWD(2019) 407 final} </w:t>
      </w:r>
      <w:hyperlink r:id="rId3" w:history="1">
        <w:r w:rsidRPr="000E74DE">
          <w:rPr>
            <w:rStyle w:val="Hyperlink"/>
            <w:rFonts w:ascii="Calibri" w:hAnsi="Calibri" w:cs="Calibri"/>
          </w:rPr>
          <w:t>https://ec.europa.eu/clima/sites/default/files/ozone/docs/swd_2019_406_en.pdf</w:t>
        </w:r>
      </w:hyperlink>
      <w:r w:rsidRPr="000E74DE">
        <w:rPr>
          <w:rFonts w:ascii="Calibri" w:hAnsi="Calibri" w:cs="Calibri"/>
          <w:sz w:val="18"/>
          <w:szCs w:val="18"/>
        </w:rPr>
        <w:t xml:space="preserve"> </w:t>
      </w:r>
    </w:p>
  </w:footnote>
  <w:footnote w:id="16">
    <w:p w14:paraId="060CC8E8" w14:textId="77777777" w:rsidR="000B4FC1" w:rsidRPr="0056206A" w:rsidRDefault="000B4FC1" w:rsidP="0056206A">
      <w:pPr>
        <w:pStyle w:val="FootnoteText"/>
        <w:rPr>
          <w:rFonts w:ascii="Calibri" w:hAnsi="Calibri" w:cs="Calibri"/>
        </w:rPr>
      </w:pPr>
      <w:r w:rsidRPr="0056206A">
        <w:rPr>
          <w:rStyle w:val="FootnoteReference"/>
          <w:rFonts w:ascii="Calibri" w:hAnsi="Calibri" w:cs="Calibri"/>
        </w:rPr>
        <w:footnoteRef/>
      </w:r>
      <w:r w:rsidRPr="0056206A">
        <w:rPr>
          <w:rFonts w:ascii="Calibri" w:hAnsi="Calibri" w:cs="Calibri"/>
        </w:rPr>
        <w:t xml:space="preserve"> </w:t>
      </w:r>
      <w:r>
        <w:rPr>
          <w:rFonts w:ascii="Calibri" w:hAnsi="Calibri" w:cs="Calibri"/>
        </w:rPr>
        <w:t xml:space="preserve">E.g. </w:t>
      </w:r>
      <w:r w:rsidRPr="0056206A">
        <w:rPr>
          <w:rFonts w:ascii="Calibri" w:hAnsi="Calibri" w:cs="Calibri"/>
        </w:rPr>
        <w:t>Regulation (EC) No 1013/2006</w:t>
      </w:r>
      <w:r>
        <w:rPr>
          <w:rFonts w:ascii="Calibri" w:hAnsi="Calibri" w:cs="Calibri"/>
        </w:rPr>
        <w:t xml:space="preserve"> on transboundary waste shipments, the </w:t>
      </w:r>
      <w:r w:rsidRPr="0056206A">
        <w:rPr>
          <w:rFonts w:ascii="Calibri" w:hAnsi="Calibri" w:cs="Calibri"/>
        </w:rPr>
        <w:t>Waste Electrical and Electronic Equipment Directive 2012/19/EU</w:t>
      </w:r>
      <w:r>
        <w:rPr>
          <w:rFonts w:ascii="Calibri" w:hAnsi="Calibri" w:cs="Calibri"/>
        </w:rPr>
        <w:t xml:space="preserve"> and the </w:t>
      </w:r>
      <w:r w:rsidRPr="0056206A">
        <w:rPr>
          <w:rFonts w:ascii="Calibri" w:hAnsi="Calibri" w:cs="Calibri"/>
        </w:rPr>
        <w:t>Waste Framework Directive</w:t>
      </w:r>
      <w:r w:rsidRPr="0056206A">
        <w:rPr>
          <w:rFonts w:ascii="Calibri" w:hAnsi="Calibri" w:cs="Calibri"/>
          <w:bCs/>
        </w:rPr>
        <w:t xml:space="preserve"> (Directive 2008/98/EC)</w:t>
      </w:r>
      <w:r>
        <w:rPr>
          <w:rFonts w:ascii="Calibri" w:hAnsi="Calibri" w:cs="Calibri"/>
          <w:bCs/>
        </w:rPr>
        <w:t>.</w:t>
      </w:r>
    </w:p>
  </w:footnote>
  <w:footnote w:id="17">
    <w:p w14:paraId="3384309E" w14:textId="77777777" w:rsidR="000B4FC1" w:rsidRPr="0056206A" w:rsidRDefault="000B4FC1">
      <w:pPr>
        <w:pStyle w:val="FootnoteText"/>
      </w:pPr>
      <w:r w:rsidRPr="0056206A">
        <w:rPr>
          <w:rStyle w:val="FootnoteReference"/>
          <w:rFonts w:ascii="Calibri" w:hAnsi="Calibri" w:cs="Calibri"/>
        </w:rPr>
        <w:footnoteRef/>
      </w:r>
      <w:r w:rsidRPr="0056206A">
        <w:rPr>
          <w:rFonts w:ascii="Calibri" w:hAnsi="Calibri" w:cs="Calibri"/>
        </w:rPr>
        <w:t xml:space="preserve"> </w:t>
      </w:r>
      <w:r>
        <w:rPr>
          <w:rFonts w:ascii="Calibri" w:hAnsi="Calibri" w:cs="Calibri"/>
        </w:rPr>
        <w:t>E.g. REACH (</w:t>
      </w:r>
      <w:r w:rsidRPr="0056206A">
        <w:rPr>
          <w:rFonts w:asciiTheme="minorHAnsi" w:hAnsiTheme="minorHAnsi" w:cstheme="minorHAnsi"/>
        </w:rPr>
        <w:t>Regulation (EC) Nr 1907/2006</w:t>
      </w:r>
      <w:r>
        <w:rPr>
          <w:rFonts w:asciiTheme="minorHAnsi" w:hAnsiTheme="minorHAnsi" w:cstheme="minorHAnsi"/>
        </w:rPr>
        <w:t>), the Industrial Emissions Directive (</w:t>
      </w:r>
      <w:r w:rsidRPr="0056206A">
        <w:rPr>
          <w:rFonts w:asciiTheme="minorHAnsi" w:hAnsiTheme="minorHAnsi" w:cstheme="minorHAnsi"/>
        </w:rPr>
        <w:t>Directive 2010/75/EU</w:t>
      </w:r>
      <w:r>
        <w:rPr>
          <w:rFonts w:asciiTheme="minorHAnsi" w:hAnsiTheme="minorHAnsi" w:cstheme="minorHAnsi"/>
        </w:rPr>
        <w:t xml:space="preserve">) and the </w:t>
      </w:r>
      <w:r w:rsidRPr="0056206A">
        <w:rPr>
          <w:rFonts w:asciiTheme="minorHAnsi" w:hAnsiTheme="minorHAnsi" w:cstheme="minorHAnsi"/>
        </w:rPr>
        <w:t xml:space="preserve">European Pollutant Release and Transfer Register </w:t>
      </w:r>
      <w:r>
        <w:rPr>
          <w:rFonts w:asciiTheme="minorHAnsi" w:hAnsiTheme="minorHAnsi" w:cstheme="minorHAnsi"/>
        </w:rPr>
        <w:t xml:space="preserve">(ePRTR) </w:t>
      </w:r>
      <w:r w:rsidRPr="0056206A">
        <w:rPr>
          <w:rFonts w:asciiTheme="minorHAnsi" w:hAnsiTheme="minorHAnsi" w:cstheme="minorHAnsi"/>
        </w:rPr>
        <w:t>Regulation (EC) No 166/2006</w:t>
      </w:r>
      <w:r>
        <w:rPr>
          <w:rFonts w:asciiTheme="minorHAnsi" w:hAnsiTheme="minorHAnsi" w:cstheme="minorHAnsi"/>
        </w:rPr>
        <w:t>.</w:t>
      </w:r>
      <w:r w:rsidRPr="0056206A">
        <w:rPr>
          <w:rFonts w:asciiTheme="minorHAnsi" w:hAnsiTheme="minorHAnsi" w:cstheme="minorHAnsi"/>
        </w:rPr>
        <w:t xml:space="preserve"> </w:t>
      </w:r>
    </w:p>
  </w:footnote>
  <w:footnote w:id="18">
    <w:p w14:paraId="7149EA0C" w14:textId="77777777" w:rsidR="000B4FC1" w:rsidRPr="0099341F" w:rsidRDefault="000B4FC1" w:rsidP="00A14107">
      <w:pPr>
        <w:pStyle w:val="FootnoteText"/>
        <w:rPr>
          <w:rFonts w:ascii="Calibri" w:hAnsi="Calibri" w:cs="Calibri"/>
        </w:rPr>
      </w:pPr>
      <w:r>
        <w:rPr>
          <w:rStyle w:val="FootnoteReference"/>
        </w:rPr>
        <w:footnoteRef/>
      </w:r>
      <w:r>
        <w:t xml:space="preserve"> </w:t>
      </w:r>
      <w:r>
        <w:rPr>
          <w:rFonts w:ascii="Calibri" w:hAnsi="Calibri" w:cs="Calibri"/>
        </w:rPr>
        <w:t xml:space="preserve">Any </w:t>
      </w:r>
      <w:r w:rsidRPr="0099341F">
        <w:rPr>
          <w:rFonts w:ascii="Calibri" w:hAnsi="Calibri" w:cs="Calibri"/>
        </w:rPr>
        <w:t>amount</w:t>
      </w:r>
      <w:r>
        <w:rPr>
          <w:rFonts w:ascii="Calibri" w:hAnsi="Calibri" w:cs="Calibri"/>
        </w:rPr>
        <w:t xml:space="preserve"> of</w:t>
      </w:r>
      <w:r w:rsidRPr="0099341F">
        <w:rPr>
          <w:rFonts w:ascii="Calibri" w:hAnsi="Calibri" w:cs="Calibri"/>
        </w:rPr>
        <w:t xml:space="preserve"> </w:t>
      </w:r>
      <w:r>
        <w:rPr>
          <w:rFonts w:ascii="Calibri" w:hAnsi="Calibri" w:cs="Calibri"/>
        </w:rPr>
        <w:t>emissions in terms of mass</w:t>
      </w:r>
      <w:r w:rsidRPr="0099341F">
        <w:rPr>
          <w:rFonts w:ascii="Calibri" w:hAnsi="Calibri" w:cs="Calibri"/>
        </w:rPr>
        <w:t xml:space="preserve"> </w:t>
      </w:r>
      <w:r>
        <w:rPr>
          <w:rFonts w:ascii="Calibri" w:hAnsi="Calibri" w:cs="Calibri"/>
        </w:rPr>
        <w:t xml:space="preserve">has </w:t>
      </w:r>
      <w:r w:rsidRPr="0099341F">
        <w:rPr>
          <w:rFonts w:ascii="Calibri" w:hAnsi="Calibri" w:cs="Calibri"/>
        </w:rPr>
        <w:t xml:space="preserve">both </w:t>
      </w:r>
      <w:r>
        <w:rPr>
          <w:rFonts w:ascii="Calibri" w:hAnsi="Calibri" w:cs="Calibri"/>
        </w:rPr>
        <w:t>a value in t</w:t>
      </w:r>
      <w:r w:rsidRPr="0099341F">
        <w:rPr>
          <w:rFonts w:ascii="Calibri" w:hAnsi="Calibri" w:cs="Calibri"/>
        </w:rPr>
        <w:t>ODP</w:t>
      </w:r>
      <w:r>
        <w:rPr>
          <w:rFonts w:ascii="Calibri" w:hAnsi="Calibri" w:cs="Calibri"/>
        </w:rPr>
        <w:t xml:space="preserve"> and in tCO</w:t>
      </w:r>
      <w:r w:rsidRPr="0099341F">
        <w:rPr>
          <w:rFonts w:ascii="Calibri" w:hAnsi="Calibri" w:cs="Calibri"/>
          <w:vertAlign w:val="subscript"/>
        </w:rPr>
        <w:t>2</w:t>
      </w:r>
      <w:r>
        <w:rPr>
          <w:rFonts w:ascii="Calibri" w:hAnsi="Calibri" w:cs="Calibri"/>
        </w:rPr>
        <w:t>e</w:t>
      </w:r>
      <w:r w:rsidRPr="0099341F">
        <w:rPr>
          <w:rFonts w:ascii="Calibri" w:hAnsi="Calibri" w:cs="Calibri"/>
        </w:rPr>
        <w:t>.</w:t>
      </w:r>
      <w:r>
        <w:rPr>
          <w:rFonts w:ascii="Calibri" w:hAnsi="Calibri" w:cs="Calibri"/>
        </w:rPr>
        <w:t xml:space="preserve"> It is calculated by taking the weight </w:t>
      </w:r>
      <w:r w:rsidRPr="0099341F">
        <w:rPr>
          <w:rFonts w:ascii="Calibri" w:hAnsi="Calibri" w:cs="Calibri"/>
        </w:rPr>
        <w:t xml:space="preserve">of emissions </w:t>
      </w:r>
      <w:r>
        <w:rPr>
          <w:rFonts w:ascii="Calibri" w:hAnsi="Calibri" w:cs="Calibri"/>
        </w:rPr>
        <w:t xml:space="preserve">in tons </w:t>
      </w:r>
      <w:r w:rsidRPr="0099341F">
        <w:rPr>
          <w:rFonts w:ascii="Calibri" w:hAnsi="Calibri" w:cs="Calibri"/>
        </w:rPr>
        <w:t xml:space="preserve">from each substance </w:t>
      </w:r>
      <w:r>
        <w:rPr>
          <w:rFonts w:ascii="Calibri" w:hAnsi="Calibri" w:cs="Calibri"/>
        </w:rPr>
        <w:t xml:space="preserve">and </w:t>
      </w:r>
      <w:r w:rsidRPr="0099341F">
        <w:rPr>
          <w:rFonts w:ascii="Calibri" w:hAnsi="Calibri" w:cs="Calibri"/>
        </w:rPr>
        <w:t>multipl</w:t>
      </w:r>
      <w:r>
        <w:rPr>
          <w:rFonts w:ascii="Calibri" w:hAnsi="Calibri" w:cs="Calibri"/>
        </w:rPr>
        <w:t xml:space="preserve">ying it by its </w:t>
      </w:r>
      <w:r w:rsidRPr="0099341F">
        <w:rPr>
          <w:rFonts w:ascii="Calibri" w:hAnsi="Calibri" w:cs="Calibri"/>
        </w:rPr>
        <w:t xml:space="preserve">ODP and </w:t>
      </w:r>
      <w:r>
        <w:rPr>
          <w:rFonts w:ascii="Calibri" w:hAnsi="Calibri" w:cs="Calibri"/>
        </w:rPr>
        <w:t xml:space="preserve">its </w:t>
      </w:r>
      <w:r w:rsidRPr="0099341F">
        <w:rPr>
          <w:rFonts w:ascii="Calibri" w:hAnsi="Calibri" w:cs="Calibri"/>
        </w:rPr>
        <w:t xml:space="preserve">GWP. Then the respective results </w:t>
      </w:r>
      <w:r>
        <w:rPr>
          <w:rFonts w:ascii="Calibri" w:hAnsi="Calibri" w:cs="Calibri"/>
        </w:rPr>
        <w:t xml:space="preserve">in tODP and tCO2e </w:t>
      </w:r>
      <w:r w:rsidRPr="0099341F">
        <w:rPr>
          <w:rFonts w:ascii="Calibri" w:hAnsi="Calibri" w:cs="Calibri"/>
        </w:rPr>
        <w:t xml:space="preserve">from all </w:t>
      </w:r>
      <w:r>
        <w:rPr>
          <w:rFonts w:ascii="Calibri" w:hAnsi="Calibri" w:cs="Calibri"/>
        </w:rPr>
        <w:t xml:space="preserve">substances </w:t>
      </w:r>
      <w:r w:rsidRPr="0099341F">
        <w:rPr>
          <w:rFonts w:ascii="Calibri" w:hAnsi="Calibri" w:cs="Calibri"/>
        </w:rPr>
        <w:t>are added up.</w:t>
      </w:r>
      <w:r>
        <w:rPr>
          <w:rFonts w:ascii="Calibri" w:hAnsi="Calibri" w:cs="Calibri"/>
        </w:rPr>
        <w:t xml:space="preserve"> To make the calculation, the respective amounts of the individual substances must be known. </w:t>
      </w:r>
    </w:p>
  </w:footnote>
  <w:footnote w:id="19">
    <w:p w14:paraId="3BA4C798" w14:textId="77777777" w:rsidR="000B4FC1" w:rsidRPr="00920444" w:rsidRDefault="000B4FC1" w:rsidP="00A14107">
      <w:pPr>
        <w:pStyle w:val="FootnoteText"/>
        <w:rPr>
          <w:rFonts w:ascii="Calibri" w:hAnsi="Calibri" w:cs="Calibri"/>
        </w:rPr>
      </w:pPr>
      <w:r w:rsidRPr="00920444">
        <w:rPr>
          <w:rStyle w:val="FootnoteReference"/>
          <w:rFonts w:ascii="Calibri" w:hAnsi="Calibri" w:cs="Calibri"/>
        </w:rPr>
        <w:footnoteRef/>
      </w:r>
      <w:r w:rsidRPr="00920444">
        <w:rPr>
          <w:rFonts w:ascii="Calibri" w:hAnsi="Calibri" w:cs="Calibri"/>
        </w:rPr>
        <w:t xml:space="preserve"> ODS banks: The amount of ODS contained in existing equipment and products (e.g. refrigerators or insulation foams), including after their end of useful life, and chemical stockpiles; or recovered and stored ready for use</w:t>
      </w:r>
    </w:p>
  </w:footnote>
  <w:footnote w:id="20">
    <w:p w14:paraId="3B89E829" w14:textId="77777777" w:rsidR="000B4FC1" w:rsidRPr="00920444" w:rsidRDefault="000B4FC1" w:rsidP="00A14107">
      <w:pPr>
        <w:pStyle w:val="FootnoteText"/>
        <w:rPr>
          <w:rFonts w:ascii="Calibri" w:hAnsi="Calibri" w:cs="Calibri"/>
        </w:rPr>
      </w:pPr>
      <w:r w:rsidRPr="00920444">
        <w:rPr>
          <w:rStyle w:val="FootnoteReference"/>
          <w:rFonts w:ascii="Calibri" w:hAnsi="Calibri" w:cs="Calibri"/>
        </w:rPr>
        <w:footnoteRef/>
      </w:r>
      <w:r w:rsidRPr="00920444">
        <w:rPr>
          <w:rFonts w:ascii="Calibri" w:hAnsi="Calibri" w:cs="Calibri"/>
        </w:rPr>
        <w:t xml:space="preserve"> Old cooling equipment with ODS </w:t>
      </w:r>
      <w:r>
        <w:rPr>
          <w:rFonts w:ascii="Calibri" w:hAnsi="Calibri" w:cs="Calibri"/>
        </w:rPr>
        <w:t xml:space="preserve">(e.g. refrigerators) </w:t>
      </w:r>
      <w:r w:rsidRPr="00920444">
        <w:rPr>
          <w:rFonts w:ascii="Calibri" w:hAnsi="Calibri" w:cs="Calibri"/>
        </w:rPr>
        <w:t>are not in use anymore</w:t>
      </w:r>
      <w:r>
        <w:rPr>
          <w:rFonts w:ascii="Calibri" w:hAnsi="Calibri" w:cs="Calibri"/>
        </w:rPr>
        <w:t xml:space="preserve">, but </w:t>
      </w:r>
      <w:r w:rsidRPr="00920444">
        <w:rPr>
          <w:rFonts w:ascii="Calibri" w:hAnsi="Calibri" w:cs="Calibri"/>
        </w:rPr>
        <w:t>those already present in landfills and where the ODS was not removed and destroyed, contribute to these emissions.</w:t>
      </w:r>
    </w:p>
  </w:footnote>
  <w:footnote w:id="21">
    <w:p w14:paraId="349C53D9" w14:textId="77777777" w:rsidR="000B4FC1" w:rsidRPr="00E666B8" w:rsidRDefault="000B4FC1" w:rsidP="001D408A">
      <w:pPr>
        <w:pStyle w:val="FootnoteText"/>
        <w:rPr>
          <w:rFonts w:asciiTheme="minorHAnsi" w:hAnsiTheme="minorHAnsi" w:cstheme="minorHAnsi"/>
        </w:rPr>
      </w:pPr>
      <w:r w:rsidRPr="00E666B8">
        <w:rPr>
          <w:rStyle w:val="FootnoteReference"/>
          <w:rFonts w:asciiTheme="minorHAnsi" w:hAnsiTheme="minorHAnsi" w:cstheme="minorHAnsi"/>
        </w:rPr>
        <w:footnoteRef/>
      </w:r>
      <w:r w:rsidRPr="00E666B8">
        <w:rPr>
          <w:rFonts w:asciiTheme="minorHAnsi" w:hAnsiTheme="minorHAnsi" w:cstheme="minorHAnsi"/>
        </w:rPr>
        <w:t xml:space="preserve"> </w:t>
      </w:r>
      <w:r>
        <w:rPr>
          <w:rFonts w:asciiTheme="minorHAnsi" w:hAnsiTheme="minorHAnsi" w:cstheme="minorHAnsi"/>
        </w:rPr>
        <w:t>SKM Enviros (2012)</w:t>
      </w:r>
      <w:r w:rsidRPr="00E666B8">
        <w:rPr>
          <w:rFonts w:asciiTheme="minorHAnsi" w:hAnsiTheme="minorHAnsi" w:cstheme="minorHAnsi"/>
        </w:rPr>
        <w:t xml:space="preserve"> “Further Assessment of Policy Options for the Management and Destruction of Banks of ODS and F-Gases in the EU”</w:t>
      </w:r>
      <w:r>
        <w:rPr>
          <w:rFonts w:asciiTheme="minorHAnsi" w:hAnsiTheme="minorHAnsi" w:cstheme="minorHAnsi"/>
        </w:rPr>
        <w:t>.</w:t>
      </w:r>
      <w:r w:rsidRPr="00F069C0">
        <w:rPr>
          <w:rFonts w:ascii="Calibri" w:hAnsi="Calibri" w:cs="Calibri"/>
        </w:rPr>
        <w:t xml:space="preserve"> </w:t>
      </w:r>
      <w:r>
        <w:rPr>
          <w:rFonts w:ascii="Calibri" w:hAnsi="Calibri" w:cs="Calibri"/>
        </w:rPr>
        <w:t xml:space="preserve">In their study for the Commission, </w:t>
      </w:r>
      <w:r w:rsidRPr="00ED04A7">
        <w:rPr>
          <w:rFonts w:ascii="Calibri" w:hAnsi="Calibri" w:cs="Calibri"/>
        </w:rPr>
        <w:t xml:space="preserve">SKM developed a revised banks model using bottom-up data from the insulation sector. As one of the main findings, the SKM study highlighted the dominant role of CFCs in old building insulation products. </w:t>
      </w:r>
      <w:r>
        <w:rPr>
          <w:rFonts w:ascii="Calibri" w:hAnsi="Calibri" w:cs="Calibri"/>
        </w:rPr>
        <w:t xml:space="preserve">The data was confirmed by the stakeholder consultations carried out for the Evaluation. Given that no more ODS were used in new foams after 2003 in the EU-28, the banks estimations from the 2012 are considered still accurate. </w:t>
      </w:r>
    </w:p>
  </w:footnote>
  <w:footnote w:id="22">
    <w:p w14:paraId="6C497556" w14:textId="77777777" w:rsidR="000B4FC1" w:rsidRPr="00A362D6" w:rsidRDefault="000B4FC1" w:rsidP="00A14107">
      <w:pPr>
        <w:pStyle w:val="FootnoteText"/>
        <w:rPr>
          <w:rFonts w:ascii="Calibri" w:hAnsi="Calibri" w:cs="Calibri"/>
        </w:rPr>
      </w:pPr>
      <w:r w:rsidRPr="00A362D6">
        <w:rPr>
          <w:rStyle w:val="FootnoteReference"/>
          <w:rFonts w:asciiTheme="minorHAnsi" w:hAnsiTheme="minorHAnsi" w:cstheme="minorHAnsi"/>
        </w:rPr>
        <w:footnoteRef/>
      </w:r>
      <w:r w:rsidRPr="00A362D6">
        <w:rPr>
          <w:rFonts w:asciiTheme="minorHAnsi" w:hAnsiTheme="minorHAnsi" w:cstheme="minorHAnsi"/>
        </w:rPr>
        <w:t xml:space="preserve"> ODS were</w:t>
      </w:r>
      <w:r w:rsidRPr="00892FF8">
        <w:rPr>
          <w:rFonts w:ascii="Calibri" w:hAnsi="Calibri" w:cs="Calibri"/>
        </w:rPr>
        <w:t xml:space="preserve"> used in the manufacturing of foams in the past: ODS were injected into a liquid, creating bubbles that provide the insulating capabilities. The hardened foam consist of a matrix and enclosed ODS </w:t>
      </w:r>
      <w:r w:rsidRPr="00A362D6">
        <w:rPr>
          <w:rFonts w:ascii="Calibri" w:hAnsi="Calibri" w:cs="Calibri"/>
        </w:rPr>
        <w:t>gas bubbles.</w:t>
      </w:r>
    </w:p>
  </w:footnote>
  <w:footnote w:id="23">
    <w:p w14:paraId="59274559" w14:textId="77777777" w:rsidR="000B4FC1" w:rsidRPr="00892FF8" w:rsidRDefault="000B4FC1" w:rsidP="00A14107">
      <w:pPr>
        <w:pStyle w:val="FootnoteText"/>
        <w:rPr>
          <w:rFonts w:ascii="Calibri" w:hAnsi="Calibri" w:cs="Calibri"/>
        </w:rPr>
      </w:pPr>
      <w:r w:rsidRPr="00A362D6">
        <w:rPr>
          <w:rStyle w:val="FootnoteReference"/>
          <w:rFonts w:ascii="Calibri" w:hAnsi="Calibri" w:cs="Calibri"/>
        </w:rPr>
        <w:footnoteRef/>
      </w:r>
      <w:r w:rsidRPr="00A362D6">
        <w:rPr>
          <w:rFonts w:ascii="Calibri" w:hAnsi="Calibri" w:cs="Calibri"/>
        </w:rPr>
        <w:t xml:space="preserve"> SKM Enviros</w:t>
      </w:r>
      <w:r>
        <w:rPr>
          <w:rFonts w:ascii="Calibri" w:hAnsi="Calibri" w:cs="Calibri"/>
        </w:rPr>
        <w:t xml:space="preserve"> (2012) </w:t>
      </w:r>
      <w:r w:rsidRPr="00E666B8">
        <w:rPr>
          <w:rFonts w:ascii="Calibri" w:hAnsi="Calibri" w:cs="Calibri"/>
        </w:rPr>
        <w:t>“Further Assessment of Policy Options for the Management and Destruction of</w:t>
      </w:r>
      <w:r>
        <w:rPr>
          <w:rFonts w:ascii="Calibri" w:hAnsi="Calibri" w:cs="Calibri"/>
        </w:rPr>
        <w:t xml:space="preserve"> </w:t>
      </w:r>
      <w:r w:rsidRPr="00E666B8">
        <w:rPr>
          <w:rFonts w:ascii="Calibri" w:hAnsi="Calibri" w:cs="Calibri"/>
        </w:rPr>
        <w:t>Banks of ODS and F-Gases in the EU”</w:t>
      </w:r>
      <w:r>
        <w:rPr>
          <w:rFonts w:ascii="Calibri" w:hAnsi="Calibri" w:cs="Calibri"/>
        </w:rPr>
        <w:t xml:space="preserve">. </w:t>
      </w:r>
    </w:p>
  </w:footnote>
  <w:footnote w:id="24">
    <w:p w14:paraId="529C50C1" w14:textId="77777777" w:rsidR="000B4FC1" w:rsidRPr="00892FF8" w:rsidRDefault="000B4FC1" w:rsidP="00A14107">
      <w:pPr>
        <w:pStyle w:val="FootnoteText"/>
        <w:rPr>
          <w:rFonts w:ascii="Calibri" w:hAnsi="Calibri" w:cs="Calibri"/>
        </w:rPr>
      </w:pPr>
      <w:r w:rsidRPr="00892FF8">
        <w:rPr>
          <w:rStyle w:val="FootnoteReference"/>
          <w:rFonts w:ascii="Times New Roman" w:hAnsi="Times New Roman" w:cs="Times New Roman"/>
          <w:sz w:val="18"/>
          <w:szCs w:val="18"/>
        </w:rPr>
        <w:footnoteRef/>
      </w:r>
      <w:r w:rsidRPr="00892FF8">
        <w:rPr>
          <w:rFonts w:ascii="Times New Roman" w:hAnsi="Times New Roman" w:cs="Times New Roman"/>
          <w:sz w:val="18"/>
          <w:szCs w:val="18"/>
        </w:rPr>
        <w:t xml:space="preserve"> </w:t>
      </w:r>
      <w:r w:rsidRPr="00892FF8">
        <w:rPr>
          <w:rFonts w:ascii="Calibri" w:hAnsi="Calibri" w:cs="Calibri"/>
        </w:rPr>
        <w:t>There are some indications, e.g. from data reported under the E-PRTR, that these emission rates might be higher than stated here.</w:t>
      </w:r>
    </w:p>
  </w:footnote>
  <w:footnote w:id="25">
    <w:p w14:paraId="51D2EBC1" w14:textId="77777777" w:rsidR="000B4FC1" w:rsidRPr="00892FF8" w:rsidRDefault="000B4FC1" w:rsidP="00A14107">
      <w:pPr>
        <w:pStyle w:val="FootnoteText"/>
        <w:rPr>
          <w:rFonts w:ascii="Calibri" w:hAnsi="Calibri" w:cs="Calibri"/>
        </w:rPr>
      </w:pPr>
      <w:r w:rsidRPr="00892FF8">
        <w:rPr>
          <w:rStyle w:val="FootnoteReference"/>
          <w:rFonts w:ascii="Calibri" w:hAnsi="Calibri" w:cs="Calibri"/>
        </w:rPr>
        <w:footnoteRef/>
      </w:r>
      <w:r w:rsidRPr="00892FF8">
        <w:rPr>
          <w:rFonts w:ascii="Calibri" w:hAnsi="Calibri" w:cs="Calibri"/>
        </w:rPr>
        <w:t xml:space="preserve"> There processes are the use of (i) HCFC-22 to produce tetrafluoroethylene (TFE) and (ii) carbontetrachloride (CTC) to produce perchloroethylene (PCE).</w:t>
      </w:r>
    </w:p>
  </w:footnote>
  <w:footnote w:id="26">
    <w:p w14:paraId="23AB3DAE" w14:textId="77777777" w:rsidR="000B4FC1" w:rsidRPr="00892FF8" w:rsidRDefault="000B4FC1" w:rsidP="00A14107">
      <w:pPr>
        <w:pStyle w:val="FootnoteText"/>
        <w:rPr>
          <w:rFonts w:ascii="Calibri" w:hAnsi="Calibri" w:cs="Calibri"/>
        </w:rPr>
      </w:pPr>
      <w:r w:rsidRPr="00892FF8">
        <w:rPr>
          <w:rStyle w:val="FootnoteReference"/>
          <w:rFonts w:ascii="Calibri" w:hAnsi="Calibri" w:cs="Calibri"/>
        </w:rPr>
        <w:footnoteRef/>
      </w:r>
      <w:r w:rsidRPr="00892FF8">
        <w:rPr>
          <w:rFonts w:ascii="Calibri" w:hAnsi="Calibri" w:cs="Calibri"/>
        </w:rPr>
        <w:t xml:space="preserve"> These uses are for fixed fire protection systems of (i) engine compartments on military ground vehicles, and (ii) normally unoccupied engine spaces on military surface ships. Alternatives are also available for the inerting of fuel tanks on aircraft and in lavatory waste receptacles, but remaining quantities used are very low for the latter two uses.</w:t>
      </w:r>
    </w:p>
  </w:footnote>
  <w:footnote w:id="27">
    <w:p w14:paraId="7B6A0BA2" w14:textId="77777777" w:rsidR="000B4FC1" w:rsidRPr="00892FF8" w:rsidRDefault="000B4FC1" w:rsidP="00A14107">
      <w:pPr>
        <w:pStyle w:val="FootnoteText"/>
        <w:rPr>
          <w:rFonts w:ascii="Calibri" w:hAnsi="Calibri" w:cs="Calibri"/>
        </w:rPr>
      </w:pPr>
      <w:r w:rsidRPr="00892FF8">
        <w:rPr>
          <w:rStyle w:val="FootnoteReference"/>
          <w:rFonts w:ascii="Calibri" w:hAnsi="Calibri" w:cs="Calibri"/>
        </w:rPr>
        <w:footnoteRef/>
      </w:r>
      <w:r w:rsidRPr="00892FF8">
        <w:rPr>
          <w:rFonts w:ascii="Calibri" w:hAnsi="Calibri" w:cs="Calibri"/>
        </w:rPr>
        <w:t xml:space="preserve"> Besides other ODSs where the uses, sectors or emission sources are completely different (such as N2O) and therefore not considered to be regulated by the Regulation.</w:t>
      </w:r>
    </w:p>
  </w:footnote>
  <w:footnote w:id="28">
    <w:p w14:paraId="2E4D345F" w14:textId="77777777" w:rsidR="000B4FC1" w:rsidRPr="00892FF8" w:rsidRDefault="000B4FC1" w:rsidP="00A14107">
      <w:pPr>
        <w:pStyle w:val="FootnoteText"/>
        <w:rPr>
          <w:rFonts w:ascii="Calibri" w:hAnsi="Calibri" w:cs="Calibri"/>
        </w:rPr>
      </w:pPr>
      <w:r w:rsidRPr="00892FF8">
        <w:rPr>
          <w:rStyle w:val="FootnoteReference"/>
          <w:rFonts w:ascii="Calibri" w:hAnsi="Calibri" w:cs="Calibri"/>
        </w:rPr>
        <w:footnoteRef/>
      </w:r>
      <w:r w:rsidRPr="00892FF8">
        <w:rPr>
          <w:rFonts w:ascii="Calibri" w:hAnsi="Calibri" w:cs="Calibri"/>
        </w:rPr>
        <w:t xml:space="preserve"> Except use of halons in critical equipment (see further below)</w:t>
      </w:r>
    </w:p>
  </w:footnote>
  <w:footnote w:id="29">
    <w:p w14:paraId="62DEF75A" w14:textId="77777777" w:rsidR="000B4FC1" w:rsidRPr="00B60CC4" w:rsidRDefault="000B4FC1" w:rsidP="00A14107">
      <w:pPr>
        <w:pStyle w:val="FootnoteText"/>
        <w:rPr>
          <w:rFonts w:ascii="Calibri" w:hAnsi="Calibri" w:cs="Calibri"/>
        </w:rPr>
      </w:pPr>
      <w:r w:rsidRPr="00892FF8">
        <w:rPr>
          <w:rStyle w:val="FootnoteReference"/>
          <w:rFonts w:ascii="Calibri" w:hAnsi="Calibri" w:cs="Calibri"/>
        </w:rPr>
        <w:footnoteRef/>
      </w:r>
      <w:r w:rsidRPr="00892FF8">
        <w:rPr>
          <w:rFonts w:ascii="Calibri" w:hAnsi="Calibri" w:cs="Calibri"/>
        </w:rPr>
        <w:t xml:space="preserve"> </w:t>
      </w:r>
      <w:r w:rsidRPr="00B60CC4">
        <w:rPr>
          <w:rFonts w:ascii="Calibri" w:hAnsi="Calibri" w:cs="Calibri"/>
        </w:rPr>
        <w:t>Commission Decision 2010/372/EU, updated by Commission Decision 2014/8/EU</w:t>
      </w:r>
    </w:p>
  </w:footnote>
  <w:footnote w:id="30">
    <w:p w14:paraId="1EC4258B" w14:textId="77777777" w:rsidR="000B4FC1" w:rsidRPr="00B60CC4" w:rsidRDefault="000B4FC1" w:rsidP="00A14107">
      <w:pPr>
        <w:pStyle w:val="FootnoteText"/>
        <w:rPr>
          <w:rFonts w:ascii="Calibri" w:hAnsi="Calibri" w:cs="Calibri"/>
        </w:rPr>
      </w:pPr>
      <w:r w:rsidRPr="00B60CC4">
        <w:rPr>
          <w:rStyle w:val="FootnoteReference"/>
          <w:rFonts w:ascii="Calibri" w:hAnsi="Calibri" w:cs="Calibri"/>
        </w:rPr>
        <w:footnoteRef/>
      </w:r>
      <w:r w:rsidRPr="00B60CC4">
        <w:rPr>
          <w:rFonts w:ascii="Calibri" w:hAnsi="Calibri" w:cs="Calibri"/>
        </w:rPr>
        <w:t xml:space="preserve"> And therefore also by the Regulation</w:t>
      </w:r>
    </w:p>
  </w:footnote>
  <w:footnote w:id="31">
    <w:p w14:paraId="65E103E9" w14:textId="77777777" w:rsidR="000B4FC1" w:rsidRPr="00B60CC4" w:rsidRDefault="000B4FC1" w:rsidP="00A14107">
      <w:pPr>
        <w:pStyle w:val="FootnoteText"/>
        <w:rPr>
          <w:rFonts w:ascii="Calibri" w:hAnsi="Calibri" w:cs="Calibri"/>
        </w:rPr>
      </w:pPr>
      <w:r w:rsidRPr="00B60CC4">
        <w:rPr>
          <w:rStyle w:val="FootnoteReference"/>
          <w:rFonts w:ascii="Calibri" w:hAnsi="Calibri" w:cs="Calibri"/>
        </w:rPr>
        <w:footnoteRef/>
      </w:r>
      <w:r w:rsidRPr="00B60CC4">
        <w:rPr>
          <w:rFonts w:ascii="Calibri" w:hAnsi="Calibri" w:cs="Calibri"/>
        </w:rPr>
        <w:t xml:space="preserve"> Except for Halon 1202 listen in Annex II(A) to which similar restrictions apply as for Annex I ODS</w:t>
      </w:r>
    </w:p>
  </w:footnote>
  <w:footnote w:id="32">
    <w:p w14:paraId="045FE740" w14:textId="77777777" w:rsidR="000B4FC1" w:rsidRPr="00CB2D88" w:rsidRDefault="000B4FC1" w:rsidP="00A14107">
      <w:pPr>
        <w:pStyle w:val="FootnoteText"/>
        <w:rPr>
          <w:rFonts w:asciiTheme="minorHAnsi" w:hAnsiTheme="minorHAnsi" w:cstheme="minorHAnsi"/>
        </w:rPr>
      </w:pPr>
      <w:r w:rsidRPr="00CB2D88">
        <w:rPr>
          <w:rStyle w:val="FootnoteReference"/>
          <w:rFonts w:asciiTheme="minorHAnsi" w:hAnsiTheme="minorHAnsi" w:cstheme="minorHAnsi"/>
        </w:rPr>
        <w:footnoteRef/>
      </w:r>
      <w:r w:rsidRPr="00CB2D88">
        <w:rPr>
          <w:rFonts w:asciiTheme="minorHAnsi" w:hAnsiTheme="minorHAnsi" w:cstheme="minorHAnsi"/>
        </w:rPr>
        <w:t xml:space="preserve"> It is possible that emission</w:t>
      </w:r>
      <w:r>
        <w:rPr>
          <w:rFonts w:asciiTheme="minorHAnsi" w:hAnsiTheme="minorHAnsi" w:cstheme="minorHAnsi"/>
        </w:rPr>
        <w:t>s</w:t>
      </w:r>
      <w:r w:rsidRPr="00CB2D88">
        <w:rPr>
          <w:rFonts w:asciiTheme="minorHAnsi" w:hAnsiTheme="minorHAnsi" w:cstheme="minorHAnsi"/>
        </w:rPr>
        <w:t xml:space="preserve"> reduce more quickly if equipment is replaced ahead of phase-out dates.</w:t>
      </w:r>
    </w:p>
  </w:footnote>
  <w:footnote w:id="33">
    <w:p w14:paraId="6E374169" w14:textId="77777777" w:rsidR="000B4FC1" w:rsidRPr="00CB2D88" w:rsidRDefault="000B4FC1" w:rsidP="00A14107">
      <w:pPr>
        <w:pStyle w:val="FootnoteText"/>
        <w:rPr>
          <w:rFonts w:asciiTheme="minorHAnsi" w:hAnsiTheme="minorHAnsi" w:cstheme="minorHAnsi"/>
        </w:rPr>
      </w:pPr>
      <w:r w:rsidRPr="00CB2D88">
        <w:rPr>
          <w:rStyle w:val="FootnoteReference"/>
          <w:rFonts w:asciiTheme="minorHAnsi" w:hAnsiTheme="minorHAnsi" w:cstheme="minorHAnsi"/>
        </w:rPr>
        <w:footnoteRef/>
      </w:r>
      <w:r w:rsidRPr="00CB2D88">
        <w:rPr>
          <w:rFonts w:asciiTheme="minorHAnsi" w:hAnsiTheme="minorHAnsi" w:cstheme="minorHAnsi"/>
        </w:rPr>
        <w:t xml:space="preserve"> https://ec.europa.eu/taxation_customs/general-information-customs/electronic-customs/eu-single-window-environment-for-customs_en</w:t>
      </w:r>
    </w:p>
  </w:footnote>
  <w:footnote w:id="34">
    <w:p w14:paraId="58D55E11" w14:textId="77777777" w:rsidR="000B4FC1" w:rsidRPr="00892FF8" w:rsidRDefault="000B4FC1" w:rsidP="00A14107">
      <w:pPr>
        <w:pStyle w:val="FootnoteText"/>
        <w:rPr>
          <w:rFonts w:ascii="Calibri" w:hAnsi="Calibri" w:cs="Calibri"/>
        </w:rPr>
      </w:pPr>
      <w:r w:rsidRPr="00892FF8">
        <w:rPr>
          <w:rStyle w:val="FootnoteReference"/>
          <w:rFonts w:asciiTheme="minorHAnsi" w:hAnsiTheme="minorHAnsi" w:cstheme="minorHAnsi"/>
        </w:rPr>
        <w:footnoteRef/>
      </w:r>
      <w:r w:rsidRPr="00892FF8">
        <w:rPr>
          <w:rFonts w:asciiTheme="minorHAnsi" w:hAnsiTheme="minorHAnsi" w:cstheme="minorHAnsi"/>
        </w:rPr>
        <w:t xml:space="preserve"> While most illegal activities concern the related sector of F-gases, there are also some activities reported that concern ODS</w:t>
      </w:r>
    </w:p>
  </w:footnote>
  <w:footnote w:id="35">
    <w:p w14:paraId="0C869502" w14:textId="77777777" w:rsidR="000B4FC1" w:rsidRPr="00DF6D1E" w:rsidRDefault="000B4FC1" w:rsidP="00375710">
      <w:pPr>
        <w:pStyle w:val="FootnoteText"/>
      </w:pPr>
      <w:r>
        <w:rPr>
          <w:rStyle w:val="FootnoteReference"/>
        </w:rPr>
        <w:footnoteRef/>
      </w:r>
      <w:r>
        <w:t xml:space="preserve"> Due to the manual process many licenses are not checked at customs today </w:t>
      </w:r>
    </w:p>
  </w:footnote>
  <w:footnote w:id="36">
    <w:p w14:paraId="220F379C" w14:textId="77777777" w:rsidR="000B4FC1" w:rsidRPr="00892FF8" w:rsidRDefault="000B4FC1" w:rsidP="00A14107">
      <w:pPr>
        <w:pStyle w:val="FootnoteText"/>
        <w:rPr>
          <w:rFonts w:asciiTheme="minorHAnsi" w:hAnsiTheme="minorHAnsi" w:cstheme="minorHAnsi"/>
        </w:rPr>
      </w:pPr>
      <w:r w:rsidRPr="00892FF8">
        <w:rPr>
          <w:rStyle w:val="FootnoteReference"/>
          <w:rFonts w:asciiTheme="minorHAnsi" w:hAnsiTheme="minorHAnsi" w:cstheme="minorHAnsi"/>
        </w:rPr>
        <w:footnoteRef/>
      </w:r>
      <w:r w:rsidRPr="00892FF8">
        <w:rPr>
          <w:rFonts w:asciiTheme="minorHAnsi" w:hAnsiTheme="minorHAnsi" w:cstheme="minorHAnsi"/>
        </w:rPr>
        <w:t xml:space="preserve"> Cross-cutting IT costs for licensing, registration and quota: 168 person days annual plus 177,700 annual IT implementation costs (see Table A4.7 and A4.8 in Annex 4)</w:t>
      </w:r>
    </w:p>
  </w:footnote>
  <w:footnote w:id="37">
    <w:p w14:paraId="3CD512E5" w14:textId="77777777" w:rsidR="000B4FC1" w:rsidRPr="003D407F" w:rsidRDefault="000B4FC1" w:rsidP="00A14107">
      <w:pPr>
        <w:pStyle w:val="FootnoteText"/>
        <w:rPr>
          <w:rFonts w:asciiTheme="minorHAnsi" w:hAnsiTheme="minorHAnsi" w:cs="Calibri"/>
        </w:rPr>
      </w:pPr>
      <w:r w:rsidRPr="00B37C71">
        <w:rPr>
          <w:rStyle w:val="FootnoteReference"/>
          <w:sz w:val="16"/>
          <w:szCs w:val="16"/>
        </w:rPr>
        <w:footnoteRef/>
      </w:r>
      <w:r w:rsidRPr="00B37C71">
        <w:rPr>
          <w:sz w:val="16"/>
          <w:szCs w:val="16"/>
        </w:rPr>
        <w:t xml:space="preserve"> </w:t>
      </w:r>
      <w:r w:rsidRPr="00892FF8">
        <w:rPr>
          <w:rFonts w:ascii="Calibri" w:hAnsi="Calibri" w:cs="Calibri"/>
        </w:rPr>
        <w:t xml:space="preserve">ODS have widely varying ODPs and </w:t>
      </w:r>
      <w:r w:rsidRPr="003D407F">
        <w:rPr>
          <w:rFonts w:asciiTheme="minorHAnsi" w:hAnsiTheme="minorHAnsi" w:cs="Calibri"/>
        </w:rPr>
        <w:t>GWPs, so that it is necessary to have emission values at substance level to determine effects on ozone layer and climate</w:t>
      </w:r>
    </w:p>
  </w:footnote>
  <w:footnote w:id="38">
    <w:p w14:paraId="5542B002" w14:textId="77777777" w:rsidR="000B4FC1" w:rsidRPr="003D407F" w:rsidRDefault="000B4FC1">
      <w:pPr>
        <w:pStyle w:val="FootnoteText"/>
        <w:rPr>
          <w:rFonts w:asciiTheme="minorHAnsi" w:hAnsiTheme="minorHAnsi"/>
        </w:rPr>
      </w:pPr>
      <w:r w:rsidRPr="003D407F">
        <w:rPr>
          <w:rStyle w:val="FootnoteReference"/>
          <w:rFonts w:asciiTheme="minorHAnsi" w:hAnsiTheme="minorHAnsi"/>
        </w:rPr>
        <w:footnoteRef/>
      </w:r>
      <w:r w:rsidRPr="003D407F">
        <w:rPr>
          <w:rFonts w:asciiTheme="minorHAnsi" w:hAnsiTheme="minorHAnsi"/>
        </w:rPr>
        <w:t xml:space="preserve"> </w:t>
      </w:r>
      <w:r w:rsidRPr="003D407F">
        <w:rPr>
          <w:rFonts w:asciiTheme="minorHAnsi" w:hAnsiTheme="minorHAnsi" w:cs="Times New Roman"/>
        </w:rPr>
        <w:t xml:space="preserve">But produced quantities in tODP are significantly smaller than those of Annex I substances, since the unmonitored substances have rather low ODPs </w:t>
      </w:r>
    </w:p>
  </w:footnote>
  <w:footnote w:id="39">
    <w:p w14:paraId="7A672E3D" w14:textId="77777777" w:rsidR="000B4FC1" w:rsidRPr="00DE40A2" w:rsidRDefault="000B4FC1">
      <w:pPr>
        <w:pStyle w:val="FootnoteText"/>
        <w:rPr>
          <w:rFonts w:ascii="Calibri" w:hAnsi="Calibri"/>
        </w:rPr>
      </w:pPr>
      <w:r w:rsidRPr="00DE40A2">
        <w:rPr>
          <w:rStyle w:val="FootnoteReference"/>
          <w:rFonts w:ascii="Calibri" w:hAnsi="Calibri"/>
        </w:rPr>
        <w:footnoteRef/>
      </w:r>
      <w:r w:rsidRPr="00DE40A2">
        <w:rPr>
          <w:rFonts w:ascii="Calibri" w:hAnsi="Calibri"/>
        </w:rPr>
        <w:t xml:space="preserve"> DEMETER VII (2021) </w:t>
      </w:r>
      <w:r>
        <w:rPr>
          <w:rFonts w:ascii="Calibri" w:hAnsi="Calibri"/>
        </w:rPr>
        <w:t xml:space="preserve">only discovered 101 kg of substances, but additionally 493 pieces of equipment </w:t>
      </w:r>
      <w:r w:rsidRPr="00DE40A2">
        <w:rPr>
          <w:rFonts w:ascii="Calibri" w:hAnsi="Calibri"/>
        </w:rPr>
        <w:t>controlled by the Protocol</w:t>
      </w:r>
    </w:p>
  </w:footnote>
  <w:footnote w:id="40">
    <w:p w14:paraId="6365E17B" w14:textId="77777777" w:rsidR="000B4FC1" w:rsidRPr="00E76A57" w:rsidRDefault="000B4FC1" w:rsidP="00413B8A">
      <w:pPr>
        <w:pStyle w:val="FootnoteText"/>
        <w:rPr>
          <w:sz w:val="16"/>
          <w:szCs w:val="16"/>
        </w:rPr>
      </w:pPr>
      <w:r w:rsidRPr="00E76A57">
        <w:rPr>
          <w:rStyle w:val="FootnoteReference"/>
          <w:sz w:val="16"/>
          <w:szCs w:val="16"/>
        </w:rPr>
        <w:footnoteRef/>
      </w:r>
      <w:r w:rsidRPr="00E76A57">
        <w:rPr>
          <w:sz w:val="16"/>
          <w:szCs w:val="16"/>
        </w:rPr>
        <w:t xml:space="preserve"> </w:t>
      </w:r>
      <w:r w:rsidRPr="00DA13D1">
        <w:rPr>
          <w:rFonts w:ascii="Calibri" w:hAnsi="Calibri" w:cs="Calibri"/>
        </w:rPr>
        <w:t>“F-gases” = fluorinated greenhouse gases, as defined by Regulation (EU) No 517/2014</w:t>
      </w:r>
    </w:p>
  </w:footnote>
  <w:footnote w:id="41">
    <w:p w14:paraId="56880752" w14:textId="77777777" w:rsidR="000B4FC1" w:rsidRPr="00A92C82" w:rsidRDefault="000B4FC1">
      <w:pPr>
        <w:pStyle w:val="FootnoteText"/>
      </w:pPr>
      <w:r>
        <w:rPr>
          <w:rStyle w:val="FootnoteReference"/>
        </w:rPr>
        <w:footnoteRef/>
      </w:r>
      <w:r>
        <w:t xml:space="preserve"> </w:t>
      </w:r>
      <w:r w:rsidRPr="00A92C82">
        <w:rPr>
          <w:rFonts w:asciiTheme="minorHAnsi" w:hAnsiTheme="minorHAnsi" w:cs="Times New Roman"/>
        </w:rPr>
        <w:t>This issue was also</w:t>
      </w:r>
      <w:r w:rsidRPr="00A92C82">
        <w:rPr>
          <w:rFonts w:asciiTheme="minorHAnsi" w:hAnsiTheme="minorHAnsi" w:cs="Times New Roman"/>
          <w:vertAlign w:val="superscript"/>
        </w:rPr>
        <w:t xml:space="preserve"> </w:t>
      </w:r>
      <w:r w:rsidRPr="00A92C82">
        <w:rPr>
          <w:rFonts w:asciiTheme="minorHAnsi" w:hAnsiTheme="minorHAnsi" w:cs="Times New Roman"/>
        </w:rPr>
        <w:t>identified by F-gas and custom experts group that met several times between 2019 to 2021 to discuss illegal HFC trade.</w:t>
      </w:r>
      <w:r w:rsidRPr="00A92C82">
        <w:rPr>
          <w:rFonts w:ascii="Times New Roman" w:hAnsi="Times New Roman" w:cs="Times New Roman"/>
        </w:rPr>
        <w:t xml:space="preserve"> The Commission financed the group under the </w:t>
      </w:r>
      <w:r w:rsidRPr="00A92C82">
        <w:rPr>
          <w:rFonts w:ascii="Times New Roman" w:hAnsi="Times New Roman" w:cs="Times New Roman"/>
          <w:i/>
        </w:rPr>
        <w:t>The Customs 2020 Programme</w:t>
      </w:r>
      <w:r w:rsidRPr="00A92C82">
        <w:rPr>
          <w:rFonts w:ascii="Times New Roman" w:hAnsi="Times New Roman" w:cs="Times New Roman"/>
        </w:rPr>
        <w:t>.</w:t>
      </w:r>
    </w:p>
  </w:footnote>
  <w:footnote w:id="42">
    <w:p w14:paraId="3B8DB440" w14:textId="77777777" w:rsidR="000B4FC1" w:rsidRPr="00F948E3" w:rsidRDefault="000B4FC1" w:rsidP="008B0197">
      <w:pPr>
        <w:pStyle w:val="FootnoteText"/>
        <w:rPr>
          <w:rFonts w:asciiTheme="minorHAnsi" w:hAnsiTheme="minorHAnsi" w:cstheme="minorHAnsi"/>
        </w:rPr>
      </w:pPr>
      <w:r w:rsidRPr="00F948E3">
        <w:rPr>
          <w:rStyle w:val="FootnoteReference"/>
          <w:rFonts w:ascii="Times New Roman" w:hAnsi="Times New Roman" w:cs="Times New Roman"/>
          <w:sz w:val="18"/>
          <w:szCs w:val="18"/>
        </w:rPr>
        <w:footnoteRef/>
      </w:r>
      <w:r w:rsidRPr="00F948E3">
        <w:rPr>
          <w:rFonts w:ascii="Times New Roman" w:hAnsi="Times New Roman" w:cs="Times New Roman"/>
          <w:sz w:val="18"/>
          <w:szCs w:val="18"/>
        </w:rPr>
        <w:t xml:space="preserve"> </w:t>
      </w:r>
      <w:r w:rsidRPr="00F948E3">
        <w:rPr>
          <w:rFonts w:asciiTheme="minorHAnsi" w:hAnsiTheme="minorHAnsi" w:cstheme="minorHAnsi"/>
        </w:rPr>
        <w:t>The F-gas Regulation is also currently being reviewed.</w:t>
      </w:r>
    </w:p>
  </w:footnote>
  <w:footnote w:id="43">
    <w:p w14:paraId="4648BE76" w14:textId="77777777" w:rsidR="000B4FC1" w:rsidRPr="00892FF8" w:rsidRDefault="000B4FC1" w:rsidP="00A14107">
      <w:pPr>
        <w:pStyle w:val="FootnoteText"/>
        <w:rPr>
          <w:sz w:val="16"/>
          <w:szCs w:val="16"/>
        </w:rPr>
      </w:pPr>
      <w:r w:rsidRPr="00892FF8">
        <w:rPr>
          <w:rStyle w:val="FootnoteReference"/>
          <w:rFonts w:asciiTheme="minorHAnsi" w:hAnsiTheme="minorHAnsi" w:cstheme="minorHAnsi"/>
        </w:rPr>
        <w:footnoteRef/>
      </w:r>
      <w:r w:rsidRPr="00892FF8">
        <w:rPr>
          <w:rFonts w:asciiTheme="minorHAnsi" w:hAnsiTheme="minorHAnsi" w:cstheme="minorHAnsi"/>
        </w:rPr>
        <w:t xml:space="preserve"> Only a few Member States continue to have ODS production (Czech Republic, France, Germany, Italy and The Netherlands)</w:t>
      </w:r>
      <w:r w:rsidRPr="00892FF8">
        <w:rPr>
          <w:sz w:val="16"/>
          <w:szCs w:val="16"/>
        </w:rPr>
        <w:t xml:space="preserve">  </w:t>
      </w:r>
    </w:p>
  </w:footnote>
  <w:footnote w:id="44">
    <w:p w14:paraId="6FBF8C15" w14:textId="77777777" w:rsidR="000B4FC1" w:rsidRPr="00313F9B" w:rsidRDefault="000B4FC1" w:rsidP="00A14107">
      <w:pPr>
        <w:pStyle w:val="FootnoteText"/>
      </w:pPr>
      <w:r w:rsidRPr="00892FF8">
        <w:rPr>
          <w:rStyle w:val="FootnoteReference"/>
          <w:sz w:val="16"/>
          <w:szCs w:val="16"/>
        </w:rPr>
        <w:footnoteRef/>
      </w:r>
      <w:r w:rsidRPr="00892FF8">
        <w:rPr>
          <w:sz w:val="16"/>
          <w:szCs w:val="16"/>
        </w:rPr>
        <w:t xml:space="preserve"> </w:t>
      </w:r>
      <w:r w:rsidRPr="00892FF8">
        <w:rPr>
          <w:rFonts w:ascii="Calibri" w:hAnsi="Calibri" w:cs="Calibri"/>
        </w:rPr>
        <w:t xml:space="preserve">Very relevant today for some ODS, given that new production is prohibited at the global level </w:t>
      </w:r>
      <w:r>
        <w:rPr>
          <w:rFonts w:ascii="Calibri" w:hAnsi="Calibri" w:cs="Calibri"/>
        </w:rPr>
        <w:t xml:space="preserve">while still required </w:t>
      </w:r>
      <w:r w:rsidRPr="00892FF8">
        <w:rPr>
          <w:rFonts w:ascii="Calibri" w:hAnsi="Calibri" w:cs="Calibri"/>
        </w:rPr>
        <w:t>in critical applications (e.g. halons) and for effective destruction at end-of-life of ODS equipment</w:t>
      </w:r>
      <w:r>
        <w:rPr>
          <w:sz w:val="16"/>
          <w:szCs w:val="16"/>
        </w:rPr>
        <w:t>.</w:t>
      </w:r>
    </w:p>
  </w:footnote>
  <w:footnote w:id="45">
    <w:p w14:paraId="226DEBF4" w14:textId="77777777" w:rsidR="000B4FC1" w:rsidRPr="0077038C" w:rsidRDefault="000B4FC1" w:rsidP="00A14107">
      <w:pPr>
        <w:pStyle w:val="FootnoteText"/>
        <w:rPr>
          <w:sz w:val="16"/>
          <w:szCs w:val="16"/>
        </w:rPr>
      </w:pPr>
      <w:r w:rsidRPr="0077038C">
        <w:rPr>
          <w:rStyle w:val="FootnoteReference"/>
          <w:sz w:val="16"/>
          <w:szCs w:val="16"/>
        </w:rPr>
        <w:footnoteRef/>
      </w:r>
      <w:r w:rsidRPr="00892FF8">
        <w:rPr>
          <w:rFonts w:ascii="Calibri" w:hAnsi="Calibri" w:cs="Calibri"/>
        </w:rPr>
        <w:t xml:space="preserve"> I.e. use as feedstock, process agents, laboratory and analytical, critical halon applications </w:t>
      </w:r>
    </w:p>
  </w:footnote>
  <w:footnote w:id="46">
    <w:p w14:paraId="6E01BFE3" w14:textId="77777777" w:rsidR="000B4FC1" w:rsidRPr="00F948E3" w:rsidRDefault="000B4FC1" w:rsidP="00A14107">
      <w:pPr>
        <w:pStyle w:val="FootnoteText"/>
        <w:rPr>
          <w:rFonts w:ascii="Calibri" w:hAnsi="Calibri" w:cs="Calibri"/>
        </w:rPr>
      </w:pPr>
      <w:r w:rsidRPr="00B60CC4">
        <w:rPr>
          <w:rStyle w:val="FootnoteReference"/>
          <w:rFonts w:ascii="Calibri" w:hAnsi="Calibri" w:cs="Calibri"/>
        </w:rPr>
        <w:footnoteRef/>
      </w:r>
      <w:r w:rsidRPr="00B60CC4">
        <w:rPr>
          <w:rFonts w:ascii="Calibri" w:hAnsi="Calibri" w:cs="Calibri"/>
        </w:rPr>
        <w:t xml:space="preserve"> Inflation is not taken into account in </w:t>
      </w:r>
      <w:r>
        <w:rPr>
          <w:rFonts w:ascii="Calibri" w:hAnsi="Calibri" w:cs="Calibri"/>
        </w:rPr>
        <w:t xml:space="preserve">the </w:t>
      </w:r>
      <w:r w:rsidRPr="00B60CC4">
        <w:rPr>
          <w:rFonts w:ascii="Calibri" w:hAnsi="Calibri" w:cs="Calibri"/>
        </w:rPr>
        <w:t>costs</w:t>
      </w:r>
      <w:r>
        <w:rPr>
          <w:rFonts w:ascii="Calibri" w:hAnsi="Calibri" w:cs="Calibri"/>
        </w:rPr>
        <w:t>. For comparison impacts in real terms are more relevant</w:t>
      </w:r>
      <w:r w:rsidRPr="00CD6EF1">
        <w:rPr>
          <w:rFonts w:ascii="Calibri" w:hAnsi="Calibri" w:cs="Calibri"/>
        </w:rPr>
        <w:t>.</w:t>
      </w:r>
    </w:p>
  </w:footnote>
  <w:footnote w:id="47">
    <w:p w14:paraId="542B55E9" w14:textId="77777777" w:rsidR="000B4FC1" w:rsidRPr="006578FA" w:rsidRDefault="000B4FC1">
      <w:pPr>
        <w:pStyle w:val="FootnoteText"/>
        <w:rPr>
          <w:rFonts w:asciiTheme="minorHAnsi" w:hAnsiTheme="minorHAnsi" w:cstheme="minorHAnsi"/>
        </w:rPr>
      </w:pPr>
      <w:r w:rsidRPr="006578FA">
        <w:rPr>
          <w:rStyle w:val="FootnoteReference"/>
          <w:rFonts w:asciiTheme="minorHAnsi" w:hAnsiTheme="minorHAnsi" w:cstheme="minorHAnsi"/>
        </w:rPr>
        <w:footnoteRef/>
      </w:r>
      <w:r w:rsidRPr="00D45433">
        <w:rPr>
          <w:rFonts w:asciiTheme="minorHAnsi" w:hAnsiTheme="minorHAnsi" w:cstheme="minorHAnsi"/>
        </w:rPr>
        <w:t xml:space="preserve"> EEA. EU (ODS) data summary 2021. </w:t>
      </w:r>
      <w:r w:rsidRPr="006578FA">
        <w:rPr>
          <w:rFonts w:asciiTheme="minorHAnsi" w:hAnsiTheme="minorHAnsi" w:cstheme="minorHAnsi"/>
        </w:rPr>
        <w:t>Preliminary findings (not published)</w:t>
      </w:r>
    </w:p>
  </w:footnote>
  <w:footnote w:id="48">
    <w:p w14:paraId="1D8B9B98" w14:textId="77777777" w:rsidR="000B4FC1" w:rsidRPr="00212FC0" w:rsidRDefault="000B4FC1" w:rsidP="00212FC0">
      <w:pPr>
        <w:pStyle w:val="FootnoteText"/>
      </w:pPr>
      <w:r>
        <w:rPr>
          <w:rStyle w:val="FootnoteReference"/>
        </w:rPr>
        <w:footnoteRef/>
      </w:r>
      <w:r>
        <w:t xml:space="preserve"> </w:t>
      </w:r>
      <w:r w:rsidRPr="00212FC0">
        <w:rPr>
          <w:rFonts w:ascii="Times New Roman" w:hAnsi="Times New Roman" w:cs="Times New Roman"/>
        </w:rPr>
        <w:t>Compare findings of the evaluation</w:t>
      </w:r>
    </w:p>
  </w:footnote>
  <w:footnote w:id="49">
    <w:p w14:paraId="0FDCE8CB" w14:textId="77777777" w:rsidR="000B4FC1" w:rsidRPr="00892FF8" w:rsidRDefault="000B4FC1" w:rsidP="00A14107">
      <w:pPr>
        <w:pStyle w:val="FootnoteText"/>
        <w:rPr>
          <w:rFonts w:ascii="Calibri" w:hAnsi="Calibri" w:cs="Calibri"/>
        </w:rPr>
      </w:pPr>
      <w:r w:rsidRPr="00275DF8">
        <w:rPr>
          <w:rStyle w:val="FootnoteReference"/>
          <w:sz w:val="16"/>
          <w:szCs w:val="16"/>
        </w:rPr>
        <w:footnoteRef/>
      </w:r>
      <w:r w:rsidRPr="00275DF8">
        <w:rPr>
          <w:sz w:val="16"/>
          <w:szCs w:val="16"/>
        </w:rPr>
        <w:t xml:space="preserve"> </w:t>
      </w:r>
      <w:r w:rsidRPr="00892FF8">
        <w:rPr>
          <w:rFonts w:ascii="Calibri" w:hAnsi="Calibri" w:cs="Calibri"/>
        </w:rPr>
        <w:t>Ramboll (2019). Support study for the evaluation of Regulation (EC) No 1005/2009 on substances that deplete the ozone layer. Final Report.</w:t>
      </w:r>
    </w:p>
  </w:footnote>
  <w:footnote w:id="50">
    <w:p w14:paraId="28DB6DAB" w14:textId="77777777" w:rsidR="000B4FC1" w:rsidRPr="00DA13D1" w:rsidRDefault="000B4FC1" w:rsidP="00A14107">
      <w:pPr>
        <w:pStyle w:val="FootnoteText"/>
        <w:rPr>
          <w:rFonts w:ascii="Calibri" w:hAnsi="Calibri" w:cs="Calibri"/>
        </w:rPr>
      </w:pPr>
      <w:r w:rsidRPr="00DA13D1">
        <w:rPr>
          <w:rStyle w:val="FootnoteReference"/>
          <w:rFonts w:ascii="Calibri" w:hAnsi="Calibri" w:cs="Calibri"/>
        </w:rPr>
        <w:footnoteRef/>
      </w:r>
      <w:r w:rsidRPr="00DA13D1">
        <w:rPr>
          <w:rFonts w:ascii="Calibri" w:hAnsi="Calibri" w:cs="Calibri"/>
        </w:rPr>
        <w:t xml:space="preserve"> TARIC = Integrated tariff of the EU</w:t>
      </w:r>
    </w:p>
    <w:p w14:paraId="050AFC43" w14:textId="77777777" w:rsidR="000B4FC1" w:rsidRPr="00B009A4" w:rsidRDefault="000B4FC1" w:rsidP="00A14107">
      <w:pPr>
        <w:pStyle w:val="FootnoteText"/>
      </w:pPr>
      <w:r w:rsidRPr="00DA13D1">
        <w:rPr>
          <w:rFonts w:ascii="Calibri" w:hAnsi="Calibri" w:cs="Calibri"/>
        </w:rPr>
        <w:t>https://ec.europa.eu/taxation_customs/business/calculation-customs-duties/what-is-common-customs-tariff/taric_en</w:t>
      </w:r>
    </w:p>
  </w:footnote>
  <w:footnote w:id="51">
    <w:p w14:paraId="117C403A" w14:textId="77777777" w:rsidR="000B4FC1" w:rsidRPr="00DA13D1" w:rsidRDefault="000B4FC1" w:rsidP="00A14107">
      <w:pPr>
        <w:pStyle w:val="FootnoteText"/>
        <w:rPr>
          <w:rFonts w:asciiTheme="minorHAnsi" w:hAnsiTheme="minorHAnsi" w:cstheme="minorHAnsi"/>
        </w:rPr>
      </w:pPr>
      <w:r w:rsidRPr="00DA13D1">
        <w:rPr>
          <w:rStyle w:val="FootnoteReference"/>
          <w:rFonts w:asciiTheme="minorHAnsi" w:hAnsiTheme="minorHAnsi" w:cstheme="minorHAnsi"/>
        </w:rPr>
        <w:footnoteRef/>
      </w:r>
      <w:r w:rsidRPr="00DA13D1">
        <w:rPr>
          <w:rFonts w:asciiTheme="minorHAnsi" w:hAnsiTheme="minorHAnsi" w:cstheme="minorHAnsi"/>
        </w:rPr>
        <w:t xml:space="preserve"> Currently not a requirement</w:t>
      </w:r>
      <w:r>
        <w:rPr>
          <w:rFonts w:asciiTheme="minorHAnsi" w:hAnsiTheme="minorHAnsi" w:cstheme="minorHAnsi"/>
        </w:rPr>
        <w:t xml:space="preserve"> but often reported voluntarily</w:t>
      </w:r>
      <w:r w:rsidRPr="00DA13D1">
        <w:rPr>
          <w:rFonts w:asciiTheme="minorHAnsi" w:hAnsiTheme="minorHAnsi" w:cstheme="minorHAnsi"/>
        </w:rPr>
        <w:t>.</w:t>
      </w:r>
    </w:p>
  </w:footnote>
  <w:footnote w:id="52">
    <w:p w14:paraId="66B8B926" w14:textId="77777777" w:rsidR="000B4FC1" w:rsidRPr="00713E6A" w:rsidRDefault="000B4FC1" w:rsidP="00A14107">
      <w:pPr>
        <w:pStyle w:val="FootnoteText"/>
        <w:rPr>
          <w:rFonts w:asciiTheme="minorHAnsi" w:hAnsiTheme="minorHAnsi" w:cstheme="minorHAnsi"/>
        </w:rPr>
      </w:pPr>
      <w:r w:rsidRPr="00DA13D1">
        <w:rPr>
          <w:rStyle w:val="FootnoteReference"/>
          <w:rFonts w:asciiTheme="minorHAnsi" w:hAnsiTheme="minorHAnsi" w:cstheme="minorHAnsi"/>
        </w:rPr>
        <w:footnoteRef/>
      </w:r>
      <w:r w:rsidRPr="00DA13D1">
        <w:rPr>
          <w:rFonts w:asciiTheme="minorHAnsi" w:hAnsiTheme="minorHAnsi" w:cstheme="minorHAnsi"/>
        </w:rPr>
        <w:t xml:space="preserve"> Currently such data is </w:t>
      </w:r>
      <w:r w:rsidRPr="00713E6A">
        <w:rPr>
          <w:rFonts w:asciiTheme="minorHAnsi" w:hAnsiTheme="minorHAnsi" w:cstheme="minorHAnsi"/>
        </w:rPr>
        <w:t>only required from importers and exporters</w:t>
      </w:r>
    </w:p>
  </w:footnote>
  <w:footnote w:id="53">
    <w:p w14:paraId="57A3DCF7" w14:textId="77777777" w:rsidR="000B4FC1" w:rsidRPr="00FF5A29" w:rsidRDefault="000B4FC1">
      <w:pPr>
        <w:pStyle w:val="FootnoteText"/>
        <w:rPr>
          <w:rFonts w:asciiTheme="minorHAnsi" w:hAnsiTheme="minorHAnsi" w:cstheme="minorHAnsi"/>
        </w:rPr>
      </w:pPr>
      <w:r w:rsidRPr="00FF5A29">
        <w:rPr>
          <w:rStyle w:val="FootnoteReference"/>
          <w:rFonts w:asciiTheme="minorHAnsi" w:hAnsiTheme="minorHAnsi" w:cstheme="minorHAnsi"/>
        </w:rPr>
        <w:footnoteRef/>
      </w:r>
      <w:r w:rsidRPr="00FF5A29">
        <w:rPr>
          <w:rFonts w:asciiTheme="minorHAnsi" w:hAnsiTheme="minorHAnsi" w:cstheme="minorHAnsi"/>
        </w:rPr>
        <w:t xml:space="preserve"> For reporting on production at Member State level, also intra-EU trade </w:t>
      </w:r>
      <w:r>
        <w:rPr>
          <w:rFonts w:asciiTheme="minorHAnsi" w:hAnsiTheme="minorHAnsi" w:cstheme="minorHAnsi"/>
        </w:rPr>
        <w:t>is</w:t>
      </w:r>
      <w:r w:rsidRPr="00FF5A29">
        <w:rPr>
          <w:rFonts w:asciiTheme="minorHAnsi" w:hAnsiTheme="minorHAnsi" w:cstheme="minorHAnsi"/>
        </w:rPr>
        <w:t xml:space="preserve"> relevant</w:t>
      </w:r>
      <w:r>
        <w:rPr>
          <w:rFonts w:asciiTheme="minorHAnsi" w:hAnsiTheme="minorHAnsi" w:cstheme="minorHAnsi"/>
        </w:rPr>
        <w:t>. Reporting is only needed for Annex I substances</w:t>
      </w:r>
    </w:p>
  </w:footnote>
  <w:footnote w:id="54">
    <w:p w14:paraId="4460DABA" w14:textId="77777777" w:rsidR="000B4FC1" w:rsidRPr="00DA13D1" w:rsidRDefault="000B4FC1" w:rsidP="00A14107">
      <w:pPr>
        <w:pStyle w:val="FootnoteText"/>
        <w:rPr>
          <w:rFonts w:ascii="Calibri" w:hAnsi="Calibri" w:cs="Calibri"/>
        </w:rPr>
      </w:pPr>
      <w:r w:rsidRPr="00FF5A29">
        <w:rPr>
          <w:rStyle w:val="FootnoteReference"/>
          <w:rFonts w:asciiTheme="minorHAnsi" w:hAnsiTheme="minorHAnsi" w:cstheme="minorHAnsi"/>
        </w:rPr>
        <w:footnoteRef/>
      </w:r>
      <w:r w:rsidRPr="00FF5A29">
        <w:rPr>
          <w:rFonts w:asciiTheme="minorHAnsi" w:hAnsiTheme="minorHAnsi" w:cstheme="minorHAnsi"/>
        </w:rPr>
        <w:t xml:space="preserve"> There are a number of other</w:t>
      </w:r>
      <w:r w:rsidRPr="00713E6A">
        <w:rPr>
          <w:rFonts w:ascii="Calibri" w:hAnsi="Calibri" w:cs="Calibri"/>
        </w:rPr>
        <w:t xml:space="preserve"> substances with an</w:t>
      </w:r>
      <w:r w:rsidRPr="00842BE9">
        <w:rPr>
          <w:rFonts w:ascii="Calibri" w:hAnsi="Calibri" w:cs="Calibri"/>
        </w:rPr>
        <w:t xml:space="preserve"> ODP that are currently also not monitored. Some of these are emitted from other (natural) sources or sectors (e.g. from agriculture) that the Regulation is ill suited to address. For others, their contribution to endangering the ozone layer or the climate is rather small as the quantities in use are small or their ODP/GWP is minimal. Unsaturated HCFCs (or HCFOs) are not considered here since this substance group is included for monitoring under the F-gas Regulation</w:t>
      </w:r>
      <w:r w:rsidRPr="00DA13D1">
        <w:rPr>
          <w:rFonts w:ascii="Calibri" w:hAnsi="Calibri" w:cs="Calibri"/>
        </w:rPr>
        <w:t>.</w:t>
      </w:r>
    </w:p>
  </w:footnote>
  <w:footnote w:id="55">
    <w:p w14:paraId="52B3FA18" w14:textId="77777777" w:rsidR="000B4FC1" w:rsidRPr="00DA13D1" w:rsidRDefault="000B4FC1" w:rsidP="00A14107">
      <w:pPr>
        <w:pStyle w:val="FootnoteText"/>
        <w:rPr>
          <w:rFonts w:ascii="Calibri" w:hAnsi="Calibri" w:cs="Calibri"/>
        </w:rPr>
      </w:pPr>
      <w:r w:rsidRPr="00DA13D1">
        <w:rPr>
          <w:rStyle w:val="FootnoteReference"/>
          <w:rFonts w:ascii="Calibri" w:hAnsi="Calibri" w:cs="Calibri"/>
        </w:rPr>
        <w:footnoteRef/>
      </w:r>
      <w:r w:rsidRPr="00DA13D1">
        <w:rPr>
          <w:rFonts w:ascii="Calibri" w:hAnsi="Calibri" w:cs="Calibri"/>
        </w:rPr>
        <w:t xml:space="preserve"> 2-bromo-3,3,3-trifluoroprop-1-ene</w:t>
      </w:r>
    </w:p>
  </w:footnote>
  <w:footnote w:id="56">
    <w:p w14:paraId="5D8E5378" w14:textId="77777777" w:rsidR="000B4FC1" w:rsidRPr="00DA13D1" w:rsidRDefault="000B4FC1" w:rsidP="00A14107">
      <w:pPr>
        <w:pStyle w:val="FootnoteText"/>
        <w:rPr>
          <w:rFonts w:ascii="Calibri" w:hAnsi="Calibri" w:cs="Calibri"/>
          <w:b/>
        </w:rPr>
      </w:pPr>
      <w:r w:rsidRPr="00DA13D1">
        <w:rPr>
          <w:rStyle w:val="FootnoteReference"/>
          <w:rFonts w:ascii="Calibri" w:hAnsi="Calibri" w:cs="Calibri"/>
        </w:rPr>
        <w:footnoteRef/>
      </w:r>
      <w:r w:rsidRPr="00DA13D1">
        <w:rPr>
          <w:rFonts w:ascii="Calibri" w:hAnsi="Calibri" w:cs="Calibri"/>
        </w:rPr>
        <w:t xml:space="preserve"> According to the Protocol’s Scientific Advisory Panel (SAP), emissions of anthropogenic VSLS chlorine affects stratospheric ozone. A sustained future increase in atmospheric concentrations of DCM would therefore slow the recovery of the Antarctic ozone hole.</w:t>
      </w:r>
    </w:p>
  </w:footnote>
  <w:footnote w:id="57">
    <w:p w14:paraId="3824F9E3" w14:textId="77777777" w:rsidR="000B4FC1" w:rsidRPr="00DA13D1" w:rsidRDefault="000B4FC1" w:rsidP="00A14107">
      <w:pPr>
        <w:pStyle w:val="FootnoteText"/>
        <w:rPr>
          <w:rFonts w:ascii="Calibri" w:hAnsi="Calibri" w:cs="Calibri"/>
        </w:rPr>
      </w:pPr>
      <w:r w:rsidRPr="00DA13D1">
        <w:rPr>
          <w:rStyle w:val="FootnoteReference"/>
          <w:rFonts w:ascii="Calibri" w:hAnsi="Calibri" w:cs="Calibri"/>
        </w:rPr>
        <w:footnoteRef/>
      </w:r>
      <w:r w:rsidRPr="00DA13D1">
        <w:rPr>
          <w:rFonts w:ascii="Calibri" w:hAnsi="Calibri" w:cs="Calibri"/>
        </w:rPr>
        <w:t xml:space="preserve"> Emission Pollutant Release and Transfer Register. </w:t>
      </w:r>
      <w:hyperlink r:id="rId4" w:anchor="/home" w:history="1">
        <w:r w:rsidRPr="007C3C0C">
          <w:rPr>
            <w:rStyle w:val="Hyperlink"/>
            <w:rFonts w:ascii="Calibri" w:hAnsi="Calibri" w:cs="Calibri"/>
          </w:rPr>
          <w:t>https://prtr.eea.europa.eu/#/home</w:t>
        </w:r>
      </w:hyperlink>
      <w:r w:rsidRPr="00DA13D1">
        <w:rPr>
          <w:rFonts w:ascii="Calibri" w:hAnsi="Calibri" w:cs="Calibri"/>
        </w:rPr>
        <w:t xml:space="preserve"> </w:t>
      </w:r>
    </w:p>
  </w:footnote>
  <w:footnote w:id="58">
    <w:p w14:paraId="7D934464" w14:textId="77777777" w:rsidR="000B4FC1" w:rsidRPr="00DA13D1" w:rsidRDefault="000B4FC1" w:rsidP="00A14107">
      <w:pPr>
        <w:pStyle w:val="FootnoteText"/>
        <w:rPr>
          <w:rFonts w:ascii="Calibri" w:hAnsi="Calibri" w:cs="Calibri"/>
        </w:rPr>
      </w:pPr>
      <w:r w:rsidRPr="00DA13D1">
        <w:rPr>
          <w:rStyle w:val="FootnoteReference"/>
          <w:rFonts w:ascii="Calibri" w:hAnsi="Calibri" w:cs="Calibri"/>
        </w:rPr>
        <w:footnoteRef/>
      </w:r>
      <w:r w:rsidRPr="00DA13D1">
        <w:rPr>
          <w:rFonts w:ascii="Calibri" w:hAnsi="Calibri" w:cs="Calibri"/>
        </w:rPr>
        <w:t xml:space="preserve"> This number is similar to total known Annex I feedstock emissions.</w:t>
      </w:r>
    </w:p>
  </w:footnote>
  <w:footnote w:id="59">
    <w:p w14:paraId="15B3A2BF" w14:textId="77777777" w:rsidR="000B4FC1" w:rsidRPr="002B24E7" w:rsidRDefault="000B4FC1" w:rsidP="00CD5A30">
      <w:pPr>
        <w:pStyle w:val="FootnoteText"/>
        <w:rPr>
          <w:rFonts w:asciiTheme="minorHAnsi" w:hAnsiTheme="minorHAnsi" w:cstheme="minorHAnsi"/>
        </w:rPr>
      </w:pPr>
      <w:r w:rsidRPr="002B24E7">
        <w:rPr>
          <w:rStyle w:val="FootnoteReference"/>
          <w:rFonts w:asciiTheme="minorHAnsi" w:hAnsiTheme="minorHAnsi" w:cstheme="minorHAnsi"/>
        </w:rPr>
        <w:footnoteRef/>
      </w:r>
      <w:r w:rsidRPr="002B24E7">
        <w:rPr>
          <w:rFonts w:asciiTheme="minorHAnsi" w:hAnsiTheme="minorHAnsi" w:cstheme="minorHAnsi"/>
        </w:rPr>
        <w:t xml:space="preserve">  COM(2021) 851</w:t>
      </w:r>
    </w:p>
  </w:footnote>
  <w:footnote w:id="60">
    <w:p w14:paraId="27773AF3" w14:textId="77777777" w:rsidR="000B4FC1" w:rsidRPr="000B45D5" w:rsidRDefault="000B4FC1" w:rsidP="00A14107">
      <w:pPr>
        <w:pStyle w:val="FootnoteText"/>
        <w:rPr>
          <w:rFonts w:ascii="Calibri" w:hAnsi="Calibri" w:cs="Calibri"/>
        </w:rPr>
      </w:pPr>
      <w:r w:rsidRPr="00F5518A">
        <w:rPr>
          <w:rStyle w:val="FootnoteReference"/>
          <w:sz w:val="16"/>
          <w:szCs w:val="16"/>
        </w:rPr>
        <w:footnoteRef/>
      </w:r>
      <w:r w:rsidRPr="00F5518A">
        <w:rPr>
          <w:sz w:val="16"/>
          <w:szCs w:val="16"/>
        </w:rPr>
        <w:t xml:space="preserve"> </w:t>
      </w:r>
      <w:r w:rsidRPr="000B45D5">
        <w:rPr>
          <w:rFonts w:ascii="Calibri" w:hAnsi="Calibri" w:cs="Calibri"/>
        </w:rPr>
        <w:t xml:space="preserve">The business case for </w:t>
      </w:r>
      <w:r>
        <w:rPr>
          <w:rFonts w:ascii="Calibri" w:hAnsi="Calibri" w:cs="Calibri"/>
        </w:rPr>
        <w:t>metal</w:t>
      </w:r>
      <w:r w:rsidRPr="000B45D5">
        <w:rPr>
          <w:rFonts w:ascii="Calibri" w:hAnsi="Calibri" w:cs="Calibri"/>
        </w:rPr>
        <w:t xml:space="preserve">-faced panels is more favourable as the </w:t>
      </w:r>
      <w:r>
        <w:rPr>
          <w:rFonts w:ascii="Calibri" w:hAnsi="Calibri" w:cs="Calibri"/>
        </w:rPr>
        <w:t>metal</w:t>
      </w:r>
      <w:r w:rsidRPr="000B45D5">
        <w:rPr>
          <w:rFonts w:ascii="Calibri" w:hAnsi="Calibri" w:cs="Calibri"/>
        </w:rPr>
        <w:t xml:space="preserve"> can be recovered and sold.</w:t>
      </w:r>
    </w:p>
  </w:footnote>
  <w:footnote w:id="61">
    <w:p w14:paraId="241D53A5" w14:textId="77777777" w:rsidR="000B4FC1" w:rsidRPr="000B45D5" w:rsidRDefault="000B4FC1" w:rsidP="00A14107">
      <w:pPr>
        <w:pStyle w:val="FootnoteText"/>
        <w:rPr>
          <w:rFonts w:ascii="Calibri" w:hAnsi="Calibri" w:cs="Calibri"/>
        </w:rPr>
      </w:pPr>
      <w:r w:rsidRPr="000B45D5">
        <w:rPr>
          <w:rStyle w:val="FootnoteReference"/>
          <w:rFonts w:ascii="Calibri" w:hAnsi="Calibri" w:cs="Calibri"/>
        </w:rPr>
        <w:footnoteRef/>
      </w:r>
      <w:r w:rsidRPr="000B45D5">
        <w:rPr>
          <w:rFonts w:ascii="Calibri" w:hAnsi="Calibri" w:cs="Calibri"/>
        </w:rPr>
        <w:t xml:space="preserve"> Boards from built-up systems or cavity structure are in principal recoverable, while floor insulation boards are not (See Annex 6 for details).</w:t>
      </w:r>
    </w:p>
  </w:footnote>
  <w:footnote w:id="62">
    <w:p w14:paraId="141EB2D7" w14:textId="77777777" w:rsidR="000B4FC1" w:rsidRPr="00BF4DBE" w:rsidRDefault="000B4FC1">
      <w:pPr>
        <w:pStyle w:val="FootnoteText"/>
      </w:pPr>
      <w:r>
        <w:rPr>
          <w:rStyle w:val="FootnoteReference"/>
        </w:rPr>
        <w:footnoteRef/>
      </w:r>
      <w:r>
        <w:t xml:space="preserve"> </w:t>
      </w:r>
      <w:r w:rsidRPr="00BF4DBE">
        <w:rPr>
          <w:rFonts w:ascii="Calibri" w:hAnsi="Calibri" w:cs="Calibri"/>
        </w:rPr>
        <w:t>Conservative estimate of which laminated boards are feasible to recover. This is because e.g. floor-installed boards will not be included, building audits may prove infeasibility of separation and there may be emission losses due to broken/damaged boards during separation.</w:t>
      </w:r>
      <w:r>
        <w:rPr>
          <w:rFonts w:ascii="Calibri" w:hAnsi="Calibri" w:cs="Calibri"/>
        </w:rPr>
        <w:t xml:space="preserve"> </w:t>
      </w:r>
    </w:p>
  </w:footnote>
  <w:footnote w:id="63">
    <w:p w14:paraId="78BFAA09" w14:textId="77777777" w:rsidR="000B4FC1" w:rsidRPr="000B45D5" w:rsidRDefault="000B4FC1" w:rsidP="00A14107">
      <w:pPr>
        <w:pStyle w:val="FootnoteText"/>
        <w:rPr>
          <w:rFonts w:ascii="Calibri" w:hAnsi="Calibri" w:cs="Calibri"/>
        </w:rPr>
      </w:pPr>
      <w:r w:rsidRPr="000B45D5">
        <w:rPr>
          <w:rStyle w:val="FootnoteReference"/>
          <w:rFonts w:ascii="Calibri" w:hAnsi="Calibri" w:cs="Calibri"/>
        </w:rPr>
        <w:footnoteRef/>
      </w:r>
      <w:r w:rsidRPr="000B45D5">
        <w:rPr>
          <w:rFonts w:ascii="Calibri" w:hAnsi="Calibri" w:cs="Calibri"/>
        </w:rPr>
        <w:t xml:space="preserve"> Total savings from </w:t>
      </w:r>
      <w:r w:rsidRPr="00C17EE2">
        <w:rPr>
          <w:rFonts w:ascii="Calibri" w:hAnsi="Calibri" w:cs="Calibri"/>
        </w:rPr>
        <w:t>option</w:t>
      </w:r>
      <w:r w:rsidRPr="000B45D5">
        <w:rPr>
          <w:rFonts w:ascii="Calibri" w:hAnsi="Calibri" w:cs="Calibri"/>
        </w:rPr>
        <w:t xml:space="preserve"> 2 </w:t>
      </w:r>
      <w:r>
        <w:rPr>
          <w:rFonts w:ascii="Calibri" w:hAnsi="Calibri" w:cs="Calibri"/>
        </w:rPr>
        <w:t xml:space="preserve">is almost corresponding to </w:t>
      </w:r>
      <w:r w:rsidRPr="000B45D5">
        <w:rPr>
          <w:rFonts w:ascii="Calibri" w:hAnsi="Calibri" w:cs="Calibri"/>
        </w:rPr>
        <w:t>the total greenhouse gas emissions</w:t>
      </w:r>
      <w:r>
        <w:rPr>
          <w:rFonts w:ascii="Calibri" w:hAnsi="Calibri" w:cs="Calibri"/>
        </w:rPr>
        <w:t xml:space="preserve"> (UNFCCC)</w:t>
      </w:r>
      <w:r w:rsidRPr="000B45D5">
        <w:rPr>
          <w:rFonts w:ascii="Calibri" w:hAnsi="Calibri" w:cs="Calibri"/>
        </w:rPr>
        <w:t xml:space="preserve"> in the Netherlands in 201</w:t>
      </w:r>
      <w:r>
        <w:rPr>
          <w:rFonts w:ascii="Calibri" w:hAnsi="Calibri" w:cs="Calibri"/>
        </w:rPr>
        <w:t>9 (181 million tCO2e)</w:t>
      </w:r>
    </w:p>
  </w:footnote>
  <w:footnote w:id="64">
    <w:p w14:paraId="6BEB037E" w14:textId="77777777" w:rsidR="000B4FC1" w:rsidRPr="001C7627" w:rsidRDefault="000B4FC1">
      <w:pPr>
        <w:pStyle w:val="FootnoteText"/>
        <w:rPr>
          <w:rFonts w:ascii="Calibri" w:hAnsi="Calibri" w:cs="Calibri"/>
        </w:rPr>
      </w:pPr>
      <w:r w:rsidRPr="001C7627">
        <w:rPr>
          <w:rStyle w:val="FootnoteReference"/>
          <w:rFonts w:ascii="Calibri" w:hAnsi="Calibri" w:cs="Calibri"/>
        </w:rPr>
        <w:footnoteRef/>
      </w:r>
      <w:r w:rsidRPr="001C7627">
        <w:rPr>
          <w:rFonts w:ascii="Calibri" w:hAnsi="Calibri" w:cs="Calibri"/>
        </w:rPr>
        <w:t xml:space="preserve"> In the </w:t>
      </w:r>
      <w:r>
        <w:rPr>
          <w:rFonts w:ascii="Calibri" w:hAnsi="Calibri" w:cs="Calibri"/>
        </w:rPr>
        <w:t xml:space="preserve">NL </w:t>
      </w:r>
      <w:r w:rsidRPr="001C7627">
        <w:rPr>
          <w:rFonts w:ascii="Calibri" w:hAnsi="Calibri" w:cs="Calibri"/>
        </w:rPr>
        <w:t xml:space="preserve">example, the data obtained considers full recycling of ODS panels including prevention of emissions following an interview with an innovative recycling company. </w:t>
      </w:r>
      <w:r>
        <w:rPr>
          <w:rFonts w:ascii="Calibri" w:hAnsi="Calibri" w:cs="Calibri"/>
        </w:rPr>
        <w:t xml:space="preserve">This example </w:t>
      </w:r>
      <w:r w:rsidRPr="001C7627">
        <w:rPr>
          <w:rFonts w:ascii="Calibri" w:hAnsi="Calibri" w:cs="Calibri"/>
        </w:rPr>
        <w:t>is for a regulatory environment where segregation and recovery is already mandated</w:t>
      </w:r>
      <w:r>
        <w:rPr>
          <w:rFonts w:ascii="Calibri" w:hAnsi="Calibri" w:cs="Calibri"/>
        </w:rPr>
        <w:t>.</w:t>
      </w:r>
      <w:r w:rsidRPr="001C7627">
        <w:rPr>
          <w:rFonts w:ascii="Calibri" w:hAnsi="Calibri" w:cs="Calibri"/>
        </w:rPr>
        <w:t xml:space="preserve"> In A</w:t>
      </w:r>
      <w:r>
        <w:rPr>
          <w:rFonts w:ascii="Calibri" w:hAnsi="Calibri" w:cs="Calibri"/>
        </w:rPr>
        <w:t>T</w:t>
      </w:r>
      <w:r w:rsidRPr="001C7627">
        <w:rPr>
          <w:rFonts w:ascii="Calibri" w:hAnsi="Calibri" w:cs="Calibri"/>
        </w:rPr>
        <w:t>, the interviews with established waste management companies resulted in data for a business case on recovering and incinerating the panels to prevent emissions.</w:t>
      </w:r>
      <w:r>
        <w:rPr>
          <w:rFonts w:ascii="Calibri" w:hAnsi="Calibri" w:cs="Calibri"/>
        </w:rPr>
        <w:t xml:space="preserve"> In AT transport costs are higher, but the major driver of costs are the local incineration costs for hazardous wastes. A similar case of high incineration costs was found for SE. Conversely, the latter costs (but also landfilling costs) are usually cheaper in countries with less prescriptive waste regulations (e.g. BG).</w:t>
      </w:r>
    </w:p>
  </w:footnote>
  <w:footnote w:id="65">
    <w:p w14:paraId="31F1EC17" w14:textId="77777777" w:rsidR="000B4FC1" w:rsidRPr="005F1C85" w:rsidRDefault="000B4FC1">
      <w:pPr>
        <w:pStyle w:val="FootnoteText"/>
      </w:pPr>
      <w:r w:rsidRPr="005F1C85">
        <w:rPr>
          <w:rStyle w:val="FootnoteReference"/>
          <w:rFonts w:asciiTheme="minorHAnsi" w:hAnsiTheme="minorHAnsi"/>
        </w:rPr>
        <w:footnoteRef/>
      </w:r>
      <w:r w:rsidRPr="005F1C85">
        <w:rPr>
          <w:rFonts w:asciiTheme="minorHAnsi" w:hAnsiTheme="minorHAnsi"/>
        </w:rPr>
        <w:t xml:space="preserve"> </w:t>
      </w:r>
      <w:r>
        <w:rPr>
          <w:rFonts w:asciiTheme="minorHAnsi" w:hAnsiTheme="minorHAnsi"/>
        </w:rPr>
        <w:t xml:space="preserve">This numbers are slightly lower than what </w:t>
      </w:r>
      <w:r w:rsidRPr="005F1C85">
        <w:rPr>
          <w:rFonts w:asciiTheme="minorHAnsi" w:hAnsiTheme="minorHAnsi" w:cs="Calibri"/>
        </w:rPr>
        <w:t>SKM</w:t>
      </w:r>
      <w:r w:rsidRPr="000B45D5">
        <w:rPr>
          <w:rFonts w:ascii="Calibri" w:hAnsi="Calibri" w:cs="Calibri"/>
        </w:rPr>
        <w:t xml:space="preserve"> Enviros</w:t>
      </w:r>
      <w:r>
        <w:rPr>
          <w:rFonts w:ascii="Calibri" w:hAnsi="Calibri" w:cs="Calibri"/>
        </w:rPr>
        <w:t xml:space="preserve"> </w:t>
      </w:r>
      <w:r w:rsidRPr="00FA307E">
        <w:rPr>
          <w:rFonts w:ascii="Calibri" w:hAnsi="Calibri" w:cs="Calibri"/>
        </w:rPr>
        <w:t>(2012) estimated in 2012</w:t>
      </w:r>
      <w:r>
        <w:rPr>
          <w:rFonts w:ascii="Calibri" w:hAnsi="Calibri" w:cs="Calibri"/>
        </w:rPr>
        <w:t>, i.e.</w:t>
      </w:r>
      <w:r w:rsidRPr="00FA307E">
        <w:rPr>
          <w:rFonts w:ascii="Calibri" w:hAnsi="Calibri" w:cs="Calibri"/>
        </w:rPr>
        <w:t xml:space="preserve"> ca. €25/tCO2 for metal-faced panels (scenario 1) and €50/tCO2 for laminated boards (additional part of scenario 2)</w:t>
      </w:r>
      <w:r>
        <w:rPr>
          <w:rFonts w:ascii="Calibri" w:hAnsi="Calibri" w:cs="Calibri"/>
        </w:rPr>
        <w:t xml:space="preserve"> for AU, ES, CZ, CY and UK.</w:t>
      </w:r>
    </w:p>
  </w:footnote>
  <w:footnote w:id="66">
    <w:p w14:paraId="28FAF6D0" w14:textId="77777777" w:rsidR="000B4FC1" w:rsidRPr="00FA307E" w:rsidRDefault="000B4FC1">
      <w:pPr>
        <w:pStyle w:val="FootnoteText"/>
        <w:rPr>
          <w:rFonts w:ascii="Calibri" w:hAnsi="Calibri"/>
        </w:rPr>
      </w:pPr>
      <w:r w:rsidRPr="00FA307E">
        <w:rPr>
          <w:rStyle w:val="FootnoteReference"/>
          <w:rFonts w:ascii="Calibri" w:hAnsi="Calibri"/>
        </w:rPr>
        <w:footnoteRef/>
      </w:r>
      <w:r w:rsidRPr="00FA307E">
        <w:rPr>
          <w:rFonts w:ascii="Calibri" w:hAnsi="Calibri"/>
        </w:rPr>
        <w:t xml:space="preserve"> R</w:t>
      </w:r>
      <w:r>
        <w:rPr>
          <w:rFonts w:ascii="Calibri" w:hAnsi="Calibri"/>
        </w:rPr>
        <w:t>ecent r</w:t>
      </w:r>
      <w:r w:rsidRPr="00FA307E">
        <w:rPr>
          <w:rFonts w:ascii="Calibri" w:hAnsi="Calibri"/>
        </w:rPr>
        <w:t xml:space="preserve">elevant data was available for AU, DE, NL, SE and, for comparison, UK; little information could be found for BG, CZ, CY, ES, </w:t>
      </w:r>
      <w:r w:rsidRPr="00777784">
        <w:rPr>
          <w:rFonts w:ascii="Calibri" w:hAnsi="Calibri"/>
        </w:rPr>
        <w:t>FR,</w:t>
      </w:r>
      <w:r w:rsidRPr="00FA307E">
        <w:rPr>
          <w:rFonts w:ascii="Calibri" w:hAnsi="Calibri"/>
        </w:rPr>
        <w:t xml:space="preserve"> and RO. </w:t>
      </w:r>
    </w:p>
  </w:footnote>
  <w:footnote w:id="67">
    <w:p w14:paraId="3EDB55D7" w14:textId="77777777" w:rsidR="000B4FC1" w:rsidRPr="006318F2" w:rsidRDefault="000B4FC1">
      <w:pPr>
        <w:pStyle w:val="FootnoteText"/>
        <w:rPr>
          <w:rFonts w:ascii="Calibri" w:hAnsi="Calibri"/>
        </w:rPr>
      </w:pPr>
      <w:r w:rsidRPr="00FA307E">
        <w:rPr>
          <w:rStyle w:val="FootnoteReference"/>
          <w:rFonts w:ascii="Calibri" w:hAnsi="Calibri"/>
        </w:rPr>
        <w:footnoteRef/>
      </w:r>
      <w:r w:rsidRPr="00FA307E">
        <w:rPr>
          <w:rFonts w:ascii="Calibri" w:hAnsi="Calibri"/>
        </w:rPr>
        <w:t xml:space="preserve"> Assuming asbestos panels would contain 220g of CFC-11 (similar to foam panels)</w:t>
      </w:r>
      <w:r>
        <w:rPr>
          <w:rFonts w:ascii="Calibri" w:hAnsi="Calibri"/>
        </w:rPr>
        <w:t>. Prices for asbestos were obtained for NL, AU, F, ES and BG. Price ranges in these countries were relatively similar and varied from 25 – 153 €/m</w:t>
      </w:r>
      <w:r>
        <w:rPr>
          <w:rFonts w:ascii="Calibri" w:hAnsi="Calibri"/>
          <w:vertAlign w:val="superscript"/>
        </w:rPr>
        <w:t>2</w:t>
      </w:r>
      <w:r>
        <w:rPr>
          <w:rFonts w:ascii="Calibri" w:hAnsi="Calibri"/>
        </w:rPr>
        <w:t xml:space="preserve"> of panel.</w:t>
      </w:r>
    </w:p>
  </w:footnote>
  <w:footnote w:id="68">
    <w:p w14:paraId="7F78EF7F" w14:textId="77777777" w:rsidR="000B4FC1" w:rsidRPr="00693E82" w:rsidRDefault="000B4FC1">
      <w:pPr>
        <w:pStyle w:val="FootnoteText"/>
      </w:pPr>
      <w:r w:rsidRPr="00FA307E">
        <w:rPr>
          <w:rStyle w:val="FootnoteReference"/>
          <w:rFonts w:ascii="Calibri" w:hAnsi="Calibri"/>
        </w:rPr>
        <w:footnoteRef/>
      </w:r>
      <w:r w:rsidRPr="00FA307E">
        <w:rPr>
          <w:rFonts w:ascii="Calibri" w:hAnsi="Calibri"/>
        </w:rPr>
        <w:t xml:space="preserve"> </w:t>
      </w:r>
      <w:r>
        <w:rPr>
          <w:rFonts w:ascii="Calibri" w:hAnsi="Calibri"/>
        </w:rPr>
        <w:t xml:space="preserve">To reach climate neutrality, economy-wide </w:t>
      </w:r>
      <w:r w:rsidRPr="00FA307E">
        <w:rPr>
          <w:rFonts w:ascii="Calibri" w:hAnsi="Calibri"/>
        </w:rPr>
        <w:t>costs are</w:t>
      </w:r>
      <w:r>
        <w:t xml:space="preserve"> </w:t>
      </w:r>
      <w:r w:rsidRPr="00E375BD">
        <w:rPr>
          <w:rFonts w:ascii="Calibri" w:hAnsi="Calibri"/>
        </w:rPr>
        <w:t>modelled as ca. €</w:t>
      </w:r>
      <w:r>
        <w:rPr>
          <w:rFonts w:ascii="Calibri" w:hAnsi="Calibri"/>
        </w:rPr>
        <w:t>3</w:t>
      </w:r>
      <w:r w:rsidRPr="00E375BD">
        <w:rPr>
          <w:rFonts w:ascii="Calibri" w:hAnsi="Calibri"/>
        </w:rPr>
        <w:t>90 /tCO2e</w:t>
      </w:r>
      <w:r w:rsidRPr="005F1C85">
        <w:rPr>
          <w:rFonts w:ascii="Times New Roman" w:eastAsia="Calibri" w:hAnsi="Times New Roman" w:cs="Times New Roman"/>
          <w:sz w:val="24"/>
          <w:szCs w:val="22"/>
        </w:rPr>
        <w:t xml:space="preserve"> </w:t>
      </w:r>
      <w:r>
        <w:rPr>
          <w:rFonts w:ascii="Calibri" w:hAnsi="Calibri"/>
        </w:rPr>
        <w:t>abated</w:t>
      </w:r>
    </w:p>
  </w:footnote>
  <w:footnote w:id="69">
    <w:p w14:paraId="5D88C589" w14:textId="77777777" w:rsidR="000B4FC1" w:rsidRPr="00DA13D1" w:rsidRDefault="000B4FC1" w:rsidP="00A14107">
      <w:pPr>
        <w:pStyle w:val="FootnoteText"/>
        <w:rPr>
          <w:rFonts w:ascii="Calibri" w:hAnsi="Calibri" w:cs="Calibri"/>
        </w:rPr>
      </w:pPr>
      <w:r w:rsidRPr="00CC41B3">
        <w:rPr>
          <w:rStyle w:val="FootnoteReference"/>
          <w:sz w:val="16"/>
          <w:szCs w:val="16"/>
        </w:rPr>
        <w:footnoteRef/>
      </w:r>
      <w:r w:rsidRPr="00CC41B3">
        <w:rPr>
          <w:sz w:val="16"/>
          <w:szCs w:val="16"/>
        </w:rPr>
        <w:t xml:space="preserve"> </w:t>
      </w:r>
      <w:r w:rsidRPr="00DA13D1">
        <w:rPr>
          <w:rFonts w:ascii="Calibri" w:hAnsi="Calibri" w:cs="Calibri"/>
        </w:rPr>
        <w:t>There are in total four companies reporting the use of this process in the EU.</w:t>
      </w:r>
    </w:p>
  </w:footnote>
  <w:footnote w:id="70">
    <w:p w14:paraId="630EEFE9" w14:textId="77777777" w:rsidR="000B4FC1" w:rsidRPr="00CC41B3" w:rsidRDefault="000B4FC1" w:rsidP="00A14107">
      <w:pPr>
        <w:pStyle w:val="FootnoteText"/>
        <w:rPr>
          <w:sz w:val="16"/>
          <w:szCs w:val="16"/>
        </w:rPr>
      </w:pPr>
      <w:r w:rsidRPr="00DA13D1">
        <w:rPr>
          <w:rStyle w:val="FootnoteReference"/>
          <w:rFonts w:ascii="Calibri" w:hAnsi="Calibri" w:cs="Calibri"/>
        </w:rPr>
        <w:footnoteRef/>
      </w:r>
      <w:r w:rsidRPr="00DA13D1">
        <w:rPr>
          <w:rFonts w:ascii="Calibri" w:hAnsi="Calibri" w:cs="Calibri"/>
        </w:rPr>
        <w:t xml:space="preserve"> Two companies are reporting the use of this process in the EU.</w:t>
      </w:r>
    </w:p>
  </w:footnote>
  <w:footnote w:id="71">
    <w:p w14:paraId="4F16A100" w14:textId="77777777" w:rsidR="000B4FC1" w:rsidRPr="00E02447" w:rsidRDefault="000B4FC1">
      <w:pPr>
        <w:pStyle w:val="FootnoteText"/>
        <w:rPr>
          <w:rFonts w:ascii="Calibri" w:hAnsi="Calibri" w:cs="Calibri"/>
        </w:rPr>
      </w:pPr>
      <w:r w:rsidRPr="00E02447">
        <w:rPr>
          <w:rStyle w:val="FootnoteReference"/>
          <w:rFonts w:ascii="Calibri" w:hAnsi="Calibri" w:cs="Calibri"/>
        </w:rPr>
        <w:footnoteRef/>
      </w:r>
      <w:r w:rsidRPr="00E02447">
        <w:rPr>
          <w:rFonts w:ascii="Calibri" w:hAnsi="Calibri" w:cs="Calibri"/>
        </w:rPr>
        <w:t xml:space="preserve"> Despite the efforts made by the external experts, data on costs for the military </w:t>
      </w:r>
      <w:r>
        <w:rPr>
          <w:rFonts w:ascii="Calibri" w:hAnsi="Calibri" w:cs="Calibri"/>
        </w:rPr>
        <w:t>were</w:t>
      </w:r>
      <w:r w:rsidRPr="00E02447">
        <w:rPr>
          <w:rFonts w:ascii="Calibri" w:hAnsi="Calibri" w:cs="Calibri"/>
        </w:rPr>
        <w:t xml:space="preserve"> very difficult to obtain</w:t>
      </w:r>
    </w:p>
  </w:footnote>
  <w:footnote w:id="72">
    <w:p w14:paraId="322B514C" w14:textId="77777777" w:rsidR="000B4FC1" w:rsidRPr="001A6B59" w:rsidRDefault="000B4FC1" w:rsidP="00A14107">
      <w:pPr>
        <w:pStyle w:val="FootnoteText"/>
        <w:rPr>
          <w:rFonts w:asciiTheme="minorHAnsi" w:hAnsiTheme="minorHAnsi" w:cstheme="minorHAnsi"/>
        </w:rPr>
      </w:pPr>
      <w:r w:rsidRPr="001A6B59">
        <w:rPr>
          <w:rStyle w:val="FootnoteReference"/>
          <w:rFonts w:asciiTheme="minorHAnsi" w:hAnsiTheme="minorHAnsi" w:cstheme="minorHAnsi"/>
        </w:rPr>
        <w:footnoteRef/>
      </w:r>
      <w:r w:rsidRPr="001A6B59">
        <w:rPr>
          <w:rFonts w:asciiTheme="minorHAnsi" w:hAnsiTheme="minorHAnsi" w:cstheme="minorHAnsi"/>
        </w:rPr>
        <w:t xml:space="preserve"> Given that the situation for Member States is in reality very different, actual costs are very hard to determine and this estimation can only give an idea of the magnitude to be expected. </w:t>
      </w:r>
    </w:p>
  </w:footnote>
  <w:footnote w:id="73">
    <w:p w14:paraId="42DA9159" w14:textId="77777777" w:rsidR="000B4FC1" w:rsidRPr="00212782" w:rsidRDefault="000B4FC1" w:rsidP="00A14107">
      <w:pPr>
        <w:pStyle w:val="FootnoteText"/>
        <w:rPr>
          <w:rFonts w:ascii="Calibri" w:hAnsi="Calibri" w:cs="Calibri"/>
        </w:rPr>
      </w:pPr>
      <w:r w:rsidRPr="009C3C99">
        <w:rPr>
          <w:rStyle w:val="FootnoteReference"/>
          <w:sz w:val="16"/>
          <w:szCs w:val="16"/>
        </w:rPr>
        <w:footnoteRef/>
      </w:r>
      <w:r w:rsidRPr="009C3C99">
        <w:rPr>
          <w:sz w:val="16"/>
          <w:szCs w:val="16"/>
        </w:rPr>
        <w:t xml:space="preserve"> </w:t>
      </w:r>
      <w:r w:rsidRPr="00212782">
        <w:rPr>
          <w:rFonts w:ascii="Calibri" w:hAnsi="Calibri" w:cs="Calibri"/>
        </w:rPr>
        <w:t>Currently not allowed under the Protocol.</w:t>
      </w:r>
    </w:p>
  </w:footnote>
  <w:footnote w:id="74">
    <w:p w14:paraId="5606DAC6" w14:textId="77777777" w:rsidR="000B4FC1" w:rsidRPr="00E02447" w:rsidRDefault="000B4FC1">
      <w:pPr>
        <w:pStyle w:val="FootnoteText"/>
        <w:rPr>
          <w:rFonts w:ascii="Calibri" w:hAnsi="Calibri" w:cs="Calibri"/>
        </w:rPr>
      </w:pPr>
      <w:r w:rsidRPr="00E02447">
        <w:rPr>
          <w:rStyle w:val="FootnoteReference"/>
          <w:rFonts w:ascii="Calibri" w:hAnsi="Calibri" w:cs="Calibri"/>
        </w:rPr>
        <w:footnoteRef/>
      </w:r>
      <w:r w:rsidRPr="00E02447">
        <w:rPr>
          <w:rFonts w:ascii="Calibri" w:hAnsi="Calibri" w:cs="Calibri"/>
        </w:rPr>
        <w:t xml:space="preserve"> The exact amounts are difficult to predict as it depends on many factors including the actions of other major economies, the development of the aviation sector and any future international rules including under the Protocol. It is therefore not possible to give an abatement cost for this measure given these uncertainties.</w:t>
      </w:r>
    </w:p>
  </w:footnote>
  <w:footnote w:id="75">
    <w:p w14:paraId="6003B6CB" w14:textId="77777777" w:rsidR="000B4FC1" w:rsidRPr="00212782" w:rsidRDefault="000B4FC1" w:rsidP="00A14107">
      <w:pPr>
        <w:pStyle w:val="FootnoteText"/>
        <w:rPr>
          <w:rFonts w:ascii="Calibri" w:hAnsi="Calibri" w:cs="Calibri"/>
        </w:rPr>
      </w:pPr>
      <w:r w:rsidRPr="00212782">
        <w:rPr>
          <w:rStyle w:val="FootnoteReference"/>
          <w:rFonts w:ascii="Calibri" w:hAnsi="Calibri" w:cs="Calibri"/>
        </w:rPr>
        <w:footnoteRef/>
      </w:r>
      <w:r w:rsidRPr="00212782">
        <w:rPr>
          <w:rFonts w:ascii="Calibri" w:hAnsi="Calibri" w:cs="Calibri"/>
        </w:rPr>
        <w:t xml:space="preserve"> This assumes 0.02</w:t>
      </w:r>
      <w:r w:rsidRPr="0032339E">
        <w:rPr>
          <w:rFonts w:ascii="Calibri" w:hAnsi="Calibri" w:cs="Calibri"/>
        </w:rPr>
        <w:t xml:space="preserve">% emissions from new production and </w:t>
      </w:r>
      <w:r w:rsidRPr="001A6B59">
        <w:rPr>
          <w:rFonts w:ascii="Calibri" w:hAnsi="Calibri" w:cs="Calibri"/>
        </w:rPr>
        <w:t>0.5%</w:t>
      </w:r>
      <w:r w:rsidRPr="0032339E">
        <w:rPr>
          <w:rFonts w:ascii="Calibri" w:hAnsi="Calibri" w:cs="Calibri"/>
        </w:rPr>
        <w:t xml:space="preserve"> emissions from use of these quantities (see Table </w:t>
      </w:r>
      <w:r>
        <w:rPr>
          <w:rFonts w:ascii="Calibri" w:hAnsi="Calibri" w:cs="Calibri"/>
        </w:rPr>
        <w:t>A4.2 in Annex 4</w:t>
      </w:r>
      <w:r w:rsidRPr="0032339E">
        <w:rPr>
          <w:rFonts w:ascii="Calibri" w:hAnsi="Calibri" w:cs="Calibri"/>
        </w:rPr>
        <w:t>)</w:t>
      </w:r>
    </w:p>
  </w:footnote>
  <w:footnote w:id="76">
    <w:p w14:paraId="098873EC" w14:textId="77777777" w:rsidR="000B4FC1" w:rsidRPr="00212782" w:rsidRDefault="000B4FC1" w:rsidP="00A14107">
      <w:pPr>
        <w:pStyle w:val="FootnoteText"/>
        <w:rPr>
          <w:rFonts w:ascii="Calibri" w:hAnsi="Calibri" w:cs="Calibri"/>
        </w:rPr>
      </w:pPr>
      <w:r w:rsidRPr="009C3C99">
        <w:rPr>
          <w:rStyle w:val="FootnoteReference"/>
          <w:sz w:val="16"/>
          <w:szCs w:val="16"/>
        </w:rPr>
        <w:footnoteRef/>
      </w:r>
      <w:r w:rsidRPr="009C3C99">
        <w:rPr>
          <w:sz w:val="16"/>
          <w:szCs w:val="16"/>
        </w:rPr>
        <w:t xml:space="preserve"> </w:t>
      </w:r>
      <w:r w:rsidRPr="00212782">
        <w:rPr>
          <w:rFonts w:ascii="Calibri" w:hAnsi="Calibri" w:cs="Calibri"/>
        </w:rPr>
        <w:t xml:space="preserve">The destruction of halons costs between €2–3.5 per kg. The market price of halon 1301 and 2402 are ca 100 EUR and 200 EUR per kg, respectively, but could double up to 2025/2030. Reclamation costs of halons are estimated at EUR 4 per kg once the gas is at the facility. </w:t>
      </w:r>
    </w:p>
  </w:footnote>
  <w:footnote w:id="77">
    <w:p w14:paraId="52D3E6F8" w14:textId="77777777" w:rsidR="000B4FC1" w:rsidRPr="001A6B59" w:rsidRDefault="000B4FC1" w:rsidP="00A14107">
      <w:pPr>
        <w:pStyle w:val="FootnoteText"/>
        <w:rPr>
          <w:rFonts w:ascii="Calibri" w:hAnsi="Calibri" w:cs="Calibri"/>
        </w:rPr>
      </w:pPr>
      <w:r w:rsidRPr="00212782">
        <w:rPr>
          <w:rStyle w:val="FootnoteReference"/>
          <w:rFonts w:ascii="Calibri" w:hAnsi="Calibri" w:cs="Calibri"/>
        </w:rPr>
        <w:footnoteRef/>
      </w:r>
      <w:r w:rsidRPr="00212782">
        <w:rPr>
          <w:rFonts w:ascii="Calibri" w:hAnsi="Calibri" w:cs="Calibri"/>
        </w:rPr>
        <w:t xml:space="preserve"> Shipment costs of €1070-1250 to reclamation site based on estimations by Member State experts</w:t>
      </w:r>
      <w:r w:rsidRPr="001A6B59">
        <w:rPr>
          <w:rFonts w:ascii="Calibri" w:hAnsi="Calibri" w:cs="Calibri"/>
        </w:rPr>
        <w:t>.</w:t>
      </w:r>
    </w:p>
  </w:footnote>
  <w:footnote w:id="78">
    <w:p w14:paraId="2650A7D0" w14:textId="77777777" w:rsidR="000B4FC1" w:rsidRPr="00DA13D1" w:rsidRDefault="000B4FC1" w:rsidP="00A14107">
      <w:pPr>
        <w:pStyle w:val="FootnoteText"/>
        <w:rPr>
          <w:rFonts w:ascii="Calibri" w:hAnsi="Calibri" w:cs="Calibri"/>
        </w:rPr>
      </w:pPr>
      <w:r w:rsidRPr="00DA13D1">
        <w:rPr>
          <w:rStyle w:val="FootnoteReference"/>
          <w:rFonts w:ascii="Calibri" w:hAnsi="Calibri" w:cs="Calibri"/>
        </w:rPr>
        <w:footnoteRef/>
      </w:r>
      <w:r w:rsidRPr="00DA13D1">
        <w:rPr>
          <w:rFonts w:ascii="Calibri" w:hAnsi="Calibri" w:cs="Calibri"/>
        </w:rPr>
        <w:t xml:space="preserve"> Regulation (EU) No 517/2014 (F-gas Regulation) is strongly driving the replacement of high GWP HFCs in the cooling sector, in order to reduce direct emissions of highly warming greenhouse gases</w:t>
      </w:r>
      <w:r>
        <w:rPr>
          <w:rFonts w:ascii="Calibri" w:hAnsi="Calibri" w:cs="Calibri"/>
        </w:rPr>
        <w:t xml:space="preserve"> (HFCs)</w:t>
      </w:r>
      <w:r w:rsidRPr="00DA13D1">
        <w:rPr>
          <w:rFonts w:ascii="Calibri" w:hAnsi="Calibri" w:cs="Calibri"/>
        </w:rPr>
        <w:t xml:space="preserve">.  </w:t>
      </w:r>
    </w:p>
  </w:footnote>
  <w:footnote w:id="79">
    <w:p w14:paraId="7F42A9BB" w14:textId="77777777" w:rsidR="000B4FC1" w:rsidRPr="00212782" w:rsidRDefault="000B4FC1" w:rsidP="00A14107">
      <w:pPr>
        <w:pStyle w:val="FootnoteText"/>
        <w:rPr>
          <w:rFonts w:ascii="Calibri" w:hAnsi="Calibri" w:cs="Calibri"/>
        </w:rPr>
      </w:pPr>
      <w:r w:rsidRPr="00F86D2A">
        <w:rPr>
          <w:rStyle w:val="FootnoteReference"/>
          <w:sz w:val="16"/>
          <w:szCs w:val="16"/>
        </w:rPr>
        <w:footnoteRef/>
      </w:r>
      <w:r w:rsidRPr="00F86D2A">
        <w:rPr>
          <w:sz w:val="16"/>
          <w:szCs w:val="16"/>
        </w:rPr>
        <w:t xml:space="preserve"> </w:t>
      </w:r>
      <w:r w:rsidRPr="00212782">
        <w:rPr>
          <w:rFonts w:ascii="Calibri" w:hAnsi="Calibri" w:cs="Calibri"/>
        </w:rPr>
        <w:t>Based on the response of five companies</w:t>
      </w:r>
    </w:p>
  </w:footnote>
  <w:footnote w:id="80">
    <w:p w14:paraId="3B765C9A" w14:textId="77777777" w:rsidR="000B4FC1" w:rsidRPr="00212782" w:rsidRDefault="000B4FC1" w:rsidP="00A14107">
      <w:pPr>
        <w:pStyle w:val="FootnoteText"/>
        <w:rPr>
          <w:rFonts w:ascii="Calibri" w:hAnsi="Calibri" w:cs="Calibri"/>
        </w:rPr>
      </w:pPr>
      <w:r w:rsidRPr="00212782">
        <w:rPr>
          <w:rStyle w:val="FootnoteReference"/>
          <w:rFonts w:ascii="Calibri" w:hAnsi="Calibri" w:cs="Calibri"/>
        </w:rPr>
        <w:footnoteRef/>
      </w:r>
      <w:r w:rsidRPr="00212782">
        <w:rPr>
          <w:rFonts w:ascii="Calibri" w:hAnsi="Calibri" w:cs="Calibri"/>
        </w:rPr>
        <w:t xml:space="preserve"> Data from the evaluation, based on 13 respondents, yields total costs of the existing system as 309 days (2076 yearly licenses * 1.1 hours per license / 7.4 working hours per day, This confirms the magnitude of the administrative burden that may to a large degree be saved.</w:t>
      </w:r>
    </w:p>
  </w:footnote>
  <w:footnote w:id="81">
    <w:p w14:paraId="46CB488D" w14:textId="77777777" w:rsidR="000B4FC1" w:rsidRPr="00212782" w:rsidRDefault="000B4FC1" w:rsidP="00A14107">
      <w:pPr>
        <w:pStyle w:val="FootnoteText"/>
        <w:rPr>
          <w:rFonts w:ascii="Calibri" w:hAnsi="Calibri" w:cs="Calibri"/>
        </w:rPr>
      </w:pPr>
      <w:r w:rsidRPr="00212782">
        <w:rPr>
          <w:rStyle w:val="FootnoteReference"/>
          <w:rFonts w:ascii="Calibri" w:hAnsi="Calibri" w:cs="Calibri"/>
        </w:rPr>
        <w:footnoteRef/>
      </w:r>
      <w:r w:rsidRPr="00212782">
        <w:rPr>
          <w:rFonts w:ascii="Calibri" w:hAnsi="Calibri" w:cs="Calibri"/>
        </w:rPr>
        <w:t xml:space="preserve"> European Commission. SWD IMPACT ASSESSMENT REPORT Accompanying the document Proposal for a Regulation of the European Parliament and of the Council establishing the European Union Single Window Environment for Customs Proposal [..]. </w:t>
      </w:r>
    </w:p>
    <w:p w14:paraId="7FAB236F" w14:textId="77777777" w:rsidR="000B4FC1" w:rsidRPr="00212782" w:rsidRDefault="000B4FC1" w:rsidP="00A14107">
      <w:pPr>
        <w:pStyle w:val="FootnoteText"/>
        <w:rPr>
          <w:rFonts w:ascii="Calibri" w:hAnsi="Calibri" w:cs="Calibri"/>
        </w:rPr>
      </w:pPr>
      <w:r w:rsidRPr="00212782">
        <w:rPr>
          <w:rFonts w:ascii="Calibri" w:hAnsi="Calibri" w:cs="Calibri"/>
        </w:rPr>
        <w:t>https://eur-lex.europa.eu/legal-content/EN/TXT/PDF/?uri=CONSIL:ST_12529_2020_ADD_3&amp;from=EN</w:t>
      </w:r>
    </w:p>
  </w:footnote>
  <w:footnote w:id="82">
    <w:p w14:paraId="637B4DD6" w14:textId="77777777" w:rsidR="000B4FC1" w:rsidRPr="00DA13D1" w:rsidRDefault="000B4FC1" w:rsidP="00A14107">
      <w:pPr>
        <w:pStyle w:val="FootnoteText"/>
        <w:rPr>
          <w:rFonts w:ascii="Calibri" w:hAnsi="Calibri" w:cs="Calibri"/>
        </w:rPr>
      </w:pPr>
      <w:r w:rsidRPr="00DA13D1">
        <w:rPr>
          <w:rStyle w:val="FootnoteReference"/>
          <w:sz w:val="16"/>
          <w:szCs w:val="16"/>
        </w:rPr>
        <w:footnoteRef/>
      </w:r>
      <w:r w:rsidRPr="00DA13D1">
        <w:rPr>
          <w:sz w:val="16"/>
          <w:szCs w:val="16"/>
        </w:rPr>
        <w:t xml:space="preserve"> </w:t>
      </w:r>
      <w:r>
        <w:rPr>
          <w:rFonts w:ascii="Calibri" w:hAnsi="Calibri" w:cs="Calibri"/>
        </w:rPr>
        <w:t>A</w:t>
      </w:r>
      <w:r w:rsidRPr="00DA13D1">
        <w:rPr>
          <w:rFonts w:ascii="Calibri" w:hAnsi="Calibri" w:cs="Calibri"/>
        </w:rPr>
        <w:t>lso currently under review</w:t>
      </w:r>
      <w:r>
        <w:rPr>
          <w:rFonts w:ascii="Calibri" w:hAnsi="Calibri" w:cs="Calibri"/>
        </w:rPr>
        <w:t>.</w:t>
      </w:r>
    </w:p>
  </w:footnote>
  <w:footnote w:id="83">
    <w:p w14:paraId="0C65F5F8" w14:textId="77777777" w:rsidR="000B4FC1" w:rsidRPr="006578FA" w:rsidRDefault="000B4FC1">
      <w:pPr>
        <w:pStyle w:val="FootnoteText"/>
        <w:rPr>
          <w:rFonts w:asciiTheme="minorHAnsi" w:hAnsiTheme="minorHAnsi" w:cstheme="minorHAnsi"/>
        </w:rPr>
      </w:pPr>
      <w:r w:rsidRPr="006578FA">
        <w:rPr>
          <w:rStyle w:val="FootnoteReference"/>
          <w:rFonts w:asciiTheme="minorHAnsi" w:hAnsiTheme="minorHAnsi" w:cstheme="minorHAnsi"/>
        </w:rPr>
        <w:footnoteRef/>
      </w:r>
      <w:r w:rsidRPr="006578FA">
        <w:rPr>
          <w:rFonts w:asciiTheme="minorHAnsi" w:hAnsiTheme="minorHAnsi" w:cstheme="minorHAnsi"/>
        </w:rPr>
        <w:t xml:space="preserve"> In addition to others that may not be complying with the obligation</w:t>
      </w:r>
      <w:r>
        <w:rPr>
          <w:rFonts w:asciiTheme="minorHAnsi" w:hAnsiTheme="minorHAnsi" w:cstheme="minorHAnsi"/>
        </w:rPr>
        <w:t>.</w:t>
      </w:r>
    </w:p>
  </w:footnote>
  <w:footnote w:id="84">
    <w:p w14:paraId="3E99DBCC" w14:textId="77777777" w:rsidR="000B4FC1" w:rsidRPr="00F86D2A" w:rsidRDefault="000B4FC1" w:rsidP="00A14107">
      <w:pPr>
        <w:pStyle w:val="FootnoteText"/>
        <w:rPr>
          <w:sz w:val="16"/>
          <w:szCs w:val="16"/>
        </w:rPr>
      </w:pPr>
      <w:r w:rsidRPr="00F86D2A">
        <w:rPr>
          <w:rStyle w:val="FootnoteReference"/>
          <w:sz w:val="16"/>
          <w:szCs w:val="16"/>
        </w:rPr>
        <w:footnoteRef/>
      </w:r>
      <w:r w:rsidRPr="00F86D2A">
        <w:rPr>
          <w:sz w:val="16"/>
          <w:szCs w:val="16"/>
        </w:rPr>
        <w:t xml:space="preserve"> </w:t>
      </w:r>
      <w:r w:rsidRPr="00DA13D1">
        <w:rPr>
          <w:rFonts w:ascii="Calibri" w:hAnsi="Calibri" w:cs="Calibri"/>
        </w:rPr>
        <w:t>Based on data from evaluation (322 days for 8 derogations in period 2010-2017)</w:t>
      </w:r>
    </w:p>
  </w:footnote>
  <w:footnote w:id="85">
    <w:p w14:paraId="2F91FD7F" w14:textId="77777777" w:rsidR="000B4FC1" w:rsidRPr="00F86D2A" w:rsidRDefault="000B4FC1" w:rsidP="00A14107">
      <w:pPr>
        <w:pStyle w:val="FootnoteText"/>
        <w:rPr>
          <w:sz w:val="16"/>
          <w:szCs w:val="16"/>
        </w:rPr>
      </w:pPr>
      <w:r w:rsidRPr="00F86D2A">
        <w:rPr>
          <w:rStyle w:val="FootnoteReference"/>
          <w:sz w:val="16"/>
          <w:szCs w:val="16"/>
        </w:rPr>
        <w:footnoteRef/>
      </w:r>
      <w:r w:rsidRPr="00F86D2A">
        <w:rPr>
          <w:sz w:val="16"/>
          <w:szCs w:val="16"/>
        </w:rPr>
        <w:t xml:space="preserve"> </w:t>
      </w:r>
      <w:r w:rsidRPr="00DA13D1">
        <w:rPr>
          <w:rFonts w:asciiTheme="minorHAnsi" w:hAnsiTheme="minorHAnsi" w:cstheme="minorHAnsi"/>
        </w:rPr>
        <w:t>Treatment of 4 derogations and their monitoring for 2 years (The Regulation could be applying from 2023 and derogations would therefore be avoided until 31 December 2024, i.e. for two years)</w:t>
      </w:r>
    </w:p>
  </w:footnote>
  <w:footnote w:id="86">
    <w:p w14:paraId="0EB6C98E" w14:textId="77777777" w:rsidR="000B4FC1" w:rsidRPr="00874618" w:rsidRDefault="000B4FC1" w:rsidP="00A14107">
      <w:pPr>
        <w:pStyle w:val="FootnoteText"/>
      </w:pPr>
      <w:r>
        <w:rPr>
          <w:rStyle w:val="FootnoteReference"/>
        </w:rPr>
        <w:footnoteRef/>
      </w:r>
      <w:r>
        <w:t xml:space="preserve"> </w:t>
      </w:r>
      <w:r>
        <w:rPr>
          <w:rFonts w:ascii="Calibri" w:hAnsi="Calibri" w:cs="Calibri"/>
        </w:rPr>
        <w:t>E</w:t>
      </w:r>
      <w:r w:rsidRPr="00F948E3">
        <w:rPr>
          <w:rFonts w:ascii="Calibri" w:hAnsi="Calibri" w:cs="Calibri"/>
        </w:rPr>
        <w:t>-PRTR emission data is limited for monitoring of climate effects since it is not reported for individual substances included in the Ozone Regulation and has a different scope, due entities covered, as well as capacity and pollutant thresholds.</w:t>
      </w:r>
    </w:p>
  </w:footnote>
  <w:footnote w:id="87">
    <w:p w14:paraId="155F0CF4" w14:textId="77777777" w:rsidR="000B4FC1" w:rsidRPr="00430E78" w:rsidRDefault="000B4FC1" w:rsidP="00A14107">
      <w:pPr>
        <w:pStyle w:val="FootnoteText"/>
        <w:rPr>
          <w:sz w:val="16"/>
          <w:szCs w:val="16"/>
        </w:rPr>
      </w:pPr>
      <w:r w:rsidRPr="00430E78">
        <w:rPr>
          <w:rStyle w:val="FootnoteReference"/>
        </w:rPr>
        <w:footnoteRef/>
      </w:r>
      <w:r w:rsidRPr="00430E78">
        <w:rPr>
          <w:sz w:val="16"/>
          <w:szCs w:val="16"/>
        </w:rPr>
        <w:t xml:space="preserve"> </w:t>
      </w:r>
      <w:r w:rsidRPr="00F948E3">
        <w:rPr>
          <w:rFonts w:ascii="Calibri" w:hAnsi="Calibri" w:cs="Calibri"/>
        </w:rPr>
        <w:t>Assuming 1.5 week per company based on stakeholder feedback</w:t>
      </w:r>
    </w:p>
  </w:footnote>
  <w:footnote w:id="88">
    <w:p w14:paraId="7A80A13D" w14:textId="77777777" w:rsidR="000B4FC1" w:rsidRPr="00D93917" w:rsidRDefault="000B4FC1">
      <w:pPr>
        <w:pStyle w:val="FootnoteText"/>
        <w:rPr>
          <w:rFonts w:asciiTheme="minorHAnsi" w:hAnsiTheme="minorHAnsi"/>
        </w:rPr>
      </w:pPr>
      <w:r w:rsidRPr="00D93917">
        <w:rPr>
          <w:rStyle w:val="FootnoteReference"/>
          <w:rFonts w:asciiTheme="minorHAnsi" w:hAnsiTheme="minorHAnsi"/>
        </w:rPr>
        <w:footnoteRef/>
      </w:r>
      <w:r w:rsidRPr="00D93917">
        <w:rPr>
          <w:rFonts w:asciiTheme="minorHAnsi" w:hAnsiTheme="minorHAnsi"/>
        </w:rPr>
        <w:t xml:space="preserve"> C</w:t>
      </w:r>
      <w:r>
        <w:rPr>
          <w:rFonts w:asciiTheme="minorHAnsi" w:hAnsiTheme="minorHAnsi"/>
        </w:rPr>
        <w:t>osts c</w:t>
      </w:r>
      <w:r w:rsidRPr="00D93917">
        <w:rPr>
          <w:rFonts w:asciiTheme="minorHAnsi" w:hAnsiTheme="minorHAnsi"/>
        </w:rPr>
        <w:t>ould be higher in some M</w:t>
      </w:r>
      <w:r>
        <w:rPr>
          <w:rFonts w:asciiTheme="minorHAnsi" w:hAnsiTheme="minorHAnsi"/>
        </w:rPr>
        <w:t xml:space="preserve">ember </w:t>
      </w:r>
      <w:r w:rsidRPr="00D93917">
        <w:rPr>
          <w:rFonts w:asciiTheme="minorHAnsi" w:hAnsiTheme="minorHAnsi"/>
        </w:rPr>
        <w:t>S</w:t>
      </w:r>
      <w:r>
        <w:rPr>
          <w:rFonts w:asciiTheme="minorHAnsi" w:hAnsiTheme="minorHAnsi"/>
        </w:rPr>
        <w:t>tates</w:t>
      </w:r>
      <w:r w:rsidRPr="00D93917">
        <w:rPr>
          <w:rFonts w:asciiTheme="minorHAnsi" w:hAnsiTheme="minorHAnsi"/>
        </w:rPr>
        <w:t xml:space="preserve"> but should be well below €228€/tCO2e</w:t>
      </w:r>
      <w:r>
        <w:rPr>
          <w:rFonts w:asciiTheme="minorHAnsi" w:hAnsiTheme="minorHAnsi"/>
        </w:rPr>
        <w:t xml:space="preserve"> (asbestos proxy costs)</w:t>
      </w:r>
      <w:r w:rsidRPr="00D93917">
        <w:rPr>
          <w:rFonts w:asciiTheme="minorHAnsi" w:hAnsiTheme="minorHAnsi"/>
        </w:rPr>
        <w:t xml:space="preserve"> in all cases </w:t>
      </w:r>
    </w:p>
  </w:footnote>
  <w:footnote w:id="89">
    <w:p w14:paraId="33B68EA2" w14:textId="77777777" w:rsidR="000B4FC1" w:rsidRPr="00BA5325" w:rsidRDefault="000B4FC1" w:rsidP="00A14107">
      <w:pPr>
        <w:pStyle w:val="FootnoteText"/>
        <w:rPr>
          <w:rFonts w:asciiTheme="minorHAnsi" w:hAnsiTheme="minorHAnsi" w:cstheme="minorHAnsi"/>
        </w:rPr>
      </w:pPr>
      <w:r>
        <w:rPr>
          <w:rStyle w:val="FootnoteReference"/>
        </w:rPr>
        <w:footnoteRef/>
      </w:r>
      <w:r>
        <w:t xml:space="preserve"> </w:t>
      </w:r>
      <w:r w:rsidRPr="00F948E3">
        <w:rPr>
          <w:rFonts w:asciiTheme="minorHAnsi" w:hAnsiTheme="minorHAnsi" w:cstheme="minorHAnsi"/>
        </w:rPr>
        <w:t xml:space="preserve">Costs are </w:t>
      </w:r>
      <w:r>
        <w:rPr>
          <w:rFonts w:asciiTheme="minorHAnsi" w:hAnsiTheme="minorHAnsi" w:cstheme="minorHAnsi"/>
        </w:rPr>
        <w:t>difficult</w:t>
      </w:r>
      <w:r w:rsidRPr="00F948E3">
        <w:rPr>
          <w:rFonts w:asciiTheme="minorHAnsi" w:hAnsiTheme="minorHAnsi" w:cstheme="minorHAnsi"/>
        </w:rPr>
        <w:t xml:space="preserve"> to estimate given the different situation of</w:t>
      </w:r>
      <w:r>
        <w:rPr>
          <w:rFonts w:asciiTheme="minorHAnsi" w:hAnsiTheme="minorHAnsi" w:cstheme="minorHAnsi"/>
        </w:rPr>
        <w:t xml:space="preserve"> </w:t>
      </w:r>
      <w:r w:rsidRPr="00BC1B69">
        <w:rPr>
          <w:rFonts w:asciiTheme="minorHAnsi" w:hAnsiTheme="minorHAnsi" w:cstheme="minorHAnsi"/>
        </w:rPr>
        <w:t>t</w:t>
      </w:r>
      <w:r w:rsidRPr="00F948E3">
        <w:rPr>
          <w:rFonts w:asciiTheme="minorHAnsi" w:hAnsiTheme="minorHAnsi" w:cstheme="minorHAnsi"/>
        </w:rPr>
        <w:t xml:space="preserve">he military in </w:t>
      </w:r>
      <w:r>
        <w:rPr>
          <w:rFonts w:asciiTheme="minorHAnsi" w:hAnsiTheme="minorHAnsi" w:cstheme="minorHAnsi"/>
        </w:rPr>
        <w:t>Member States.</w:t>
      </w:r>
    </w:p>
  </w:footnote>
  <w:footnote w:id="90">
    <w:p w14:paraId="7D8A9EDC"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https://ec.europa.eu/info/law/better-regulation/have-your-say/initiatives/12310-Ozone-layer-protection-revision-of-EU-rules</w:t>
      </w:r>
    </w:p>
  </w:footnote>
  <w:footnote w:id="91">
    <w:p w14:paraId="49FD5F19" w14:textId="77777777" w:rsidR="000B4FC1" w:rsidRDefault="000B4FC1" w:rsidP="004D45F1">
      <w:pPr>
        <w:pStyle w:val="FootnoteText"/>
      </w:pPr>
      <w:r>
        <w:rPr>
          <w:rStyle w:val="FootnoteReference"/>
          <w:rFonts w:asciiTheme="minorHAnsi" w:hAnsiTheme="minorHAnsi" w:cstheme="minorHAnsi"/>
        </w:rPr>
        <w:footnoteRef/>
      </w:r>
      <w:r>
        <w:rPr>
          <w:rFonts w:asciiTheme="minorHAnsi" w:hAnsiTheme="minorHAnsi" w:cstheme="minorHAnsi"/>
        </w:rPr>
        <w:t xml:space="preserve"> https://ec.europa.eu/info/law/better-regulation/have-your-say/initiatives/12310-Ozone-layer-protection-revision-of-EU-rules/public-consultation</w:t>
      </w:r>
    </w:p>
  </w:footnote>
  <w:footnote w:id="92">
    <w:p w14:paraId="1836219E"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https://ec.europa.eu/info/law/better-regulation/have-your-say/initiatives/12310-Ozone-layer-protection-revision-of-EU-rules</w:t>
      </w:r>
    </w:p>
  </w:footnote>
  <w:footnote w:id="93">
    <w:p w14:paraId="6FB47493" w14:textId="77777777" w:rsidR="000B4FC1" w:rsidRDefault="000B4FC1" w:rsidP="004D45F1">
      <w:pPr>
        <w:pStyle w:val="FootnoteText"/>
      </w:pPr>
      <w:r>
        <w:rPr>
          <w:rStyle w:val="FootnoteReference"/>
          <w:rFonts w:asciiTheme="minorHAnsi" w:hAnsiTheme="minorHAnsi" w:cstheme="minorHAnsi"/>
        </w:rPr>
        <w:footnoteRef/>
      </w:r>
      <w:r>
        <w:rPr>
          <w:rFonts w:asciiTheme="minorHAnsi" w:hAnsiTheme="minorHAnsi" w:cstheme="minorHAnsi"/>
        </w:rPr>
        <w:t xml:space="preserve"> https://ec.europa.eu/info/law/better-regulation/have-your-say/initiatives/12310-Ozone-layer-protection-review-of-EU-rules/public-consultation</w:t>
      </w:r>
    </w:p>
  </w:footnote>
  <w:footnote w:id="94">
    <w:p w14:paraId="78E924DC"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https://ec.europa.eu/taxation_customs/general-information-customs/electronic-customs/eu-single-window-environment-for-customs_en</w:t>
      </w:r>
    </w:p>
  </w:footnote>
  <w:footnote w:id="95">
    <w:p w14:paraId="2337F6B2" w14:textId="77777777" w:rsidR="000B4FC1" w:rsidRDefault="000B4FC1" w:rsidP="004D45F1">
      <w:pPr>
        <w:pStyle w:val="FootnoteText"/>
      </w:pPr>
      <w:r>
        <w:rPr>
          <w:rStyle w:val="FootnoteReference"/>
        </w:rPr>
        <w:footnoteRef/>
      </w:r>
      <w:r>
        <w:t xml:space="preserve"> </w:t>
      </w:r>
      <w:r>
        <w:rPr>
          <w:rFonts w:ascii="Calibri" w:hAnsi="Calibri" w:cs="Calibri"/>
        </w:rPr>
        <w:t>E.g. Dichloromethane (DCM) and 2-bromotrifluoropropene (2-BTP).</w:t>
      </w:r>
    </w:p>
  </w:footnote>
  <w:footnote w:id="96">
    <w:p w14:paraId="34FFDE5C" w14:textId="77777777" w:rsidR="000B4FC1" w:rsidRDefault="000B4FC1" w:rsidP="004D45F1">
      <w:pPr>
        <w:pStyle w:val="FootnoteText"/>
        <w:jc w:val="left"/>
        <w:rPr>
          <w:rFonts w:asciiTheme="minorHAnsi" w:hAnsiTheme="minorHAnsi" w:cstheme="minorHAnsi"/>
        </w:rPr>
      </w:pPr>
      <w:r>
        <w:rPr>
          <w:rStyle w:val="FootnoteReference"/>
        </w:rPr>
        <w:footnoteRef/>
      </w:r>
      <w:r>
        <w:t xml:space="preserve"> </w:t>
      </w:r>
      <w:r>
        <w:rPr>
          <w:rFonts w:asciiTheme="minorHAnsi" w:hAnsiTheme="minorHAnsi" w:cstheme="minorHAnsi"/>
        </w:rPr>
        <w:t>SKM Enviros (2012) , “Further Assessment of Policy Options for the Management and Destruction of</w:t>
      </w:r>
    </w:p>
    <w:p w14:paraId="57024524" w14:textId="77777777" w:rsidR="000B4FC1" w:rsidRDefault="000B4FC1" w:rsidP="004D45F1">
      <w:pPr>
        <w:pStyle w:val="FootnoteText"/>
        <w:jc w:val="left"/>
        <w:rPr>
          <w:rFonts w:asciiTheme="minorHAnsi" w:hAnsiTheme="minorHAnsi" w:cstheme="minorHAnsi"/>
        </w:rPr>
      </w:pPr>
      <w:r>
        <w:rPr>
          <w:rFonts w:asciiTheme="minorHAnsi" w:hAnsiTheme="minorHAnsi" w:cstheme="minorHAnsi"/>
        </w:rPr>
        <w:t xml:space="preserve">Banks of ODS and F-gases in the EU”, European Commission Service Contract Number: </w:t>
      </w:r>
    </w:p>
    <w:p w14:paraId="0D234821" w14:textId="77777777" w:rsidR="000B4FC1" w:rsidRDefault="000B4FC1" w:rsidP="004D45F1">
      <w:pPr>
        <w:pStyle w:val="FootnoteText"/>
        <w:jc w:val="left"/>
        <w:rPr>
          <w:rFonts w:asciiTheme="minorHAnsi" w:hAnsiTheme="minorHAnsi" w:cstheme="minorHAnsi"/>
          <w:lang w:val="en-IE"/>
        </w:rPr>
      </w:pPr>
      <w:r>
        <w:rPr>
          <w:rFonts w:asciiTheme="minorHAnsi" w:hAnsiTheme="minorHAnsi" w:cstheme="minorHAnsi"/>
        </w:rPr>
        <w:t>070307/2010/576660/SER/CLIMA.C.2</w:t>
      </w:r>
    </w:p>
  </w:footnote>
  <w:footnote w:id="97">
    <w:p w14:paraId="1D92C97F" w14:textId="77777777" w:rsidR="000B4FC1" w:rsidRDefault="000B4FC1" w:rsidP="004D45F1">
      <w:pPr>
        <w:pStyle w:val="FootnoteText"/>
        <w:rPr>
          <w:sz w:val="16"/>
          <w:szCs w:val="16"/>
        </w:rPr>
      </w:pPr>
      <w:r>
        <w:rPr>
          <w:rStyle w:val="FootnoteReference"/>
          <w:rFonts w:asciiTheme="minorHAnsi" w:hAnsiTheme="minorHAnsi" w:cstheme="minorHAnsi"/>
        </w:rPr>
        <w:footnoteRef/>
      </w:r>
      <w:r>
        <w:rPr>
          <w:rFonts w:asciiTheme="minorHAnsi" w:hAnsiTheme="minorHAnsi" w:cstheme="minorHAnsi"/>
        </w:rPr>
        <w:t xml:space="preserve"> Ammonia is liked to pesticides production, one of the main feedstock uses of ODS</w:t>
      </w:r>
    </w:p>
  </w:footnote>
  <w:footnote w:id="98">
    <w:p w14:paraId="2348C6C2"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Reported data for feedstock emissions is self-reported by industry, and may be underestimated, as the emission factor of 0.09% is below the lower value of the expected range of feedstock emissions at 0.1 – 4%.</w:t>
      </w:r>
    </w:p>
  </w:footnote>
  <w:footnote w:id="99">
    <w:p w14:paraId="39FDCE1A"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The emission factor of the total bank each year (emissions / (total installed + stock) is on average 0.5% over the 2015 – 2019 period. </w:t>
      </w:r>
    </w:p>
  </w:footnote>
  <w:footnote w:id="100">
    <w:p w14:paraId="58D89C2D" w14:textId="77777777" w:rsidR="000B4FC1" w:rsidRDefault="000B4FC1" w:rsidP="004D45F1">
      <w:pPr>
        <w:pStyle w:val="FootnoteText"/>
        <w:rPr>
          <w:sz w:val="18"/>
          <w:szCs w:val="18"/>
        </w:rPr>
      </w:pPr>
      <w:r>
        <w:rPr>
          <w:rStyle w:val="FootnoteReference"/>
        </w:rPr>
        <w:footnoteRef/>
      </w:r>
      <w:r>
        <w:t xml:space="preserve"> </w:t>
      </w:r>
      <w:r>
        <w:rPr>
          <w:rFonts w:asciiTheme="minorHAnsi" w:hAnsiTheme="minorHAnsi" w:cstheme="minorHAnsi"/>
        </w:rPr>
        <w:t>Sherry et al. (2018), Current sources of carbon tetrachloride (CCl4) in our atmosphere</w:t>
      </w:r>
    </w:p>
  </w:footnote>
  <w:footnote w:id="101">
    <w:p w14:paraId="08EC574C"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SKM Enviros (2012) , “Further Assessment of Policy Options for the Management and Destruction of</w:t>
      </w:r>
    </w:p>
    <w:p w14:paraId="6DDDB621" w14:textId="77777777" w:rsidR="000B4FC1" w:rsidRDefault="000B4FC1" w:rsidP="004D45F1">
      <w:pPr>
        <w:pStyle w:val="FootnoteText"/>
        <w:rPr>
          <w:rFonts w:asciiTheme="minorHAnsi" w:hAnsiTheme="minorHAnsi" w:cstheme="minorHAnsi"/>
        </w:rPr>
      </w:pPr>
      <w:r>
        <w:rPr>
          <w:rFonts w:asciiTheme="minorHAnsi" w:hAnsiTheme="minorHAnsi" w:cstheme="minorHAnsi"/>
        </w:rPr>
        <w:t>Banks of ODS and F-Gases in the EU”</w:t>
      </w:r>
    </w:p>
  </w:footnote>
  <w:footnote w:id="102">
    <w:p w14:paraId="6DA100AE" w14:textId="77777777" w:rsidR="000B4FC1" w:rsidRDefault="000B4FC1" w:rsidP="004D45F1">
      <w:pPr>
        <w:pStyle w:val="FootnoteText"/>
        <w:rPr>
          <w:rFonts w:ascii="Calibri" w:hAnsi="Calibri" w:cs="Calibri"/>
        </w:rPr>
      </w:pPr>
      <w:r>
        <w:rPr>
          <w:rStyle w:val="FootnoteReference"/>
        </w:rPr>
        <w:footnoteRef/>
      </w:r>
      <w:r>
        <w:t xml:space="preserve"> </w:t>
      </w:r>
      <w:r>
        <w:rPr>
          <w:rFonts w:ascii="Calibri" w:hAnsi="Calibri" w:cs="Calibri"/>
        </w:rPr>
        <w:t>UK Met Office (2018), Long-term atmospheric measurement and interpretation of radiatively active trace gases</w:t>
      </w:r>
    </w:p>
  </w:footnote>
  <w:footnote w:id="103">
    <w:p w14:paraId="54A3F43E" w14:textId="77777777" w:rsidR="000B4FC1" w:rsidRDefault="000B4FC1" w:rsidP="004D45F1">
      <w:pPr>
        <w:pStyle w:val="FootnoteText"/>
      </w:pPr>
      <w:r>
        <w:rPr>
          <w:rStyle w:val="FootnoteReference"/>
          <w:rFonts w:ascii="Calibri" w:hAnsi="Calibri" w:cs="Calibri"/>
        </w:rPr>
        <w:footnoteRef/>
      </w:r>
      <w:r>
        <w:rPr>
          <w:rFonts w:ascii="Calibri" w:hAnsi="Calibri" w:cs="Calibri"/>
        </w:rPr>
        <w:t xml:space="preserve"> SKM (2012), Further Assessment of Policy Options for the Management and Destruction of Banks of ODS and F-Gases in the EU</w:t>
      </w:r>
    </w:p>
  </w:footnote>
  <w:footnote w:id="104">
    <w:p w14:paraId="30DDD10E" w14:textId="77777777" w:rsidR="000B4FC1" w:rsidRDefault="000B4FC1" w:rsidP="004D45F1">
      <w:pPr>
        <w:pStyle w:val="FootnoteText"/>
        <w:jc w:val="left"/>
        <w:rPr>
          <w:rFonts w:asciiTheme="minorHAnsi" w:hAnsiTheme="minorHAnsi" w:cstheme="minorHAnsi"/>
        </w:rPr>
      </w:pPr>
      <w:r>
        <w:rPr>
          <w:rStyle w:val="FootnoteReference"/>
        </w:rPr>
        <w:footnoteRef/>
      </w:r>
      <w:r>
        <w:t xml:space="preserve"> </w:t>
      </w:r>
      <w:r>
        <w:rPr>
          <w:rFonts w:asciiTheme="minorHAnsi" w:hAnsiTheme="minorHAnsi" w:cstheme="minorHAnsi"/>
        </w:rPr>
        <w:t>CEFIC (2020), CEFIC Economic Outlook 2021</w:t>
      </w:r>
    </w:p>
  </w:footnote>
  <w:footnote w:id="105">
    <w:p w14:paraId="48A9DA74" w14:textId="77777777" w:rsidR="000B4FC1" w:rsidRDefault="000B4FC1" w:rsidP="004D45F1">
      <w:pPr>
        <w:pStyle w:val="FootnoteText"/>
        <w:jc w:val="lef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GHG protocol (2016), Greenhouse Gas Potential Values (citing from IPCC AR5), available at: </w:t>
      </w:r>
      <w:r>
        <w:rPr>
          <w:rFonts w:asciiTheme="minorHAnsi" w:hAnsiTheme="minorHAnsi" w:cstheme="minorHAnsi"/>
          <w:color w:val="000000"/>
        </w:rPr>
        <w:t xml:space="preserve">available at: </w:t>
      </w:r>
      <w:hyperlink r:id="rId5" w:history="1">
        <w:r>
          <w:rPr>
            <w:rStyle w:val="Hyperlink"/>
            <w:rFonts w:asciiTheme="minorHAnsi" w:hAnsiTheme="minorHAnsi" w:cstheme="minorHAnsi"/>
          </w:rPr>
          <w:t>https://www.ghgprotocol.org/sites/default/files/ghgp/Global-Warming-Potential-Values %28Feb 16 2016%29_1.pdf</w:t>
        </w:r>
      </w:hyperlink>
    </w:p>
  </w:footnote>
  <w:footnote w:id="106">
    <w:p w14:paraId="372E8236"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Due to the heterogeneity of substances used for laboratories, the total GWP of these substances could not be estimated as no substance-level data is made available for any one year.</w:t>
      </w:r>
    </w:p>
  </w:footnote>
  <w:footnote w:id="107">
    <w:p w14:paraId="0E4624F1" w14:textId="2ADAC124"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In section 4.3.1.1, the substances identified by the Evaluation of the Regulation as having potential viable alternatives are discussed</w:t>
      </w:r>
    </w:p>
  </w:footnote>
  <w:footnote w:id="108">
    <w:p w14:paraId="3403E46E"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Due to the heterogeneity of substances used for laboratories, the total GWP of these substances could not be estimated as no substance-level data is made available for any one year.</w:t>
      </w:r>
    </w:p>
  </w:footnote>
  <w:footnote w:id="109">
    <w:p w14:paraId="145F1041"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Costs for the ODS licencing system does not assume adoption of the Single Window system, as the implementation of the policy option is linked to implementation of the Single Window environment. Therefore, for ease of calculation, the impacts of implementing the Single Window environment are included in the assessment of the policy option, and not in the baseline.</w:t>
      </w:r>
    </w:p>
  </w:footnote>
  <w:footnote w:id="110">
    <w:p w14:paraId="1DFF3B3F" w14:textId="77777777" w:rsidR="000B4FC1" w:rsidRDefault="000B4FC1" w:rsidP="004D45F1">
      <w:pPr>
        <w:pStyle w:val="FootnoteText"/>
      </w:pPr>
      <w:r>
        <w:rPr>
          <w:rStyle w:val="FootnoteReference"/>
          <w:rFonts w:asciiTheme="minorHAnsi" w:hAnsiTheme="minorHAnsi" w:cstheme="minorHAnsi"/>
        </w:rPr>
        <w:footnoteRef/>
      </w:r>
      <w:r>
        <w:rPr>
          <w:rFonts w:asciiTheme="minorHAnsi" w:hAnsiTheme="minorHAnsi" w:cstheme="minorHAnsi"/>
        </w:rPr>
        <w:t xml:space="preserve"> These costs are associated to critical use banks and evolve in line with the dynamics for these uses in the baseline scenario</w:t>
      </w:r>
      <w:r>
        <w:rPr>
          <w:sz w:val="16"/>
          <w:szCs w:val="16"/>
        </w:rPr>
        <w:t>.</w:t>
      </w:r>
    </w:p>
  </w:footnote>
  <w:footnote w:id="111">
    <w:p w14:paraId="6390AB1D"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Costs for the ODS licencing system does not assume adoption of the Single Window system, as the implementation of the policy option is linked to implementation of the Single Window environment. Therefore, for ease of calculation, the impacts of implementing the Single Window environment are included in the assessment of the policy option, and not in the baseline.</w:t>
      </w:r>
    </w:p>
  </w:footnote>
  <w:footnote w:id="112">
    <w:p w14:paraId="40015F76"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These costs are associated to critical use banks and evolve in line with the dynamics for these uses in the baseline scenario.</w:t>
      </w:r>
    </w:p>
  </w:footnote>
  <w:footnote w:id="113">
    <w:p w14:paraId="0FB8093D" w14:textId="77777777" w:rsidR="000B4FC1" w:rsidRDefault="000B4FC1" w:rsidP="004D45F1">
      <w:pPr>
        <w:pStyle w:val="FootnoteText"/>
      </w:pPr>
      <w:r>
        <w:rPr>
          <w:rStyle w:val="FootnoteReference"/>
        </w:rPr>
        <w:footnoteRef/>
      </w:r>
      <w:r>
        <w:t xml:space="preserve"> </w:t>
      </w:r>
      <w:r>
        <w:rPr>
          <w:rFonts w:asciiTheme="minorHAnsi" w:hAnsiTheme="minorHAnsi" w:cstheme="minorHAnsi"/>
        </w:rPr>
        <w:t>Additional IT costs due to strengthening of data and security requirements are included under EC IT costs. These categories reflect maintenance costs</w:t>
      </w:r>
      <w:r>
        <w:rPr>
          <w:sz w:val="16"/>
          <w:szCs w:val="16"/>
        </w:rPr>
        <w:t>.</w:t>
      </w:r>
    </w:p>
  </w:footnote>
  <w:footnote w:id="114">
    <w:p w14:paraId="224714B2" w14:textId="77777777" w:rsidR="000B4FC1" w:rsidRDefault="000B4FC1" w:rsidP="004D45F1">
      <w:pPr>
        <w:pStyle w:val="FootnoteText"/>
        <w:rPr>
          <w:rFonts w:asciiTheme="minorHAnsi" w:hAnsiTheme="minorHAnsi" w:cstheme="minorHAnsi"/>
        </w:rPr>
      </w:pPr>
      <w:r>
        <w:rPr>
          <w:rStyle w:val="FootnoteReference"/>
          <w:sz w:val="16"/>
          <w:szCs w:val="16"/>
        </w:rPr>
        <w:footnoteRef/>
      </w:r>
      <w:r>
        <w:rPr>
          <w:sz w:val="16"/>
          <w:szCs w:val="16"/>
        </w:rPr>
        <w:t xml:space="preserve"> </w:t>
      </w:r>
      <w:r>
        <w:rPr>
          <w:rFonts w:asciiTheme="minorHAnsi" w:hAnsiTheme="minorHAnsi" w:cstheme="minorHAnsi"/>
        </w:rPr>
        <w:t>At the moment of drafting the existing Regulation, i.e. 2008</w:t>
      </w:r>
    </w:p>
  </w:footnote>
  <w:footnote w:id="115">
    <w:p w14:paraId="1BF1B899"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These critical uses are for fixed fire protection systems of (i) engine compartments on military ground vehicles, and (ii) normally unoccupied engine spaces on military surface ships. Alternatives are also available for the inerting of fuel tanks on aircraft and in lavatory waste receptacles, but remaining quantities used are very low for the latter two uses.</w:t>
      </w:r>
    </w:p>
  </w:footnote>
  <w:footnote w:id="116">
    <w:p w14:paraId="23438772"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Currently production of new halons is prohibited under the Protocol.</w:t>
      </w:r>
    </w:p>
  </w:footnote>
  <w:footnote w:id="117">
    <w:p w14:paraId="70AFED4A" w14:textId="77777777" w:rsidR="000B4FC1" w:rsidRDefault="000B4FC1" w:rsidP="004D45F1">
      <w:pPr>
        <w:pStyle w:val="FootnoteText"/>
        <w:rPr>
          <w:rFonts w:asciiTheme="minorHAnsi" w:hAnsiTheme="minorHAnsi" w:cstheme="minorHAnsi"/>
        </w:rPr>
      </w:pPr>
      <w:r>
        <w:rPr>
          <w:rStyle w:val="FootnoteReference"/>
          <w:sz w:val="16"/>
          <w:szCs w:val="16"/>
        </w:rPr>
        <w:footnoteRef/>
      </w:r>
      <w:r>
        <w:rPr>
          <w:sz w:val="16"/>
          <w:szCs w:val="16"/>
        </w:rPr>
        <w:t xml:space="preserve"> </w:t>
      </w:r>
      <w:r>
        <w:rPr>
          <w:rFonts w:asciiTheme="minorHAnsi" w:hAnsiTheme="minorHAnsi" w:cstheme="minorHAnsi"/>
        </w:rPr>
        <w:t>It is expected that not all equipment will be replaced at the last moment before the end date, i.e. emissions may reduce more quickly.</w:t>
      </w:r>
    </w:p>
  </w:footnote>
  <w:footnote w:id="118">
    <w:p w14:paraId="282F17A9" w14:textId="77777777" w:rsidR="000B4FC1" w:rsidRDefault="000B4FC1" w:rsidP="004D45F1">
      <w:pPr>
        <w:pStyle w:val="FootnoteText"/>
        <w:rPr>
          <w:rFonts w:asciiTheme="minorHAnsi" w:hAnsiTheme="minorHAnsi" w:cstheme="minorHAnsi"/>
        </w:rPr>
      </w:pPr>
      <w:r>
        <w:rPr>
          <w:rStyle w:val="FootnoteReference"/>
          <w:sz w:val="16"/>
          <w:szCs w:val="16"/>
        </w:rPr>
        <w:footnoteRef/>
      </w:r>
      <w:r>
        <w:rPr>
          <w:sz w:val="16"/>
          <w:szCs w:val="16"/>
        </w:rPr>
        <w:t xml:space="preserve"> </w:t>
      </w:r>
      <w:r>
        <w:rPr>
          <w:rFonts w:asciiTheme="minorHAnsi" w:hAnsiTheme="minorHAnsi" w:cstheme="minorHAnsi"/>
        </w:rPr>
        <w:t>tODP: tonnes ODP</w:t>
      </w:r>
    </w:p>
  </w:footnote>
  <w:footnote w:id="119">
    <w:p w14:paraId="31AB77E6"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Old cooling equipment such as refrigerators with ODS are practically not in use anymore. However, those already present in landfills and where the ODS was not removed and destroyed, also contribute to these emissions.</w:t>
      </w:r>
    </w:p>
  </w:footnote>
  <w:footnote w:id="120">
    <w:p w14:paraId="1A2393AA" w14:textId="77777777" w:rsidR="000B4FC1" w:rsidRDefault="000B4FC1" w:rsidP="004D45F1">
      <w:pPr>
        <w:pStyle w:val="FootnoteText"/>
        <w:rPr>
          <w:rFonts w:asciiTheme="minorHAnsi" w:hAnsiTheme="minorHAnsi" w:cstheme="minorHAnsi"/>
          <w:bCs/>
        </w:rPr>
      </w:pPr>
      <w:r>
        <w:rPr>
          <w:rStyle w:val="FootnoteReference"/>
          <w:rFonts w:asciiTheme="minorHAnsi" w:hAnsiTheme="minorHAnsi" w:cstheme="minorHAnsi"/>
        </w:rPr>
        <w:footnoteRef/>
      </w:r>
      <w:r>
        <w:rPr>
          <w:rFonts w:asciiTheme="minorHAnsi" w:hAnsiTheme="minorHAnsi" w:cstheme="minorHAnsi"/>
        </w:rPr>
        <w:t xml:space="preserve"> SKM Enviros (2012). </w:t>
      </w:r>
      <w:r>
        <w:rPr>
          <w:rFonts w:asciiTheme="minorHAnsi" w:hAnsiTheme="minorHAnsi" w:cstheme="minorHAnsi"/>
          <w:bCs/>
        </w:rPr>
        <w:t>Further Assessment of Policy Options for the Management and Destruction of Banks of ODS and F-Gases in the EU. https://ec.europa.eu/clima/sites/default/files/ozone/docs/ods_f-gas_destruction_report_2012_en.pdf</w:t>
      </w:r>
    </w:p>
  </w:footnote>
  <w:footnote w:id="121">
    <w:p w14:paraId="61E4A3D1" w14:textId="77777777" w:rsidR="000B4FC1" w:rsidRDefault="000B4FC1" w:rsidP="004D45F1">
      <w:pPr>
        <w:pStyle w:val="FootnoteText"/>
        <w:rPr>
          <w:sz w:val="16"/>
          <w:szCs w:val="16"/>
        </w:rPr>
      </w:pPr>
      <w:r>
        <w:rPr>
          <w:rStyle w:val="FootnoteReference"/>
          <w:rFonts w:asciiTheme="minorHAnsi" w:hAnsiTheme="minorHAnsi" w:cstheme="minorHAnsi"/>
        </w:rPr>
        <w:footnoteRef/>
      </w:r>
      <w:r>
        <w:rPr>
          <w:rFonts w:asciiTheme="minorHAnsi" w:hAnsiTheme="minorHAnsi" w:cstheme="minorHAnsi"/>
        </w:rPr>
        <w:t xml:space="preserve"> Most of the remainder will be a source of long-term emissions from landfills</w:t>
      </w:r>
      <w:r>
        <w:rPr>
          <w:sz w:val="16"/>
          <w:szCs w:val="16"/>
        </w:rPr>
        <w:t>.</w:t>
      </w:r>
    </w:p>
  </w:footnote>
  <w:footnote w:id="122">
    <w:p w14:paraId="1B6D7892" w14:textId="77777777" w:rsidR="000B4FC1" w:rsidRDefault="000B4FC1" w:rsidP="004D45F1">
      <w:pPr>
        <w:pStyle w:val="FootnoteText"/>
        <w:rPr>
          <w:rFonts w:ascii="Calibri" w:hAnsi="Calibri" w:cs="Calibri"/>
          <w:bCs/>
        </w:rPr>
      </w:pPr>
      <w:r>
        <w:rPr>
          <w:rStyle w:val="FootnoteReference"/>
        </w:rPr>
        <w:footnoteRef/>
      </w:r>
      <w:r>
        <w:t xml:space="preserve"> </w:t>
      </w:r>
      <w:r>
        <w:rPr>
          <w:rFonts w:ascii="Calibri" w:hAnsi="Calibri" w:cs="Calibri"/>
        </w:rPr>
        <w:t>IDEA et al. (2018) “</w:t>
      </w:r>
      <w:r>
        <w:rPr>
          <w:rFonts w:ascii="Calibri" w:hAnsi="Calibri" w:cs="Calibri"/>
          <w:bCs/>
        </w:rPr>
        <w:t>Development and implementation of initiatives fostering investment and innovation in construction and demolition waste recycling infrastructure”</w:t>
      </w:r>
    </w:p>
    <w:p w14:paraId="51B7453E" w14:textId="77777777" w:rsidR="000B4FC1" w:rsidRDefault="00C105BC" w:rsidP="004D45F1">
      <w:pPr>
        <w:pStyle w:val="FootnoteText"/>
      </w:pPr>
      <w:hyperlink r:id="rId6" w:history="1">
        <w:r w:rsidR="000B4FC1">
          <w:rPr>
            <w:rStyle w:val="Hyperlink"/>
            <w:rFonts w:ascii="Calibri" w:hAnsi="Calibri" w:cs="Calibri"/>
            <w:bCs/>
          </w:rPr>
          <w:t>https://ec.europa.eu/environment/document/download/099b6bff-d853-4061-a15c-58ade46cfe6b_en</w:t>
        </w:r>
      </w:hyperlink>
      <w:r w:rsidR="000B4FC1">
        <w:rPr>
          <w:rFonts w:ascii="Calibri" w:hAnsi="Calibri" w:cs="Calibri"/>
          <w:bCs/>
        </w:rPr>
        <w:t xml:space="preserve"> </w:t>
      </w:r>
    </w:p>
  </w:footnote>
  <w:footnote w:id="123">
    <w:p w14:paraId="7EE82AF2"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Interview with UK-based recycling facility owning several refrigerant plants refurbished for metal-faced panels, and expert knowledge from authors of SKM (2012)</w:t>
      </w:r>
    </w:p>
  </w:footnote>
  <w:footnote w:id="124">
    <w:p w14:paraId="2BC4746F"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Type of laminated boards easily demountable system primarily used for roofing insulation.</w:t>
      </w:r>
    </w:p>
  </w:footnote>
  <w:footnote w:id="125">
    <w:p w14:paraId="2AB39D2B"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Type of laminated boards that are introduced in empty cavities of existing panels mainly used for wall insulation</w:t>
      </w:r>
    </w:p>
  </w:footnote>
  <w:footnote w:id="126">
    <w:p w14:paraId="47A1421A"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eastAsia="Times New Roman" w:hAnsiTheme="minorHAnsi" w:cstheme="minorHAnsi"/>
          <w:lang w:eastAsia="en-GB"/>
        </w:rPr>
        <w:t xml:space="preserve">It is assumed that 10% content of blowing agent out of the total foam weight </w:t>
      </w:r>
      <w:sdt>
        <w:sdtPr>
          <w:rPr>
            <w:rFonts w:asciiTheme="minorHAnsi" w:eastAsia="Times New Roman" w:hAnsiTheme="minorHAnsi" w:cstheme="minorHAnsi"/>
            <w:lang w:eastAsia="en-GB"/>
          </w:rPr>
          <w:id w:val="1813047875"/>
          <w:citation/>
        </w:sdtPr>
        <w:sdtEndPr/>
        <w:sdtContent>
          <w:r>
            <w:rPr>
              <w:rFonts w:asciiTheme="minorHAnsi" w:eastAsia="Times New Roman" w:hAnsiTheme="minorHAnsi" w:cstheme="minorHAnsi"/>
              <w:lang w:eastAsia="en-GB"/>
            </w:rPr>
            <w:fldChar w:fldCharType="begin"/>
          </w:r>
          <w:r>
            <w:rPr>
              <w:rFonts w:asciiTheme="minorHAnsi" w:eastAsia="Times New Roman" w:hAnsiTheme="minorHAnsi" w:cstheme="minorHAnsi"/>
              <w:lang w:eastAsia="en-GB"/>
            </w:rPr>
            <w:instrText xml:space="preserve"> CITATION Ger12 \l 2057 </w:instrText>
          </w:r>
          <w:r>
            <w:rPr>
              <w:rFonts w:asciiTheme="minorHAnsi" w:eastAsia="Times New Roman" w:hAnsiTheme="minorHAnsi" w:cstheme="minorHAnsi"/>
              <w:lang w:eastAsia="en-GB"/>
            </w:rPr>
            <w:fldChar w:fldCharType="separate"/>
          </w:r>
          <w:r>
            <w:rPr>
              <w:rFonts w:asciiTheme="minorHAnsi" w:eastAsia="Times New Roman" w:hAnsiTheme="minorHAnsi" w:cstheme="minorHAnsi"/>
              <w:noProof/>
              <w:lang w:eastAsia="en-GB"/>
            </w:rPr>
            <w:t xml:space="preserve"> (German Federal Environmental Agency, 2012)</w:t>
          </w:r>
          <w:r>
            <w:rPr>
              <w:rFonts w:asciiTheme="minorHAnsi" w:eastAsia="Times New Roman" w:hAnsiTheme="minorHAnsi" w:cstheme="minorHAnsi"/>
              <w:lang w:eastAsia="en-GB"/>
            </w:rPr>
            <w:fldChar w:fldCharType="end"/>
          </w:r>
        </w:sdtContent>
      </w:sdt>
      <w:r>
        <w:rPr>
          <w:rFonts w:asciiTheme="minorHAnsi" w:eastAsia="Times New Roman" w:hAnsiTheme="minorHAnsi" w:cstheme="minorHAnsi"/>
          <w:lang w:eastAsia="en-GB"/>
        </w:rPr>
        <w:t xml:space="preserve"> excluding the metal cladding.</w:t>
      </w:r>
    </w:p>
  </w:footnote>
  <w:footnote w:id="127">
    <w:p w14:paraId="1071C43A" w14:textId="77777777" w:rsidR="000B4FC1" w:rsidRDefault="000B4FC1" w:rsidP="004D45F1">
      <w:pPr>
        <w:pStyle w:val="FootnoteText"/>
      </w:pPr>
      <w:r>
        <w:rPr>
          <w:rStyle w:val="FootnoteReference"/>
        </w:rPr>
        <w:footnoteRef/>
      </w:r>
      <w:r>
        <w:t xml:space="preserve"> </w:t>
      </w:r>
      <w:r>
        <w:rPr>
          <w:rFonts w:asciiTheme="minorHAnsi" w:hAnsiTheme="minorHAnsi" w:cstheme="minorHAnsi"/>
        </w:rPr>
        <w:t>Estimate obtained from interview with Insus Recycling</w:t>
      </w:r>
    </w:p>
  </w:footnote>
  <w:footnote w:id="128">
    <w:p w14:paraId="7781A44F"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 xml:space="preserve">Kameswari (2015). Construction and Demolition Waste Management - A Review. International Journal of Advanced Science and Technology, Vol 84. </w:t>
      </w:r>
    </w:p>
  </w:footnote>
  <w:footnote w:id="129">
    <w:p w14:paraId="4389503A" w14:textId="77777777" w:rsidR="000B4FC1" w:rsidRDefault="000B4FC1" w:rsidP="004D45F1">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Commission Regulation (EU) 2015/640 of 23 April 2015 on additional airworthiness specifications for a given type of operations and amending Regulation (EU) No 965/2012</w:t>
      </w:r>
    </w:p>
  </w:footnote>
  <w:footnote w:id="130">
    <w:p w14:paraId="05D79FB5"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Commission Implementing Regulation (EU) 2019/133 of 28 January 2019 amending Regulation (EU) 2015/640 as regards the introduction of new additional airworthiness specifications</w:t>
      </w:r>
    </w:p>
  </w:footnote>
  <w:footnote w:id="131">
    <w:p w14:paraId="3C16A60A" w14:textId="77777777" w:rsidR="000B4FC1" w:rsidRDefault="000B4FC1" w:rsidP="004D45F1">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Council Decision 1999/468/EC of 28 June 1999 laying down the procedures for the exercise of implementing powers conferred on the Commission</w:t>
      </w:r>
    </w:p>
  </w:footnote>
  <w:footnote w:id="132">
    <w:p w14:paraId="4BECABD1" w14:textId="77777777" w:rsidR="000B4FC1" w:rsidRDefault="000B4FC1" w:rsidP="004D45F1">
      <w:pPr>
        <w:pStyle w:val="FootnoteText"/>
      </w:pPr>
      <w:r>
        <w:rPr>
          <w:rStyle w:val="FootnoteReference"/>
          <w:rFonts w:asciiTheme="minorHAnsi" w:hAnsiTheme="minorHAnsi" w:cstheme="minorHAnsi"/>
        </w:rPr>
        <w:footnoteRef/>
      </w:r>
      <w:r>
        <w:rPr>
          <w:rFonts w:asciiTheme="minorHAnsi" w:hAnsiTheme="minorHAnsi" w:cstheme="minorHAnsi"/>
        </w:rPr>
        <w:t xml:space="preserve"> Regulation (EU) No 182/2011 of the European Parliament and of the Council of 16 February 2011 laying down the rules and general principles concerning mechanisms for control by Member States of the Commission’s exercise of implementing powers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6B5A9" w14:textId="77777777" w:rsidR="00C105BC" w:rsidRPr="00C105BC" w:rsidRDefault="00C105BC" w:rsidP="00C10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108BE" w14:textId="77777777" w:rsidR="00E7718E" w:rsidRDefault="00E771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F72CA" w14:textId="77777777" w:rsidR="00E7718E" w:rsidRDefault="00E771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0798" w14:textId="77777777" w:rsidR="00E7718E" w:rsidRDefault="00E771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4478" w14:textId="77777777" w:rsidR="00E7718E" w:rsidRDefault="00E771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A1B8" w14:textId="77777777" w:rsidR="00E7718E" w:rsidRDefault="00E771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20A69" w14:textId="77777777" w:rsidR="00E7718E" w:rsidRDefault="00E7718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22E09" w14:textId="77777777" w:rsidR="000B4FC1" w:rsidRDefault="000B4F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5D870" w14:textId="77777777" w:rsidR="000B4FC1" w:rsidRDefault="000B4F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AA970" w14:textId="77777777" w:rsidR="000B4FC1" w:rsidRDefault="000B4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9B58" w14:textId="77777777" w:rsidR="00C105BC" w:rsidRPr="00C105BC" w:rsidRDefault="00C105BC" w:rsidP="00C105B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08AD" w14:textId="77777777" w:rsidR="00C105BC" w:rsidRPr="00C105BC" w:rsidRDefault="00C105BC" w:rsidP="00C105B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B3DEF" w14:textId="77777777" w:rsidR="000B4FC1" w:rsidRDefault="000B4F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50A2B" w14:textId="77777777" w:rsidR="000B4FC1" w:rsidRDefault="000B4F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DF593" w14:textId="77777777" w:rsidR="000B4FC1" w:rsidRDefault="000B4F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4D53" w14:textId="77777777" w:rsidR="00E7718E" w:rsidRDefault="00E771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0979" w14:textId="77777777" w:rsidR="00E7718E" w:rsidRDefault="00E771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E494F" w14:textId="77777777" w:rsidR="00E7718E" w:rsidRDefault="00E77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1D5F"/>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67D0878"/>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CD1FB4"/>
    <w:multiLevelType w:val="hybridMultilevel"/>
    <w:tmpl w:val="F6A6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24647"/>
    <w:multiLevelType w:val="hybridMultilevel"/>
    <w:tmpl w:val="9A287EF6"/>
    <w:lvl w:ilvl="0" w:tplc="11B0D35C">
      <w:start w:val="1"/>
      <w:numFmt w:val="bullet"/>
      <w:lvlText w:val="•"/>
      <w:lvlJc w:val="left"/>
      <w:pPr>
        <w:ind w:left="1146" w:hanging="360"/>
      </w:pPr>
      <w:rPr>
        <w:rFonts w:ascii="Times New Roman" w:hAnsi="Times New Roman" w:cs="Times New Roman"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 w15:restartNumberingAfterBreak="0">
    <w:nsid w:val="0EA3450D"/>
    <w:multiLevelType w:val="hybridMultilevel"/>
    <w:tmpl w:val="6FBC1636"/>
    <w:lvl w:ilvl="0" w:tplc="B9EC28C4">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FD752D5"/>
    <w:multiLevelType w:val="hybridMultilevel"/>
    <w:tmpl w:val="0BE82512"/>
    <w:lvl w:ilvl="0" w:tplc="8FA05846">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A53CEA"/>
    <w:multiLevelType w:val="multilevel"/>
    <w:tmpl w:val="508EEA08"/>
    <w:lvl w:ilvl="0">
      <w:start w:val="2"/>
      <w:numFmt w:val="upperLetter"/>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195256E"/>
    <w:multiLevelType w:val="multilevel"/>
    <w:tmpl w:val="5CD83868"/>
    <w:lvl w:ilvl="0">
      <w:start w:val="1"/>
      <w:numFmt w:val="upperLetter"/>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2074B40"/>
    <w:multiLevelType w:val="hybridMultilevel"/>
    <w:tmpl w:val="A992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D0196"/>
    <w:multiLevelType w:val="hybridMultilevel"/>
    <w:tmpl w:val="F054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272E0"/>
    <w:multiLevelType w:val="hybridMultilevel"/>
    <w:tmpl w:val="261E951C"/>
    <w:lvl w:ilvl="0" w:tplc="355A40EC">
      <w:start w:val="1"/>
      <w:numFmt w:val="lowerRoman"/>
      <w:lvlText w:val="(%1)"/>
      <w:lvlJc w:val="righ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18081C11"/>
    <w:multiLevelType w:val="hybridMultilevel"/>
    <w:tmpl w:val="40FA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AE768A"/>
    <w:multiLevelType w:val="hybridMultilevel"/>
    <w:tmpl w:val="968A9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734306"/>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CF0DED"/>
    <w:multiLevelType w:val="hybridMultilevel"/>
    <w:tmpl w:val="68785F2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1D4802"/>
    <w:multiLevelType w:val="hybridMultilevel"/>
    <w:tmpl w:val="82240C2A"/>
    <w:lvl w:ilvl="0" w:tplc="8FB0C2EE">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8DA5B41"/>
    <w:multiLevelType w:val="hybridMultilevel"/>
    <w:tmpl w:val="4604942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2B42AA"/>
    <w:multiLevelType w:val="multilevel"/>
    <w:tmpl w:val="779C3176"/>
    <w:lvl w:ilvl="0">
      <w:start w:val="1"/>
      <w:numFmt w:val="upperLetter"/>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0A382F"/>
    <w:multiLevelType w:val="hybridMultilevel"/>
    <w:tmpl w:val="84BA7976"/>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1B81939"/>
    <w:multiLevelType w:val="hybridMultilevel"/>
    <w:tmpl w:val="745C4B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9F5FB7"/>
    <w:multiLevelType w:val="hybridMultilevel"/>
    <w:tmpl w:val="210A07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65924CD"/>
    <w:multiLevelType w:val="hybridMultilevel"/>
    <w:tmpl w:val="293A0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72F3626"/>
    <w:multiLevelType w:val="hybridMultilevel"/>
    <w:tmpl w:val="23B670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A0D8A"/>
    <w:multiLevelType w:val="hybridMultilevel"/>
    <w:tmpl w:val="25B88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BB302CB"/>
    <w:multiLevelType w:val="multilevel"/>
    <w:tmpl w:val="00AE5D80"/>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004"/>
        </w:tabs>
        <w:ind w:left="1004"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9E4003"/>
    <w:multiLevelType w:val="hybridMultilevel"/>
    <w:tmpl w:val="BB36B32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15:restartNumberingAfterBreak="0">
    <w:nsid w:val="4C3A1443"/>
    <w:multiLevelType w:val="hybridMultilevel"/>
    <w:tmpl w:val="305C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A3829"/>
    <w:multiLevelType w:val="hybridMultilevel"/>
    <w:tmpl w:val="A79EC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02F71E9"/>
    <w:multiLevelType w:val="multilevel"/>
    <w:tmpl w:val="6C2899E0"/>
    <w:lvl w:ilvl="0">
      <w:start w:val="1"/>
      <w:numFmt w:val="upperLetter"/>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1962988"/>
    <w:multiLevelType w:val="hybridMultilevel"/>
    <w:tmpl w:val="68785F2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43E260F"/>
    <w:multiLevelType w:val="hybridMultilevel"/>
    <w:tmpl w:val="6C90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5289C"/>
    <w:multiLevelType w:val="hybridMultilevel"/>
    <w:tmpl w:val="3CA047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4" w15:restartNumberingAfterBreak="0">
    <w:nsid w:val="5A9013D4"/>
    <w:multiLevelType w:val="hybridMultilevel"/>
    <w:tmpl w:val="DCCE7A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5B523073"/>
    <w:multiLevelType w:val="multilevel"/>
    <w:tmpl w:val="C98A354A"/>
    <w:lvl w:ilvl="0">
      <w:start w:val="1"/>
      <w:numFmt w:val="decimal"/>
      <w:pStyle w:val="AppendixHeadingLevel1"/>
      <w:lvlText w:val="A%1"/>
      <w:lvlJc w:val="left"/>
      <w:pPr>
        <w:tabs>
          <w:tab w:val="num" w:pos="851"/>
        </w:tabs>
        <w:ind w:left="851" w:hanging="851"/>
      </w:pPr>
      <w:rPr>
        <w:rFonts w:hint="default"/>
      </w:rPr>
    </w:lvl>
    <w:lvl w:ilvl="1">
      <w:start w:val="1"/>
      <w:numFmt w:val="decimal"/>
      <w:pStyle w:val="AppendixHeadingLevel2"/>
      <w:lvlText w:val="A%1.%2"/>
      <w:lvlJc w:val="left"/>
      <w:pPr>
        <w:tabs>
          <w:tab w:val="num" w:pos="851"/>
        </w:tabs>
        <w:ind w:left="851" w:hanging="851"/>
      </w:pPr>
      <w:rPr>
        <w:rFonts w:hint="default"/>
      </w:rPr>
    </w:lvl>
    <w:lvl w:ilvl="2">
      <w:start w:val="1"/>
      <w:numFmt w:val="decimal"/>
      <w:pStyle w:val="AppendixHeadingLevel3"/>
      <w:lvlText w:val="A%1.%2.%3"/>
      <w:lvlJc w:val="left"/>
      <w:pPr>
        <w:tabs>
          <w:tab w:val="num" w:pos="851"/>
        </w:tabs>
        <w:ind w:left="851" w:hanging="851"/>
      </w:pPr>
      <w:rPr>
        <w:rFonts w:hint="default"/>
      </w:rPr>
    </w:lvl>
    <w:lvl w:ilvl="3">
      <w:start w:val="1"/>
      <w:numFmt w:val="decimal"/>
      <w:pStyle w:val="AppendixHeadingLevel4"/>
      <w:lvlText w:val="A%1.%2.%3.%4"/>
      <w:lvlJc w:val="left"/>
      <w:pPr>
        <w:ind w:left="851" w:hanging="851"/>
      </w:pPr>
      <w:rPr>
        <w:rFonts w:hint="default"/>
      </w:rPr>
    </w:lvl>
    <w:lvl w:ilvl="4">
      <w:start w:val="1"/>
      <w:numFmt w:val="decimal"/>
      <w:pStyle w:val="AppendixHeadingLevel5"/>
      <w:lvlText w:val="A%1.%2.%3.%4.%5"/>
      <w:lvlJc w:val="left"/>
      <w:pPr>
        <w:ind w:left="992"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B923649"/>
    <w:multiLevelType w:val="hybridMultilevel"/>
    <w:tmpl w:val="B26A3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5E00C39"/>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6BE5A57"/>
    <w:multiLevelType w:val="hybridMultilevel"/>
    <w:tmpl w:val="2F066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806E73"/>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0245F2F"/>
    <w:multiLevelType w:val="hybridMultilevel"/>
    <w:tmpl w:val="AF305548"/>
    <w:lvl w:ilvl="0" w:tplc="11B0D35C">
      <w:start w:val="1"/>
      <w:numFmt w:val="bullet"/>
      <w:lvlText w:val="•"/>
      <w:lvlJc w:val="left"/>
      <w:pPr>
        <w:tabs>
          <w:tab w:val="num" w:pos="720"/>
        </w:tabs>
        <w:ind w:left="720" w:hanging="360"/>
      </w:pPr>
      <w:rPr>
        <w:rFonts w:ascii="Times New Roman" w:hAnsi="Times New Roman" w:cs="Times New Roman" w:hint="default"/>
      </w:rPr>
    </w:lvl>
    <w:lvl w:ilvl="1" w:tplc="F7200ED8">
      <w:start w:val="1"/>
      <w:numFmt w:val="bullet"/>
      <w:lvlText w:val="•"/>
      <w:lvlJc w:val="left"/>
      <w:pPr>
        <w:tabs>
          <w:tab w:val="num" w:pos="1440"/>
        </w:tabs>
        <w:ind w:left="1440" w:hanging="360"/>
      </w:pPr>
      <w:rPr>
        <w:rFonts w:ascii="Times New Roman" w:hAnsi="Times New Roman" w:cs="Times New Roman" w:hint="default"/>
      </w:rPr>
    </w:lvl>
    <w:lvl w:ilvl="2" w:tplc="DE1C65E6">
      <w:start w:val="1"/>
      <w:numFmt w:val="bullet"/>
      <w:lvlText w:val="•"/>
      <w:lvlJc w:val="left"/>
      <w:pPr>
        <w:tabs>
          <w:tab w:val="num" w:pos="2160"/>
        </w:tabs>
        <w:ind w:left="2160" w:hanging="360"/>
      </w:pPr>
      <w:rPr>
        <w:rFonts w:ascii="Times New Roman" w:hAnsi="Times New Roman" w:cs="Times New Roman" w:hint="default"/>
      </w:rPr>
    </w:lvl>
    <w:lvl w:ilvl="3" w:tplc="983CA00A">
      <w:start w:val="1"/>
      <w:numFmt w:val="bullet"/>
      <w:lvlText w:val="•"/>
      <w:lvlJc w:val="left"/>
      <w:pPr>
        <w:tabs>
          <w:tab w:val="num" w:pos="2880"/>
        </w:tabs>
        <w:ind w:left="2880" w:hanging="360"/>
      </w:pPr>
      <w:rPr>
        <w:rFonts w:ascii="Times New Roman" w:hAnsi="Times New Roman" w:cs="Times New Roman" w:hint="default"/>
      </w:rPr>
    </w:lvl>
    <w:lvl w:ilvl="4" w:tplc="17487F5A">
      <w:start w:val="1"/>
      <w:numFmt w:val="bullet"/>
      <w:lvlText w:val="•"/>
      <w:lvlJc w:val="left"/>
      <w:pPr>
        <w:tabs>
          <w:tab w:val="num" w:pos="3600"/>
        </w:tabs>
        <w:ind w:left="3600" w:hanging="360"/>
      </w:pPr>
      <w:rPr>
        <w:rFonts w:ascii="Times New Roman" w:hAnsi="Times New Roman" w:cs="Times New Roman" w:hint="default"/>
      </w:rPr>
    </w:lvl>
    <w:lvl w:ilvl="5" w:tplc="450C3124">
      <w:start w:val="1"/>
      <w:numFmt w:val="bullet"/>
      <w:lvlText w:val="•"/>
      <w:lvlJc w:val="left"/>
      <w:pPr>
        <w:tabs>
          <w:tab w:val="num" w:pos="4320"/>
        </w:tabs>
        <w:ind w:left="4320" w:hanging="360"/>
      </w:pPr>
      <w:rPr>
        <w:rFonts w:ascii="Times New Roman" w:hAnsi="Times New Roman" w:cs="Times New Roman" w:hint="default"/>
      </w:rPr>
    </w:lvl>
    <w:lvl w:ilvl="6" w:tplc="7D082F06">
      <w:start w:val="1"/>
      <w:numFmt w:val="bullet"/>
      <w:lvlText w:val="•"/>
      <w:lvlJc w:val="left"/>
      <w:pPr>
        <w:tabs>
          <w:tab w:val="num" w:pos="5040"/>
        </w:tabs>
        <w:ind w:left="5040" w:hanging="360"/>
      </w:pPr>
      <w:rPr>
        <w:rFonts w:ascii="Times New Roman" w:hAnsi="Times New Roman" w:cs="Times New Roman" w:hint="default"/>
      </w:rPr>
    </w:lvl>
    <w:lvl w:ilvl="7" w:tplc="82D0E15A">
      <w:start w:val="1"/>
      <w:numFmt w:val="bullet"/>
      <w:lvlText w:val="•"/>
      <w:lvlJc w:val="left"/>
      <w:pPr>
        <w:tabs>
          <w:tab w:val="num" w:pos="5760"/>
        </w:tabs>
        <w:ind w:left="5760" w:hanging="360"/>
      </w:pPr>
      <w:rPr>
        <w:rFonts w:ascii="Times New Roman" w:hAnsi="Times New Roman" w:cs="Times New Roman" w:hint="default"/>
      </w:rPr>
    </w:lvl>
    <w:lvl w:ilvl="8" w:tplc="F274EF34">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72CF321C"/>
    <w:multiLevelType w:val="hybridMultilevel"/>
    <w:tmpl w:val="108C2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5F1799A"/>
    <w:multiLevelType w:val="hybridMultilevel"/>
    <w:tmpl w:val="9AD2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6623A"/>
    <w:multiLevelType w:val="hybridMultilevel"/>
    <w:tmpl w:val="1690F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2C0282"/>
    <w:multiLevelType w:val="multilevel"/>
    <w:tmpl w:val="2E806222"/>
    <w:lvl w:ilvl="0">
      <w:start w:val="2"/>
      <w:numFmt w:val="upperLetter"/>
      <w:lvlText w:val="%1."/>
      <w:lvlJc w:val="left"/>
      <w:pPr>
        <w:ind w:left="360" w:hanging="360"/>
      </w:pPr>
    </w:lvl>
    <w:lvl w:ilvl="1">
      <w:start w:val="2"/>
      <w:numFmt w:val="decimal"/>
      <w:isLgl/>
      <w:lvlText w:val="%1.%2"/>
      <w:lvlJc w:val="left"/>
      <w:pPr>
        <w:ind w:left="1364" w:hanging="360"/>
      </w:pPr>
    </w:lvl>
    <w:lvl w:ilvl="2">
      <w:start w:val="1"/>
      <w:numFmt w:val="decimal"/>
      <w:isLgl/>
      <w:lvlText w:val="%1.%2.%3"/>
      <w:lvlJc w:val="left"/>
      <w:pPr>
        <w:ind w:left="2728" w:hanging="720"/>
      </w:pPr>
    </w:lvl>
    <w:lvl w:ilvl="3">
      <w:start w:val="1"/>
      <w:numFmt w:val="decimal"/>
      <w:isLgl/>
      <w:lvlText w:val="%1.%2.%3.%4"/>
      <w:lvlJc w:val="left"/>
      <w:pPr>
        <w:ind w:left="3732" w:hanging="720"/>
      </w:pPr>
    </w:lvl>
    <w:lvl w:ilvl="4">
      <w:start w:val="1"/>
      <w:numFmt w:val="decimal"/>
      <w:isLgl/>
      <w:lvlText w:val="%1.%2.%3.%4.%5"/>
      <w:lvlJc w:val="left"/>
      <w:pPr>
        <w:ind w:left="5096" w:hanging="1080"/>
      </w:pPr>
    </w:lvl>
    <w:lvl w:ilvl="5">
      <w:start w:val="1"/>
      <w:numFmt w:val="decimal"/>
      <w:isLgl/>
      <w:lvlText w:val="%1.%2.%3.%4.%5.%6"/>
      <w:lvlJc w:val="left"/>
      <w:pPr>
        <w:ind w:left="6100" w:hanging="1080"/>
      </w:pPr>
    </w:lvl>
    <w:lvl w:ilvl="6">
      <w:start w:val="1"/>
      <w:numFmt w:val="decimal"/>
      <w:isLgl/>
      <w:lvlText w:val="%1.%2.%3.%4.%5.%6.%7"/>
      <w:lvlJc w:val="left"/>
      <w:pPr>
        <w:ind w:left="7464" w:hanging="1440"/>
      </w:pPr>
    </w:lvl>
    <w:lvl w:ilvl="7">
      <w:start w:val="1"/>
      <w:numFmt w:val="decimal"/>
      <w:isLgl/>
      <w:lvlText w:val="%1.%2.%3.%4.%5.%6.%7.%8"/>
      <w:lvlJc w:val="left"/>
      <w:pPr>
        <w:ind w:left="8468" w:hanging="1440"/>
      </w:pPr>
    </w:lvl>
    <w:lvl w:ilvl="8">
      <w:start w:val="1"/>
      <w:numFmt w:val="decimal"/>
      <w:isLgl/>
      <w:lvlText w:val="%1.%2.%3.%4.%5.%6.%7.%8.%9"/>
      <w:lvlJc w:val="left"/>
      <w:pPr>
        <w:ind w:left="9832" w:hanging="1800"/>
      </w:pPr>
    </w:lvl>
  </w:abstractNum>
  <w:abstractNum w:abstractNumId="45" w15:restartNumberingAfterBreak="0">
    <w:nsid w:val="78D8597F"/>
    <w:multiLevelType w:val="hybridMultilevel"/>
    <w:tmpl w:val="9E42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959"/>
    <w:multiLevelType w:val="hybridMultilevel"/>
    <w:tmpl w:val="E22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B30475"/>
    <w:multiLevelType w:val="hybridMultilevel"/>
    <w:tmpl w:val="34308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32"/>
  </w:num>
  <w:num w:numId="4">
    <w:abstractNumId w:val="23"/>
  </w:num>
  <w:num w:numId="5">
    <w:abstractNumId w:val="45"/>
  </w:num>
  <w:num w:numId="6">
    <w:abstractNumId w:val="16"/>
  </w:num>
  <w:num w:numId="7">
    <w:abstractNumId w:val="42"/>
  </w:num>
  <w:num w:numId="8">
    <w:abstractNumId w:val="35"/>
  </w:num>
  <w:num w:numId="9">
    <w:abstractNumId w:val="28"/>
  </w:num>
  <w:num w:numId="10">
    <w:abstractNumId w:val="25"/>
  </w:num>
  <w:num w:numId="11">
    <w:abstractNumId w:val="39"/>
  </w:num>
  <w:num w:numId="12">
    <w:abstractNumId w:val="1"/>
  </w:num>
  <w:num w:numId="13">
    <w:abstractNumId w:val="37"/>
  </w:num>
  <w:num w:numId="14">
    <w:abstractNumId w:val="0"/>
  </w:num>
  <w:num w:numId="15">
    <w:abstractNumId w:val="20"/>
  </w:num>
  <w:num w:numId="16">
    <w:abstractNumId w:val="8"/>
  </w:num>
  <w:num w:numId="17">
    <w:abstractNumId w:val="11"/>
  </w:num>
  <w:num w:numId="18">
    <w:abstractNumId w:val="46"/>
  </w:num>
  <w:num w:numId="19">
    <w:abstractNumId w:val="38"/>
  </w:num>
  <w:num w:numId="20">
    <w:abstractNumId w:val="2"/>
  </w:num>
  <w:num w:numId="2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12"/>
  </w:num>
  <w:num w:numId="33">
    <w:abstractNumId w:val="43"/>
  </w:num>
  <w:num w:numId="3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lvlOverride w:ilvl="2"/>
    <w:lvlOverride w:ilvl="3"/>
    <w:lvlOverride w:ilvl="4"/>
    <w:lvlOverride w:ilvl="5"/>
    <w:lvlOverride w:ilvl="6"/>
    <w:lvlOverride w:ilvl="7"/>
    <w:lvlOverride w:ilvl="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4"/>
    <w:lvlOverride w:ilvl="0">
      <w:startOverride w:val="1"/>
    </w:lvlOverride>
    <w:lvlOverride w:ilvl="1"/>
    <w:lvlOverride w:ilvl="2"/>
    <w:lvlOverride w:ilvl="3"/>
    <w:lvlOverride w:ilvl="4"/>
    <w:lvlOverride w:ilvl="5"/>
    <w:lvlOverride w:ilvl="6"/>
    <w:lvlOverride w:ilvl="7"/>
    <w:lvlOverride w:ilvl="8"/>
  </w:num>
  <w:num w:numId="40">
    <w:abstractNumId w:val="34"/>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40"/>
  </w:num>
  <w:num w:numId="46">
    <w:abstractNumId w:val="5"/>
  </w:num>
  <w:num w:numId="47">
    <w:abstractNumId w:val="29"/>
  </w:num>
  <w:num w:numId="48">
    <w:abstractNumId w:val="17"/>
  </w:num>
  <w:num w:numId="49">
    <w:abstractNumId w:val="4"/>
  </w:num>
  <w:num w:numId="50">
    <w:abstractNumId w:val="30"/>
  </w:num>
  <w:num w:numId="51">
    <w:abstractNumId w:val="18"/>
  </w:num>
  <w:num w:numId="52">
    <w:abstractNumId w:val="19"/>
  </w:num>
  <w:num w:numId="53">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fr-BE" w:vendorID="64" w:dllVersion="6" w:nlCheck="1" w:checkStyle="0"/>
  <w:activeWritingStyle w:appName="MSWord" w:lang="en-IE" w:vendorID="64" w:dllVersion="6" w:nlCheck="1" w:checkStyle="1"/>
  <w:activeWritingStyle w:appName="MSWord" w:lang="en-US" w:vendorID="64" w:dllVersion="6" w:nlCheck="1" w:checkStyle="1"/>
  <w:activeWritingStyle w:appName="MSWord" w:lang="da-DK" w:vendorID="64" w:dllVersion="6" w:nlCheck="1" w:checkStyle="0"/>
  <w:activeWritingStyle w:appName="MSWord" w:lang="es-ES" w:vendorID="64" w:dllVersion="6" w:nlCheck="1" w:checkStyle="0"/>
  <w:activeWritingStyle w:appName="MSWord" w:lang="nl-NL" w:vendorID="64" w:dllVersion="6" w:nlCheck="1" w:checkStyle="0"/>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fr-BE" w:vendorID="64" w:dllVersion="0" w:nlCheck="1" w:checkStyle="0"/>
  <w:activeWritingStyle w:appName="MSWord" w:lang="en-IE" w:vendorID="64" w:dllVersion="0" w:nlCheck="1" w:checkStyle="0"/>
  <w:activeWritingStyle w:appName="MSWord" w:lang="pt-P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n-US" w:vendorID="64" w:dllVersion="131078" w:nlCheck="1" w:checkStyle="1"/>
  <w:activeWritingStyle w:appName="MSWord" w:lang="de-DE" w:vendorID="64" w:dllVersion="131078" w:nlCheck="1" w:checkStyle="0"/>
  <w:revisionView w:markup="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55F228A-9CB5-44E1-AAD5-CEBE8C033C18"/>
    <w:docVar w:name="LW_COVERPAGE_TYPE" w:val="1"/>
    <w:docVar w:name="LW_CROSSREFERENCE" w:val="{COM(2022) 151 final} - {SEC(2022) 157 final} - {SWD(2022) 98 final} - {SWD(2022) 100 final}"/>
    <w:docVar w:name="LW_DocType" w:val="NORMAL"/>
    <w:docVar w:name="LW_EMISSION" w:val="5.4.2022"/>
    <w:docVar w:name="LW_EMISSION_ISODATE" w:val="2022-04-05"/>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substances that deplete the ozone layer and repealing Regulation (EC) No 1005/2009"/>
    <w:docVar w:name="LW_PART_NBR" w:val="1"/>
    <w:docVar w:name="LW_PART_NBR_TOTAL" w:val="1"/>
    <w:docVar w:name="LW_REF.INST.NEW" w:val="SWD"/>
    <w:docVar w:name="LW_REF.INST.NEW_ADOPTED" w:val="final"/>
    <w:docVar w:name="LW_REF.INST.NEW_TEXT" w:val="(2022) 9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_x000b__x000b_REGULATION OF THE EUROPEAN PARLIAMENT AND OF THE COUNCIL"/>
    <w:docVar w:name="LwApiVersions" w:val="LW4CoDe 1.23.2.0; LW 8.0, Build 20211117"/>
  </w:docVars>
  <w:rsids>
    <w:rsidRoot w:val="006B087E"/>
    <w:rsid w:val="00002B14"/>
    <w:rsid w:val="0000711B"/>
    <w:rsid w:val="000106AB"/>
    <w:rsid w:val="0001272A"/>
    <w:rsid w:val="00013484"/>
    <w:rsid w:val="000175E4"/>
    <w:rsid w:val="000203D2"/>
    <w:rsid w:val="00021B71"/>
    <w:rsid w:val="00030F53"/>
    <w:rsid w:val="0003201E"/>
    <w:rsid w:val="000349E9"/>
    <w:rsid w:val="00036669"/>
    <w:rsid w:val="00037A6E"/>
    <w:rsid w:val="00041B51"/>
    <w:rsid w:val="000420ED"/>
    <w:rsid w:val="0004225B"/>
    <w:rsid w:val="000431A7"/>
    <w:rsid w:val="00045261"/>
    <w:rsid w:val="0004739A"/>
    <w:rsid w:val="00047B05"/>
    <w:rsid w:val="000535C5"/>
    <w:rsid w:val="0005540C"/>
    <w:rsid w:val="00055EFF"/>
    <w:rsid w:val="00057109"/>
    <w:rsid w:val="00060F0F"/>
    <w:rsid w:val="00062DE2"/>
    <w:rsid w:val="00064320"/>
    <w:rsid w:val="00066D76"/>
    <w:rsid w:val="0007183B"/>
    <w:rsid w:val="00073028"/>
    <w:rsid w:val="00077917"/>
    <w:rsid w:val="000810F6"/>
    <w:rsid w:val="00081F0F"/>
    <w:rsid w:val="00082BE1"/>
    <w:rsid w:val="0008591F"/>
    <w:rsid w:val="00086935"/>
    <w:rsid w:val="000873B6"/>
    <w:rsid w:val="00090059"/>
    <w:rsid w:val="00090294"/>
    <w:rsid w:val="00090A11"/>
    <w:rsid w:val="00092EFF"/>
    <w:rsid w:val="00093247"/>
    <w:rsid w:val="000944C3"/>
    <w:rsid w:val="0009513C"/>
    <w:rsid w:val="00095195"/>
    <w:rsid w:val="0009611E"/>
    <w:rsid w:val="00097879"/>
    <w:rsid w:val="000A224C"/>
    <w:rsid w:val="000A2CF3"/>
    <w:rsid w:val="000A672E"/>
    <w:rsid w:val="000A7792"/>
    <w:rsid w:val="000A78F7"/>
    <w:rsid w:val="000B093B"/>
    <w:rsid w:val="000B1778"/>
    <w:rsid w:val="000B1FB4"/>
    <w:rsid w:val="000B2259"/>
    <w:rsid w:val="000B2418"/>
    <w:rsid w:val="000B4F54"/>
    <w:rsid w:val="000B4FC1"/>
    <w:rsid w:val="000B78DF"/>
    <w:rsid w:val="000C06A2"/>
    <w:rsid w:val="000C202F"/>
    <w:rsid w:val="000C30E0"/>
    <w:rsid w:val="000C3218"/>
    <w:rsid w:val="000C4A06"/>
    <w:rsid w:val="000C4C3F"/>
    <w:rsid w:val="000C5463"/>
    <w:rsid w:val="000C6888"/>
    <w:rsid w:val="000D03FE"/>
    <w:rsid w:val="000D061A"/>
    <w:rsid w:val="000D1FBD"/>
    <w:rsid w:val="000D2061"/>
    <w:rsid w:val="000D5CD1"/>
    <w:rsid w:val="000D7013"/>
    <w:rsid w:val="000D77CA"/>
    <w:rsid w:val="000D7EFE"/>
    <w:rsid w:val="000E0D3B"/>
    <w:rsid w:val="000E0D59"/>
    <w:rsid w:val="000E2A4C"/>
    <w:rsid w:val="000E340C"/>
    <w:rsid w:val="000E342F"/>
    <w:rsid w:val="000E3882"/>
    <w:rsid w:val="000E437C"/>
    <w:rsid w:val="000E5828"/>
    <w:rsid w:val="000E5F5D"/>
    <w:rsid w:val="000F030F"/>
    <w:rsid w:val="000F032C"/>
    <w:rsid w:val="000F2EE6"/>
    <w:rsid w:val="000F6A3A"/>
    <w:rsid w:val="000F7B12"/>
    <w:rsid w:val="00100626"/>
    <w:rsid w:val="00101625"/>
    <w:rsid w:val="001017B5"/>
    <w:rsid w:val="001017F3"/>
    <w:rsid w:val="00101E75"/>
    <w:rsid w:val="00102137"/>
    <w:rsid w:val="001026CD"/>
    <w:rsid w:val="001032E6"/>
    <w:rsid w:val="00103ABA"/>
    <w:rsid w:val="00105C78"/>
    <w:rsid w:val="00110EBA"/>
    <w:rsid w:val="001123B8"/>
    <w:rsid w:val="0011638D"/>
    <w:rsid w:val="00116549"/>
    <w:rsid w:val="00116F84"/>
    <w:rsid w:val="0011726A"/>
    <w:rsid w:val="001212AA"/>
    <w:rsid w:val="0012318D"/>
    <w:rsid w:val="00123E7C"/>
    <w:rsid w:val="00124E06"/>
    <w:rsid w:val="00124EE6"/>
    <w:rsid w:val="00125157"/>
    <w:rsid w:val="00125B96"/>
    <w:rsid w:val="00125D59"/>
    <w:rsid w:val="00127240"/>
    <w:rsid w:val="001277DA"/>
    <w:rsid w:val="0013653E"/>
    <w:rsid w:val="001376F2"/>
    <w:rsid w:val="001377B4"/>
    <w:rsid w:val="00140CAE"/>
    <w:rsid w:val="0014141E"/>
    <w:rsid w:val="001424C7"/>
    <w:rsid w:val="001437AF"/>
    <w:rsid w:val="00147DEF"/>
    <w:rsid w:val="00151E3F"/>
    <w:rsid w:val="00152E5E"/>
    <w:rsid w:val="0015363C"/>
    <w:rsid w:val="00156A5F"/>
    <w:rsid w:val="00157289"/>
    <w:rsid w:val="00157ECB"/>
    <w:rsid w:val="00163EEF"/>
    <w:rsid w:val="00165601"/>
    <w:rsid w:val="00172141"/>
    <w:rsid w:val="0017248D"/>
    <w:rsid w:val="00173BDB"/>
    <w:rsid w:val="00173E94"/>
    <w:rsid w:val="0017591E"/>
    <w:rsid w:val="00175BDD"/>
    <w:rsid w:val="00175FD4"/>
    <w:rsid w:val="001800D1"/>
    <w:rsid w:val="00181C3E"/>
    <w:rsid w:val="001835DF"/>
    <w:rsid w:val="00184168"/>
    <w:rsid w:val="00185C99"/>
    <w:rsid w:val="00193576"/>
    <w:rsid w:val="00195032"/>
    <w:rsid w:val="001957DE"/>
    <w:rsid w:val="0019641D"/>
    <w:rsid w:val="001A019F"/>
    <w:rsid w:val="001A2F90"/>
    <w:rsid w:val="001A363B"/>
    <w:rsid w:val="001A6AE6"/>
    <w:rsid w:val="001B1F70"/>
    <w:rsid w:val="001B4893"/>
    <w:rsid w:val="001B56BF"/>
    <w:rsid w:val="001C06A0"/>
    <w:rsid w:val="001C2A35"/>
    <w:rsid w:val="001C5386"/>
    <w:rsid w:val="001C5ED8"/>
    <w:rsid w:val="001C718D"/>
    <w:rsid w:val="001C7627"/>
    <w:rsid w:val="001D0A32"/>
    <w:rsid w:val="001D22CD"/>
    <w:rsid w:val="001D2CE8"/>
    <w:rsid w:val="001D2F32"/>
    <w:rsid w:val="001D408A"/>
    <w:rsid w:val="001D5A0B"/>
    <w:rsid w:val="001D5B6C"/>
    <w:rsid w:val="001D619A"/>
    <w:rsid w:val="001D68A6"/>
    <w:rsid w:val="001D6CA1"/>
    <w:rsid w:val="001D728B"/>
    <w:rsid w:val="001D7A67"/>
    <w:rsid w:val="001E2EA0"/>
    <w:rsid w:val="001E58CE"/>
    <w:rsid w:val="001E6E44"/>
    <w:rsid w:val="001E754E"/>
    <w:rsid w:val="001F16C3"/>
    <w:rsid w:val="001F17E2"/>
    <w:rsid w:val="001F29FB"/>
    <w:rsid w:val="001F2E2E"/>
    <w:rsid w:val="001F33CC"/>
    <w:rsid w:val="001F6AEC"/>
    <w:rsid w:val="00202AD3"/>
    <w:rsid w:val="002048A3"/>
    <w:rsid w:val="0021084A"/>
    <w:rsid w:val="00212D0E"/>
    <w:rsid w:val="00212D3A"/>
    <w:rsid w:val="00212FC0"/>
    <w:rsid w:val="00215791"/>
    <w:rsid w:val="002178EB"/>
    <w:rsid w:val="00217A29"/>
    <w:rsid w:val="002230EF"/>
    <w:rsid w:val="00226745"/>
    <w:rsid w:val="002301A8"/>
    <w:rsid w:val="00231173"/>
    <w:rsid w:val="00233958"/>
    <w:rsid w:val="00233BC1"/>
    <w:rsid w:val="00233D96"/>
    <w:rsid w:val="00233F24"/>
    <w:rsid w:val="00235A6D"/>
    <w:rsid w:val="00236B8F"/>
    <w:rsid w:val="002405F7"/>
    <w:rsid w:val="00243A67"/>
    <w:rsid w:val="00247A64"/>
    <w:rsid w:val="00250813"/>
    <w:rsid w:val="0025220F"/>
    <w:rsid w:val="002529E5"/>
    <w:rsid w:val="00252CED"/>
    <w:rsid w:val="002545D3"/>
    <w:rsid w:val="00254A08"/>
    <w:rsid w:val="002565C2"/>
    <w:rsid w:val="00256E7C"/>
    <w:rsid w:val="002631FB"/>
    <w:rsid w:val="00265134"/>
    <w:rsid w:val="00267B06"/>
    <w:rsid w:val="002715FD"/>
    <w:rsid w:val="00271727"/>
    <w:rsid w:val="00273EDC"/>
    <w:rsid w:val="002746E6"/>
    <w:rsid w:val="00274728"/>
    <w:rsid w:val="00275DF8"/>
    <w:rsid w:val="00275FBC"/>
    <w:rsid w:val="00282CA1"/>
    <w:rsid w:val="00283F03"/>
    <w:rsid w:val="00285016"/>
    <w:rsid w:val="00285559"/>
    <w:rsid w:val="00286D09"/>
    <w:rsid w:val="00286E2A"/>
    <w:rsid w:val="002916CF"/>
    <w:rsid w:val="00291DBD"/>
    <w:rsid w:val="00292ADC"/>
    <w:rsid w:val="00292D19"/>
    <w:rsid w:val="002932D1"/>
    <w:rsid w:val="00295395"/>
    <w:rsid w:val="00295459"/>
    <w:rsid w:val="00295F70"/>
    <w:rsid w:val="00297158"/>
    <w:rsid w:val="002A03D7"/>
    <w:rsid w:val="002A15B0"/>
    <w:rsid w:val="002A2829"/>
    <w:rsid w:val="002A49DE"/>
    <w:rsid w:val="002A6889"/>
    <w:rsid w:val="002B2239"/>
    <w:rsid w:val="002B22D4"/>
    <w:rsid w:val="002B393D"/>
    <w:rsid w:val="002B4CE8"/>
    <w:rsid w:val="002B6124"/>
    <w:rsid w:val="002C056A"/>
    <w:rsid w:val="002C061F"/>
    <w:rsid w:val="002C08F7"/>
    <w:rsid w:val="002C1393"/>
    <w:rsid w:val="002C18AC"/>
    <w:rsid w:val="002C1F9C"/>
    <w:rsid w:val="002C4B5A"/>
    <w:rsid w:val="002C5C73"/>
    <w:rsid w:val="002C6848"/>
    <w:rsid w:val="002D0C7F"/>
    <w:rsid w:val="002D2E5D"/>
    <w:rsid w:val="002D3A17"/>
    <w:rsid w:val="002D68BB"/>
    <w:rsid w:val="002D6EEB"/>
    <w:rsid w:val="002E001A"/>
    <w:rsid w:val="002E14C3"/>
    <w:rsid w:val="002E46AE"/>
    <w:rsid w:val="002E69A1"/>
    <w:rsid w:val="002E71C7"/>
    <w:rsid w:val="002E7F96"/>
    <w:rsid w:val="002F15C4"/>
    <w:rsid w:val="002F1C5D"/>
    <w:rsid w:val="002F2A8B"/>
    <w:rsid w:val="002F3CCC"/>
    <w:rsid w:val="002F3D88"/>
    <w:rsid w:val="002F3DD8"/>
    <w:rsid w:val="002F4CF9"/>
    <w:rsid w:val="002F532B"/>
    <w:rsid w:val="002F5CC9"/>
    <w:rsid w:val="002F6DC6"/>
    <w:rsid w:val="002F777F"/>
    <w:rsid w:val="003019B8"/>
    <w:rsid w:val="003023C5"/>
    <w:rsid w:val="00304BE9"/>
    <w:rsid w:val="00306A0C"/>
    <w:rsid w:val="00310733"/>
    <w:rsid w:val="00313677"/>
    <w:rsid w:val="00313F9B"/>
    <w:rsid w:val="003158B7"/>
    <w:rsid w:val="00317C91"/>
    <w:rsid w:val="00323A13"/>
    <w:rsid w:val="00324090"/>
    <w:rsid w:val="00326A4E"/>
    <w:rsid w:val="00326A70"/>
    <w:rsid w:val="003317C9"/>
    <w:rsid w:val="00333D1F"/>
    <w:rsid w:val="00334941"/>
    <w:rsid w:val="003360E7"/>
    <w:rsid w:val="00342A00"/>
    <w:rsid w:val="00342B1F"/>
    <w:rsid w:val="00342E93"/>
    <w:rsid w:val="0034388D"/>
    <w:rsid w:val="00344709"/>
    <w:rsid w:val="00345C5B"/>
    <w:rsid w:val="00345C86"/>
    <w:rsid w:val="00352AC3"/>
    <w:rsid w:val="00353E28"/>
    <w:rsid w:val="00354013"/>
    <w:rsid w:val="003563E4"/>
    <w:rsid w:val="003607B1"/>
    <w:rsid w:val="00362456"/>
    <w:rsid w:val="00363320"/>
    <w:rsid w:val="00364FAC"/>
    <w:rsid w:val="00371CF5"/>
    <w:rsid w:val="00371E46"/>
    <w:rsid w:val="00373A41"/>
    <w:rsid w:val="0037486C"/>
    <w:rsid w:val="00375710"/>
    <w:rsid w:val="003762EE"/>
    <w:rsid w:val="003811D1"/>
    <w:rsid w:val="003819BC"/>
    <w:rsid w:val="00382F5C"/>
    <w:rsid w:val="003861CF"/>
    <w:rsid w:val="003925F6"/>
    <w:rsid w:val="00393334"/>
    <w:rsid w:val="00393552"/>
    <w:rsid w:val="003950F6"/>
    <w:rsid w:val="00396928"/>
    <w:rsid w:val="00397479"/>
    <w:rsid w:val="00397A23"/>
    <w:rsid w:val="003A0D5A"/>
    <w:rsid w:val="003A2B3D"/>
    <w:rsid w:val="003A2BFA"/>
    <w:rsid w:val="003A4537"/>
    <w:rsid w:val="003A7A94"/>
    <w:rsid w:val="003B02BD"/>
    <w:rsid w:val="003B0B68"/>
    <w:rsid w:val="003B0FF1"/>
    <w:rsid w:val="003B1861"/>
    <w:rsid w:val="003B1D5F"/>
    <w:rsid w:val="003B21C9"/>
    <w:rsid w:val="003B294E"/>
    <w:rsid w:val="003B4C68"/>
    <w:rsid w:val="003B5492"/>
    <w:rsid w:val="003B636E"/>
    <w:rsid w:val="003C21C4"/>
    <w:rsid w:val="003C3145"/>
    <w:rsid w:val="003C411C"/>
    <w:rsid w:val="003C4832"/>
    <w:rsid w:val="003C67C6"/>
    <w:rsid w:val="003D05BF"/>
    <w:rsid w:val="003D33E6"/>
    <w:rsid w:val="003D372A"/>
    <w:rsid w:val="003D407F"/>
    <w:rsid w:val="003D4BD9"/>
    <w:rsid w:val="003D651B"/>
    <w:rsid w:val="003E056F"/>
    <w:rsid w:val="003E0CBA"/>
    <w:rsid w:val="003E0EFD"/>
    <w:rsid w:val="003E2684"/>
    <w:rsid w:val="003E393B"/>
    <w:rsid w:val="003E56B6"/>
    <w:rsid w:val="003E575A"/>
    <w:rsid w:val="003E6732"/>
    <w:rsid w:val="003E6BAC"/>
    <w:rsid w:val="003F0CF8"/>
    <w:rsid w:val="003F3981"/>
    <w:rsid w:val="003F5505"/>
    <w:rsid w:val="003F77F7"/>
    <w:rsid w:val="00407E08"/>
    <w:rsid w:val="00410EC9"/>
    <w:rsid w:val="00413B8A"/>
    <w:rsid w:val="00413DD6"/>
    <w:rsid w:val="0041476A"/>
    <w:rsid w:val="0042256F"/>
    <w:rsid w:val="004236B8"/>
    <w:rsid w:val="00423FBB"/>
    <w:rsid w:val="00425D1A"/>
    <w:rsid w:val="0042608F"/>
    <w:rsid w:val="00426AD0"/>
    <w:rsid w:val="00426F3C"/>
    <w:rsid w:val="00430C04"/>
    <w:rsid w:val="00430E78"/>
    <w:rsid w:val="00433493"/>
    <w:rsid w:val="00433907"/>
    <w:rsid w:val="0043480A"/>
    <w:rsid w:val="00435100"/>
    <w:rsid w:val="00436E2D"/>
    <w:rsid w:val="0043730D"/>
    <w:rsid w:val="004401C2"/>
    <w:rsid w:val="004402E9"/>
    <w:rsid w:val="00443927"/>
    <w:rsid w:val="00445038"/>
    <w:rsid w:val="0044542A"/>
    <w:rsid w:val="00445483"/>
    <w:rsid w:val="004455AF"/>
    <w:rsid w:val="004470F6"/>
    <w:rsid w:val="004507CC"/>
    <w:rsid w:val="004514AA"/>
    <w:rsid w:val="0045241A"/>
    <w:rsid w:val="00452865"/>
    <w:rsid w:val="0045358D"/>
    <w:rsid w:val="00455D13"/>
    <w:rsid w:val="00460C28"/>
    <w:rsid w:val="00462288"/>
    <w:rsid w:val="00463382"/>
    <w:rsid w:val="00464443"/>
    <w:rsid w:val="00473142"/>
    <w:rsid w:val="00473F33"/>
    <w:rsid w:val="004744D4"/>
    <w:rsid w:val="0047792E"/>
    <w:rsid w:val="00481F42"/>
    <w:rsid w:val="0048368C"/>
    <w:rsid w:val="004909AF"/>
    <w:rsid w:val="00492D82"/>
    <w:rsid w:val="004958A4"/>
    <w:rsid w:val="00497F0F"/>
    <w:rsid w:val="004A1040"/>
    <w:rsid w:val="004A690A"/>
    <w:rsid w:val="004B241B"/>
    <w:rsid w:val="004B3FEB"/>
    <w:rsid w:val="004B4020"/>
    <w:rsid w:val="004B428F"/>
    <w:rsid w:val="004B4CC3"/>
    <w:rsid w:val="004B6CDE"/>
    <w:rsid w:val="004B737B"/>
    <w:rsid w:val="004B79A3"/>
    <w:rsid w:val="004C1D8C"/>
    <w:rsid w:val="004C2A3B"/>
    <w:rsid w:val="004C5EDD"/>
    <w:rsid w:val="004D36D1"/>
    <w:rsid w:val="004D45F1"/>
    <w:rsid w:val="004D617C"/>
    <w:rsid w:val="004D6ABE"/>
    <w:rsid w:val="004D76D4"/>
    <w:rsid w:val="004E0186"/>
    <w:rsid w:val="004E2A24"/>
    <w:rsid w:val="004E3180"/>
    <w:rsid w:val="004E369F"/>
    <w:rsid w:val="004E38A6"/>
    <w:rsid w:val="004E3E46"/>
    <w:rsid w:val="004E4D59"/>
    <w:rsid w:val="004F0312"/>
    <w:rsid w:val="004F48FE"/>
    <w:rsid w:val="00500EFB"/>
    <w:rsid w:val="00501849"/>
    <w:rsid w:val="0050270F"/>
    <w:rsid w:val="005029BE"/>
    <w:rsid w:val="005046AF"/>
    <w:rsid w:val="00504A84"/>
    <w:rsid w:val="005057B4"/>
    <w:rsid w:val="00512B2F"/>
    <w:rsid w:val="005149E6"/>
    <w:rsid w:val="00516875"/>
    <w:rsid w:val="00521C97"/>
    <w:rsid w:val="005225E9"/>
    <w:rsid w:val="00522B82"/>
    <w:rsid w:val="005251F9"/>
    <w:rsid w:val="00525842"/>
    <w:rsid w:val="00526297"/>
    <w:rsid w:val="00526E92"/>
    <w:rsid w:val="0053074B"/>
    <w:rsid w:val="00530856"/>
    <w:rsid w:val="005308AE"/>
    <w:rsid w:val="0053141D"/>
    <w:rsid w:val="005317F3"/>
    <w:rsid w:val="00532AAD"/>
    <w:rsid w:val="00534AC5"/>
    <w:rsid w:val="005354B3"/>
    <w:rsid w:val="005415C5"/>
    <w:rsid w:val="0054427D"/>
    <w:rsid w:val="00544D56"/>
    <w:rsid w:val="00545E3A"/>
    <w:rsid w:val="00545E3F"/>
    <w:rsid w:val="0054617F"/>
    <w:rsid w:val="005522F3"/>
    <w:rsid w:val="00553926"/>
    <w:rsid w:val="00555A69"/>
    <w:rsid w:val="00556F27"/>
    <w:rsid w:val="00561E0B"/>
    <w:rsid w:val="0056206A"/>
    <w:rsid w:val="00562747"/>
    <w:rsid w:val="00562A52"/>
    <w:rsid w:val="00562D19"/>
    <w:rsid w:val="00563C10"/>
    <w:rsid w:val="00563C78"/>
    <w:rsid w:val="00564017"/>
    <w:rsid w:val="0056490F"/>
    <w:rsid w:val="005666BD"/>
    <w:rsid w:val="00575D96"/>
    <w:rsid w:val="0057721B"/>
    <w:rsid w:val="005818C8"/>
    <w:rsid w:val="005848ED"/>
    <w:rsid w:val="005866D1"/>
    <w:rsid w:val="00587D1D"/>
    <w:rsid w:val="0059123A"/>
    <w:rsid w:val="005915A4"/>
    <w:rsid w:val="005967E6"/>
    <w:rsid w:val="00596987"/>
    <w:rsid w:val="005A25E0"/>
    <w:rsid w:val="005A43C4"/>
    <w:rsid w:val="005A7AFF"/>
    <w:rsid w:val="005A7BA6"/>
    <w:rsid w:val="005B11BE"/>
    <w:rsid w:val="005B19FB"/>
    <w:rsid w:val="005B2FF0"/>
    <w:rsid w:val="005B74F5"/>
    <w:rsid w:val="005C1074"/>
    <w:rsid w:val="005C2AD8"/>
    <w:rsid w:val="005C3462"/>
    <w:rsid w:val="005C7367"/>
    <w:rsid w:val="005D1821"/>
    <w:rsid w:val="005D18F1"/>
    <w:rsid w:val="005D28CA"/>
    <w:rsid w:val="005D3A21"/>
    <w:rsid w:val="005D3C68"/>
    <w:rsid w:val="005D5DC4"/>
    <w:rsid w:val="005D7241"/>
    <w:rsid w:val="005E02EB"/>
    <w:rsid w:val="005E17B0"/>
    <w:rsid w:val="005E23A6"/>
    <w:rsid w:val="005E31F6"/>
    <w:rsid w:val="005E3C1A"/>
    <w:rsid w:val="005E3CC0"/>
    <w:rsid w:val="005E4A9F"/>
    <w:rsid w:val="005E4BBD"/>
    <w:rsid w:val="005E4DAA"/>
    <w:rsid w:val="005E66B3"/>
    <w:rsid w:val="005E7756"/>
    <w:rsid w:val="005F0061"/>
    <w:rsid w:val="005F1220"/>
    <w:rsid w:val="005F17F6"/>
    <w:rsid w:val="005F1C85"/>
    <w:rsid w:val="005F692E"/>
    <w:rsid w:val="005F693F"/>
    <w:rsid w:val="005F7120"/>
    <w:rsid w:val="005F7529"/>
    <w:rsid w:val="00601A7C"/>
    <w:rsid w:val="00602282"/>
    <w:rsid w:val="00602BDA"/>
    <w:rsid w:val="00606666"/>
    <w:rsid w:val="00611D32"/>
    <w:rsid w:val="00612FEF"/>
    <w:rsid w:val="00613B6C"/>
    <w:rsid w:val="00614A39"/>
    <w:rsid w:val="00617666"/>
    <w:rsid w:val="006178E4"/>
    <w:rsid w:val="00622975"/>
    <w:rsid w:val="0062449D"/>
    <w:rsid w:val="0062474B"/>
    <w:rsid w:val="00624DBB"/>
    <w:rsid w:val="006318F2"/>
    <w:rsid w:val="00633562"/>
    <w:rsid w:val="00633A23"/>
    <w:rsid w:val="00633DE5"/>
    <w:rsid w:val="00641BD7"/>
    <w:rsid w:val="00643D7A"/>
    <w:rsid w:val="00645EE5"/>
    <w:rsid w:val="00651555"/>
    <w:rsid w:val="0065182F"/>
    <w:rsid w:val="00654DC6"/>
    <w:rsid w:val="00655899"/>
    <w:rsid w:val="006572BC"/>
    <w:rsid w:val="006578FA"/>
    <w:rsid w:val="0066187F"/>
    <w:rsid w:val="00662B41"/>
    <w:rsid w:val="006640EC"/>
    <w:rsid w:val="006658D3"/>
    <w:rsid w:val="0066606A"/>
    <w:rsid w:val="0066669C"/>
    <w:rsid w:val="00667C3C"/>
    <w:rsid w:val="00672F62"/>
    <w:rsid w:val="00677A69"/>
    <w:rsid w:val="00681ED5"/>
    <w:rsid w:val="00683B12"/>
    <w:rsid w:val="00684441"/>
    <w:rsid w:val="0068528D"/>
    <w:rsid w:val="0068632D"/>
    <w:rsid w:val="00687F79"/>
    <w:rsid w:val="0069368B"/>
    <w:rsid w:val="00693E82"/>
    <w:rsid w:val="00693ECB"/>
    <w:rsid w:val="0069466E"/>
    <w:rsid w:val="00694ACA"/>
    <w:rsid w:val="006A0C22"/>
    <w:rsid w:val="006A1C5E"/>
    <w:rsid w:val="006A241F"/>
    <w:rsid w:val="006A34CB"/>
    <w:rsid w:val="006A3FCF"/>
    <w:rsid w:val="006A7E3D"/>
    <w:rsid w:val="006B087E"/>
    <w:rsid w:val="006B2632"/>
    <w:rsid w:val="006B2A77"/>
    <w:rsid w:val="006B31EF"/>
    <w:rsid w:val="006B44DE"/>
    <w:rsid w:val="006B533B"/>
    <w:rsid w:val="006B55A7"/>
    <w:rsid w:val="006B74A9"/>
    <w:rsid w:val="006C02C8"/>
    <w:rsid w:val="006C0535"/>
    <w:rsid w:val="006C1A6B"/>
    <w:rsid w:val="006C2302"/>
    <w:rsid w:val="006C394C"/>
    <w:rsid w:val="006C5205"/>
    <w:rsid w:val="006C7C89"/>
    <w:rsid w:val="006D1AF2"/>
    <w:rsid w:val="006D2BC0"/>
    <w:rsid w:val="006D33EE"/>
    <w:rsid w:val="006D342C"/>
    <w:rsid w:val="006D4358"/>
    <w:rsid w:val="006D71E7"/>
    <w:rsid w:val="006D79F9"/>
    <w:rsid w:val="006E0DB1"/>
    <w:rsid w:val="006E153C"/>
    <w:rsid w:val="006E1743"/>
    <w:rsid w:val="006E3F77"/>
    <w:rsid w:val="006E3F99"/>
    <w:rsid w:val="006E68C4"/>
    <w:rsid w:val="006E76F6"/>
    <w:rsid w:val="006F02BC"/>
    <w:rsid w:val="006F0B0B"/>
    <w:rsid w:val="006F3B90"/>
    <w:rsid w:val="006F4D7E"/>
    <w:rsid w:val="006F53BE"/>
    <w:rsid w:val="006F582D"/>
    <w:rsid w:val="0070098E"/>
    <w:rsid w:val="00702855"/>
    <w:rsid w:val="00705894"/>
    <w:rsid w:val="007075F1"/>
    <w:rsid w:val="00711C8B"/>
    <w:rsid w:val="0071201D"/>
    <w:rsid w:val="00713E6A"/>
    <w:rsid w:val="00713ECE"/>
    <w:rsid w:val="00714856"/>
    <w:rsid w:val="00714859"/>
    <w:rsid w:val="00715EC4"/>
    <w:rsid w:val="007160A2"/>
    <w:rsid w:val="007211FA"/>
    <w:rsid w:val="0072221F"/>
    <w:rsid w:val="0072340B"/>
    <w:rsid w:val="00725B15"/>
    <w:rsid w:val="007273FA"/>
    <w:rsid w:val="00730419"/>
    <w:rsid w:val="007305EF"/>
    <w:rsid w:val="00736BBB"/>
    <w:rsid w:val="00736DCF"/>
    <w:rsid w:val="00743D2A"/>
    <w:rsid w:val="00750E7F"/>
    <w:rsid w:val="00751603"/>
    <w:rsid w:val="00751D60"/>
    <w:rsid w:val="0075213D"/>
    <w:rsid w:val="0075478E"/>
    <w:rsid w:val="0076115C"/>
    <w:rsid w:val="007611E3"/>
    <w:rsid w:val="00761725"/>
    <w:rsid w:val="00763089"/>
    <w:rsid w:val="00764676"/>
    <w:rsid w:val="0076564D"/>
    <w:rsid w:val="007667FE"/>
    <w:rsid w:val="007669A5"/>
    <w:rsid w:val="00766BB7"/>
    <w:rsid w:val="0077038C"/>
    <w:rsid w:val="0077046B"/>
    <w:rsid w:val="00770621"/>
    <w:rsid w:val="007710EF"/>
    <w:rsid w:val="007712A4"/>
    <w:rsid w:val="00771AE2"/>
    <w:rsid w:val="00773AA5"/>
    <w:rsid w:val="00774483"/>
    <w:rsid w:val="0077656F"/>
    <w:rsid w:val="00777295"/>
    <w:rsid w:val="00777784"/>
    <w:rsid w:val="00783791"/>
    <w:rsid w:val="00783806"/>
    <w:rsid w:val="00783BE6"/>
    <w:rsid w:val="00784475"/>
    <w:rsid w:val="007844B0"/>
    <w:rsid w:val="00784F90"/>
    <w:rsid w:val="00791B7A"/>
    <w:rsid w:val="007944B3"/>
    <w:rsid w:val="007A1A5A"/>
    <w:rsid w:val="007A1CDE"/>
    <w:rsid w:val="007A4CA6"/>
    <w:rsid w:val="007A5F05"/>
    <w:rsid w:val="007A6D35"/>
    <w:rsid w:val="007A708E"/>
    <w:rsid w:val="007A7E90"/>
    <w:rsid w:val="007B13EB"/>
    <w:rsid w:val="007B1431"/>
    <w:rsid w:val="007B2A51"/>
    <w:rsid w:val="007B6276"/>
    <w:rsid w:val="007B7811"/>
    <w:rsid w:val="007C0C44"/>
    <w:rsid w:val="007C62EA"/>
    <w:rsid w:val="007C6E4B"/>
    <w:rsid w:val="007C7A8A"/>
    <w:rsid w:val="007D0481"/>
    <w:rsid w:val="007D1279"/>
    <w:rsid w:val="007D1999"/>
    <w:rsid w:val="007D29DA"/>
    <w:rsid w:val="007D4CEE"/>
    <w:rsid w:val="007D5BEA"/>
    <w:rsid w:val="007D630A"/>
    <w:rsid w:val="007D632D"/>
    <w:rsid w:val="007D6F3F"/>
    <w:rsid w:val="007D7BB6"/>
    <w:rsid w:val="007E041D"/>
    <w:rsid w:val="007E175B"/>
    <w:rsid w:val="007E1B42"/>
    <w:rsid w:val="007E5BD2"/>
    <w:rsid w:val="007F00D9"/>
    <w:rsid w:val="007F0B40"/>
    <w:rsid w:val="007F21DF"/>
    <w:rsid w:val="007F2C78"/>
    <w:rsid w:val="007F3CDC"/>
    <w:rsid w:val="007F525E"/>
    <w:rsid w:val="0080030B"/>
    <w:rsid w:val="00800599"/>
    <w:rsid w:val="008021D4"/>
    <w:rsid w:val="008027BF"/>
    <w:rsid w:val="00804B21"/>
    <w:rsid w:val="00811CB0"/>
    <w:rsid w:val="00811FF4"/>
    <w:rsid w:val="00813095"/>
    <w:rsid w:val="00813D40"/>
    <w:rsid w:val="00814909"/>
    <w:rsid w:val="00821B85"/>
    <w:rsid w:val="00821BEA"/>
    <w:rsid w:val="00822CF4"/>
    <w:rsid w:val="008242D2"/>
    <w:rsid w:val="00826D35"/>
    <w:rsid w:val="0082757A"/>
    <w:rsid w:val="008329D6"/>
    <w:rsid w:val="00835820"/>
    <w:rsid w:val="008362EB"/>
    <w:rsid w:val="008467DB"/>
    <w:rsid w:val="00846E98"/>
    <w:rsid w:val="00847F27"/>
    <w:rsid w:val="008503A6"/>
    <w:rsid w:val="0085100C"/>
    <w:rsid w:val="00851C21"/>
    <w:rsid w:val="00853038"/>
    <w:rsid w:val="00854519"/>
    <w:rsid w:val="008560C1"/>
    <w:rsid w:val="00856B35"/>
    <w:rsid w:val="00856BFF"/>
    <w:rsid w:val="008611EF"/>
    <w:rsid w:val="00865793"/>
    <w:rsid w:val="00866700"/>
    <w:rsid w:val="008668E4"/>
    <w:rsid w:val="00866D55"/>
    <w:rsid w:val="00867D41"/>
    <w:rsid w:val="008711B6"/>
    <w:rsid w:val="008711E2"/>
    <w:rsid w:val="0087144C"/>
    <w:rsid w:val="00872053"/>
    <w:rsid w:val="008727FE"/>
    <w:rsid w:val="0087289E"/>
    <w:rsid w:val="008731E0"/>
    <w:rsid w:val="008733A6"/>
    <w:rsid w:val="0087532B"/>
    <w:rsid w:val="008759F0"/>
    <w:rsid w:val="0087680C"/>
    <w:rsid w:val="00881D05"/>
    <w:rsid w:val="00882DD7"/>
    <w:rsid w:val="0088564C"/>
    <w:rsid w:val="00886DE9"/>
    <w:rsid w:val="0089160E"/>
    <w:rsid w:val="008918E1"/>
    <w:rsid w:val="00891C61"/>
    <w:rsid w:val="0089242C"/>
    <w:rsid w:val="00894A87"/>
    <w:rsid w:val="0089517F"/>
    <w:rsid w:val="00896003"/>
    <w:rsid w:val="00896331"/>
    <w:rsid w:val="00896DD4"/>
    <w:rsid w:val="00896FDA"/>
    <w:rsid w:val="008A2390"/>
    <w:rsid w:val="008A32D5"/>
    <w:rsid w:val="008B00CA"/>
    <w:rsid w:val="008B0197"/>
    <w:rsid w:val="008B15D6"/>
    <w:rsid w:val="008B2070"/>
    <w:rsid w:val="008B4325"/>
    <w:rsid w:val="008C04A9"/>
    <w:rsid w:val="008C0967"/>
    <w:rsid w:val="008C0D20"/>
    <w:rsid w:val="008C1AFF"/>
    <w:rsid w:val="008C246D"/>
    <w:rsid w:val="008C553F"/>
    <w:rsid w:val="008C5C1F"/>
    <w:rsid w:val="008C5CC0"/>
    <w:rsid w:val="008C7042"/>
    <w:rsid w:val="008D009B"/>
    <w:rsid w:val="008D13D9"/>
    <w:rsid w:val="008D2503"/>
    <w:rsid w:val="008D363A"/>
    <w:rsid w:val="008D40B7"/>
    <w:rsid w:val="008D4464"/>
    <w:rsid w:val="008D4F3E"/>
    <w:rsid w:val="008E1974"/>
    <w:rsid w:val="008E2C4E"/>
    <w:rsid w:val="008E311F"/>
    <w:rsid w:val="008E5C42"/>
    <w:rsid w:val="008E60A8"/>
    <w:rsid w:val="008E6C5F"/>
    <w:rsid w:val="008E75AA"/>
    <w:rsid w:val="008E7645"/>
    <w:rsid w:val="008F0C02"/>
    <w:rsid w:val="008F1121"/>
    <w:rsid w:val="008F1557"/>
    <w:rsid w:val="008F268A"/>
    <w:rsid w:val="008F392C"/>
    <w:rsid w:val="008F39CF"/>
    <w:rsid w:val="008F6AFD"/>
    <w:rsid w:val="008F7E52"/>
    <w:rsid w:val="00903230"/>
    <w:rsid w:val="00911C56"/>
    <w:rsid w:val="009128D0"/>
    <w:rsid w:val="00913243"/>
    <w:rsid w:val="009138FE"/>
    <w:rsid w:val="00913934"/>
    <w:rsid w:val="0091418C"/>
    <w:rsid w:val="009166CD"/>
    <w:rsid w:val="009217B3"/>
    <w:rsid w:val="0092365B"/>
    <w:rsid w:val="00923913"/>
    <w:rsid w:val="00924BC7"/>
    <w:rsid w:val="00925D9E"/>
    <w:rsid w:val="00926065"/>
    <w:rsid w:val="009260B0"/>
    <w:rsid w:val="009261E4"/>
    <w:rsid w:val="009269C9"/>
    <w:rsid w:val="00927ED3"/>
    <w:rsid w:val="00930DA7"/>
    <w:rsid w:val="00931FC6"/>
    <w:rsid w:val="00933317"/>
    <w:rsid w:val="00933815"/>
    <w:rsid w:val="00934697"/>
    <w:rsid w:val="009348CF"/>
    <w:rsid w:val="00934964"/>
    <w:rsid w:val="009350DA"/>
    <w:rsid w:val="00937B61"/>
    <w:rsid w:val="00940ED2"/>
    <w:rsid w:val="0094185D"/>
    <w:rsid w:val="00941F03"/>
    <w:rsid w:val="00942630"/>
    <w:rsid w:val="00942B85"/>
    <w:rsid w:val="00943043"/>
    <w:rsid w:val="00943137"/>
    <w:rsid w:val="00943A01"/>
    <w:rsid w:val="00943CC0"/>
    <w:rsid w:val="00944AC4"/>
    <w:rsid w:val="0094648C"/>
    <w:rsid w:val="00950E8F"/>
    <w:rsid w:val="009519EF"/>
    <w:rsid w:val="009540C4"/>
    <w:rsid w:val="00954FE6"/>
    <w:rsid w:val="00955B66"/>
    <w:rsid w:val="00957612"/>
    <w:rsid w:val="00961650"/>
    <w:rsid w:val="00964179"/>
    <w:rsid w:val="00964551"/>
    <w:rsid w:val="00964D5F"/>
    <w:rsid w:val="00973866"/>
    <w:rsid w:val="0097616A"/>
    <w:rsid w:val="00977AFB"/>
    <w:rsid w:val="00980358"/>
    <w:rsid w:val="00980734"/>
    <w:rsid w:val="00980784"/>
    <w:rsid w:val="00981589"/>
    <w:rsid w:val="009827E7"/>
    <w:rsid w:val="00983C2C"/>
    <w:rsid w:val="00984FEA"/>
    <w:rsid w:val="00990106"/>
    <w:rsid w:val="009922A0"/>
    <w:rsid w:val="009967B0"/>
    <w:rsid w:val="009A1C35"/>
    <w:rsid w:val="009A27DB"/>
    <w:rsid w:val="009A28AC"/>
    <w:rsid w:val="009A7258"/>
    <w:rsid w:val="009A7796"/>
    <w:rsid w:val="009A7FAD"/>
    <w:rsid w:val="009B033F"/>
    <w:rsid w:val="009B1C56"/>
    <w:rsid w:val="009B2432"/>
    <w:rsid w:val="009B3FAA"/>
    <w:rsid w:val="009B5DDB"/>
    <w:rsid w:val="009B62F7"/>
    <w:rsid w:val="009B75C7"/>
    <w:rsid w:val="009B7EE2"/>
    <w:rsid w:val="009C0401"/>
    <w:rsid w:val="009C0B27"/>
    <w:rsid w:val="009C0E4C"/>
    <w:rsid w:val="009C1770"/>
    <w:rsid w:val="009C19D5"/>
    <w:rsid w:val="009C1B54"/>
    <w:rsid w:val="009C1BF9"/>
    <w:rsid w:val="009C1EF5"/>
    <w:rsid w:val="009C2D0E"/>
    <w:rsid w:val="009C30F4"/>
    <w:rsid w:val="009C3C99"/>
    <w:rsid w:val="009C3DE1"/>
    <w:rsid w:val="009C4D76"/>
    <w:rsid w:val="009C5A3E"/>
    <w:rsid w:val="009C5D0F"/>
    <w:rsid w:val="009C788E"/>
    <w:rsid w:val="009C7C0C"/>
    <w:rsid w:val="009D03E4"/>
    <w:rsid w:val="009D1B26"/>
    <w:rsid w:val="009D3988"/>
    <w:rsid w:val="009D6E70"/>
    <w:rsid w:val="009D730A"/>
    <w:rsid w:val="009D7D69"/>
    <w:rsid w:val="009E1367"/>
    <w:rsid w:val="009E1779"/>
    <w:rsid w:val="009F0A21"/>
    <w:rsid w:val="009F216A"/>
    <w:rsid w:val="00A00F5E"/>
    <w:rsid w:val="00A00FF1"/>
    <w:rsid w:val="00A04544"/>
    <w:rsid w:val="00A061E6"/>
    <w:rsid w:val="00A06A4E"/>
    <w:rsid w:val="00A12BEB"/>
    <w:rsid w:val="00A1338A"/>
    <w:rsid w:val="00A14107"/>
    <w:rsid w:val="00A14CA8"/>
    <w:rsid w:val="00A14FC1"/>
    <w:rsid w:val="00A1502A"/>
    <w:rsid w:val="00A15D39"/>
    <w:rsid w:val="00A1718E"/>
    <w:rsid w:val="00A20F8F"/>
    <w:rsid w:val="00A21937"/>
    <w:rsid w:val="00A233DB"/>
    <w:rsid w:val="00A24EC0"/>
    <w:rsid w:val="00A317B1"/>
    <w:rsid w:val="00A319D8"/>
    <w:rsid w:val="00A342AF"/>
    <w:rsid w:val="00A34A9B"/>
    <w:rsid w:val="00A35E89"/>
    <w:rsid w:val="00A362D6"/>
    <w:rsid w:val="00A3655B"/>
    <w:rsid w:val="00A373C8"/>
    <w:rsid w:val="00A40375"/>
    <w:rsid w:val="00A403CE"/>
    <w:rsid w:val="00A41902"/>
    <w:rsid w:val="00A44CBE"/>
    <w:rsid w:val="00A45366"/>
    <w:rsid w:val="00A45C6A"/>
    <w:rsid w:val="00A46908"/>
    <w:rsid w:val="00A473CA"/>
    <w:rsid w:val="00A51D02"/>
    <w:rsid w:val="00A534F5"/>
    <w:rsid w:val="00A570DF"/>
    <w:rsid w:val="00A61A9C"/>
    <w:rsid w:val="00A6247E"/>
    <w:rsid w:val="00A6253D"/>
    <w:rsid w:val="00A7163D"/>
    <w:rsid w:val="00A72E9B"/>
    <w:rsid w:val="00A746C4"/>
    <w:rsid w:val="00A75BD1"/>
    <w:rsid w:val="00A81CC6"/>
    <w:rsid w:val="00A8346B"/>
    <w:rsid w:val="00A8350B"/>
    <w:rsid w:val="00A83E82"/>
    <w:rsid w:val="00A842D0"/>
    <w:rsid w:val="00A90578"/>
    <w:rsid w:val="00A90F45"/>
    <w:rsid w:val="00A92C82"/>
    <w:rsid w:val="00A94289"/>
    <w:rsid w:val="00A966C8"/>
    <w:rsid w:val="00AA1674"/>
    <w:rsid w:val="00AA2268"/>
    <w:rsid w:val="00AA2F2D"/>
    <w:rsid w:val="00AA3F3E"/>
    <w:rsid w:val="00AA41DA"/>
    <w:rsid w:val="00AA4328"/>
    <w:rsid w:val="00AA6C9A"/>
    <w:rsid w:val="00AA6D61"/>
    <w:rsid w:val="00AB06E2"/>
    <w:rsid w:val="00AB07DF"/>
    <w:rsid w:val="00AB2448"/>
    <w:rsid w:val="00AB4979"/>
    <w:rsid w:val="00AB4D5C"/>
    <w:rsid w:val="00AC168F"/>
    <w:rsid w:val="00AC3C5A"/>
    <w:rsid w:val="00AC520B"/>
    <w:rsid w:val="00AC521B"/>
    <w:rsid w:val="00AC5DF0"/>
    <w:rsid w:val="00AD13AF"/>
    <w:rsid w:val="00AD2326"/>
    <w:rsid w:val="00AD2810"/>
    <w:rsid w:val="00AD4329"/>
    <w:rsid w:val="00AD4C77"/>
    <w:rsid w:val="00AD52EE"/>
    <w:rsid w:val="00AD6C0E"/>
    <w:rsid w:val="00AD73CF"/>
    <w:rsid w:val="00AE1EF9"/>
    <w:rsid w:val="00AE25D0"/>
    <w:rsid w:val="00AE5BF9"/>
    <w:rsid w:val="00AF007A"/>
    <w:rsid w:val="00AF0AC1"/>
    <w:rsid w:val="00AF606B"/>
    <w:rsid w:val="00AF6C36"/>
    <w:rsid w:val="00B009A4"/>
    <w:rsid w:val="00B01879"/>
    <w:rsid w:val="00B01A7B"/>
    <w:rsid w:val="00B0351E"/>
    <w:rsid w:val="00B04457"/>
    <w:rsid w:val="00B0633B"/>
    <w:rsid w:val="00B063B3"/>
    <w:rsid w:val="00B06B73"/>
    <w:rsid w:val="00B072F9"/>
    <w:rsid w:val="00B07A60"/>
    <w:rsid w:val="00B1072E"/>
    <w:rsid w:val="00B108F6"/>
    <w:rsid w:val="00B10CFF"/>
    <w:rsid w:val="00B14082"/>
    <w:rsid w:val="00B14510"/>
    <w:rsid w:val="00B15C64"/>
    <w:rsid w:val="00B15E49"/>
    <w:rsid w:val="00B169A4"/>
    <w:rsid w:val="00B17033"/>
    <w:rsid w:val="00B17377"/>
    <w:rsid w:val="00B217D0"/>
    <w:rsid w:val="00B22683"/>
    <w:rsid w:val="00B2358A"/>
    <w:rsid w:val="00B23598"/>
    <w:rsid w:val="00B252EE"/>
    <w:rsid w:val="00B26A8E"/>
    <w:rsid w:val="00B33893"/>
    <w:rsid w:val="00B34205"/>
    <w:rsid w:val="00B35DE1"/>
    <w:rsid w:val="00B366D7"/>
    <w:rsid w:val="00B36BED"/>
    <w:rsid w:val="00B36D4E"/>
    <w:rsid w:val="00B37C71"/>
    <w:rsid w:val="00B444C7"/>
    <w:rsid w:val="00B446D0"/>
    <w:rsid w:val="00B45184"/>
    <w:rsid w:val="00B4529F"/>
    <w:rsid w:val="00B46C26"/>
    <w:rsid w:val="00B475F4"/>
    <w:rsid w:val="00B47BE0"/>
    <w:rsid w:val="00B50432"/>
    <w:rsid w:val="00B51D84"/>
    <w:rsid w:val="00B5285F"/>
    <w:rsid w:val="00B52C19"/>
    <w:rsid w:val="00B55340"/>
    <w:rsid w:val="00B554D6"/>
    <w:rsid w:val="00B561DC"/>
    <w:rsid w:val="00B57C33"/>
    <w:rsid w:val="00B60D3D"/>
    <w:rsid w:val="00B61FED"/>
    <w:rsid w:val="00B64EB0"/>
    <w:rsid w:val="00B70D2A"/>
    <w:rsid w:val="00B70E12"/>
    <w:rsid w:val="00B7168C"/>
    <w:rsid w:val="00B720F7"/>
    <w:rsid w:val="00B73397"/>
    <w:rsid w:val="00B77493"/>
    <w:rsid w:val="00B832D9"/>
    <w:rsid w:val="00B86186"/>
    <w:rsid w:val="00B9000D"/>
    <w:rsid w:val="00B92A40"/>
    <w:rsid w:val="00B95362"/>
    <w:rsid w:val="00B96B6C"/>
    <w:rsid w:val="00B97610"/>
    <w:rsid w:val="00B976F3"/>
    <w:rsid w:val="00BA1EBD"/>
    <w:rsid w:val="00BA2B5D"/>
    <w:rsid w:val="00BA2D0D"/>
    <w:rsid w:val="00BA39C9"/>
    <w:rsid w:val="00BA5ACF"/>
    <w:rsid w:val="00BA6B37"/>
    <w:rsid w:val="00BB039A"/>
    <w:rsid w:val="00BB2A5B"/>
    <w:rsid w:val="00BB3D46"/>
    <w:rsid w:val="00BB43F1"/>
    <w:rsid w:val="00BB4760"/>
    <w:rsid w:val="00BB4994"/>
    <w:rsid w:val="00BB6702"/>
    <w:rsid w:val="00BC22E8"/>
    <w:rsid w:val="00BC5DE5"/>
    <w:rsid w:val="00BC61FC"/>
    <w:rsid w:val="00BC65F3"/>
    <w:rsid w:val="00BC7B0C"/>
    <w:rsid w:val="00BD156A"/>
    <w:rsid w:val="00BD1B3F"/>
    <w:rsid w:val="00BD1C7B"/>
    <w:rsid w:val="00BD2277"/>
    <w:rsid w:val="00BD2FA5"/>
    <w:rsid w:val="00BD38E3"/>
    <w:rsid w:val="00BD4725"/>
    <w:rsid w:val="00BD624D"/>
    <w:rsid w:val="00BD6D4B"/>
    <w:rsid w:val="00BE0351"/>
    <w:rsid w:val="00BE20F5"/>
    <w:rsid w:val="00BE478B"/>
    <w:rsid w:val="00BE7B38"/>
    <w:rsid w:val="00BF3F7B"/>
    <w:rsid w:val="00BF4DBE"/>
    <w:rsid w:val="00BF600A"/>
    <w:rsid w:val="00BF72AD"/>
    <w:rsid w:val="00C018F5"/>
    <w:rsid w:val="00C03FA3"/>
    <w:rsid w:val="00C04114"/>
    <w:rsid w:val="00C05F90"/>
    <w:rsid w:val="00C105BC"/>
    <w:rsid w:val="00C10E52"/>
    <w:rsid w:val="00C11E21"/>
    <w:rsid w:val="00C13603"/>
    <w:rsid w:val="00C14BD8"/>
    <w:rsid w:val="00C15798"/>
    <w:rsid w:val="00C15A8B"/>
    <w:rsid w:val="00C15F9D"/>
    <w:rsid w:val="00C1694F"/>
    <w:rsid w:val="00C16F48"/>
    <w:rsid w:val="00C279EF"/>
    <w:rsid w:val="00C31B21"/>
    <w:rsid w:val="00C3374B"/>
    <w:rsid w:val="00C338EA"/>
    <w:rsid w:val="00C351A3"/>
    <w:rsid w:val="00C35A38"/>
    <w:rsid w:val="00C36310"/>
    <w:rsid w:val="00C371B5"/>
    <w:rsid w:val="00C373CA"/>
    <w:rsid w:val="00C37424"/>
    <w:rsid w:val="00C40895"/>
    <w:rsid w:val="00C42EF1"/>
    <w:rsid w:val="00C42F25"/>
    <w:rsid w:val="00C43D19"/>
    <w:rsid w:val="00C43E31"/>
    <w:rsid w:val="00C45326"/>
    <w:rsid w:val="00C45A9F"/>
    <w:rsid w:val="00C5196E"/>
    <w:rsid w:val="00C52A61"/>
    <w:rsid w:val="00C61129"/>
    <w:rsid w:val="00C6171C"/>
    <w:rsid w:val="00C61A73"/>
    <w:rsid w:val="00C653D6"/>
    <w:rsid w:val="00C70A94"/>
    <w:rsid w:val="00C72108"/>
    <w:rsid w:val="00C75154"/>
    <w:rsid w:val="00C7530E"/>
    <w:rsid w:val="00C75714"/>
    <w:rsid w:val="00C80D68"/>
    <w:rsid w:val="00C82687"/>
    <w:rsid w:val="00C83358"/>
    <w:rsid w:val="00C84DDA"/>
    <w:rsid w:val="00C87254"/>
    <w:rsid w:val="00C87A50"/>
    <w:rsid w:val="00C87AA2"/>
    <w:rsid w:val="00C9055B"/>
    <w:rsid w:val="00C95991"/>
    <w:rsid w:val="00CA31B8"/>
    <w:rsid w:val="00CA3A9E"/>
    <w:rsid w:val="00CA55BC"/>
    <w:rsid w:val="00CA6023"/>
    <w:rsid w:val="00CA674F"/>
    <w:rsid w:val="00CB09D3"/>
    <w:rsid w:val="00CB0A0A"/>
    <w:rsid w:val="00CB11E3"/>
    <w:rsid w:val="00CB176E"/>
    <w:rsid w:val="00CB4350"/>
    <w:rsid w:val="00CB55D1"/>
    <w:rsid w:val="00CB6C19"/>
    <w:rsid w:val="00CC41B3"/>
    <w:rsid w:val="00CC4B2D"/>
    <w:rsid w:val="00CD18B6"/>
    <w:rsid w:val="00CD3DB3"/>
    <w:rsid w:val="00CD5A30"/>
    <w:rsid w:val="00CD638C"/>
    <w:rsid w:val="00CD6C05"/>
    <w:rsid w:val="00CD7028"/>
    <w:rsid w:val="00CE1D06"/>
    <w:rsid w:val="00CE34BC"/>
    <w:rsid w:val="00CE3755"/>
    <w:rsid w:val="00CE4B32"/>
    <w:rsid w:val="00CE5332"/>
    <w:rsid w:val="00CE6D0F"/>
    <w:rsid w:val="00CE709A"/>
    <w:rsid w:val="00CE7AAA"/>
    <w:rsid w:val="00CF28BC"/>
    <w:rsid w:val="00CF361D"/>
    <w:rsid w:val="00CF40AE"/>
    <w:rsid w:val="00D00952"/>
    <w:rsid w:val="00D05CFB"/>
    <w:rsid w:val="00D06257"/>
    <w:rsid w:val="00D06351"/>
    <w:rsid w:val="00D07156"/>
    <w:rsid w:val="00D071B9"/>
    <w:rsid w:val="00D07DE8"/>
    <w:rsid w:val="00D10E00"/>
    <w:rsid w:val="00D12045"/>
    <w:rsid w:val="00D133D2"/>
    <w:rsid w:val="00D13A9E"/>
    <w:rsid w:val="00D1447F"/>
    <w:rsid w:val="00D20DA8"/>
    <w:rsid w:val="00D20FD1"/>
    <w:rsid w:val="00D23249"/>
    <w:rsid w:val="00D23B67"/>
    <w:rsid w:val="00D23EE5"/>
    <w:rsid w:val="00D2425D"/>
    <w:rsid w:val="00D2456B"/>
    <w:rsid w:val="00D24ED9"/>
    <w:rsid w:val="00D31E21"/>
    <w:rsid w:val="00D32E4F"/>
    <w:rsid w:val="00D33670"/>
    <w:rsid w:val="00D36F6E"/>
    <w:rsid w:val="00D417C5"/>
    <w:rsid w:val="00D41D7E"/>
    <w:rsid w:val="00D42049"/>
    <w:rsid w:val="00D42F87"/>
    <w:rsid w:val="00D438BE"/>
    <w:rsid w:val="00D44A2D"/>
    <w:rsid w:val="00D451A4"/>
    <w:rsid w:val="00D45433"/>
    <w:rsid w:val="00D46393"/>
    <w:rsid w:val="00D50F5D"/>
    <w:rsid w:val="00D522F0"/>
    <w:rsid w:val="00D53768"/>
    <w:rsid w:val="00D53AB3"/>
    <w:rsid w:val="00D559CB"/>
    <w:rsid w:val="00D55BCE"/>
    <w:rsid w:val="00D57D25"/>
    <w:rsid w:val="00D61221"/>
    <w:rsid w:val="00D67577"/>
    <w:rsid w:val="00D67ACB"/>
    <w:rsid w:val="00D70A6E"/>
    <w:rsid w:val="00D72B68"/>
    <w:rsid w:val="00D7465A"/>
    <w:rsid w:val="00D74881"/>
    <w:rsid w:val="00D81E9C"/>
    <w:rsid w:val="00D81FBF"/>
    <w:rsid w:val="00D82896"/>
    <w:rsid w:val="00D84442"/>
    <w:rsid w:val="00D84F38"/>
    <w:rsid w:val="00D854A5"/>
    <w:rsid w:val="00D8555E"/>
    <w:rsid w:val="00D9020B"/>
    <w:rsid w:val="00D906DE"/>
    <w:rsid w:val="00D906E6"/>
    <w:rsid w:val="00D9074A"/>
    <w:rsid w:val="00D92630"/>
    <w:rsid w:val="00D93917"/>
    <w:rsid w:val="00D95D76"/>
    <w:rsid w:val="00D95F69"/>
    <w:rsid w:val="00DA2CD9"/>
    <w:rsid w:val="00DA42B3"/>
    <w:rsid w:val="00DA5B23"/>
    <w:rsid w:val="00DA5E2E"/>
    <w:rsid w:val="00DA72F7"/>
    <w:rsid w:val="00DB033B"/>
    <w:rsid w:val="00DB082B"/>
    <w:rsid w:val="00DB1885"/>
    <w:rsid w:val="00DB1F01"/>
    <w:rsid w:val="00DB4428"/>
    <w:rsid w:val="00DB6833"/>
    <w:rsid w:val="00DB7010"/>
    <w:rsid w:val="00DB705F"/>
    <w:rsid w:val="00DB78C1"/>
    <w:rsid w:val="00DC03BE"/>
    <w:rsid w:val="00DC198E"/>
    <w:rsid w:val="00DC33C8"/>
    <w:rsid w:val="00DC352E"/>
    <w:rsid w:val="00DC3E35"/>
    <w:rsid w:val="00DC42EC"/>
    <w:rsid w:val="00DC4679"/>
    <w:rsid w:val="00DC6CF1"/>
    <w:rsid w:val="00DC771A"/>
    <w:rsid w:val="00DD5836"/>
    <w:rsid w:val="00DE1631"/>
    <w:rsid w:val="00DE18F2"/>
    <w:rsid w:val="00DE40A2"/>
    <w:rsid w:val="00DE40DF"/>
    <w:rsid w:val="00DE5E2B"/>
    <w:rsid w:val="00DE631E"/>
    <w:rsid w:val="00DE7B8D"/>
    <w:rsid w:val="00DF1BB5"/>
    <w:rsid w:val="00DF1EAA"/>
    <w:rsid w:val="00DF5F9A"/>
    <w:rsid w:val="00DF6D1E"/>
    <w:rsid w:val="00DF7731"/>
    <w:rsid w:val="00E0029E"/>
    <w:rsid w:val="00E0156B"/>
    <w:rsid w:val="00E01C93"/>
    <w:rsid w:val="00E02447"/>
    <w:rsid w:val="00E029BF"/>
    <w:rsid w:val="00E02C51"/>
    <w:rsid w:val="00E0595A"/>
    <w:rsid w:val="00E0762C"/>
    <w:rsid w:val="00E0799E"/>
    <w:rsid w:val="00E100D4"/>
    <w:rsid w:val="00E1085D"/>
    <w:rsid w:val="00E11AC1"/>
    <w:rsid w:val="00E1439A"/>
    <w:rsid w:val="00E1457E"/>
    <w:rsid w:val="00E16DB2"/>
    <w:rsid w:val="00E175AD"/>
    <w:rsid w:val="00E20BAE"/>
    <w:rsid w:val="00E308BF"/>
    <w:rsid w:val="00E31703"/>
    <w:rsid w:val="00E31A2D"/>
    <w:rsid w:val="00E32E32"/>
    <w:rsid w:val="00E34DAA"/>
    <w:rsid w:val="00E375BD"/>
    <w:rsid w:val="00E41998"/>
    <w:rsid w:val="00E42CCD"/>
    <w:rsid w:val="00E47782"/>
    <w:rsid w:val="00E47ED2"/>
    <w:rsid w:val="00E5029F"/>
    <w:rsid w:val="00E506AB"/>
    <w:rsid w:val="00E51EBC"/>
    <w:rsid w:val="00E52E35"/>
    <w:rsid w:val="00E5468D"/>
    <w:rsid w:val="00E54BB6"/>
    <w:rsid w:val="00E6171A"/>
    <w:rsid w:val="00E62687"/>
    <w:rsid w:val="00E62960"/>
    <w:rsid w:val="00E646D5"/>
    <w:rsid w:val="00E6482A"/>
    <w:rsid w:val="00E64D87"/>
    <w:rsid w:val="00E659F6"/>
    <w:rsid w:val="00E66EFA"/>
    <w:rsid w:val="00E670D0"/>
    <w:rsid w:val="00E7010A"/>
    <w:rsid w:val="00E70391"/>
    <w:rsid w:val="00E707E2"/>
    <w:rsid w:val="00E7198F"/>
    <w:rsid w:val="00E72F4A"/>
    <w:rsid w:val="00E73E6E"/>
    <w:rsid w:val="00E76A57"/>
    <w:rsid w:val="00E7718E"/>
    <w:rsid w:val="00E776CF"/>
    <w:rsid w:val="00E847EA"/>
    <w:rsid w:val="00E84AF4"/>
    <w:rsid w:val="00E856E0"/>
    <w:rsid w:val="00E95328"/>
    <w:rsid w:val="00EA0277"/>
    <w:rsid w:val="00EA1131"/>
    <w:rsid w:val="00EA4302"/>
    <w:rsid w:val="00EA5DC9"/>
    <w:rsid w:val="00EA6D4D"/>
    <w:rsid w:val="00EA77AC"/>
    <w:rsid w:val="00EB3D16"/>
    <w:rsid w:val="00EB61B7"/>
    <w:rsid w:val="00EB799A"/>
    <w:rsid w:val="00EC0215"/>
    <w:rsid w:val="00EC0F2E"/>
    <w:rsid w:val="00EC3346"/>
    <w:rsid w:val="00EC3F35"/>
    <w:rsid w:val="00EC51BD"/>
    <w:rsid w:val="00EC541D"/>
    <w:rsid w:val="00ED04A7"/>
    <w:rsid w:val="00ED0BAB"/>
    <w:rsid w:val="00ED3B87"/>
    <w:rsid w:val="00ED4D6A"/>
    <w:rsid w:val="00ED67ED"/>
    <w:rsid w:val="00ED7576"/>
    <w:rsid w:val="00ED77B6"/>
    <w:rsid w:val="00EE2600"/>
    <w:rsid w:val="00EE3193"/>
    <w:rsid w:val="00EE33E9"/>
    <w:rsid w:val="00EE3F81"/>
    <w:rsid w:val="00EE570E"/>
    <w:rsid w:val="00EE5E32"/>
    <w:rsid w:val="00EE7983"/>
    <w:rsid w:val="00EE79D6"/>
    <w:rsid w:val="00EE7C55"/>
    <w:rsid w:val="00EF28EB"/>
    <w:rsid w:val="00EF359C"/>
    <w:rsid w:val="00EF387A"/>
    <w:rsid w:val="00EF4F8B"/>
    <w:rsid w:val="00EF5D40"/>
    <w:rsid w:val="00EF5E59"/>
    <w:rsid w:val="00F028EB"/>
    <w:rsid w:val="00F069C0"/>
    <w:rsid w:val="00F06A7F"/>
    <w:rsid w:val="00F117D6"/>
    <w:rsid w:val="00F15839"/>
    <w:rsid w:val="00F174E9"/>
    <w:rsid w:val="00F21536"/>
    <w:rsid w:val="00F22038"/>
    <w:rsid w:val="00F22F9F"/>
    <w:rsid w:val="00F23E55"/>
    <w:rsid w:val="00F271A3"/>
    <w:rsid w:val="00F273C8"/>
    <w:rsid w:val="00F27F2A"/>
    <w:rsid w:val="00F30C16"/>
    <w:rsid w:val="00F3288B"/>
    <w:rsid w:val="00F33357"/>
    <w:rsid w:val="00F3660A"/>
    <w:rsid w:val="00F36DA8"/>
    <w:rsid w:val="00F3796E"/>
    <w:rsid w:val="00F37F7A"/>
    <w:rsid w:val="00F4042C"/>
    <w:rsid w:val="00F40F93"/>
    <w:rsid w:val="00F42426"/>
    <w:rsid w:val="00F473AC"/>
    <w:rsid w:val="00F473E6"/>
    <w:rsid w:val="00F47B09"/>
    <w:rsid w:val="00F47E48"/>
    <w:rsid w:val="00F507EC"/>
    <w:rsid w:val="00F50FC6"/>
    <w:rsid w:val="00F5170B"/>
    <w:rsid w:val="00F51EEA"/>
    <w:rsid w:val="00F53575"/>
    <w:rsid w:val="00F5469D"/>
    <w:rsid w:val="00F546BE"/>
    <w:rsid w:val="00F55B51"/>
    <w:rsid w:val="00F5636E"/>
    <w:rsid w:val="00F563C3"/>
    <w:rsid w:val="00F56D4D"/>
    <w:rsid w:val="00F5743C"/>
    <w:rsid w:val="00F574CE"/>
    <w:rsid w:val="00F577E2"/>
    <w:rsid w:val="00F63DBB"/>
    <w:rsid w:val="00F658C8"/>
    <w:rsid w:val="00F66F97"/>
    <w:rsid w:val="00F70283"/>
    <w:rsid w:val="00F7062C"/>
    <w:rsid w:val="00F72FAE"/>
    <w:rsid w:val="00F748F9"/>
    <w:rsid w:val="00F804B9"/>
    <w:rsid w:val="00F82129"/>
    <w:rsid w:val="00F84311"/>
    <w:rsid w:val="00F85920"/>
    <w:rsid w:val="00F860CA"/>
    <w:rsid w:val="00F86D2A"/>
    <w:rsid w:val="00F87BAA"/>
    <w:rsid w:val="00F94F33"/>
    <w:rsid w:val="00F95103"/>
    <w:rsid w:val="00F95296"/>
    <w:rsid w:val="00F95A23"/>
    <w:rsid w:val="00F961E6"/>
    <w:rsid w:val="00F96F59"/>
    <w:rsid w:val="00FA11AD"/>
    <w:rsid w:val="00FA29A1"/>
    <w:rsid w:val="00FA307E"/>
    <w:rsid w:val="00FA3307"/>
    <w:rsid w:val="00FA379A"/>
    <w:rsid w:val="00FA4558"/>
    <w:rsid w:val="00FA4C66"/>
    <w:rsid w:val="00FB12A2"/>
    <w:rsid w:val="00FB196E"/>
    <w:rsid w:val="00FB42A9"/>
    <w:rsid w:val="00FB62F2"/>
    <w:rsid w:val="00FC233D"/>
    <w:rsid w:val="00FC234D"/>
    <w:rsid w:val="00FC27C6"/>
    <w:rsid w:val="00FC562D"/>
    <w:rsid w:val="00FC660A"/>
    <w:rsid w:val="00FC6A06"/>
    <w:rsid w:val="00FC73BA"/>
    <w:rsid w:val="00FD0C85"/>
    <w:rsid w:val="00FD0D76"/>
    <w:rsid w:val="00FD3DB5"/>
    <w:rsid w:val="00FD4F00"/>
    <w:rsid w:val="00FD55BF"/>
    <w:rsid w:val="00FD5F75"/>
    <w:rsid w:val="00FD7A36"/>
    <w:rsid w:val="00FE02CB"/>
    <w:rsid w:val="00FE0CAC"/>
    <w:rsid w:val="00FE1859"/>
    <w:rsid w:val="00FE36AF"/>
    <w:rsid w:val="00FE4FF7"/>
    <w:rsid w:val="00FE576B"/>
    <w:rsid w:val="00FE682B"/>
    <w:rsid w:val="00FE70A8"/>
    <w:rsid w:val="00FE7407"/>
    <w:rsid w:val="00FE7CEC"/>
    <w:rsid w:val="00FF0203"/>
    <w:rsid w:val="00FF0C96"/>
    <w:rsid w:val="00FF2BF7"/>
    <w:rsid w:val="00FF3823"/>
    <w:rsid w:val="00FF55A8"/>
    <w:rsid w:val="00FF58F6"/>
    <w:rsid w:val="00FF5A29"/>
    <w:rsid w:val="00FF6D69"/>
    <w:rsid w:val="00FF7B94"/>
    <w:rsid w:val="02B2BC23"/>
    <w:rsid w:val="02FB17A9"/>
    <w:rsid w:val="041A39EF"/>
    <w:rsid w:val="043656A9"/>
    <w:rsid w:val="06F84454"/>
    <w:rsid w:val="0726E005"/>
    <w:rsid w:val="077D449C"/>
    <w:rsid w:val="07DEBCEC"/>
    <w:rsid w:val="0AC62035"/>
    <w:rsid w:val="0B986999"/>
    <w:rsid w:val="0BA87580"/>
    <w:rsid w:val="0BAC0155"/>
    <w:rsid w:val="0C1EC00F"/>
    <w:rsid w:val="0DCCA028"/>
    <w:rsid w:val="0DE8256A"/>
    <w:rsid w:val="0E92687F"/>
    <w:rsid w:val="0F9F52D4"/>
    <w:rsid w:val="0FF91C02"/>
    <w:rsid w:val="11EA86B1"/>
    <w:rsid w:val="12EE23B5"/>
    <w:rsid w:val="1A3AC256"/>
    <w:rsid w:val="1B0B39BF"/>
    <w:rsid w:val="1B8DAA51"/>
    <w:rsid w:val="1C022E78"/>
    <w:rsid w:val="1C31EE81"/>
    <w:rsid w:val="1D27A9B2"/>
    <w:rsid w:val="1DACA9FA"/>
    <w:rsid w:val="201FD218"/>
    <w:rsid w:val="21863207"/>
    <w:rsid w:val="227C2009"/>
    <w:rsid w:val="24D98ADC"/>
    <w:rsid w:val="264C687F"/>
    <w:rsid w:val="27847B39"/>
    <w:rsid w:val="27972269"/>
    <w:rsid w:val="284ADB08"/>
    <w:rsid w:val="2872AE86"/>
    <w:rsid w:val="290A1895"/>
    <w:rsid w:val="2C6B2B04"/>
    <w:rsid w:val="2D45ECD8"/>
    <w:rsid w:val="2E896064"/>
    <w:rsid w:val="355D1A28"/>
    <w:rsid w:val="35781385"/>
    <w:rsid w:val="38633574"/>
    <w:rsid w:val="3BEE9F84"/>
    <w:rsid w:val="3C6FD68E"/>
    <w:rsid w:val="3C86ABA3"/>
    <w:rsid w:val="3D555D9F"/>
    <w:rsid w:val="3D568C8F"/>
    <w:rsid w:val="3D6237C0"/>
    <w:rsid w:val="3DA8FFAF"/>
    <w:rsid w:val="3FDE325D"/>
    <w:rsid w:val="400937A1"/>
    <w:rsid w:val="4139F965"/>
    <w:rsid w:val="42B35418"/>
    <w:rsid w:val="4832046F"/>
    <w:rsid w:val="48833E07"/>
    <w:rsid w:val="4B172779"/>
    <w:rsid w:val="4BD9FB73"/>
    <w:rsid w:val="4D34BEE6"/>
    <w:rsid w:val="4F9C218B"/>
    <w:rsid w:val="51222E26"/>
    <w:rsid w:val="52184DFE"/>
    <w:rsid w:val="52376AA8"/>
    <w:rsid w:val="529F0A16"/>
    <w:rsid w:val="54969BE3"/>
    <w:rsid w:val="56B9FC42"/>
    <w:rsid w:val="57393A13"/>
    <w:rsid w:val="5746B73F"/>
    <w:rsid w:val="5864131D"/>
    <w:rsid w:val="5B9988D0"/>
    <w:rsid w:val="5E890B75"/>
    <w:rsid w:val="6149E05B"/>
    <w:rsid w:val="61EF3D50"/>
    <w:rsid w:val="64630DF9"/>
    <w:rsid w:val="6496C916"/>
    <w:rsid w:val="67E52342"/>
    <w:rsid w:val="68556359"/>
    <w:rsid w:val="6C6697FA"/>
    <w:rsid w:val="6DCB5244"/>
    <w:rsid w:val="6E849B84"/>
    <w:rsid w:val="6EADA78F"/>
    <w:rsid w:val="6F14C7CB"/>
    <w:rsid w:val="73B63590"/>
    <w:rsid w:val="7492274F"/>
    <w:rsid w:val="7A338025"/>
    <w:rsid w:val="7C33641F"/>
    <w:rsid w:val="7C86467E"/>
    <w:rsid w:val="7D44E1FB"/>
    <w:rsid w:val="7D92FEFD"/>
    <w:rsid w:val="7EBAA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760214"/>
  <w15:chartTrackingRefBased/>
  <w15:docId w15:val="{E4B8588D-C798-489E-8EAD-905443AB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A77"/>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uiPriority w:val="9"/>
    <w:qFormat/>
    <w:rsid w:val="006B087E"/>
    <w:pPr>
      <w:keepNext/>
      <w:numPr>
        <w:numId w:val="10"/>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SubSection),Heading 21,2/1,Paragraaf,cv titles,H2,F4 Heading 2 - SubSection,(Main Heading),ASection,Heading 2 - Main Heading within Document,Heading Two,h2,(1.1,1.2,1.3 etc),Prophead 2,2,RFP Heading 2,Activit...,Activity,l2,Major,Outline2"/>
    <w:basedOn w:val="Normal"/>
    <w:next w:val="Text2"/>
    <w:link w:val="Heading2Char"/>
    <w:uiPriority w:val="9"/>
    <w:qFormat/>
    <w:rsid w:val="006B087E"/>
    <w:pPr>
      <w:keepNext/>
      <w:numPr>
        <w:ilvl w:val="1"/>
        <w:numId w:val="10"/>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Subparagraaf,Outline3,Heading 3 - Bold heading for document - will appear in index,F5 Heading 3,H3,Prophead 3,h3,HHHeading,Heading 31,Heading 32,Heading 33,Heading...,Numbered - 3,l3,CT,h3 sub heading,Head 3,3m,H31,(Alt+3),C Sub-Sub/Italic"/>
    <w:basedOn w:val="Normal"/>
    <w:next w:val="Normal"/>
    <w:link w:val="Heading3Char"/>
    <w:uiPriority w:val="9"/>
    <w:qFormat/>
    <w:rsid w:val="006B087E"/>
    <w:pPr>
      <w:keepNext/>
      <w:numPr>
        <w:ilvl w:val="2"/>
        <w:numId w:val="10"/>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ALK_K4,NEA4,Kopje,Tussenkop,Ü 4"/>
    <w:basedOn w:val="Normal"/>
    <w:next w:val="Normal"/>
    <w:link w:val="Heading4Char"/>
    <w:uiPriority w:val="9"/>
    <w:qFormat/>
    <w:rsid w:val="006B087E"/>
    <w:pPr>
      <w:keepNext/>
      <w:numPr>
        <w:ilvl w:val="3"/>
        <w:numId w:val="10"/>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rsid w:val="0043480A"/>
    <w:pPr>
      <w:keepNext/>
      <w:keepLines/>
      <w:spacing w:before="40" w:after="0" w:line="259" w:lineRule="auto"/>
      <w:ind w:left="1008" w:hanging="1008"/>
      <w:jc w:val="both"/>
      <w:outlineLvl w:val="4"/>
    </w:pPr>
    <w:rPr>
      <w:rFonts w:asciiTheme="majorHAnsi" w:eastAsiaTheme="majorEastAsia" w:hAnsiTheme="majorHAnsi" w:cstheme="majorBidi"/>
      <w:color w:val="365F91" w:themeColor="accent1" w:themeShade="BF"/>
      <w:sz w:val="20"/>
    </w:rPr>
  </w:style>
  <w:style w:type="paragraph" w:styleId="Heading6">
    <w:name w:val="heading 6"/>
    <w:aliases w:val="Footer 1"/>
    <w:basedOn w:val="Normal"/>
    <w:next w:val="Normal"/>
    <w:link w:val="Heading6Char"/>
    <w:uiPriority w:val="9"/>
    <w:unhideWhenUsed/>
    <w:qFormat/>
    <w:rsid w:val="0043480A"/>
    <w:pPr>
      <w:keepNext/>
      <w:keepLines/>
      <w:spacing w:before="40" w:after="0" w:line="259" w:lineRule="auto"/>
      <w:ind w:left="1152" w:hanging="1152"/>
      <w:jc w:val="both"/>
      <w:outlineLvl w:val="5"/>
    </w:pPr>
    <w:rPr>
      <w:rFonts w:asciiTheme="majorHAnsi" w:eastAsiaTheme="majorEastAsia" w:hAnsiTheme="majorHAnsi" w:cstheme="majorBidi"/>
      <w:color w:val="243F60" w:themeColor="accent1" w:themeShade="7F"/>
      <w:sz w:val="20"/>
    </w:rPr>
  </w:style>
  <w:style w:type="paragraph" w:styleId="Heading7">
    <w:name w:val="heading 7"/>
    <w:aliases w:val="sub3,Heading 7 (do not use),aoua-titre annexes"/>
    <w:basedOn w:val="Normal"/>
    <w:next w:val="Normal"/>
    <w:link w:val="Heading7Char"/>
    <w:uiPriority w:val="9"/>
    <w:unhideWhenUsed/>
    <w:qFormat/>
    <w:rsid w:val="0043480A"/>
    <w:pPr>
      <w:keepNext/>
      <w:keepLines/>
      <w:spacing w:before="40" w:after="0" w:line="259" w:lineRule="auto"/>
      <w:ind w:left="1296" w:hanging="1296"/>
      <w:jc w:val="both"/>
      <w:outlineLvl w:val="6"/>
    </w:pPr>
    <w:rPr>
      <w:rFonts w:asciiTheme="majorHAnsi" w:eastAsiaTheme="majorEastAsia" w:hAnsiTheme="majorHAnsi" w:cstheme="majorBidi"/>
      <w:i/>
      <w:iCs/>
      <w:color w:val="243F60" w:themeColor="accent1" w:themeShade="7F"/>
      <w:sz w:val="20"/>
    </w:rPr>
  </w:style>
  <w:style w:type="paragraph" w:styleId="Heading8">
    <w:name w:val="heading 8"/>
    <w:aliases w:val="sub4,Heading 8 (do not use)"/>
    <w:basedOn w:val="Normal"/>
    <w:next w:val="Normal"/>
    <w:link w:val="Heading8Char"/>
    <w:uiPriority w:val="9"/>
    <w:unhideWhenUsed/>
    <w:qFormat/>
    <w:rsid w:val="0043480A"/>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3480A"/>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1 Char"/>
    <w:basedOn w:val="DefaultParagraphFont"/>
    <w:link w:val="Heading1"/>
    <w:uiPriority w:val="9"/>
    <w:rsid w:val="006B087E"/>
    <w:rPr>
      <w:rFonts w:ascii="Times New Roman" w:eastAsia="Times New Roman" w:hAnsi="Times New Roman" w:cs="Times New Roman"/>
      <w:b/>
      <w:smallCaps/>
      <w:sz w:val="24"/>
      <w:szCs w:val="20"/>
    </w:rPr>
  </w:style>
  <w:style w:type="character" w:customStyle="1" w:styleId="Heading2Char">
    <w:name w:val="Heading 2 Char"/>
    <w:aliases w:val="(SubSection) Char,Heading 21 Char,2/1 Char,Paragraaf Char,cv titles Char,H2 Char,F4 Heading 2 - SubSection Char,(Main Heading) Char,ASection Char,Heading 2 - Main Heading within Document Char,Heading Two Char,h2 Char,(1.1 Char,1.2 Char"/>
    <w:basedOn w:val="DefaultParagraphFont"/>
    <w:link w:val="Heading2"/>
    <w:uiPriority w:val="9"/>
    <w:rsid w:val="006B087E"/>
    <w:rPr>
      <w:rFonts w:ascii="Times New Roman" w:eastAsia="Times New Roman" w:hAnsi="Times New Roman" w:cs="Times New Roman"/>
      <w:b/>
      <w:sz w:val="24"/>
      <w:szCs w:val="20"/>
    </w:rPr>
  </w:style>
  <w:style w:type="character" w:customStyle="1" w:styleId="Heading3Char">
    <w:name w:val="Heading 3 Char"/>
    <w:aliases w:val="Subparagraaf Char,Outline3 Char,Heading 3 - Bold heading for document - will appear in index Char,F5 Heading 3 Char,H3 Char,Prophead 3 Char,h3 Char,HHHeading Char,Heading 31 Char,Heading 32 Char,Heading 33 Char,Heading... Char,l3 Char"/>
    <w:basedOn w:val="DefaultParagraphFont"/>
    <w:link w:val="Heading3"/>
    <w:uiPriority w:val="9"/>
    <w:rsid w:val="006B087E"/>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Ü 4 Char"/>
    <w:basedOn w:val="DefaultParagraphFont"/>
    <w:link w:val="Heading4"/>
    <w:uiPriority w:val="9"/>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customStyle="1" w:styleId="Text1">
    <w:name w:val="Text 1"/>
    <w:basedOn w:val="Normal"/>
    <w:rsid w:val="006B087E"/>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rsid w:val="006B087E"/>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rsid w:val="006B087E"/>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rsid w:val="006B087E"/>
    <w:pPr>
      <w:tabs>
        <w:tab w:val="num" w:pos="765"/>
      </w:tabs>
      <w:ind w:left="765" w:hanging="283"/>
    </w:pPr>
  </w:style>
  <w:style w:type="table" w:styleId="TableGrid">
    <w:name w:val="Table Grid"/>
    <w:aliases w:val="Document Table,CV1"/>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rsid w:val="006B087E"/>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aliases w:val=" Znak Znak Znak,Znak Znak Zna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6B087E"/>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6B087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le legend,Tabelle"/>
    <w:basedOn w:val="Normal"/>
    <w:next w:val="Normal"/>
    <w:link w:val="CaptionChar"/>
    <w:uiPriority w:val="35"/>
    <w:unhideWhenUsed/>
    <w:qFormat/>
    <w:rsid w:val="003158B7"/>
    <w:pPr>
      <w:keepNext/>
      <w:spacing w:after="120" w:line="240" w:lineRule="auto"/>
      <w:jc w:val="both"/>
    </w:pPr>
    <w:rPr>
      <w:rFonts w:ascii="Arial" w:hAnsi="Arial" w:cs="Arial"/>
      <w:iCs/>
      <w:color w:val="006BB7"/>
      <w:sz w:val="20"/>
      <w:szCs w:val="18"/>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basedOn w:val="DefaultParagraphFont"/>
    <w:link w:val="Caption"/>
    <w:uiPriority w:val="35"/>
    <w:locked/>
    <w:rsid w:val="003158B7"/>
    <w:rPr>
      <w:rFonts w:ascii="Arial" w:hAnsi="Arial" w:cs="Arial"/>
      <w:iCs/>
      <w:color w:val="006BB7"/>
      <w:sz w:val="20"/>
      <w:szCs w:val="18"/>
    </w:rPr>
  </w:style>
  <w:style w:type="paragraph" w:styleId="FootnoteText">
    <w:name w:val="footnote text"/>
    <w:aliases w:val="DTE-Voetnoottekst,Fußnotentextf,Tekst przypisu,Fußnotentextr,Schriftart: 9 pt,Schriftart: 10 pt,Schriftart: 8 pt,WB-Fußnotentext,Footnote text,o,Voetnoottekst Char,Voetnoottekst Char1,Voetnoottekst Char2 Char Char,fn,fuß,Текст сноски Знак"/>
    <w:basedOn w:val="Normal"/>
    <w:link w:val="FootnoteTextChar"/>
    <w:unhideWhenUsed/>
    <w:qFormat/>
    <w:rsid w:val="003158B7"/>
    <w:pPr>
      <w:spacing w:after="0" w:line="240" w:lineRule="auto"/>
      <w:jc w:val="both"/>
    </w:pPr>
    <w:rPr>
      <w:rFonts w:ascii="Arial" w:hAnsi="Arial" w:cs="Arial"/>
      <w:sz w:val="20"/>
      <w:szCs w:val="20"/>
    </w:rPr>
  </w:style>
  <w:style w:type="character" w:customStyle="1" w:styleId="FootnoteTextChar">
    <w:name w:val="Footnote Text Char"/>
    <w:aliases w:val="DTE-Voetnoottekst Char,Fußnotentextf Char,Tekst przypisu Char,Fußnotentextr Char,Schriftart: 9 pt Char,Schriftart: 10 pt Char,Schriftart: 8 pt Char,WB-Fußnotentext Char,Footnote text Char,o Char,Voetnoottekst Char Char,fn Char"/>
    <w:basedOn w:val="DefaultParagraphFont"/>
    <w:link w:val="FootnoteText"/>
    <w:qFormat/>
    <w:rsid w:val="003158B7"/>
    <w:rPr>
      <w:rFonts w:ascii="Arial" w:hAnsi="Arial" w:cs="Arial"/>
      <w:sz w:val="20"/>
      <w:szCs w:val="20"/>
    </w:rPr>
  </w:style>
  <w:style w:type="character" w:styleId="FootnoteReference">
    <w:name w:val="footnote reference"/>
    <w:aliases w:val="SUPERS,Odwołanie przypisu,Times 10 Point,Exposant 3 Point,Footnote symbol,Footnote reference number,number,Footnote Reference Superscript,stylish,Знак сноски-FN,Ciae niinee-FN,Знак сноски 1,-E Fußnotenzeichen,-E Fuﬂnotenzeichen"/>
    <w:basedOn w:val="DefaultParagraphFont"/>
    <w:link w:val="SUPERSCharCharCharCharCharCharCharChar"/>
    <w:uiPriority w:val="99"/>
    <w:unhideWhenUsed/>
    <w:qFormat/>
    <w:rsid w:val="003158B7"/>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3158B7"/>
    <w:pPr>
      <w:spacing w:after="160" w:line="240" w:lineRule="exact"/>
      <w:ind w:right="-23"/>
      <w:jc w:val="both"/>
    </w:pPr>
    <w:rPr>
      <w:vertAlign w:val="superscript"/>
    </w:rPr>
  </w:style>
  <w:style w:type="table" w:customStyle="1" w:styleId="Mainbidtables1">
    <w:name w:val="Main bid tables1"/>
    <w:basedOn w:val="TableNormal"/>
    <w:uiPriority w:val="99"/>
    <w:rsid w:val="003158B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l51">
    <w:name w:val="l51"/>
    <w:basedOn w:val="Normal"/>
    <w:next w:val="Normal"/>
    <w:uiPriority w:val="9"/>
    <w:unhideWhenUsed/>
    <w:qFormat/>
    <w:rsid w:val="00F7062C"/>
    <w:pPr>
      <w:keepNext/>
      <w:keepLines/>
      <w:tabs>
        <w:tab w:val="num" w:pos="283"/>
      </w:tabs>
      <w:spacing w:before="40" w:after="0" w:line="259" w:lineRule="auto"/>
      <w:ind w:left="283" w:hanging="283"/>
      <w:jc w:val="both"/>
      <w:outlineLvl w:val="4"/>
    </w:pPr>
    <w:rPr>
      <w:rFonts w:ascii="Calibri Light" w:eastAsia="Yu Gothic Light" w:hAnsi="Calibri Light" w:cs="Times New Roman"/>
      <w:color w:val="2F5496"/>
      <w:sz w:val="20"/>
    </w:rPr>
  </w:style>
  <w:style w:type="paragraph" w:customStyle="1" w:styleId="Footer11">
    <w:name w:val="Footer 11"/>
    <w:basedOn w:val="Normal"/>
    <w:next w:val="Normal"/>
    <w:uiPriority w:val="9"/>
    <w:unhideWhenUsed/>
    <w:qFormat/>
    <w:rsid w:val="00F7062C"/>
    <w:pPr>
      <w:keepNext/>
      <w:keepLines/>
      <w:tabs>
        <w:tab w:val="num" w:pos="283"/>
      </w:tabs>
      <w:spacing w:before="40" w:after="0" w:line="259" w:lineRule="auto"/>
      <w:ind w:left="283" w:hanging="283"/>
      <w:jc w:val="both"/>
      <w:outlineLvl w:val="5"/>
    </w:pPr>
    <w:rPr>
      <w:rFonts w:ascii="Calibri Light" w:eastAsia="Yu Gothic Light" w:hAnsi="Calibri Light" w:cs="Times New Roman"/>
      <w:color w:val="1F3763"/>
      <w:sz w:val="20"/>
    </w:rPr>
  </w:style>
  <w:style w:type="paragraph" w:customStyle="1" w:styleId="aoua-titreannexes1">
    <w:name w:val="aoua-titre annexes1"/>
    <w:basedOn w:val="Normal"/>
    <w:next w:val="Normal"/>
    <w:uiPriority w:val="9"/>
    <w:unhideWhenUsed/>
    <w:qFormat/>
    <w:rsid w:val="00F7062C"/>
    <w:pPr>
      <w:keepNext/>
      <w:keepLines/>
      <w:tabs>
        <w:tab w:val="num" w:pos="283"/>
      </w:tabs>
      <w:spacing w:before="40" w:after="0" w:line="259" w:lineRule="auto"/>
      <w:ind w:left="283" w:hanging="283"/>
      <w:jc w:val="both"/>
      <w:outlineLvl w:val="6"/>
    </w:pPr>
    <w:rPr>
      <w:rFonts w:ascii="Calibri Light" w:eastAsia="Yu Gothic Light" w:hAnsi="Calibri Light" w:cs="Times New Roman"/>
      <w:i/>
      <w:iCs/>
      <w:color w:val="1F3763"/>
      <w:sz w:val="20"/>
    </w:rPr>
  </w:style>
  <w:style w:type="paragraph" w:customStyle="1" w:styleId="Heading8donotuse1">
    <w:name w:val="Heading 8 (do not use)1"/>
    <w:basedOn w:val="Normal"/>
    <w:next w:val="Normal"/>
    <w:uiPriority w:val="9"/>
    <w:unhideWhenUsed/>
    <w:qFormat/>
    <w:rsid w:val="00F7062C"/>
    <w:pPr>
      <w:keepNext/>
      <w:keepLines/>
      <w:tabs>
        <w:tab w:val="num" w:pos="283"/>
      </w:tabs>
      <w:spacing w:before="40" w:after="0" w:line="259" w:lineRule="auto"/>
      <w:ind w:left="283" w:hanging="283"/>
      <w:jc w:val="both"/>
      <w:outlineLvl w:val="7"/>
    </w:pPr>
    <w:rPr>
      <w:rFonts w:ascii="Calibri Light" w:eastAsia="Yu Gothic Light" w:hAnsi="Calibri Light" w:cs="Times New Roman"/>
      <w:color w:val="272727"/>
      <w:sz w:val="21"/>
      <w:szCs w:val="21"/>
    </w:rPr>
  </w:style>
  <w:style w:type="paragraph" w:customStyle="1" w:styleId="Heading91">
    <w:name w:val="Heading 91"/>
    <w:basedOn w:val="Normal"/>
    <w:next w:val="Normal"/>
    <w:uiPriority w:val="9"/>
    <w:unhideWhenUsed/>
    <w:qFormat/>
    <w:rsid w:val="00F7062C"/>
    <w:pPr>
      <w:keepNext/>
      <w:keepLines/>
      <w:tabs>
        <w:tab w:val="num" w:pos="283"/>
      </w:tabs>
      <w:spacing w:before="40" w:after="0" w:line="259" w:lineRule="auto"/>
      <w:ind w:left="283" w:hanging="283"/>
      <w:jc w:val="both"/>
      <w:outlineLvl w:val="8"/>
    </w:pPr>
    <w:rPr>
      <w:rFonts w:ascii="Calibri Light" w:eastAsia="Yu Gothic Light" w:hAnsi="Calibri Light" w:cs="Times New Roman"/>
      <w:i/>
      <w:iCs/>
      <w:color w:val="272727"/>
      <w:sz w:val="21"/>
      <w:szCs w:val="21"/>
    </w:rPr>
  </w:style>
  <w:style w:type="character" w:styleId="CommentReference">
    <w:name w:val="annotation reference"/>
    <w:basedOn w:val="DefaultParagraphFont"/>
    <w:unhideWhenUsed/>
    <w:rsid w:val="00F7062C"/>
    <w:rPr>
      <w:sz w:val="16"/>
      <w:szCs w:val="16"/>
    </w:rPr>
  </w:style>
  <w:style w:type="paragraph" w:styleId="CommentText">
    <w:name w:val="annotation text"/>
    <w:basedOn w:val="Normal"/>
    <w:link w:val="CommentTextChar"/>
    <w:uiPriority w:val="99"/>
    <w:unhideWhenUsed/>
    <w:rsid w:val="00F7062C"/>
    <w:pPr>
      <w:spacing w:after="120" w:line="240" w:lineRule="auto"/>
      <w:jc w:val="both"/>
    </w:pPr>
    <w:rPr>
      <w:rFonts w:ascii="Arial" w:hAnsi="Arial" w:cs="Arial"/>
      <w:sz w:val="20"/>
      <w:szCs w:val="20"/>
    </w:rPr>
  </w:style>
  <w:style w:type="character" w:customStyle="1" w:styleId="CommentTextChar">
    <w:name w:val="Comment Text Char"/>
    <w:basedOn w:val="DefaultParagraphFont"/>
    <w:link w:val="CommentText"/>
    <w:uiPriority w:val="99"/>
    <w:rsid w:val="00F7062C"/>
    <w:rPr>
      <w:rFonts w:ascii="Arial" w:hAnsi="Arial" w:cs="Arial"/>
      <w:sz w:val="20"/>
      <w:szCs w:val="20"/>
    </w:rPr>
  </w:style>
  <w:style w:type="table" w:customStyle="1" w:styleId="Mainbidtables">
    <w:name w:val="Main bid tables"/>
    <w:basedOn w:val="TableNormal"/>
    <w:uiPriority w:val="99"/>
    <w:rsid w:val="00F7062C"/>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styleId="CommentSubject">
    <w:name w:val="annotation subject"/>
    <w:basedOn w:val="CommentText"/>
    <w:next w:val="CommentText"/>
    <w:link w:val="CommentSubjectChar"/>
    <w:uiPriority w:val="99"/>
    <w:semiHidden/>
    <w:unhideWhenUsed/>
    <w:rsid w:val="0048368C"/>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48368C"/>
    <w:rPr>
      <w:rFonts w:ascii="Arial" w:hAnsi="Arial" w:cs="Arial"/>
      <w:b/>
      <w:bCs/>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Ha"/>
    <w:basedOn w:val="Normal"/>
    <w:link w:val="ListParagraphChar"/>
    <w:uiPriority w:val="34"/>
    <w:qFormat/>
    <w:rsid w:val="00F3796E"/>
    <w:pPr>
      <w:ind w:left="720"/>
      <w:contextualSpacing/>
    </w:p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43480A"/>
    <w:rPr>
      <w:rFonts w:asciiTheme="majorHAnsi" w:eastAsiaTheme="majorEastAsia" w:hAnsiTheme="majorHAnsi" w:cstheme="majorBidi"/>
      <w:color w:val="365F91" w:themeColor="accent1" w:themeShade="BF"/>
      <w:sz w:val="20"/>
    </w:rPr>
  </w:style>
  <w:style w:type="character" w:customStyle="1" w:styleId="Heading6Char">
    <w:name w:val="Heading 6 Char"/>
    <w:aliases w:val="Footer 1 Char"/>
    <w:basedOn w:val="DefaultParagraphFont"/>
    <w:link w:val="Heading6"/>
    <w:uiPriority w:val="9"/>
    <w:rsid w:val="0043480A"/>
    <w:rPr>
      <w:rFonts w:asciiTheme="majorHAnsi" w:eastAsiaTheme="majorEastAsia" w:hAnsiTheme="majorHAnsi" w:cstheme="majorBidi"/>
      <w:color w:val="243F60" w:themeColor="accent1" w:themeShade="7F"/>
      <w:sz w:val="20"/>
    </w:rPr>
  </w:style>
  <w:style w:type="character" w:customStyle="1" w:styleId="Heading7Char">
    <w:name w:val="Heading 7 Char"/>
    <w:aliases w:val="sub3 Char,Heading 7 (do not use) Char,aoua-titre annexes Char"/>
    <w:basedOn w:val="DefaultParagraphFont"/>
    <w:link w:val="Heading7"/>
    <w:uiPriority w:val="9"/>
    <w:rsid w:val="0043480A"/>
    <w:rPr>
      <w:rFonts w:asciiTheme="majorHAnsi" w:eastAsiaTheme="majorEastAsia" w:hAnsiTheme="majorHAnsi" w:cstheme="majorBidi"/>
      <w:i/>
      <w:iCs/>
      <w:color w:val="243F60" w:themeColor="accent1" w:themeShade="7F"/>
      <w:sz w:val="20"/>
    </w:rPr>
  </w:style>
  <w:style w:type="character" w:customStyle="1" w:styleId="Heading8Char">
    <w:name w:val="Heading 8 Char"/>
    <w:aliases w:val="sub4 Char,Heading 8 (do not use) Char"/>
    <w:basedOn w:val="DefaultParagraphFont"/>
    <w:link w:val="Heading8"/>
    <w:uiPriority w:val="9"/>
    <w:rsid w:val="004348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480A"/>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C11E2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1">
    <w:name w:val="Table Grid121"/>
    <w:basedOn w:val="TableNormal"/>
    <w:next w:val="TableGrid"/>
    <w:uiPriority w:val="59"/>
    <w:rsid w:val="008F7E52"/>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1">
    <w:name w:val="Main bid tables11"/>
    <w:basedOn w:val="TableNormal"/>
    <w:uiPriority w:val="99"/>
    <w:rsid w:val="00DB1F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2">
    <w:name w:val="Table Grid122"/>
    <w:basedOn w:val="TableNormal"/>
    <w:next w:val="TableGrid"/>
    <w:uiPriority w:val="59"/>
    <w:rsid w:val="0089633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3">
    <w:name w:val="Table Grid123"/>
    <w:basedOn w:val="TableNormal"/>
    <w:next w:val="TableGrid"/>
    <w:uiPriority w:val="59"/>
    <w:rsid w:val="00B561DC"/>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4">
    <w:name w:val="Table Grid124"/>
    <w:basedOn w:val="TableNormal"/>
    <w:next w:val="TableGrid"/>
    <w:uiPriority w:val="59"/>
    <w:rsid w:val="002529E5"/>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5">
    <w:name w:val="Table Grid125"/>
    <w:basedOn w:val="TableNormal"/>
    <w:next w:val="TableGrid"/>
    <w:uiPriority w:val="59"/>
    <w:rsid w:val="002529E5"/>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paragraph" w:styleId="TOC3">
    <w:name w:val="toc 3"/>
    <w:basedOn w:val="Normal"/>
    <w:next w:val="Normal"/>
    <w:autoRedefine/>
    <w:uiPriority w:val="39"/>
    <w:unhideWhenUsed/>
    <w:rsid w:val="00E02C51"/>
    <w:pPr>
      <w:spacing w:after="100"/>
      <w:ind w:left="440"/>
    </w:pPr>
  </w:style>
  <w:style w:type="paragraph" w:styleId="EndnoteText">
    <w:name w:val="endnote text"/>
    <w:basedOn w:val="Normal"/>
    <w:link w:val="EndnoteTextChar"/>
    <w:uiPriority w:val="99"/>
    <w:semiHidden/>
    <w:unhideWhenUsed/>
    <w:rsid w:val="004334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3493"/>
    <w:rPr>
      <w:sz w:val="20"/>
      <w:szCs w:val="20"/>
    </w:rPr>
  </w:style>
  <w:style w:type="character" w:styleId="EndnoteReference">
    <w:name w:val="endnote reference"/>
    <w:basedOn w:val="DefaultParagraphFont"/>
    <w:uiPriority w:val="99"/>
    <w:semiHidden/>
    <w:unhideWhenUsed/>
    <w:rsid w:val="00433493"/>
    <w:rPr>
      <w:vertAlign w:val="superscript"/>
    </w:rPr>
  </w:style>
  <w:style w:type="table" w:customStyle="1" w:styleId="Mainbidtables12">
    <w:name w:val="Main bid tables12"/>
    <w:basedOn w:val="TableNormal"/>
    <w:uiPriority w:val="99"/>
    <w:rsid w:val="005967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Default">
    <w:name w:val="Default"/>
    <w:rsid w:val="005967E6"/>
    <w:pPr>
      <w:autoSpaceDE w:val="0"/>
      <w:autoSpaceDN w:val="0"/>
      <w:adjustRightInd w:val="0"/>
      <w:spacing w:after="0" w:line="240" w:lineRule="auto"/>
    </w:pPr>
    <w:rPr>
      <w:rFonts w:ascii="EUAlbertina" w:hAnsi="EUAlbertina" w:cs="EUAlbertina"/>
      <w:color w:val="000000"/>
      <w:sz w:val="24"/>
      <w:szCs w:val="24"/>
    </w:rPr>
  </w:style>
  <w:style w:type="table" w:customStyle="1" w:styleId="Mainbidtables13">
    <w:name w:val="Main bid tables13"/>
    <w:basedOn w:val="TableNormal"/>
    <w:uiPriority w:val="99"/>
    <w:rsid w:val="005967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0">
    <w:name w:val="Main bid tables10"/>
    <w:basedOn w:val="TableNormal"/>
    <w:uiPriority w:val="99"/>
    <w:rsid w:val="00090294"/>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DocumentTable1">
    <w:name w:val="Document Table1"/>
    <w:basedOn w:val="TableNormal"/>
    <w:next w:val="TableGrid"/>
    <w:uiPriority w:val="39"/>
    <w:rsid w:val="00913243"/>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BE478B"/>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4">
    <w:name w:val="Main bid tables14"/>
    <w:basedOn w:val="TableNormal"/>
    <w:uiPriority w:val="99"/>
    <w:rsid w:val="00D906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Ha Char"/>
    <w:basedOn w:val="DefaultParagraphFont"/>
    <w:link w:val="ListParagraph"/>
    <w:uiPriority w:val="34"/>
    <w:qFormat/>
    <w:rsid w:val="00B23598"/>
  </w:style>
  <w:style w:type="table" w:customStyle="1" w:styleId="TableGrid127">
    <w:name w:val="Table Grid127"/>
    <w:basedOn w:val="TableNormal"/>
    <w:next w:val="TableGrid"/>
    <w:uiPriority w:val="59"/>
    <w:rsid w:val="005308AE"/>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8">
    <w:name w:val="Table Grid128"/>
    <w:basedOn w:val="TableNormal"/>
    <w:next w:val="TableGrid"/>
    <w:uiPriority w:val="59"/>
    <w:rsid w:val="001656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9">
    <w:name w:val="Table Grid129"/>
    <w:basedOn w:val="TableNormal"/>
    <w:next w:val="TableGrid"/>
    <w:uiPriority w:val="59"/>
    <w:rsid w:val="001656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5">
    <w:name w:val="Grid Table 4 Accent 5"/>
    <w:basedOn w:val="TableNormal"/>
    <w:uiPriority w:val="49"/>
    <w:rsid w:val="00766BB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ppendixHeadingLevel1">
    <w:name w:val="Appendix Heading Level 1"/>
    <w:next w:val="Normal"/>
    <w:link w:val="AppendixHeadingLevel1Char"/>
    <w:uiPriority w:val="10"/>
    <w:qFormat/>
    <w:rsid w:val="00C5196E"/>
    <w:pPr>
      <w:keepNext/>
      <w:pageBreakBefore/>
      <w:numPr>
        <w:numId w:val="8"/>
      </w:numPr>
      <w:spacing w:before="120" w:after="120" w:line="259" w:lineRule="auto"/>
      <w:outlineLvl w:val="0"/>
    </w:pPr>
    <w:rPr>
      <w:rFonts w:ascii="Arial" w:eastAsia="Times New Roman" w:hAnsi="Arial" w:cs="Arial"/>
      <w:bCs/>
      <w:color w:val="006BB7"/>
      <w:sz w:val="36"/>
      <w:szCs w:val="32"/>
    </w:rPr>
  </w:style>
  <w:style w:type="character" w:customStyle="1" w:styleId="AppendixHeadingLevel1Char">
    <w:name w:val="Appendix Heading Level 1 Char"/>
    <w:basedOn w:val="Heading1Char"/>
    <w:link w:val="AppendixHeadingLevel1"/>
    <w:uiPriority w:val="10"/>
    <w:rsid w:val="00C5196E"/>
    <w:rPr>
      <w:rFonts w:ascii="Arial" w:eastAsia="Times New Roman" w:hAnsi="Arial" w:cs="Arial"/>
      <w:b w:val="0"/>
      <w:bCs/>
      <w:smallCaps w:val="0"/>
      <w:color w:val="006BB7"/>
      <w:sz w:val="36"/>
      <w:szCs w:val="32"/>
    </w:rPr>
  </w:style>
  <w:style w:type="paragraph" w:customStyle="1" w:styleId="AppendixHeadingLevel2">
    <w:name w:val="Appendix Heading Level 2"/>
    <w:basedOn w:val="Heading2"/>
    <w:next w:val="Normal"/>
    <w:uiPriority w:val="10"/>
    <w:qFormat/>
    <w:rsid w:val="00C5196E"/>
    <w:pPr>
      <w:numPr>
        <w:numId w:val="8"/>
      </w:numPr>
      <w:spacing w:before="240" w:after="120"/>
    </w:pPr>
    <w:rPr>
      <w:rFonts w:ascii="Arial" w:hAnsi="Arial" w:cs="Arial"/>
      <w:b w:val="0"/>
      <w:bCs/>
      <w:iCs/>
      <w:color w:val="006BB7"/>
      <w:sz w:val="32"/>
      <w:szCs w:val="28"/>
    </w:rPr>
  </w:style>
  <w:style w:type="paragraph" w:customStyle="1" w:styleId="AppendixHeadingLevel3">
    <w:name w:val="Appendix Heading Level 3"/>
    <w:basedOn w:val="Heading3"/>
    <w:next w:val="Normal"/>
    <w:uiPriority w:val="10"/>
    <w:qFormat/>
    <w:rsid w:val="00C5196E"/>
    <w:pPr>
      <w:numPr>
        <w:numId w:val="8"/>
      </w:numPr>
      <w:spacing w:before="120" w:after="120" w:line="305" w:lineRule="auto"/>
    </w:pPr>
    <w:rPr>
      <w:rFonts w:ascii="Arial" w:hAnsi="Arial" w:cs="Arial"/>
      <w:bCs/>
      <w:i w:val="0"/>
      <w:color w:val="006BB7"/>
      <w:szCs w:val="26"/>
    </w:rPr>
  </w:style>
  <w:style w:type="paragraph" w:customStyle="1" w:styleId="AppendixHeadingLevel4">
    <w:name w:val="Appendix Heading Level 4"/>
    <w:basedOn w:val="AppendixHeadingLevel3"/>
    <w:next w:val="Normal"/>
    <w:uiPriority w:val="10"/>
    <w:qFormat/>
    <w:rsid w:val="00C5196E"/>
    <w:pPr>
      <w:numPr>
        <w:ilvl w:val="3"/>
      </w:numPr>
      <w:tabs>
        <w:tab w:val="left" w:pos="993"/>
      </w:tabs>
      <w:spacing w:before="40" w:line="259" w:lineRule="auto"/>
      <w:outlineLvl w:val="3"/>
    </w:pPr>
    <w:rPr>
      <w:sz w:val="20"/>
    </w:rPr>
  </w:style>
  <w:style w:type="paragraph" w:customStyle="1" w:styleId="AppendixHeadingLevel5">
    <w:name w:val="Appendix Heading Level 5"/>
    <w:basedOn w:val="AppendixHeadingLevel4"/>
    <w:next w:val="Normal"/>
    <w:uiPriority w:val="10"/>
    <w:unhideWhenUsed/>
    <w:qFormat/>
    <w:rsid w:val="00C5196E"/>
    <w:pPr>
      <w:numPr>
        <w:ilvl w:val="4"/>
      </w:numPr>
      <w:tabs>
        <w:tab w:val="clear" w:pos="993"/>
        <w:tab w:val="num" w:pos="360"/>
        <w:tab w:val="left" w:pos="1134"/>
      </w:tabs>
      <w:outlineLvl w:val="4"/>
    </w:pPr>
    <w:rPr>
      <w:b/>
      <w:bCs w:val="0"/>
      <w:i/>
      <w:iCs/>
      <w:color w:val="auto"/>
    </w:rPr>
  </w:style>
  <w:style w:type="table" w:customStyle="1" w:styleId="TableGrid1210">
    <w:name w:val="Table Grid1210"/>
    <w:basedOn w:val="TableNormal"/>
    <w:next w:val="TableGrid"/>
    <w:uiPriority w:val="59"/>
    <w:rsid w:val="00C5196E"/>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1">
    <w:name w:val="Grid Table 4 Accent 1"/>
    <w:basedOn w:val="TableNormal"/>
    <w:uiPriority w:val="49"/>
    <w:rsid w:val="00545E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unhideWhenUsed/>
    <w:rsid w:val="00275FBC"/>
    <w:rPr>
      <w:color w:val="2B579A"/>
      <w:shd w:val="clear" w:color="auto" w:fill="E1DFDD"/>
    </w:rPr>
  </w:style>
  <w:style w:type="table" w:customStyle="1" w:styleId="GridTable4-Accent11">
    <w:name w:val="Grid Table 4 - Accent 11"/>
    <w:basedOn w:val="TableNormal"/>
    <w:next w:val="GridTable4-Accent1"/>
    <w:uiPriority w:val="49"/>
    <w:rsid w:val="00275FBC"/>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ainbidtables15">
    <w:name w:val="Main bid tables15"/>
    <w:basedOn w:val="TableNormal"/>
    <w:uiPriority w:val="99"/>
    <w:rsid w:val="009A7258"/>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ODP">
    <w:name w:val="ODP"/>
    <w:basedOn w:val="Text2"/>
    <w:rsid w:val="000D5CD1"/>
    <w:pPr>
      <w:ind w:left="0"/>
    </w:pPr>
  </w:style>
  <w:style w:type="paragraph" w:styleId="Revision">
    <w:name w:val="Revision"/>
    <w:hidden/>
    <w:uiPriority w:val="99"/>
    <w:semiHidden/>
    <w:rsid w:val="00633A23"/>
    <w:pPr>
      <w:spacing w:after="0" w:line="240" w:lineRule="auto"/>
    </w:pPr>
  </w:style>
  <w:style w:type="character" w:styleId="FollowedHyperlink">
    <w:name w:val="FollowedHyperlink"/>
    <w:basedOn w:val="DefaultParagraphFont"/>
    <w:uiPriority w:val="99"/>
    <w:semiHidden/>
    <w:unhideWhenUsed/>
    <w:rsid w:val="00BD6D4B"/>
    <w:rPr>
      <w:color w:val="800080" w:themeColor="followedHyperlink"/>
      <w:u w:val="single"/>
    </w:rPr>
  </w:style>
  <w:style w:type="paragraph" w:styleId="Bibliography">
    <w:name w:val="Bibliography"/>
    <w:basedOn w:val="Normal"/>
    <w:next w:val="Normal"/>
    <w:uiPriority w:val="37"/>
    <w:unhideWhenUsed/>
    <w:rsid w:val="00C84DDA"/>
    <w:pPr>
      <w:spacing w:after="120" w:line="259" w:lineRule="auto"/>
      <w:jc w:val="both"/>
    </w:pPr>
    <w:rPr>
      <w:rFonts w:ascii="Arial" w:hAnsi="Arial" w:cs="Arial"/>
      <w:sz w:val="20"/>
    </w:rPr>
  </w:style>
  <w:style w:type="numbering" w:customStyle="1" w:styleId="NoList1">
    <w:name w:val="No List1"/>
    <w:next w:val="NoList"/>
    <w:uiPriority w:val="99"/>
    <w:semiHidden/>
    <w:unhideWhenUsed/>
    <w:rsid w:val="00A14107"/>
  </w:style>
  <w:style w:type="table" w:customStyle="1" w:styleId="CV14">
    <w:name w:val="CV14"/>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16">
    <w:name w:val="Main bid tables16"/>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2">
    <w:name w:val="Main bid tables2"/>
    <w:basedOn w:val="TableNormal"/>
    <w:uiPriority w:val="99"/>
    <w:rsid w:val="00A14107"/>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1">
    <w:name w:val="Table Grid121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12">
    <w:name w:val="Table Grid1212"/>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11">
    <w:name w:val="Main bid tables11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21">
    <w:name w:val="Table Grid122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31">
    <w:name w:val="Table Grid123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41">
    <w:name w:val="Table Grid124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51">
    <w:name w:val="Table Grid125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21">
    <w:name w:val="Main bid tables12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31">
    <w:name w:val="Main bid tables13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01">
    <w:name w:val="Main bid tables10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DocumentTable11">
    <w:name w:val="Document Table11"/>
    <w:basedOn w:val="TableNormal"/>
    <w:next w:val="TableGrid"/>
    <w:uiPriority w:val="39"/>
    <w:rsid w:val="00A1410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41">
    <w:name w:val="Main bid tables14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71">
    <w:name w:val="Table Grid127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81">
    <w:name w:val="Table Grid128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91">
    <w:name w:val="Table Grid129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GridTable4-Accent51">
    <w:name w:val="Grid Table 4 - Accent 51"/>
    <w:basedOn w:val="TableNormal"/>
    <w:next w:val="GridTable4-Accent5"/>
    <w:uiPriority w:val="49"/>
    <w:rsid w:val="00A1410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2101">
    <w:name w:val="Table Grid1210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GridTable4-Accent12">
    <w:name w:val="Grid Table 4 - Accent 12"/>
    <w:basedOn w:val="TableNormal"/>
    <w:next w:val="GridTable4-Accent1"/>
    <w:uiPriority w:val="49"/>
    <w:rsid w:val="00A1410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Normal"/>
    <w:next w:val="GridTable4-Accent1"/>
    <w:uiPriority w:val="49"/>
    <w:rsid w:val="00A1410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ainbidtables151">
    <w:name w:val="Main bid tables15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styleId="TableofFigures">
    <w:name w:val="table of figures"/>
    <w:basedOn w:val="Normal"/>
    <w:next w:val="Normal"/>
    <w:uiPriority w:val="99"/>
    <w:unhideWhenUsed/>
    <w:rsid w:val="00A14107"/>
    <w:pPr>
      <w:spacing w:after="0" w:line="259" w:lineRule="auto"/>
      <w:jc w:val="both"/>
    </w:pPr>
    <w:rPr>
      <w:rFonts w:ascii="Arial" w:hAnsi="Arial" w:cs="Arial"/>
      <w:sz w:val="20"/>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sid w:val="004D45F1"/>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SubSection) Char1,Heading 21 Char1,2/1 Char1,Paragraaf Char1,cv titles Char1,H2 Char1,F4 Heading 2 - SubSection Char1,(Main Heading) Char1,ASection Char1,Heading 2 - Main Heading within Document Char1,Heading Two Char1,h2 Char1,2 Char"/>
    <w:basedOn w:val="DefaultParagraphFont"/>
    <w:uiPriority w:val="9"/>
    <w:semiHidden/>
    <w:rsid w:val="004D45F1"/>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Subparagraaf Char1,Outline3 Char1,Heading 3 - Bold heading for document - will appear in index Char1,F5 Heading 3 Char1,H3 Char1,Prophead 3 Char1,h3 Char1,HHHeading Char1,Heading 31 Char1,Heading 32 Char1,Heading 33 Char1,l3 Char1"/>
    <w:basedOn w:val="DefaultParagraphFont"/>
    <w:uiPriority w:val="9"/>
    <w:semiHidden/>
    <w:rsid w:val="004D45F1"/>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ALK_K4 Char1,NEA4 Char1,Kopje Char1,Tussenkop Char1,Ü 4 Char1"/>
    <w:basedOn w:val="DefaultParagraphFont"/>
    <w:uiPriority w:val="9"/>
    <w:semiHidden/>
    <w:rsid w:val="004D45F1"/>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4D45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noteTextChar1">
    <w:name w:val="Footnote Text Char1"/>
    <w:aliases w:val="DTE-Voetnoottekst Char1,Fußnotentextf Char1,Tekst przypisu Char1,Fußnotentextr Char1,Schriftart: 9 pt Char1,Schriftart: 10 pt Char1,Schriftart: 8 pt Char1,WB-Fußnotentext Char1,Footnote text Char1,o Char1,Voetnoottekst Char Char1"/>
    <w:basedOn w:val="DefaultParagraphFont"/>
    <w:semiHidden/>
    <w:rsid w:val="004D45F1"/>
    <w:rPr>
      <w:sz w:val="20"/>
      <w:szCs w:val="20"/>
      <w:lang w:val="fr-BE"/>
    </w:rPr>
  </w:style>
  <w:style w:type="paragraph" w:customStyle="1" w:styleId="CommentSubject1">
    <w:name w:val="Comment Subject1"/>
    <w:basedOn w:val="CommentText"/>
    <w:next w:val="CommentText"/>
    <w:uiPriority w:val="99"/>
    <w:semiHidden/>
    <w:rsid w:val="004D45F1"/>
    <w:pPr>
      <w:spacing w:after="200"/>
      <w:jc w:val="left"/>
    </w:pPr>
    <w:rPr>
      <w:rFonts w:ascii="Calibri" w:hAnsi="Calibri" w:cs="Times New Roman"/>
      <w:b/>
      <w:bCs/>
    </w:rPr>
  </w:style>
  <w:style w:type="character" w:customStyle="1" w:styleId="ZnakZnakZnak1">
    <w:name w:val="Znak Znak Znak1"/>
    <w:basedOn w:val="DefaultParagraphFont"/>
    <w:uiPriority w:val="99"/>
    <w:qFormat/>
    <w:rsid w:val="004D45F1"/>
    <w:rPr>
      <w:color w:val="0000FF"/>
      <w:u w:val="single"/>
    </w:rPr>
  </w:style>
  <w:style w:type="character" w:customStyle="1" w:styleId="FollowedHyperlink1">
    <w:name w:val="FollowedHyperlink1"/>
    <w:basedOn w:val="DefaultParagraphFont"/>
    <w:uiPriority w:val="99"/>
    <w:semiHidden/>
    <w:rsid w:val="004D45F1"/>
    <w:rPr>
      <w:color w:val="800080"/>
      <w:u w:val="single"/>
    </w:rPr>
  </w:style>
  <w:style w:type="character" w:customStyle="1" w:styleId="CommentSubjectChar1">
    <w:name w:val="Comment Subject Char1"/>
    <w:basedOn w:val="CommentTextChar"/>
    <w:uiPriority w:val="99"/>
    <w:semiHidden/>
    <w:rsid w:val="004D45F1"/>
    <w:rPr>
      <w:rFonts w:ascii="Arial" w:hAnsi="Arial" w:cs="Arial" w:hint="default"/>
      <w:b/>
      <w:bCs/>
      <w:sz w:val="20"/>
      <w:szCs w:val="20"/>
      <w:lang w:val="en-GB"/>
    </w:rPr>
  </w:style>
  <w:style w:type="character" w:customStyle="1" w:styleId="Heading5Char1">
    <w:name w:val="Heading 5 Char1"/>
    <w:basedOn w:val="DefaultParagraphFont"/>
    <w:uiPriority w:val="9"/>
    <w:semiHidden/>
    <w:rsid w:val="004D45F1"/>
    <w:rPr>
      <w:rFonts w:asciiTheme="majorHAnsi" w:eastAsiaTheme="majorEastAsia" w:hAnsiTheme="majorHAnsi" w:cstheme="majorBidi" w:hint="default"/>
      <w:color w:val="365F91" w:themeColor="accent1" w:themeShade="BF"/>
    </w:rPr>
  </w:style>
  <w:style w:type="character" w:customStyle="1" w:styleId="Heading6Char1">
    <w:name w:val="Heading 6 Char1"/>
    <w:basedOn w:val="DefaultParagraphFont"/>
    <w:uiPriority w:val="9"/>
    <w:semiHidden/>
    <w:rsid w:val="004D45F1"/>
    <w:rPr>
      <w:rFonts w:asciiTheme="majorHAnsi" w:eastAsiaTheme="majorEastAsia" w:hAnsiTheme="majorHAnsi" w:cstheme="majorBidi" w:hint="default"/>
      <w:color w:val="243F60" w:themeColor="accent1" w:themeShade="7F"/>
    </w:rPr>
  </w:style>
  <w:style w:type="character" w:customStyle="1" w:styleId="Heading7Char1">
    <w:name w:val="Heading 7 Char1"/>
    <w:basedOn w:val="DefaultParagraphFont"/>
    <w:uiPriority w:val="9"/>
    <w:semiHidden/>
    <w:rsid w:val="004D45F1"/>
    <w:rPr>
      <w:rFonts w:asciiTheme="majorHAnsi" w:eastAsiaTheme="majorEastAsia" w:hAnsiTheme="majorHAnsi" w:cstheme="majorBidi" w:hint="default"/>
      <w:i/>
      <w:iCs/>
      <w:color w:val="243F60" w:themeColor="accent1" w:themeShade="7F"/>
    </w:rPr>
  </w:style>
  <w:style w:type="character" w:customStyle="1" w:styleId="Heading8Char1">
    <w:name w:val="Heading 8 Char1"/>
    <w:basedOn w:val="DefaultParagraphFont"/>
    <w:uiPriority w:val="9"/>
    <w:semiHidden/>
    <w:rsid w:val="004D45F1"/>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DefaultParagraphFont"/>
    <w:uiPriority w:val="9"/>
    <w:semiHidden/>
    <w:rsid w:val="004D45F1"/>
    <w:rPr>
      <w:rFonts w:asciiTheme="majorHAnsi" w:eastAsiaTheme="majorEastAsia" w:hAnsiTheme="majorHAnsi" w:cstheme="majorBidi" w:hint="default"/>
      <w:i/>
      <w:iCs/>
      <w:color w:val="272727" w:themeColor="text1" w:themeTint="D8"/>
      <w:sz w:val="21"/>
      <w:szCs w:val="21"/>
    </w:rPr>
  </w:style>
  <w:style w:type="table" w:customStyle="1" w:styleId="Tabellengitternetz1">
    <w:name w:val="Tabellengitternetz1"/>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ellengitternetz11">
    <w:name w:val="Tabellengitternetz11"/>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3">
    <w:name w:val="Table Grid1213"/>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14">
    <w:name w:val="Table Grid1214"/>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02">
    <w:name w:val="Main bid tables102"/>
    <w:basedOn w:val="TableNormal"/>
    <w:uiPriority w:val="9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ellengitternetz111">
    <w:name w:val="Tabellengitternetz111"/>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5">
    <w:name w:val="Table Grid1215"/>
    <w:basedOn w:val="TableNormal"/>
    <w:uiPriority w:val="59"/>
    <w:rsid w:val="004D45F1"/>
    <w:pPr>
      <w:spacing w:before="60" w:after="0" w:line="240" w:lineRule="auto"/>
    </w:pPr>
    <w:rPr>
      <w:rFonts w:ascii="Arial" w:eastAsia="Times New Roman" w:hAnsi="Arial" w:cs="Times New Roman"/>
      <w:sz w:val="20"/>
      <w:szCs w:val="20"/>
      <w:lang w:val="fr-BE"/>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paragraph" w:customStyle="1" w:styleId="LegalNumPar">
    <w:name w:val="LegalNumPar"/>
    <w:basedOn w:val="Normal"/>
    <w:rsid w:val="00AD73CF"/>
    <w:pPr>
      <w:numPr>
        <w:numId w:val="48"/>
      </w:numPr>
      <w:spacing w:line="360" w:lineRule="auto"/>
    </w:pPr>
    <w:rPr>
      <w:sz w:val="24"/>
    </w:rPr>
  </w:style>
  <w:style w:type="paragraph" w:customStyle="1" w:styleId="LegalNumPar2">
    <w:name w:val="LegalNumPar2"/>
    <w:basedOn w:val="Normal"/>
    <w:rsid w:val="00AD73CF"/>
    <w:pPr>
      <w:numPr>
        <w:ilvl w:val="1"/>
        <w:numId w:val="48"/>
      </w:numPr>
      <w:spacing w:line="360" w:lineRule="auto"/>
    </w:pPr>
    <w:rPr>
      <w:sz w:val="24"/>
    </w:rPr>
  </w:style>
  <w:style w:type="paragraph" w:customStyle="1" w:styleId="LegalNumPar3">
    <w:name w:val="LegalNumPar3"/>
    <w:basedOn w:val="Normal"/>
    <w:rsid w:val="00AD73CF"/>
    <w:pPr>
      <w:numPr>
        <w:ilvl w:val="2"/>
        <w:numId w:val="48"/>
      </w:numPr>
      <w:spacing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5019">
      <w:bodyDiv w:val="1"/>
      <w:marLeft w:val="0"/>
      <w:marRight w:val="0"/>
      <w:marTop w:val="0"/>
      <w:marBottom w:val="0"/>
      <w:divBdr>
        <w:top w:val="none" w:sz="0" w:space="0" w:color="auto"/>
        <w:left w:val="none" w:sz="0" w:space="0" w:color="auto"/>
        <w:bottom w:val="none" w:sz="0" w:space="0" w:color="auto"/>
        <w:right w:val="none" w:sz="0" w:space="0" w:color="auto"/>
      </w:divBdr>
    </w:div>
    <w:div w:id="159128238">
      <w:bodyDiv w:val="1"/>
      <w:marLeft w:val="0"/>
      <w:marRight w:val="0"/>
      <w:marTop w:val="0"/>
      <w:marBottom w:val="0"/>
      <w:divBdr>
        <w:top w:val="none" w:sz="0" w:space="0" w:color="auto"/>
        <w:left w:val="none" w:sz="0" w:space="0" w:color="auto"/>
        <w:bottom w:val="none" w:sz="0" w:space="0" w:color="auto"/>
        <w:right w:val="none" w:sz="0" w:space="0" w:color="auto"/>
      </w:divBdr>
    </w:div>
    <w:div w:id="167017907">
      <w:bodyDiv w:val="1"/>
      <w:marLeft w:val="0"/>
      <w:marRight w:val="0"/>
      <w:marTop w:val="0"/>
      <w:marBottom w:val="0"/>
      <w:divBdr>
        <w:top w:val="none" w:sz="0" w:space="0" w:color="auto"/>
        <w:left w:val="none" w:sz="0" w:space="0" w:color="auto"/>
        <w:bottom w:val="none" w:sz="0" w:space="0" w:color="auto"/>
        <w:right w:val="none" w:sz="0" w:space="0" w:color="auto"/>
      </w:divBdr>
    </w:div>
    <w:div w:id="306201292">
      <w:bodyDiv w:val="1"/>
      <w:marLeft w:val="0"/>
      <w:marRight w:val="0"/>
      <w:marTop w:val="0"/>
      <w:marBottom w:val="0"/>
      <w:divBdr>
        <w:top w:val="none" w:sz="0" w:space="0" w:color="auto"/>
        <w:left w:val="none" w:sz="0" w:space="0" w:color="auto"/>
        <w:bottom w:val="none" w:sz="0" w:space="0" w:color="auto"/>
        <w:right w:val="none" w:sz="0" w:space="0" w:color="auto"/>
      </w:divBdr>
    </w:div>
    <w:div w:id="410153929">
      <w:bodyDiv w:val="1"/>
      <w:marLeft w:val="0"/>
      <w:marRight w:val="0"/>
      <w:marTop w:val="0"/>
      <w:marBottom w:val="0"/>
      <w:divBdr>
        <w:top w:val="none" w:sz="0" w:space="0" w:color="auto"/>
        <w:left w:val="none" w:sz="0" w:space="0" w:color="auto"/>
        <w:bottom w:val="none" w:sz="0" w:space="0" w:color="auto"/>
        <w:right w:val="none" w:sz="0" w:space="0" w:color="auto"/>
      </w:divBdr>
    </w:div>
    <w:div w:id="739401775">
      <w:bodyDiv w:val="1"/>
      <w:marLeft w:val="0"/>
      <w:marRight w:val="0"/>
      <w:marTop w:val="0"/>
      <w:marBottom w:val="0"/>
      <w:divBdr>
        <w:top w:val="none" w:sz="0" w:space="0" w:color="auto"/>
        <w:left w:val="none" w:sz="0" w:space="0" w:color="auto"/>
        <w:bottom w:val="none" w:sz="0" w:space="0" w:color="auto"/>
        <w:right w:val="none" w:sz="0" w:space="0" w:color="auto"/>
      </w:divBdr>
    </w:div>
    <w:div w:id="751003443">
      <w:bodyDiv w:val="1"/>
      <w:marLeft w:val="0"/>
      <w:marRight w:val="0"/>
      <w:marTop w:val="0"/>
      <w:marBottom w:val="0"/>
      <w:divBdr>
        <w:top w:val="none" w:sz="0" w:space="0" w:color="auto"/>
        <w:left w:val="none" w:sz="0" w:space="0" w:color="auto"/>
        <w:bottom w:val="none" w:sz="0" w:space="0" w:color="auto"/>
        <w:right w:val="none" w:sz="0" w:space="0" w:color="auto"/>
      </w:divBdr>
    </w:div>
    <w:div w:id="794713054">
      <w:bodyDiv w:val="1"/>
      <w:marLeft w:val="0"/>
      <w:marRight w:val="0"/>
      <w:marTop w:val="0"/>
      <w:marBottom w:val="0"/>
      <w:divBdr>
        <w:top w:val="none" w:sz="0" w:space="0" w:color="auto"/>
        <w:left w:val="none" w:sz="0" w:space="0" w:color="auto"/>
        <w:bottom w:val="none" w:sz="0" w:space="0" w:color="auto"/>
        <w:right w:val="none" w:sz="0" w:space="0" w:color="auto"/>
      </w:divBdr>
    </w:div>
    <w:div w:id="822740178">
      <w:bodyDiv w:val="1"/>
      <w:marLeft w:val="0"/>
      <w:marRight w:val="0"/>
      <w:marTop w:val="0"/>
      <w:marBottom w:val="0"/>
      <w:divBdr>
        <w:top w:val="none" w:sz="0" w:space="0" w:color="auto"/>
        <w:left w:val="none" w:sz="0" w:space="0" w:color="auto"/>
        <w:bottom w:val="none" w:sz="0" w:space="0" w:color="auto"/>
        <w:right w:val="none" w:sz="0" w:space="0" w:color="auto"/>
      </w:divBdr>
    </w:div>
    <w:div w:id="976647060">
      <w:bodyDiv w:val="1"/>
      <w:marLeft w:val="0"/>
      <w:marRight w:val="0"/>
      <w:marTop w:val="0"/>
      <w:marBottom w:val="0"/>
      <w:divBdr>
        <w:top w:val="none" w:sz="0" w:space="0" w:color="auto"/>
        <w:left w:val="none" w:sz="0" w:space="0" w:color="auto"/>
        <w:bottom w:val="none" w:sz="0" w:space="0" w:color="auto"/>
        <w:right w:val="none" w:sz="0" w:space="0" w:color="auto"/>
      </w:divBdr>
    </w:div>
    <w:div w:id="1032728724">
      <w:bodyDiv w:val="1"/>
      <w:marLeft w:val="0"/>
      <w:marRight w:val="0"/>
      <w:marTop w:val="0"/>
      <w:marBottom w:val="0"/>
      <w:divBdr>
        <w:top w:val="none" w:sz="0" w:space="0" w:color="auto"/>
        <w:left w:val="none" w:sz="0" w:space="0" w:color="auto"/>
        <w:bottom w:val="none" w:sz="0" w:space="0" w:color="auto"/>
        <w:right w:val="none" w:sz="0" w:space="0" w:color="auto"/>
      </w:divBdr>
    </w:div>
    <w:div w:id="1125781121">
      <w:bodyDiv w:val="1"/>
      <w:marLeft w:val="0"/>
      <w:marRight w:val="0"/>
      <w:marTop w:val="0"/>
      <w:marBottom w:val="0"/>
      <w:divBdr>
        <w:top w:val="none" w:sz="0" w:space="0" w:color="auto"/>
        <w:left w:val="none" w:sz="0" w:space="0" w:color="auto"/>
        <w:bottom w:val="none" w:sz="0" w:space="0" w:color="auto"/>
        <w:right w:val="none" w:sz="0" w:space="0" w:color="auto"/>
      </w:divBdr>
    </w:div>
    <w:div w:id="1143498170">
      <w:bodyDiv w:val="1"/>
      <w:marLeft w:val="0"/>
      <w:marRight w:val="0"/>
      <w:marTop w:val="0"/>
      <w:marBottom w:val="0"/>
      <w:divBdr>
        <w:top w:val="none" w:sz="0" w:space="0" w:color="auto"/>
        <w:left w:val="none" w:sz="0" w:space="0" w:color="auto"/>
        <w:bottom w:val="none" w:sz="0" w:space="0" w:color="auto"/>
        <w:right w:val="none" w:sz="0" w:space="0" w:color="auto"/>
      </w:divBdr>
    </w:div>
    <w:div w:id="1204513651">
      <w:bodyDiv w:val="1"/>
      <w:marLeft w:val="0"/>
      <w:marRight w:val="0"/>
      <w:marTop w:val="0"/>
      <w:marBottom w:val="0"/>
      <w:divBdr>
        <w:top w:val="none" w:sz="0" w:space="0" w:color="auto"/>
        <w:left w:val="none" w:sz="0" w:space="0" w:color="auto"/>
        <w:bottom w:val="none" w:sz="0" w:space="0" w:color="auto"/>
        <w:right w:val="none" w:sz="0" w:space="0" w:color="auto"/>
      </w:divBdr>
    </w:div>
    <w:div w:id="1359890138">
      <w:bodyDiv w:val="1"/>
      <w:marLeft w:val="0"/>
      <w:marRight w:val="0"/>
      <w:marTop w:val="0"/>
      <w:marBottom w:val="0"/>
      <w:divBdr>
        <w:top w:val="none" w:sz="0" w:space="0" w:color="auto"/>
        <w:left w:val="none" w:sz="0" w:space="0" w:color="auto"/>
        <w:bottom w:val="none" w:sz="0" w:space="0" w:color="auto"/>
        <w:right w:val="none" w:sz="0" w:space="0" w:color="auto"/>
      </w:divBdr>
    </w:div>
    <w:div w:id="1443189538">
      <w:bodyDiv w:val="1"/>
      <w:marLeft w:val="0"/>
      <w:marRight w:val="0"/>
      <w:marTop w:val="0"/>
      <w:marBottom w:val="0"/>
      <w:divBdr>
        <w:top w:val="none" w:sz="0" w:space="0" w:color="auto"/>
        <w:left w:val="none" w:sz="0" w:space="0" w:color="auto"/>
        <w:bottom w:val="none" w:sz="0" w:space="0" w:color="auto"/>
        <w:right w:val="none" w:sz="0" w:space="0" w:color="auto"/>
      </w:divBdr>
      <w:divsChild>
        <w:div w:id="1085810566">
          <w:marLeft w:val="1800"/>
          <w:marRight w:val="0"/>
          <w:marTop w:val="0"/>
          <w:marBottom w:val="120"/>
          <w:divBdr>
            <w:top w:val="none" w:sz="0" w:space="0" w:color="auto"/>
            <w:left w:val="none" w:sz="0" w:space="0" w:color="auto"/>
            <w:bottom w:val="none" w:sz="0" w:space="0" w:color="auto"/>
            <w:right w:val="none" w:sz="0" w:space="0" w:color="auto"/>
          </w:divBdr>
        </w:div>
        <w:div w:id="889808656">
          <w:marLeft w:val="1800"/>
          <w:marRight w:val="0"/>
          <w:marTop w:val="0"/>
          <w:marBottom w:val="120"/>
          <w:divBdr>
            <w:top w:val="none" w:sz="0" w:space="0" w:color="auto"/>
            <w:left w:val="none" w:sz="0" w:space="0" w:color="auto"/>
            <w:bottom w:val="none" w:sz="0" w:space="0" w:color="auto"/>
            <w:right w:val="none" w:sz="0" w:space="0" w:color="auto"/>
          </w:divBdr>
        </w:div>
        <w:div w:id="837842899">
          <w:marLeft w:val="1800"/>
          <w:marRight w:val="0"/>
          <w:marTop w:val="0"/>
          <w:marBottom w:val="120"/>
          <w:divBdr>
            <w:top w:val="none" w:sz="0" w:space="0" w:color="auto"/>
            <w:left w:val="none" w:sz="0" w:space="0" w:color="auto"/>
            <w:bottom w:val="none" w:sz="0" w:space="0" w:color="auto"/>
            <w:right w:val="none" w:sz="0" w:space="0" w:color="auto"/>
          </w:divBdr>
        </w:div>
        <w:div w:id="1487477846">
          <w:marLeft w:val="1800"/>
          <w:marRight w:val="0"/>
          <w:marTop w:val="0"/>
          <w:marBottom w:val="120"/>
          <w:divBdr>
            <w:top w:val="none" w:sz="0" w:space="0" w:color="auto"/>
            <w:left w:val="none" w:sz="0" w:space="0" w:color="auto"/>
            <w:bottom w:val="none" w:sz="0" w:space="0" w:color="auto"/>
            <w:right w:val="none" w:sz="0" w:space="0" w:color="auto"/>
          </w:divBdr>
        </w:div>
        <w:div w:id="1875265126">
          <w:marLeft w:val="1800"/>
          <w:marRight w:val="0"/>
          <w:marTop w:val="0"/>
          <w:marBottom w:val="120"/>
          <w:divBdr>
            <w:top w:val="none" w:sz="0" w:space="0" w:color="auto"/>
            <w:left w:val="none" w:sz="0" w:space="0" w:color="auto"/>
            <w:bottom w:val="none" w:sz="0" w:space="0" w:color="auto"/>
            <w:right w:val="none" w:sz="0" w:space="0" w:color="auto"/>
          </w:divBdr>
        </w:div>
      </w:divsChild>
    </w:div>
    <w:div w:id="1583105902">
      <w:bodyDiv w:val="1"/>
      <w:marLeft w:val="0"/>
      <w:marRight w:val="0"/>
      <w:marTop w:val="0"/>
      <w:marBottom w:val="0"/>
      <w:divBdr>
        <w:top w:val="none" w:sz="0" w:space="0" w:color="auto"/>
        <w:left w:val="none" w:sz="0" w:space="0" w:color="auto"/>
        <w:bottom w:val="none" w:sz="0" w:space="0" w:color="auto"/>
        <w:right w:val="none" w:sz="0" w:space="0" w:color="auto"/>
      </w:divBdr>
    </w:div>
    <w:div w:id="1622347901">
      <w:bodyDiv w:val="1"/>
      <w:marLeft w:val="0"/>
      <w:marRight w:val="0"/>
      <w:marTop w:val="0"/>
      <w:marBottom w:val="0"/>
      <w:divBdr>
        <w:top w:val="none" w:sz="0" w:space="0" w:color="auto"/>
        <w:left w:val="none" w:sz="0" w:space="0" w:color="auto"/>
        <w:bottom w:val="none" w:sz="0" w:space="0" w:color="auto"/>
        <w:right w:val="none" w:sz="0" w:space="0" w:color="auto"/>
      </w:divBdr>
    </w:div>
    <w:div w:id="1886024769">
      <w:bodyDiv w:val="1"/>
      <w:marLeft w:val="0"/>
      <w:marRight w:val="0"/>
      <w:marTop w:val="0"/>
      <w:marBottom w:val="0"/>
      <w:divBdr>
        <w:top w:val="none" w:sz="0" w:space="0" w:color="auto"/>
        <w:left w:val="none" w:sz="0" w:space="0" w:color="auto"/>
        <w:bottom w:val="none" w:sz="0" w:space="0" w:color="auto"/>
        <w:right w:val="none" w:sz="0" w:space="0" w:color="auto"/>
      </w:divBdr>
    </w:div>
    <w:div w:id="1942837643">
      <w:bodyDiv w:val="1"/>
      <w:marLeft w:val="0"/>
      <w:marRight w:val="0"/>
      <w:marTop w:val="0"/>
      <w:marBottom w:val="0"/>
      <w:divBdr>
        <w:top w:val="none" w:sz="0" w:space="0" w:color="auto"/>
        <w:left w:val="none" w:sz="0" w:space="0" w:color="auto"/>
        <w:bottom w:val="none" w:sz="0" w:space="0" w:color="auto"/>
        <w:right w:val="none" w:sz="0" w:space="0" w:color="auto"/>
      </w:divBdr>
    </w:div>
    <w:div w:id="1964379644">
      <w:bodyDiv w:val="1"/>
      <w:marLeft w:val="0"/>
      <w:marRight w:val="0"/>
      <w:marTop w:val="0"/>
      <w:marBottom w:val="0"/>
      <w:divBdr>
        <w:top w:val="none" w:sz="0" w:space="0" w:color="auto"/>
        <w:left w:val="none" w:sz="0" w:space="0" w:color="auto"/>
        <w:bottom w:val="none" w:sz="0" w:space="0" w:color="auto"/>
        <w:right w:val="none" w:sz="0" w:space="0" w:color="auto"/>
      </w:divBdr>
      <w:divsChild>
        <w:div w:id="820537732">
          <w:marLeft w:val="547"/>
          <w:marRight w:val="0"/>
          <w:marTop w:val="0"/>
          <w:marBottom w:val="0"/>
          <w:divBdr>
            <w:top w:val="none" w:sz="0" w:space="0" w:color="auto"/>
            <w:left w:val="none" w:sz="0" w:space="0" w:color="auto"/>
            <w:bottom w:val="none" w:sz="0" w:space="0" w:color="auto"/>
            <w:right w:val="none" w:sz="0" w:space="0" w:color="auto"/>
          </w:divBdr>
        </w:div>
        <w:div w:id="805119689">
          <w:marLeft w:val="547"/>
          <w:marRight w:val="0"/>
          <w:marTop w:val="0"/>
          <w:marBottom w:val="0"/>
          <w:divBdr>
            <w:top w:val="none" w:sz="0" w:space="0" w:color="auto"/>
            <w:left w:val="none" w:sz="0" w:space="0" w:color="auto"/>
            <w:bottom w:val="none" w:sz="0" w:space="0" w:color="auto"/>
            <w:right w:val="none" w:sz="0" w:space="0" w:color="auto"/>
          </w:divBdr>
        </w:div>
        <w:div w:id="74594901">
          <w:marLeft w:val="547"/>
          <w:marRight w:val="0"/>
          <w:marTop w:val="0"/>
          <w:marBottom w:val="0"/>
          <w:divBdr>
            <w:top w:val="none" w:sz="0" w:space="0" w:color="auto"/>
            <w:left w:val="none" w:sz="0" w:space="0" w:color="auto"/>
            <w:bottom w:val="none" w:sz="0" w:space="0" w:color="auto"/>
            <w:right w:val="none" w:sz="0" w:space="0" w:color="auto"/>
          </w:divBdr>
        </w:div>
      </w:divsChild>
    </w:div>
    <w:div w:id="209763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ec.europa.eu/clima/sites/default/files/ozone/docs/swd_2019_406_en.pdf" TargetMode="External"/><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header" Target="header8.xml"/><Relationship Id="rId63" Type="http://schemas.openxmlformats.org/officeDocument/2006/relationships/footer" Target="footer11.xml"/><Relationship Id="rId68" Type="http://schemas.openxmlformats.org/officeDocument/2006/relationships/header" Target="header14.xml"/><Relationship Id="rId7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emf"/><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header" Target="header9.xml"/><Relationship Id="rId66" Type="http://schemas.openxmlformats.org/officeDocument/2006/relationships/image" Target="media/image30.png"/><Relationship Id="rId74" Type="http://schemas.openxmlformats.org/officeDocument/2006/relationships/header" Target="header16.xml"/><Relationship Id="rId79"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image" Target="media/image31.png"/><Relationship Id="rId78" Type="http://schemas.openxmlformats.org/officeDocument/2006/relationships/header" Target="header1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7.xml"/><Relationship Id="rId64" Type="http://schemas.openxmlformats.org/officeDocument/2006/relationships/header" Target="header12.xml"/><Relationship Id="rId69" Type="http://schemas.openxmlformats.org/officeDocument/2006/relationships/footer" Target="footer13.xml"/><Relationship Id="rId77"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footer" Target="footer1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9.xml"/><Relationship Id="rId67" Type="http://schemas.openxmlformats.org/officeDocument/2006/relationships/header" Target="header13.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header" Target="header7.xml"/><Relationship Id="rId62"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lima/sites/default/files/ozone/docs/swd_2019_406_en.pdf" TargetMode="External"/><Relationship Id="rId2" Type="http://schemas.openxmlformats.org/officeDocument/2006/relationships/hyperlink" Target="https://treaties.un.org/doc/publication/unts/volume%201522/volume-1522-i-26369-english.pdf" TargetMode="External"/><Relationship Id="rId1" Type="http://schemas.openxmlformats.org/officeDocument/2006/relationships/hyperlink" Target="https://www.unep.org/resources/report/hfcs-critical-link-protecting-climate-and-ozone-layer" TargetMode="External"/><Relationship Id="rId6" Type="http://schemas.openxmlformats.org/officeDocument/2006/relationships/hyperlink" Target="https://ec.europa.eu/environment/document/download/099b6bff-d853-4061-a15c-58ade46cfe6b_en" TargetMode="External"/><Relationship Id="rId5" Type="http://schemas.openxmlformats.org/officeDocument/2006/relationships/hyperlink" Target="https://www.ghgprotocol.org/sites/default/files/ghgp/Global-Warming-Potential-Values%20%28Feb%2016%202016%29_1.pdf" TargetMode="External"/><Relationship Id="rId4" Type="http://schemas.openxmlformats.org/officeDocument/2006/relationships/hyperlink" Target="https://prtr.eea.europa.e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'[20210106_ODS_foams_v2.xlsx]ODS foam banks_baseline'!$B$9</c:f>
              <c:strCache>
                <c:ptCount val="1"/>
                <c:pt idx="0">
                  <c:v>ODPt</c:v>
                </c:pt>
              </c:strCache>
            </c:strRef>
          </c:tx>
          <c:spPr>
            <a:solidFill>
              <a:schemeClr val="accent1"/>
            </a:solidFill>
            <a:ln>
              <a:noFill/>
            </a:ln>
            <a:effectLst/>
          </c:spPr>
          <c:invertIfNegative val="0"/>
          <c:cat>
            <c:numRef>
              <c:f>'C:\Users\cc35\OneDrive - Ricardo Plc\Desktop\ODS\Review DG CLIMA\Latest\[graph 5.3.2.3.xlsx]Sheet1'!$C$2:$F$2</c:f>
              <c:numCache>
                <c:formatCode>General</c:formatCode>
                <c:ptCount val="4"/>
                <c:pt idx="0">
                  <c:v>2020</c:v>
                </c:pt>
                <c:pt idx="1">
                  <c:v>2030</c:v>
                </c:pt>
                <c:pt idx="2">
                  <c:v>2040</c:v>
                </c:pt>
                <c:pt idx="3">
                  <c:v>2050</c:v>
                </c:pt>
              </c:numCache>
            </c:numRef>
          </c:cat>
          <c:val>
            <c:numRef>
              <c:f>'[20210106_ODS_foams_v2.xlsx]ODS foam banks_baseline'!$C$9:$F$9</c:f>
              <c:numCache>
                <c:formatCode>_-* #,##0_-;\-* #,##0_-;_-* "-"??_-;_-@_-</c:formatCode>
                <c:ptCount val="4"/>
                <c:pt idx="0">
                  <c:v>6000</c:v>
                </c:pt>
                <c:pt idx="1">
                  <c:v>6700</c:v>
                </c:pt>
                <c:pt idx="2">
                  <c:v>6000</c:v>
                </c:pt>
                <c:pt idx="3">
                  <c:v>4000</c:v>
                </c:pt>
              </c:numCache>
            </c:numRef>
          </c:val>
          <c:extLst>
            <c:ext xmlns:c16="http://schemas.microsoft.com/office/drawing/2014/chart" uri="{C3380CC4-5D6E-409C-BE32-E72D297353CC}">
              <c16:uniqueId val="{00000000-9398-499E-8E7E-4DACE7C99744}"/>
            </c:ext>
          </c:extLst>
        </c:ser>
        <c:dLbls>
          <c:showLegendKey val="0"/>
          <c:showVal val="0"/>
          <c:showCatName val="0"/>
          <c:showSerName val="0"/>
          <c:showPercent val="0"/>
          <c:showBubbleSize val="0"/>
        </c:dLbls>
        <c:gapWidth val="150"/>
        <c:axId val="1057602576"/>
        <c:axId val="1057603232"/>
      </c:barChart>
      <c:lineChart>
        <c:grouping val="standard"/>
        <c:varyColors val="0"/>
        <c:ser>
          <c:idx val="1"/>
          <c:order val="1"/>
          <c:tx>
            <c:strRef>
              <c:f>'[20210106_ODS_foams_v2.xlsx]ODS foam banks_baseline'!$B$10</c:f>
              <c:strCache>
                <c:ptCount val="1"/>
                <c:pt idx="0">
                  <c:v>kTCO2e</c:v>
                </c:pt>
              </c:strCache>
            </c:strRef>
          </c:tx>
          <c:spPr>
            <a:ln w="28575" cap="rnd">
              <a:solidFill>
                <a:schemeClr val="accent2"/>
              </a:solidFill>
              <a:round/>
            </a:ln>
            <a:effectLst/>
          </c:spPr>
          <c:marker>
            <c:symbol val="none"/>
          </c:marker>
          <c:cat>
            <c:numRef>
              <c:f>'https://ricardogroup-my.sharepoint.com/personal/cris_caballero_ricardo_com/Documents/Microsoft Teams Chat Files/ODS/Review DG CLIMA/[20210312_ODS_CCF_v3.xlsx]ODS banks (ODPt) corrected'!$AX$41:$BA$41</c:f>
              <c:numCache>
                <c:formatCode>General</c:formatCode>
                <c:ptCount val="4"/>
                <c:pt idx="0">
                  <c:v>2020</c:v>
                </c:pt>
                <c:pt idx="1">
                  <c:v>2030</c:v>
                </c:pt>
                <c:pt idx="2">
                  <c:v>2040</c:v>
                </c:pt>
                <c:pt idx="3">
                  <c:v>2050</c:v>
                </c:pt>
              </c:numCache>
            </c:numRef>
          </c:cat>
          <c:val>
            <c:numRef>
              <c:f>'[20210106_ODS_foams_v2.xlsx]ODS foam banks_baseline'!$C$10:$F$10</c:f>
              <c:numCache>
                <c:formatCode>_-* #,##0_-;\-* #,##0_-;_-* "-"??_-;_-@_-</c:formatCode>
                <c:ptCount val="4"/>
                <c:pt idx="0">
                  <c:v>37000</c:v>
                </c:pt>
                <c:pt idx="1">
                  <c:v>42500</c:v>
                </c:pt>
                <c:pt idx="2">
                  <c:v>40000</c:v>
                </c:pt>
                <c:pt idx="3">
                  <c:v>23000</c:v>
                </c:pt>
              </c:numCache>
            </c:numRef>
          </c:val>
          <c:smooth val="0"/>
          <c:extLst>
            <c:ext xmlns:c16="http://schemas.microsoft.com/office/drawing/2014/chart" uri="{C3380CC4-5D6E-409C-BE32-E72D297353CC}">
              <c16:uniqueId val="{00000001-9398-499E-8E7E-4DACE7C99744}"/>
            </c:ext>
          </c:extLst>
        </c:ser>
        <c:dLbls>
          <c:showLegendKey val="0"/>
          <c:showVal val="0"/>
          <c:showCatName val="0"/>
          <c:showSerName val="0"/>
          <c:showPercent val="0"/>
          <c:showBubbleSize val="0"/>
        </c:dLbls>
        <c:marker val="1"/>
        <c:smooth val="0"/>
        <c:axId val="721777856"/>
        <c:axId val="721777200"/>
      </c:lineChart>
      <c:catAx>
        <c:axId val="10576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57603232"/>
        <c:crosses val="autoZero"/>
        <c:auto val="1"/>
        <c:lblAlgn val="ctr"/>
        <c:lblOffset val="100"/>
        <c:noMultiLvlLbl val="0"/>
      </c:catAx>
      <c:valAx>
        <c:axId val="10576032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aseline="0"/>
                  <a:t>Ozone depleting potential</a:t>
                </a:r>
              </a:p>
              <a:p>
                <a:pPr>
                  <a:defRPr sz="1200"/>
                </a:pPr>
                <a:r>
                  <a:rPr lang="en-GB" sz="1200" baseline="0"/>
                  <a:t>(tonnes CFC equivalent)</a:t>
                </a:r>
              </a:p>
            </c:rich>
          </c:tx>
          <c:layout>
            <c:manualLayout>
              <c:xMode val="edge"/>
              <c:yMode val="edge"/>
              <c:x val="2.7797081306462822E-2"/>
              <c:y val="0.1539713212453947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2576"/>
        <c:crosses val="autoZero"/>
        <c:crossBetween val="between"/>
      </c:valAx>
      <c:valAx>
        <c:axId val="721777200"/>
        <c:scaling>
          <c:orientation val="minMax"/>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Global</a:t>
                </a:r>
                <a:r>
                  <a:rPr lang="en-GB" sz="1200" baseline="0"/>
                  <a:t> Warming Potential (kTCO</a:t>
                </a:r>
                <a:r>
                  <a:rPr lang="en-GB" sz="1200" baseline="-25000"/>
                  <a:t>2</a:t>
                </a:r>
                <a:r>
                  <a:rPr lang="en-GB" sz="1200" baseline="0"/>
                  <a:t>e)</a:t>
                </a:r>
                <a:endParaRPr lang="en-GB"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777856"/>
        <c:crosses val="max"/>
        <c:crossBetween val="between"/>
      </c:valAx>
      <c:catAx>
        <c:axId val="721777856"/>
        <c:scaling>
          <c:orientation val="minMax"/>
        </c:scaling>
        <c:delete val="1"/>
        <c:axPos val="b"/>
        <c:numFmt formatCode="General" sourceLinked="1"/>
        <c:majorTickMark val="out"/>
        <c:minorTickMark val="none"/>
        <c:tickLblPos val="nextTo"/>
        <c:crossAx val="721777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d206550b-961c-4b83-a2d4-b8fdbe48a929" xsi:nil="true"/>
    <EC_Collab_Status xmlns="d206550b-961c-4b83-a2d4-b8fdbe48a929">Not Started</EC_Collab_Status>
    <EC_Collab_DocumentLanguage xmlns="d206550b-961c-4b83-a2d4-b8fdbe48a929">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BACE5CAC6A6B74EB03A6A7A89C32BCD" ma:contentTypeVersion="0" ma:contentTypeDescription="Create a new document in this library." ma:contentTypeScope="" ma:versionID="60b86101c5c1114a734d932fcbc8b417">
  <xsd:schema xmlns:xsd="http://www.w3.org/2001/XMLSchema" xmlns:xs="http://www.w3.org/2001/XMLSchema" xmlns:p="http://schemas.microsoft.com/office/2006/metadata/properties" xmlns:ns2="http://schemas.microsoft.com/sharepoint/v3/fields" xmlns:ns3="d206550b-961c-4b83-a2d4-b8fdbe48a929" targetNamespace="http://schemas.microsoft.com/office/2006/metadata/properties" ma:root="true" ma:fieldsID="53b0bf9dd513b97535dcfa575bca3979" ns2:_="" ns3:_="">
    <xsd:import namespace="http://schemas.microsoft.com/sharepoint/v3/fields"/>
    <xsd:import namespace="d206550b-961c-4b83-a2d4-b8fdbe48a929"/>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06550b-961c-4b83-a2d4-b8fdbe48a92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SKM12</b:Tag>
    <b:SourceType>Report</b:SourceType>
    <b:Guid>{9248FB64-51B1-467E-9A6E-62B7560E5DDB}</b:Guid>
    <b:Author>
      <b:Author>
        <b:Corporate>SKM Enviros</b:Corporate>
      </b:Author>
    </b:Author>
    <b:Title>Further Assessment of Policy Options for the Management and Destruction of Banks of ODS and F-Gases in the EU</b:Title>
    <b:Year>2012</b:Year>
    <b:RefOrder>1</b:RefOrder>
  </b:Source>
  <b:Source>
    <b:Tag>Eur20a</b:Tag>
    <b:SourceType>Report</b:SourceType>
    <b:Guid>{CFD17866-E11E-4D67-B5B3-04811A57D66A}</b:Guid>
    <b:Author>
      <b:Author>
        <b:NameList>
          <b:Person>
            <b:Last>EEA</b:Last>
          </b:Person>
        </b:NameList>
      </b:Author>
    </b:Author>
    <b:Title>Ozone-depleting substances 2020. https://www.eea.europa.eu/themes/climate/ozone-depleting-substances-and-climate-change/2020</b:Title>
    <b:Year>2020</b:Year>
    <b:RefOrder>5</b:RefOrder>
  </b:Source>
  <b:Source>
    <b:Tag>Hon19</b:Tag>
    <b:SourceType>Report</b:SourceType>
    <b:Guid>{A3BBAA96-AB91-421B-9CE9-8C49D51CC1CA}</b:Guid>
    <b:Author>
      <b:Author>
        <b:Corporate>Honeywell</b:Corporate>
      </b:Author>
    </b:Author>
    <b:Title>Update on next generation low GWP Refrigerants for chiller products</b:Title>
    <b:Year>2019</b:Year>
    <b:RefOrder>19</b:RefOrder>
  </b:Source>
  <b:Source>
    <b:Tag>Sav18</b:Tag>
    <b:SourceType>Report</b:SourceType>
    <b:Guid>{7A9DB27D-7FA5-4C94-878C-C18CFE219BF4}</b:Guid>
    <b:Author>
      <b:Author>
        <b:NameList>
          <b:Person>
            <b:Last>Saviano</b:Last>
            <b:First>G.</b:First>
          </b:Person>
        </b:NameList>
      </b:Author>
    </b:Author>
    <b:Title>Properties of potential eco-friendly gas replacements for particle detectors in high energy physics</b:Title>
    <b:Year>2018</b:Year>
    <b:RefOrder>20</b:RefOrder>
  </b:Source>
  <b:Source>
    <b:Tag>Cle20</b:Tag>
    <b:SourceType>Report</b:SourceType>
    <b:Guid>{1D6BECE6-0952-4153-9E9B-24EA4B85046E}</b:Guid>
    <b:Author>
      <b:Author>
        <b:Corporate>Clean label project</b:Corporate>
      </b:Author>
    </b:Author>
    <b:Title>Decaf Coffee: Our point of view; study on DCM contents in decaf coffee</b:Title>
    <b:Year>2020</b:Year>
    <b:RefOrder>23</b:RefOrder>
  </b:Source>
  <b:Source>
    <b:Tag>ECH16</b:Tag>
    <b:SourceType>Report</b:SourceType>
    <b:Guid>{73AE3B0B-8765-4513-99F7-D705C4808C57}</b:Guid>
    <b:Author>
      <b:Author>
        <b:Corporate>ECHA</b:Corporate>
      </b:Author>
    </b:Author>
    <b:Title>Substance infocard for dichloromethane; methylene chloride</b:Title>
    <b:Year>2016</b:Year>
    <b:RefOrder>24</b:RefOrder>
  </b:Source>
  <b:Source>
    <b:Tag>Eur2</b:Tag>
    <b:SourceType>Report</b:SourceType>
    <b:Guid>{41C857CB-C477-49CB-9B44-936B0518C4FA}</b:Guid>
    <b:Author>
      <b:Author>
        <b:Corporate>European Commission</b:Corporate>
      </b:Author>
    </b:Author>
    <b:Title>Volatile Organic Carbon Solvents Directive</b:Title>
    <b:Year>1999</b:Year>
    <b:RefOrder>25</b:RefOrder>
  </b:Source>
  <b:Source>
    <b:Tag>Eur13</b:Tag>
    <b:SourceType>Report</b:SourceType>
    <b:Guid>{56D9B78B-AB1D-4BD6-A011-0A4D7DCAFC4D}</b:Guid>
    <b:Author>
      <b:Author>
        <b:Corporate>European Chemicals Bureau</b:Corporate>
      </b:Author>
    </b:Author>
    <b:Title>Tetrachloroethylene Risk Assessment Report - part I: Environment</b:Title>
    <b:Year>2005</b:Year>
    <b:RefOrder>26</b:RefOrder>
  </b:Source>
  <b:Source>
    <b:Tag>Eur1</b:Tag>
    <b:SourceType>Report</b:SourceType>
    <b:Guid>{2D1D4F63-2C5D-4B22-BA16-1039430F2B3F}</b:Guid>
    <b:Author>
      <b:Author>
        <b:Corporate>European Commission</b:Corporate>
      </b:Author>
    </b:Author>
    <b:Title>Staff Working Document: Evaluation of Regulation (EC) No 1005/2009 of the European Parliament and of the Council of 16 September 2009 on substances that deplete the ozone layer</b:Title>
    <b:Year>2019</b:Year>
    <b:RefOrder>1</b:RefOrder>
  </b:Source>
  <b:Source>
    <b:Tag>Eur20</b:Tag>
    <b:SourceType>Report</b:SourceType>
    <b:Guid>{05A032BB-D3D7-4FE6-958F-5157244A7940}</b:Guid>
    <b:Author>
      <b:Author>
        <b:Corporate>European Environment Agency</b:Corporate>
      </b:Author>
    </b:Author>
    <b:Title>Annual data collection on production and use of ODS substances</b:Title>
    <b:Year>2020</b:Year>
    <b:RefOrder>11</b:RefOrder>
  </b:Source>
  <b:Source>
    <b:Tag>Ram19</b:Tag>
    <b:SourceType>Report</b:SourceType>
    <b:Guid>{599FD3BD-1D09-49CB-8F6B-F12950686331}</b:Guid>
    <b:Author>
      <b:Author>
        <b:Corporate>Ramboll</b:Corporate>
      </b:Author>
    </b:Author>
    <b:Title>Support study for the evaluation of Regulation (EC) No 1005/2009 on substances that deplete the ozone layer</b:Title>
    <b:Year>2019</b:Year>
    <b:RefOrder>12</b:RefOrder>
  </b:Source>
  <b:Source>
    <b:Tag>UNE18</b:Tag>
    <b:SourceType>Report</b:SourceType>
    <b:Guid>{84E98707-CB77-494E-8ABF-880093639645}</b:Guid>
    <b:Title>Report of the Halons Technical Options Committee, Volume 1, 2018 Assessment Report.</b:Title>
    <b:Year>2018</b:Year>
    <b:Author>
      <b:Author>
        <b:NameList>
          <b:Person>
            <b:Last>UNEP</b:Last>
          </b:Person>
        </b:NameList>
      </b:Author>
    </b:Author>
    <b:RefOrder>3</b:RefOrder>
  </b:Source>
</b:Sources>
</file>

<file path=customXml/itemProps1.xml><?xml version="1.0" encoding="utf-8"?>
<ds:datastoreItem xmlns:ds="http://schemas.openxmlformats.org/officeDocument/2006/customXml" ds:itemID="{91467BB0-9DDA-40F1-B7F8-AD012572CAB9}">
  <ds:schemaRefs>
    <ds:schemaRef ds:uri="http://schemas.microsoft.com/sharepoint/v3/contenttype/forms"/>
  </ds:schemaRefs>
</ds:datastoreItem>
</file>

<file path=customXml/itemProps2.xml><?xml version="1.0" encoding="utf-8"?>
<ds:datastoreItem xmlns:ds="http://schemas.openxmlformats.org/officeDocument/2006/customXml" ds:itemID="{EB77BE46-4155-4A61-A9CE-FD4279F80C22}">
  <ds:schemaRefs>
    <ds:schemaRef ds:uri="d206550b-961c-4b83-a2d4-b8fdbe48a929"/>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microsoft.com/sharepoint/v3/fields"/>
    <ds:schemaRef ds:uri="http://purl.org/dc/dcmitype/"/>
    <ds:schemaRef ds:uri="http://purl.org/dc/terms/"/>
  </ds:schemaRefs>
</ds:datastoreItem>
</file>

<file path=customXml/itemProps3.xml><?xml version="1.0" encoding="utf-8"?>
<ds:datastoreItem xmlns:ds="http://schemas.openxmlformats.org/officeDocument/2006/customXml" ds:itemID="{E9B6EB4B-E45D-4361-82F4-5C47BA3C1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206550b-961c-4b83-a2d4-b8fdbe48a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E4B5AE-4BA4-4963-BB26-5166FF5B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37513</Words>
  <Characters>202576</Characters>
  <Application>Microsoft Office Word</Application>
  <DocSecurity>0</DocSecurity>
  <Lines>5330</Lines>
  <Paragraphs>2527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29</cp:revision>
  <dcterms:created xsi:type="dcterms:W3CDTF">2022-03-28T16:49:00Z</dcterms:created>
  <dcterms:modified xsi:type="dcterms:W3CDTF">2022-04-04T18:31:00Z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Created using">
    <vt:lpwstr>LW 7.0.1, Build 20190916</vt:lpwstr>
  </property>
  <property fmtid="{D5CDD505-2E9C-101B-9397-08002B2CF9AE}" pid="8" name="Last edited using">
    <vt:lpwstr>LW 8.0, Build 20220128</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_LW_INVALIDATED__LW_INVALIDATED__LW_INVALIDATED">
    <vt:lpwstr>0x010100258AA79CEB83498886A3A08681123250001BACE5CAC6A6B74EB03A6A7A89C32BCD</vt:lpwstr>
  </property>
  <property fmtid="{D5CDD505-2E9C-101B-9397-08002B2CF9AE}" pid="10" name="MSIP_Label_6bd9ddd1-4d20-43f6-abfa-fc3c07406f94_Enabled">
    <vt:lpwstr>true</vt:lpwstr>
  </property>
  <property fmtid="{D5CDD505-2E9C-101B-9397-08002B2CF9AE}" pid="11" name="MSIP_Label_6bd9ddd1-4d20-43f6-abfa-fc3c07406f94_SetDate">
    <vt:lpwstr>2022-03-21T08:48:47Z</vt:lpwstr>
  </property>
  <property fmtid="{D5CDD505-2E9C-101B-9397-08002B2CF9AE}" pid="12" name="MSIP_Label_6bd9ddd1-4d20-43f6-abfa-fc3c07406f94_Method">
    <vt:lpwstr>Standard</vt:lpwstr>
  </property>
  <property fmtid="{D5CDD505-2E9C-101B-9397-08002B2CF9AE}" pid="13" name="MSIP_Label_6bd9ddd1-4d20-43f6-abfa-fc3c07406f94_Name">
    <vt:lpwstr>Commission Use</vt:lpwstr>
  </property>
  <property fmtid="{D5CDD505-2E9C-101B-9397-08002B2CF9AE}" pid="14" name="MSIP_Label_6bd9ddd1-4d20-43f6-abfa-fc3c07406f94_SiteId">
    <vt:lpwstr>b24c8b06-522c-46fe-9080-70926f8dddb1</vt:lpwstr>
  </property>
  <property fmtid="{D5CDD505-2E9C-101B-9397-08002B2CF9AE}" pid="15" name="MSIP_Label_6bd9ddd1-4d20-43f6-abfa-fc3c07406f94_ActionId">
    <vt:lpwstr>f1eaa1b4-8fc7-47e8-a968-0f2ca8016fda</vt:lpwstr>
  </property>
  <property fmtid="{D5CDD505-2E9C-101B-9397-08002B2CF9AE}" pid="16" name="MSIP_Label_6bd9ddd1-4d20-43f6-abfa-fc3c07406f94_ContentBits">
    <vt:lpwstr>0</vt:lpwstr>
  </property>
</Properties>
</file>