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6D4C" w14:textId="3ACF3B33" w:rsidR="0050450A" w:rsidRPr="00E76013" w:rsidRDefault="00F529D1" w:rsidP="00F529D1">
      <w:pPr>
        <w:pStyle w:val="Pagedecouverture"/>
        <w:rPr>
          <w:noProof/>
        </w:rPr>
      </w:pPr>
      <w:bookmarkStart w:id="0" w:name="LW_BM_COVERPAGE"/>
      <w:r>
        <w:rPr>
          <w:noProof/>
        </w:rPr>
        <w:pict w14:anchorId="5207F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0BC8029-866D-47A8-AF0B-2F9D8D368FD0" style="width:455.25pt;height:393pt">
            <v:imagedata r:id="rId11" o:title=""/>
          </v:shape>
        </w:pict>
      </w:r>
    </w:p>
    <w:bookmarkEnd w:id="0"/>
    <w:p w14:paraId="68A5A110" w14:textId="77777777" w:rsidR="00F03DF2" w:rsidRDefault="00F03DF2" w:rsidP="00F03DF2">
      <w:pPr>
        <w:rPr>
          <w:noProof/>
        </w:rPr>
        <w:sectPr w:rsidR="00F03DF2" w:rsidSect="00F529D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bookmarkEnd w:id="1"/>
    <w:p w14:paraId="74626DEE" w14:textId="682986FA" w:rsidR="00913BE6" w:rsidRDefault="00BF4AF9">
      <w:pPr>
        <w:pStyle w:val="TOC1"/>
        <w:rPr>
          <w:rFonts w:eastAsiaTheme="minorEastAsia"/>
          <w:noProof/>
          <w:lang w:val="en-GB" w:eastAsia="en-GB"/>
        </w:rPr>
      </w:pPr>
      <w:r w:rsidRPr="00E76013">
        <w:rPr>
          <w:rFonts w:ascii="Times New Roman" w:hAnsi="Times New Roman" w:cs="Times New Roman"/>
          <w:noProof/>
          <w:color w:val="2B579A"/>
          <w:lang w:val="en-GB"/>
        </w:rPr>
        <w:lastRenderedPageBreak/>
        <w:fldChar w:fldCharType="begin"/>
      </w:r>
      <w:r w:rsidRPr="0A8D07CB">
        <w:rPr>
          <w:rFonts w:ascii="Times New Roman" w:hAnsi="Times New Roman" w:cs="Times New Roman"/>
          <w:noProof/>
          <w:lang w:val="en-GB"/>
        </w:rPr>
        <w:instrText xml:space="preserve"> TOC \o "1-3" \h \z \u </w:instrText>
      </w:r>
      <w:r w:rsidRPr="00E76013">
        <w:rPr>
          <w:rFonts w:ascii="Times New Roman" w:hAnsi="Times New Roman" w:cs="Times New Roman"/>
          <w:noProof/>
          <w:color w:val="2B579A"/>
          <w:lang w:val="en-GB"/>
        </w:rPr>
        <w:fldChar w:fldCharType="separate"/>
      </w:r>
      <w:hyperlink w:anchor="_Toc99909910" w:history="1">
        <w:r w:rsidR="00913BE6" w:rsidRPr="00FF20C4">
          <w:rPr>
            <w:rStyle w:val="Hyperlink"/>
            <w:noProof/>
          </w:rPr>
          <w:t>1.</w:t>
        </w:r>
        <w:r w:rsidR="00913BE6">
          <w:rPr>
            <w:rFonts w:eastAsiaTheme="minorEastAsia"/>
            <w:noProof/>
            <w:lang w:val="en-GB" w:eastAsia="en-GB"/>
          </w:rPr>
          <w:tab/>
        </w:r>
        <w:r w:rsidR="00913BE6" w:rsidRPr="00FF20C4">
          <w:rPr>
            <w:rStyle w:val="Hyperlink"/>
            <w:noProof/>
          </w:rPr>
          <w:t>Executive summary</w:t>
        </w:r>
        <w:r w:rsidR="00913BE6">
          <w:rPr>
            <w:noProof/>
            <w:webHidden/>
          </w:rPr>
          <w:tab/>
        </w:r>
        <w:r w:rsidR="00913BE6">
          <w:rPr>
            <w:noProof/>
            <w:webHidden/>
          </w:rPr>
          <w:fldChar w:fldCharType="begin"/>
        </w:r>
        <w:r w:rsidR="00913BE6">
          <w:rPr>
            <w:noProof/>
            <w:webHidden/>
          </w:rPr>
          <w:instrText xml:space="preserve"> PAGEREF _Toc99909910 \h </w:instrText>
        </w:r>
        <w:r w:rsidR="00913BE6">
          <w:rPr>
            <w:noProof/>
            <w:webHidden/>
          </w:rPr>
        </w:r>
        <w:r w:rsidR="00913BE6">
          <w:rPr>
            <w:noProof/>
            <w:webHidden/>
          </w:rPr>
          <w:fldChar w:fldCharType="separate"/>
        </w:r>
        <w:r w:rsidR="00596A42">
          <w:rPr>
            <w:noProof/>
            <w:webHidden/>
          </w:rPr>
          <w:t>2</w:t>
        </w:r>
        <w:r w:rsidR="00913BE6">
          <w:rPr>
            <w:noProof/>
            <w:webHidden/>
          </w:rPr>
          <w:fldChar w:fldCharType="end"/>
        </w:r>
      </w:hyperlink>
    </w:p>
    <w:p w14:paraId="7F202B62" w14:textId="31BFAD2E" w:rsidR="00913BE6" w:rsidRDefault="00F529D1">
      <w:pPr>
        <w:pStyle w:val="TOC1"/>
        <w:rPr>
          <w:rFonts w:eastAsiaTheme="minorEastAsia"/>
          <w:noProof/>
          <w:lang w:val="en-GB" w:eastAsia="en-GB"/>
        </w:rPr>
      </w:pPr>
      <w:hyperlink w:anchor="_Toc99909911" w:history="1">
        <w:r w:rsidR="00913BE6" w:rsidRPr="00FF20C4">
          <w:rPr>
            <w:rStyle w:val="Hyperlink"/>
            <w:noProof/>
          </w:rPr>
          <w:t>2.</w:t>
        </w:r>
        <w:r w:rsidR="00913BE6">
          <w:rPr>
            <w:rFonts w:eastAsiaTheme="minorEastAsia"/>
            <w:noProof/>
            <w:lang w:val="en-GB" w:eastAsia="en-GB"/>
          </w:rPr>
          <w:tab/>
        </w:r>
        <w:r w:rsidR="00913BE6" w:rsidRPr="00FF20C4">
          <w:rPr>
            <w:rStyle w:val="Hyperlink"/>
            <w:noProof/>
          </w:rPr>
          <w:t>Recovery and resilience challenges: scene-setter</w:t>
        </w:r>
        <w:r w:rsidR="00913BE6">
          <w:rPr>
            <w:noProof/>
            <w:webHidden/>
          </w:rPr>
          <w:tab/>
        </w:r>
        <w:r w:rsidR="00913BE6">
          <w:rPr>
            <w:noProof/>
            <w:webHidden/>
          </w:rPr>
          <w:fldChar w:fldCharType="begin"/>
        </w:r>
        <w:r w:rsidR="00913BE6">
          <w:rPr>
            <w:noProof/>
            <w:webHidden/>
          </w:rPr>
          <w:instrText xml:space="preserve"> PAGEREF _Toc99909911 \h </w:instrText>
        </w:r>
        <w:r w:rsidR="00913BE6">
          <w:rPr>
            <w:noProof/>
            <w:webHidden/>
          </w:rPr>
        </w:r>
        <w:r w:rsidR="00913BE6">
          <w:rPr>
            <w:noProof/>
            <w:webHidden/>
          </w:rPr>
          <w:fldChar w:fldCharType="separate"/>
        </w:r>
        <w:r w:rsidR="00596A42">
          <w:rPr>
            <w:noProof/>
            <w:webHidden/>
          </w:rPr>
          <w:t>6</w:t>
        </w:r>
        <w:r w:rsidR="00913BE6">
          <w:rPr>
            <w:noProof/>
            <w:webHidden/>
          </w:rPr>
          <w:fldChar w:fldCharType="end"/>
        </w:r>
      </w:hyperlink>
    </w:p>
    <w:p w14:paraId="102D4C69" w14:textId="2CB7A97E" w:rsidR="00913BE6" w:rsidRDefault="00F529D1">
      <w:pPr>
        <w:pStyle w:val="TOC2"/>
        <w:rPr>
          <w:rFonts w:eastAsiaTheme="minorEastAsia"/>
          <w:noProof/>
          <w:lang w:val="en-GB" w:eastAsia="en-GB"/>
        </w:rPr>
      </w:pPr>
      <w:hyperlink w:anchor="_Toc99909912" w:history="1">
        <w:r w:rsidR="00913BE6" w:rsidRPr="00FF20C4">
          <w:rPr>
            <w:rStyle w:val="Hyperlink"/>
            <w:noProof/>
          </w:rPr>
          <w:t>2.1.</w:t>
        </w:r>
        <w:r w:rsidR="00913BE6">
          <w:rPr>
            <w:rFonts w:eastAsiaTheme="minorEastAsia"/>
            <w:noProof/>
            <w:lang w:val="en-GB" w:eastAsia="en-GB"/>
          </w:rPr>
          <w:tab/>
        </w:r>
        <w:r w:rsidR="00913BE6" w:rsidRPr="00FF20C4">
          <w:rPr>
            <w:rStyle w:val="Hyperlink"/>
            <w:noProof/>
          </w:rPr>
          <w:t>Macroeconomic outlook and developments since the 2020 country report</w:t>
        </w:r>
        <w:r w:rsidR="00913BE6">
          <w:rPr>
            <w:noProof/>
            <w:webHidden/>
          </w:rPr>
          <w:tab/>
        </w:r>
        <w:r w:rsidR="00913BE6">
          <w:rPr>
            <w:noProof/>
            <w:webHidden/>
          </w:rPr>
          <w:fldChar w:fldCharType="begin"/>
        </w:r>
        <w:r w:rsidR="00913BE6">
          <w:rPr>
            <w:noProof/>
            <w:webHidden/>
          </w:rPr>
          <w:instrText xml:space="preserve"> PAGEREF _Toc99909912 \h </w:instrText>
        </w:r>
        <w:r w:rsidR="00913BE6">
          <w:rPr>
            <w:noProof/>
            <w:webHidden/>
          </w:rPr>
        </w:r>
        <w:r w:rsidR="00913BE6">
          <w:rPr>
            <w:noProof/>
            <w:webHidden/>
          </w:rPr>
          <w:fldChar w:fldCharType="separate"/>
        </w:r>
        <w:r w:rsidR="00596A42">
          <w:rPr>
            <w:noProof/>
            <w:webHidden/>
          </w:rPr>
          <w:t>6</w:t>
        </w:r>
        <w:r w:rsidR="00913BE6">
          <w:rPr>
            <w:noProof/>
            <w:webHidden/>
          </w:rPr>
          <w:fldChar w:fldCharType="end"/>
        </w:r>
      </w:hyperlink>
    </w:p>
    <w:p w14:paraId="34D90AB9" w14:textId="009CA5D7" w:rsidR="00913BE6" w:rsidRDefault="00F529D1">
      <w:pPr>
        <w:pStyle w:val="TOC2"/>
        <w:rPr>
          <w:rFonts w:eastAsiaTheme="minorEastAsia"/>
          <w:noProof/>
          <w:lang w:val="en-GB" w:eastAsia="en-GB"/>
        </w:rPr>
      </w:pPr>
      <w:hyperlink w:anchor="_Toc99909913" w:history="1">
        <w:r w:rsidR="00913BE6" w:rsidRPr="00FF20C4">
          <w:rPr>
            <w:rStyle w:val="Hyperlink"/>
            <w:noProof/>
          </w:rPr>
          <w:t>2.2.</w:t>
        </w:r>
        <w:r w:rsidR="00913BE6">
          <w:rPr>
            <w:rFonts w:eastAsiaTheme="minorEastAsia"/>
            <w:noProof/>
            <w:lang w:val="en-GB" w:eastAsia="en-GB"/>
          </w:rPr>
          <w:tab/>
        </w:r>
        <w:r w:rsidR="00913BE6" w:rsidRPr="00FF20C4">
          <w:rPr>
            <w:rStyle w:val="Hyperlink"/>
            <w:noProof/>
          </w:rPr>
          <w:t>Challenges related to sustainable growth, cohesion, resilience and policies for the next generation</w:t>
        </w:r>
        <w:r w:rsidR="00913BE6">
          <w:rPr>
            <w:noProof/>
            <w:webHidden/>
          </w:rPr>
          <w:tab/>
        </w:r>
        <w:r w:rsidR="00913BE6">
          <w:rPr>
            <w:noProof/>
            <w:webHidden/>
          </w:rPr>
          <w:fldChar w:fldCharType="begin"/>
        </w:r>
        <w:r w:rsidR="00913BE6">
          <w:rPr>
            <w:noProof/>
            <w:webHidden/>
          </w:rPr>
          <w:instrText xml:space="preserve"> PAGEREF _Toc99909913 \h </w:instrText>
        </w:r>
        <w:r w:rsidR="00913BE6">
          <w:rPr>
            <w:noProof/>
            <w:webHidden/>
          </w:rPr>
        </w:r>
        <w:r w:rsidR="00913BE6">
          <w:rPr>
            <w:noProof/>
            <w:webHidden/>
          </w:rPr>
          <w:fldChar w:fldCharType="separate"/>
        </w:r>
        <w:r w:rsidR="00596A42">
          <w:rPr>
            <w:noProof/>
            <w:webHidden/>
          </w:rPr>
          <w:t>10</w:t>
        </w:r>
        <w:r w:rsidR="00913BE6">
          <w:rPr>
            <w:noProof/>
            <w:webHidden/>
          </w:rPr>
          <w:fldChar w:fldCharType="end"/>
        </w:r>
      </w:hyperlink>
    </w:p>
    <w:p w14:paraId="057D25FD" w14:textId="1AF83560" w:rsidR="00913BE6" w:rsidRDefault="00F529D1">
      <w:pPr>
        <w:pStyle w:val="TOC2"/>
        <w:rPr>
          <w:rFonts w:eastAsiaTheme="minorEastAsia"/>
          <w:noProof/>
          <w:lang w:val="en-GB" w:eastAsia="en-GB"/>
        </w:rPr>
      </w:pPr>
      <w:hyperlink w:anchor="_Toc99909914" w:history="1">
        <w:r w:rsidR="00913BE6" w:rsidRPr="00FF20C4">
          <w:rPr>
            <w:rStyle w:val="Hyperlink"/>
            <w:i/>
            <w:noProof/>
          </w:rPr>
          <w:t>Smart, sustainable and inclusive growth</w:t>
        </w:r>
        <w:r w:rsidR="00913BE6">
          <w:rPr>
            <w:noProof/>
            <w:webHidden/>
          </w:rPr>
          <w:tab/>
        </w:r>
        <w:r w:rsidR="00913BE6">
          <w:rPr>
            <w:noProof/>
            <w:webHidden/>
          </w:rPr>
          <w:fldChar w:fldCharType="begin"/>
        </w:r>
        <w:r w:rsidR="00913BE6">
          <w:rPr>
            <w:noProof/>
            <w:webHidden/>
          </w:rPr>
          <w:instrText xml:space="preserve"> PAGEREF _Toc99909914 \h </w:instrText>
        </w:r>
        <w:r w:rsidR="00913BE6">
          <w:rPr>
            <w:noProof/>
            <w:webHidden/>
          </w:rPr>
        </w:r>
        <w:r w:rsidR="00913BE6">
          <w:rPr>
            <w:noProof/>
            <w:webHidden/>
          </w:rPr>
          <w:fldChar w:fldCharType="separate"/>
        </w:r>
        <w:r w:rsidR="00596A42">
          <w:rPr>
            <w:noProof/>
            <w:webHidden/>
          </w:rPr>
          <w:t>10</w:t>
        </w:r>
        <w:r w:rsidR="00913BE6">
          <w:rPr>
            <w:noProof/>
            <w:webHidden/>
          </w:rPr>
          <w:fldChar w:fldCharType="end"/>
        </w:r>
      </w:hyperlink>
    </w:p>
    <w:p w14:paraId="2D271907" w14:textId="43AD110E" w:rsidR="00913BE6" w:rsidRDefault="00F529D1">
      <w:pPr>
        <w:pStyle w:val="TOC2"/>
        <w:rPr>
          <w:rFonts w:eastAsiaTheme="minorEastAsia"/>
          <w:noProof/>
          <w:lang w:val="en-GB" w:eastAsia="en-GB"/>
        </w:rPr>
      </w:pPr>
      <w:hyperlink w:anchor="_Toc99909915" w:history="1">
        <w:r w:rsidR="00913BE6" w:rsidRPr="00FF20C4">
          <w:rPr>
            <w:rStyle w:val="Hyperlink"/>
            <w:noProof/>
          </w:rPr>
          <w:t>2.3.</w:t>
        </w:r>
        <w:r w:rsidR="00913BE6">
          <w:rPr>
            <w:rFonts w:eastAsiaTheme="minorEastAsia"/>
            <w:noProof/>
            <w:lang w:val="en-GB" w:eastAsia="en-GB"/>
          </w:rPr>
          <w:tab/>
        </w:r>
        <w:r w:rsidR="00913BE6" w:rsidRPr="00FF20C4">
          <w:rPr>
            <w:rStyle w:val="Hyperlink"/>
            <w:noProof/>
          </w:rPr>
          <w:t>Challenges related to the green and digital transition</w:t>
        </w:r>
        <w:r w:rsidR="00913BE6">
          <w:rPr>
            <w:noProof/>
            <w:webHidden/>
          </w:rPr>
          <w:tab/>
        </w:r>
        <w:r w:rsidR="00913BE6">
          <w:rPr>
            <w:noProof/>
            <w:webHidden/>
          </w:rPr>
          <w:fldChar w:fldCharType="begin"/>
        </w:r>
        <w:r w:rsidR="00913BE6">
          <w:rPr>
            <w:noProof/>
            <w:webHidden/>
          </w:rPr>
          <w:instrText xml:space="preserve"> PAGEREF _Toc99909915 \h </w:instrText>
        </w:r>
        <w:r w:rsidR="00913BE6">
          <w:rPr>
            <w:noProof/>
            <w:webHidden/>
          </w:rPr>
        </w:r>
        <w:r w:rsidR="00913BE6">
          <w:rPr>
            <w:noProof/>
            <w:webHidden/>
          </w:rPr>
          <w:fldChar w:fldCharType="separate"/>
        </w:r>
        <w:r w:rsidR="00596A42">
          <w:rPr>
            <w:noProof/>
            <w:webHidden/>
          </w:rPr>
          <w:t>14</w:t>
        </w:r>
        <w:r w:rsidR="00913BE6">
          <w:rPr>
            <w:noProof/>
            <w:webHidden/>
          </w:rPr>
          <w:fldChar w:fldCharType="end"/>
        </w:r>
      </w:hyperlink>
    </w:p>
    <w:p w14:paraId="4FF7EB46" w14:textId="16AFBC43" w:rsidR="00913BE6" w:rsidRDefault="00F529D1">
      <w:pPr>
        <w:pStyle w:val="TOC3"/>
        <w:rPr>
          <w:rFonts w:eastAsiaTheme="minorEastAsia"/>
          <w:noProof/>
          <w:lang w:val="en-GB" w:eastAsia="en-GB"/>
        </w:rPr>
      </w:pPr>
      <w:hyperlink w:anchor="_Toc99909916" w:history="1">
        <w:r w:rsidR="00913BE6" w:rsidRPr="00FF20C4">
          <w:rPr>
            <w:rStyle w:val="Hyperlink"/>
            <w:noProof/>
          </w:rPr>
          <w:t>Green dimension</w:t>
        </w:r>
        <w:r w:rsidR="00913BE6">
          <w:rPr>
            <w:noProof/>
            <w:webHidden/>
          </w:rPr>
          <w:tab/>
        </w:r>
        <w:r w:rsidR="00913BE6">
          <w:rPr>
            <w:noProof/>
            <w:webHidden/>
          </w:rPr>
          <w:fldChar w:fldCharType="begin"/>
        </w:r>
        <w:r w:rsidR="00913BE6">
          <w:rPr>
            <w:noProof/>
            <w:webHidden/>
          </w:rPr>
          <w:instrText xml:space="preserve"> PAGEREF _Toc99909916 \h </w:instrText>
        </w:r>
        <w:r w:rsidR="00913BE6">
          <w:rPr>
            <w:noProof/>
            <w:webHidden/>
          </w:rPr>
        </w:r>
        <w:r w:rsidR="00913BE6">
          <w:rPr>
            <w:noProof/>
            <w:webHidden/>
          </w:rPr>
          <w:fldChar w:fldCharType="separate"/>
        </w:r>
        <w:r w:rsidR="00596A42">
          <w:rPr>
            <w:noProof/>
            <w:webHidden/>
          </w:rPr>
          <w:t>14</w:t>
        </w:r>
        <w:r w:rsidR="00913BE6">
          <w:rPr>
            <w:noProof/>
            <w:webHidden/>
          </w:rPr>
          <w:fldChar w:fldCharType="end"/>
        </w:r>
      </w:hyperlink>
    </w:p>
    <w:p w14:paraId="7509AC13" w14:textId="72578490" w:rsidR="00913BE6" w:rsidRDefault="00F529D1">
      <w:pPr>
        <w:pStyle w:val="TOC3"/>
        <w:rPr>
          <w:rFonts w:eastAsiaTheme="minorEastAsia"/>
          <w:noProof/>
          <w:lang w:val="en-GB" w:eastAsia="en-GB"/>
        </w:rPr>
      </w:pPr>
      <w:hyperlink w:anchor="_Toc99909917" w:history="1">
        <w:r w:rsidR="00913BE6" w:rsidRPr="00FF20C4">
          <w:rPr>
            <w:rStyle w:val="Hyperlink"/>
            <w:noProof/>
            <w:lang w:val="en-IE"/>
          </w:rPr>
          <w:t>Digital dimension</w:t>
        </w:r>
        <w:r w:rsidR="00913BE6">
          <w:rPr>
            <w:noProof/>
            <w:webHidden/>
          </w:rPr>
          <w:tab/>
        </w:r>
        <w:r w:rsidR="00913BE6">
          <w:rPr>
            <w:noProof/>
            <w:webHidden/>
          </w:rPr>
          <w:fldChar w:fldCharType="begin"/>
        </w:r>
        <w:r w:rsidR="00913BE6">
          <w:rPr>
            <w:noProof/>
            <w:webHidden/>
          </w:rPr>
          <w:instrText xml:space="preserve"> PAGEREF _Toc99909917 \h </w:instrText>
        </w:r>
        <w:r w:rsidR="00913BE6">
          <w:rPr>
            <w:noProof/>
            <w:webHidden/>
          </w:rPr>
        </w:r>
        <w:r w:rsidR="00913BE6">
          <w:rPr>
            <w:noProof/>
            <w:webHidden/>
          </w:rPr>
          <w:fldChar w:fldCharType="separate"/>
        </w:r>
        <w:r w:rsidR="00596A42">
          <w:rPr>
            <w:noProof/>
            <w:webHidden/>
          </w:rPr>
          <w:t>20</w:t>
        </w:r>
        <w:r w:rsidR="00913BE6">
          <w:rPr>
            <w:noProof/>
            <w:webHidden/>
          </w:rPr>
          <w:fldChar w:fldCharType="end"/>
        </w:r>
      </w:hyperlink>
    </w:p>
    <w:p w14:paraId="0F1B5854" w14:textId="01794E9B" w:rsidR="00913BE6" w:rsidRDefault="00F529D1">
      <w:pPr>
        <w:pStyle w:val="TOC1"/>
        <w:rPr>
          <w:rFonts w:eastAsiaTheme="minorEastAsia"/>
          <w:noProof/>
          <w:lang w:val="en-GB" w:eastAsia="en-GB"/>
        </w:rPr>
      </w:pPr>
      <w:hyperlink w:anchor="_Toc99909918" w:history="1">
        <w:r w:rsidR="00913BE6" w:rsidRPr="00FF20C4">
          <w:rPr>
            <w:rStyle w:val="Hyperlink"/>
            <w:noProof/>
          </w:rPr>
          <w:t>3.</w:t>
        </w:r>
        <w:r w:rsidR="00913BE6">
          <w:rPr>
            <w:rFonts w:eastAsiaTheme="minorEastAsia"/>
            <w:noProof/>
            <w:lang w:val="en-GB" w:eastAsia="en-GB"/>
          </w:rPr>
          <w:tab/>
        </w:r>
        <w:r w:rsidR="00913BE6" w:rsidRPr="00FF20C4">
          <w:rPr>
            <w:rStyle w:val="Hyperlink"/>
            <w:noProof/>
          </w:rPr>
          <w:t>Objectives, structure and governance of the plan</w:t>
        </w:r>
        <w:r w:rsidR="00913BE6">
          <w:rPr>
            <w:noProof/>
            <w:webHidden/>
          </w:rPr>
          <w:tab/>
        </w:r>
        <w:r w:rsidR="00913BE6">
          <w:rPr>
            <w:noProof/>
            <w:webHidden/>
          </w:rPr>
          <w:fldChar w:fldCharType="begin"/>
        </w:r>
        <w:r w:rsidR="00913BE6">
          <w:rPr>
            <w:noProof/>
            <w:webHidden/>
          </w:rPr>
          <w:instrText xml:space="preserve"> PAGEREF _Toc99909918 \h </w:instrText>
        </w:r>
        <w:r w:rsidR="00913BE6">
          <w:rPr>
            <w:noProof/>
            <w:webHidden/>
          </w:rPr>
        </w:r>
        <w:r w:rsidR="00913BE6">
          <w:rPr>
            <w:noProof/>
            <w:webHidden/>
          </w:rPr>
          <w:fldChar w:fldCharType="separate"/>
        </w:r>
        <w:r w:rsidR="00596A42">
          <w:rPr>
            <w:noProof/>
            <w:webHidden/>
          </w:rPr>
          <w:t>26</w:t>
        </w:r>
        <w:r w:rsidR="00913BE6">
          <w:rPr>
            <w:noProof/>
            <w:webHidden/>
          </w:rPr>
          <w:fldChar w:fldCharType="end"/>
        </w:r>
      </w:hyperlink>
    </w:p>
    <w:p w14:paraId="27185912" w14:textId="3F5C64C1" w:rsidR="00913BE6" w:rsidRDefault="00F529D1">
      <w:pPr>
        <w:pStyle w:val="TOC2"/>
        <w:rPr>
          <w:rFonts w:eastAsiaTheme="minorEastAsia"/>
          <w:noProof/>
          <w:lang w:val="en-GB" w:eastAsia="en-GB"/>
        </w:rPr>
      </w:pPr>
      <w:hyperlink w:anchor="_Toc99909919" w:history="1">
        <w:r w:rsidR="00913BE6" w:rsidRPr="00FF20C4">
          <w:rPr>
            <w:rStyle w:val="Hyperlink"/>
            <w:noProof/>
          </w:rPr>
          <w:t>3.1.</w:t>
        </w:r>
        <w:r w:rsidR="00913BE6">
          <w:rPr>
            <w:rFonts w:eastAsiaTheme="minorEastAsia"/>
            <w:noProof/>
            <w:lang w:val="en-GB" w:eastAsia="en-GB"/>
          </w:rPr>
          <w:tab/>
        </w:r>
        <w:r w:rsidR="00913BE6" w:rsidRPr="00FF20C4">
          <w:rPr>
            <w:rStyle w:val="Hyperlink"/>
            <w:noProof/>
          </w:rPr>
          <w:t>Overall strategy of the plan</w:t>
        </w:r>
        <w:r w:rsidR="00913BE6">
          <w:rPr>
            <w:noProof/>
            <w:webHidden/>
          </w:rPr>
          <w:tab/>
        </w:r>
        <w:r w:rsidR="00913BE6">
          <w:rPr>
            <w:noProof/>
            <w:webHidden/>
          </w:rPr>
          <w:fldChar w:fldCharType="begin"/>
        </w:r>
        <w:r w:rsidR="00913BE6">
          <w:rPr>
            <w:noProof/>
            <w:webHidden/>
          </w:rPr>
          <w:instrText xml:space="preserve"> PAGEREF _Toc99909919 \h </w:instrText>
        </w:r>
        <w:r w:rsidR="00913BE6">
          <w:rPr>
            <w:noProof/>
            <w:webHidden/>
          </w:rPr>
        </w:r>
        <w:r w:rsidR="00913BE6">
          <w:rPr>
            <w:noProof/>
            <w:webHidden/>
          </w:rPr>
          <w:fldChar w:fldCharType="separate"/>
        </w:r>
        <w:r w:rsidR="00596A42">
          <w:rPr>
            <w:noProof/>
            <w:webHidden/>
          </w:rPr>
          <w:t>26</w:t>
        </w:r>
        <w:r w:rsidR="00913BE6">
          <w:rPr>
            <w:noProof/>
            <w:webHidden/>
          </w:rPr>
          <w:fldChar w:fldCharType="end"/>
        </w:r>
      </w:hyperlink>
    </w:p>
    <w:p w14:paraId="6C1DD71C" w14:textId="045E4AE5" w:rsidR="00913BE6" w:rsidRDefault="00F529D1">
      <w:pPr>
        <w:pStyle w:val="TOC2"/>
        <w:rPr>
          <w:rFonts w:eastAsiaTheme="minorEastAsia"/>
          <w:noProof/>
          <w:lang w:val="en-GB" w:eastAsia="en-GB"/>
        </w:rPr>
      </w:pPr>
      <w:hyperlink w:anchor="_Toc99909920" w:history="1">
        <w:r w:rsidR="00913BE6" w:rsidRPr="00FF20C4">
          <w:rPr>
            <w:rStyle w:val="Hyperlink"/>
            <w:noProof/>
          </w:rPr>
          <w:t>3.2.</w:t>
        </w:r>
        <w:r w:rsidR="00913BE6">
          <w:rPr>
            <w:rFonts w:eastAsiaTheme="minorEastAsia"/>
            <w:noProof/>
            <w:lang w:val="en-GB" w:eastAsia="en-GB"/>
          </w:rPr>
          <w:tab/>
        </w:r>
        <w:r w:rsidR="00913BE6" w:rsidRPr="00FF20C4">
          <w:rPr>
            <w:rStyle w:val="Hyperlink"/>
            <w:noProof/>
          </w:rPr>
          <w:t>Implementation aspects of the plan</w:t>
        </w:r>
        <w:r w:rsidR="00913BE6">
          <w:rPr>
            <w:noProof/>
            <w:webHidden/>
          </w:rPr>
          <w:tab/>
        </w:r>
        <w:r w:rsidR="00913BE6">
          <w:rPr>
            <w:noProof/>
            <w:webHidden/>
          </w:rPr>
          <w:fldChar w:fldCharType="begin"/>
        </w:r>
        <w:r w:rsidR="00913BE6">
          <w:rPr>
            <w:noProof/>
            <w:webHidden/>
          </w:rPr>
          <w:instrText xml:space="preserve"> PAGEREF _Toc99909920 \h </w:instrText>
        </w:r>
        <w:r w:rsidR="00913BE6">
          <w:rPr>
            <w:noProof/>
            <w:webHidden/>
          </w:rPr>
        </w:r>
        <w:r w:rsidR="00913BE6">
          <w:rPr>
            <w:noProof/>
            <w:webHidden/>
          </w:rPr>
          <w:fldChar w:fldCharType="separate"/>
        </w:r>
        <w:r w:rsidR="00596A42">
          <w:rPr>
            <w:noProof/>
            <w:webHidden/>
          </w:rPr>
          <w:t>30</w:t>
        </w:r>
        <w:r w:rsidR="00913BE6">
          <w:rPr>
            <w:noProof/>
            <w:webHidden/>
          </w:rPr>
          <w:fldChar w:fldCharType="end"/>
        </w:r>
      </w:hyperlink>
    </w:p>
    <w:p w14:paraId="4FD249A1" w14:textId="7E8BEDFC" w:rsidR="00913BE6" w:rsidRDefault="00F529D1">
      <w:pPr>
        <w:pStyle w:val="TOC1"/>
        <w:rPr>
          <w:rFonts w:eastAsiaTheme="minorEastAsia"/>
          <w:noProof/>
          <w:lang w:val="en-GB" w:eastAsia="en-GB"/>
        </w:rPr>
      </w:pPr>
      <w:hyperlink w:anchor="_Toc99909921" w:history="1">
        <w:r w:rsidR="00913BE6" w:rsidRPr="00FF20C4">
          <w:rPr>
            <w:rStyle w:val="Hyperlink"/>
            <w:noProof/>
          </w:rPr>
          <w:t>4.</w:t>
        </w:r>
        <w:r w:rsidR="00913BE6">
          <w:rPr>
            <w:rFonts w:eastAsiaTheme="minorEastAsia"/>
            <w:noProof/>
            <w:lang w:val="en-GB" w:eastAsia="en-GB"/>
          </w:rPr>
          <w:tab/>
        </w:r>
        <w:r w:rsidR="00913BE6" w:rsidRPr="00FF20C4">
          <w:rPr>
            <w:rStyle w:val="Hyperlink"/>
            <w:noProof/>
          </w:rPr>
          <w:t>Summary of the assessment of the plan</w:t>
        </w:r>
        <w:r w:rsidR="00913BE6">
          <w:rPr>
            <w:noProof/>
            <w:webHidden/>
          </w:rPr>
          <w:tab/>
        </w:r>
        <w:r w:rsidR="00913BE6">
          <w:rPr>
            <w:noProof/>
            <w:webHidden/>
          </w:rPr>
          <w:fldChar w:fldCharType="begin"/>
        </w:r>
        <w:r w:rsidR="00913BE6">
          <w:rPr>
            <w:noProof/>
            <w:webHidden/>
          </w:rPr>
          <w:instrText xml:space="preserve"> PAGEREF _Toc99909921 \h </w:instrText>
        </w:r>
        <w:r w:rsidR="00913BE6">
          <w:rPr>
            <w:noProof/>
            <w:webHidden/>
          </w:rPr>
        </w:r>
        <w:r w:rsidR="00913BE6">
          <w:rPr>
            <w:noProof/>
            <w:webHidden/>
          </w:rPr>
          <w:fldChar w:fldCharType="separate"/>
        </w:r>
        <w:r w:rsidR="00596A42">
          <w:rPr>
            <w:noProof/>
            <w:webHidden/>
          </w:rPr>
          <w:t>35</w:t>
        </w:r>
        <w:r w:rsidR="00913BE6">
          <w:rPr>
            <w:noProof/>
            <w:webHidden/>
          </w:rPr>
          <w:fldChar w:fldCharType="end"/>
        </w:r>
      </w:hyperlink>
    </w:p>
    <w:p w14:paraId="515F7416" w14:textId="1FF70FC1" w:rsidR="00913BE6" w:rsidRDefault="00F529D1">
      <w:pPr>
        <w:pStyle w:val="TOC2"/>
        <w:rPr>
          <w:rFonts w:eastAsiaTheme="minorEastAsia"/>
          <w:noProof/>
          <w:lang w:val="en-GB" w:eastAsia="en-GB"/>
        </w:rPr>
      </w:pPr>
      <w:hyperlink w:anchor="_Toc99909922" w:history="1">
        <w:r w:rsidR="00913BE6" w:rsidRPr="00FF20C4">
          <w:rPr>
            <w:rStyle w:val="Hyperlink"/>
            <w:noProof/>
          </w:rPr>
          <w:t>4.1.</w:t>
        </w:r>
        <w:r w:rsidR="00913BE6">
          <w:rPr>
            <w:rFonts w:eastAsiaTheme="minorEastAsia"/>
            <w:noProof/>
            <w:lang w:val="en-GB" w:eastAsia="en-GB"/>
          </w:rPr>
          <w:tab/>
        </w:r>
        <w:r w:rsidR="00913BE6" w:rsidRPr="00FF20C4">
          <w:rPr>
            <w:rStyle w:val="Hyperlink"/>
            <w:noProof/>
          </w:rPr>
          <w:t>Comprehensive and adequately balanced response to the economic and social situation</w:t>
        </w:r>
        <w:r w:rsidR="00913BE6">
          <w:rPr>
            <w:noProof/>
            <w:webHidden/>
          </w:rPr>
          <w:tab/>
        </w:r>
        <w:r w:rsidR="00913BE6">
          <w:rPr>
            <w:noProof/>
            <w:webHidden/>
          </w:rPr>
          <w:fldChar w:fldCharType="begin"/>
        </w:r>
        <w:r w:rsidR="00913BE6">
          <w:rPr>
            <w:noProof/>
            <w:webHidden/>
          </w:rPr>
          <w:instrText xml:space="preserve"> PAGEREF _Toc99909922 \h </w:instrText>
        </w:r>
        <w:r w:rsidR="00913BE6">
          <w:rPr>
            <w:noProof/>
            <w:webHidden/>
          </w:rPr>
        </w:r>
        <w:r w:rsidR="00913BE6">
          <w:rPr>
            <w:noProof/>
            <w:webHidden/>
          </w:rPr>
          <w:fldChar w:fldCharType="separate"/>
        </w:r>
        <w:r w:rsidR="00596A42">
          <w:rPr>
            <w:noProof/>
            <w:webHidden/>
          </w:rPr>
          <w:t>35</w:t>
        </w:r>
        <w:r w:rsidR="00913BE6">
          <w:rPr>
            <w:noProof/>
            <w:webHidden/>
          </w:rPr>
          <w:fldChar w:fldCharType="end"/>
        </w:r>
      </w:hyperlink>
    </w:p>
    <w:p w14:paraId="55F55E96" w14:textId="0CFCCCA8" w:rsidR="00913BE6" w:rsidRDefault="00F529D1">
      <w:pPr>
        <w:pStyle w:val="TOC2"/>
        <w:rPr>
          <w:rFonts w:eastAsiaTheme="minorEastAsia"/>
          <w:noProof/>
          <w:lang w:val="en-GB" w:eastAsia="en-GB"/>
        </w:rPr>
      </w:pPr>
      <w:hyperlink w:anchor="_Toc99909923" w:history="1">
        <w:r w:rsidR="00913BE6" w:rsidRPr="00FF20C4">
          <w:rPr>
            <w:rStyle w:val="Hyperlink"/>
            <w:noProof/>
          </w:rPr>
          <w:t>4.2.</w:t>
        </w:r>
        <w:r w:rsidR="00913BE6">
          <w:rPr>
            <w:rFonts w:eastAsiaTheme="minorEastAsia"/>
            <w:noProof/>
            <w:lang w:val="en-GB" w:eastAsia="en-GB"/>
          </w:rPr>
          <w:tab/>
        </w:r>
        <w:r w:rsidR="00913BE6" w:rsidRPr="00FF20C4">
          <w:rPr>
            <w:rStyle w:val="Hyperlink"/>
            <w:noProof/>
          </w:rPr>
          <w:t>Link with country-specific recommendations and the European Semester</w:t>
        </w:r>
        <w:r w:rsidR="00913BE6">
          <w:rPr>
            <w:noProof/>
            <w:webHidden/>
          </w:rPr>
          <w:tab/>
        </w:r>
        <w:r w:rsidR="00913BE6">
          <w:rPr>
            <w:noProof/>
            <w:webHidden/>
          </w:rPr>
          <w:fldChar w:fldCharType="begin"/>
        </w:r>
        <w:r w:rsidR="00913BE6">
          <w:rPr>
            <w:noProof/>
            <w:webHidden/>
          </w:rPr>
          <w:instrText xml:space="preserve"> PAGEREF _Toc99909923 \h </w:instrText>
        </w:r>
        <w:r w:rsidR="00913BE6">
          <w:rPr>
            <w:noProof/>
            <w:webHidden/>
          </w:rPr>
        </w:r>
        <w:r w:rsidR="00913BE6">
          <w:rPr>
            <w:noProof/>
            <w:webHidden/>
          </w:rPr>
          <w:fldChar w:fldCharType="separate"/>
        </w:r>
        <w:r w:rsidR="00596A42">
          <w:rPr>
            <w:noProof/>
            <w:webHidden/>
          </w:rPr>
          <w:t>44</w:t>
        </w:r>
        <w:r w:rsidR="00913BE6">
          <w:rPr>
            <w:noProof/>
            <w:webHidden/>
          </w:rPr>
          <w:fldChar w:fldCharType="end"/>
        </w:r>
      </w:hyperlink>
    </w:p>
    <w:p w14:paraId="413A7E3A" w14:textId="793D88FB" w:rsidR="00913BE6" w:rsidRDefault="00F529D1">
      <w:pPr>
        <w:pStyle w:val="TOC2"/>
        <w:rPr>
          <w:rFonts w:eastAsiaTheme="minorEastAsia"/>
          <w:noProof/>
          <w:lang w:val="en-GB" w:eastAsia="en-GB"/>
        </w:rPr>
      </w:pPr>
      <w:hyperlink w:anchor="_Toc99909924" w:history="1">
        <w:r w:rsidR="00913BE6" w:rsidRPr="00FF20C4">
          <w:rPr>
            <w:rStyle w:val="Hyperlink"/>
            <w:noProof/>
          </w:rPr>
          <w:t>4.3.</w:t>
        </w:r>
        <w:r w:rsidR="00913BE6">
          <w:rPr>
            <w:rFonts w:eastAsiaTheme="minorEastAsia"/>
            <w:noProof/>
            <w:lang w:val="en-GB" w:eastAsia="en-GB"/>
          </w:rPr>
          <w:tab/>
        </w:r>
        <w:r w:rsidR="00913BE6" w:rsidRPr="00FF20C4">
          <w:rPr>
            <w:rStyle w:val="Hyperlink"/>
            <w:noProof/>
          </w:rPr>
          <w:t>Growth potential, job creation, economic, institutional and social resilience, European Pillar of Social Rights, mitigating the impact of the crisis, and social territorial cohesion and convergence</w:t>
        </w:r>
        <w:r w:rsidR="00913BE6">
          <w:rPr>
            <w:noProof/>
            <w:webHidden/>
          </w:rPr>
          <w:tab/>
        </w:r>
        <w:r w:rsidR="00913BE6">
          <w:rPr>
            <w:noProof/>
            <w:webHidden/>
          </w:rPr>
          <w:fldChar w:fldCharType="begin"/>
        </w:r>
        <w:r w:rsidR="00913BE6">
          <w:rPr>
            <w:noProof/>
            <w:webHidden/>
          </w:rPr>
          <w:instrText xml:space="preserve"> PAGEREF _Toc99909924 \h </w:instrText>
        </w:r>
        <w:r w:rsidR="00913BE6">
          <w:rPr>
            <w:noProof/>
            <w:webHidden/>
          </w:rPr>
        </w:r>
        <w:r w:rsidR="00913BE6">
          <w:rPr>
            <w:noProof/>
            <w:webHidden/>
          </w:rPr>
          <w:fldChar w:fldCharType="separate"/>
        </w:r>
        <w:r w:rsidR="00596A42">
          <w:rPr>
            <w:noProof/>
            <w:webHidden/>
          </w:rPr>
          <w:t>50</w:t>
        </w:r>
        <w:r w:rsidR="00913BE6">
          <w:rPr>
            <w:noProof/>
            <w:webHidden/>
          </w:rPr>
          <w:fldChar w:fldCharType="end"/>
        </w:r>
      </w:hyperlink>
    </w:p>
    <w:p w14:paraId="7C0959D3" w14:textId="6731F1A9" w:rsidR="00913BE6" w:rsidRDefault="00F529D1">
      <w:pPr>
        <w:pStyle w:val="TOC2"/>
        <w:rPr>
          <w:rFonts w:eastAsiaTheme="minorEastAsia"/>
          <w:noProof/>
          <w:lang w:val="en-GB" w:eastAsia="en-GB"/>
        </w:rPr>
      </w:pPr>
      <w:hyperlink w:anchor="_Toc99909925" w:history="1">
        <w:r w:rsidR="00913BE6" w:rsidRPr="00FF20C4">
          <w:rPr>
            <w:rStyle w:val="Hyperlink"/>
            <w:noProof/>
          </w:rPr>
          <w:t>4.4.</w:t>
        </w:r>
        <w:r w:rsidR="00913BE6">
          <w:rPr>
            <w:rFonts w:eastAsiaTheme="minorEastAsia"/>
            <w:noProof/>
            <w:lang w:val="en-GB" w:eastAsia="en-GB"/>
          </w:rPr>
          <w:tab/>
        </w:r>
        <w:r w:rsidR="00913BE6" w:rsidRPr="00FF20C4">
          <w:rPr>
            <w:rStyle w:val="Hyperlink"/>
            <w:noProof/>
          </w:rPr>
          <w:t>The principle of ‘do no significant harm’</w:t>
        </w:r>
        <w:r w:rsidR="00913BE6">
          <w:rPr>
            <w:noProof/>
            <w:webHidden/>
          </w:rPr>
          <w:tab/>
        </w:r>
        <w:r w:rsidR="00913BE6">
          <w:rPr>
            <w:noProof/>
            <w:webHidden/>
          </w:rPr>
          <w:fldChar w:fldCharType="begin"/>
        </w:r>
        <w:r w:rsidR="00913BE6">
          <w:rPr>
            <w:noProof/>
            <w:webHidden/>
          </w:rPr>
          <w:instrText xml:space="preserve"> PAGEREF _Toc99909925 \h </w:instrText>
        </w:r>
        <w:r w:rsidR="00913BE6">
          <w:rPr>
            <w:noProof/>
            <w:webHidden/>
          </w:rPr>
        </w:r>
        <w:r w:rsidR="00913BE6">
          <w:rPr>
            <w:noProof/>
            <w:webHidden/>
          </w:rPr>
          <w:fldChar w:fldCharType="separate"/>
        </w:r>
        <w:r w:rsidR="00596A42">
          <w:rPr>
            <w:noProof/>
            <w:webHidden/>
          </w:rPr>
          <w:t>60</w:t>
        </w:r>
        <w:r w:rsidR="00913BE6">
          <w:rPr>
            <w:noProof/>
            <w:webHidden/>
          </w:rPr>
          <w:fldChar w:fldCharType="end"/>
        </w:r>
      </w:hyperlink>
    </w:p>
    <w:p w14:paraId="0DC7DCEE" w14:textId="48CCFCE9" w:rsidR="00913BE6" w:rsidRDefault="00F529D1">
      <w:pPr>
        <w:pStyle w:val="TOC2"/>
        <w:rPr>
          <w:rFonts w:eastAsiaTheme="minorEastAsia"/>
          <w:noProof/>
          <w:lang w:val="en-GB" w:eastAsia="en-GB"/>
        </w:rPr>
      </w:pPr>
      <w:hyperlink w:anchor="_Toc99909926" w:history="1">
        <w:r w:rsidR="00913BE6" w:rsidRPr="00FF20C4">
          <w:rPr>
            <w:rStyle w:val="Hyperlink"/>
            <w:noProof/>
          </w:rPr>
          <w:t>4.5.</w:t>
        </w:r>
        <w:r w:rsidR="00913BE6">
          <w:rPr>
            <w:rFonts w:eastAsiaTheme="minorEastAsia"/>
            <w:noProof/>
            <w:lang w:val="en-GB" w:eastAsia="en-GB"/>
          </w:rPr>
          <w:tab/>
        </w:r>
        <w:r w:rsidR="00913BE6" w:rsidRPr="00FF20C4">
          <w:rPr>
            <w:rStyle w:val="Hyperlink"/>
            <w:noProof/>
          </w:rPr>
          <w:t>Green transition</w:t>
        </w:r>
        <w:r w:rsidR="00913BE6">
          <w:rPr>
            <w:noProof/>
            <w:webHidden/>
          </w:rPr>
          <w:tab/>
        </w:r>
        <w:r w:rsidR="00913BE6">
          <w:rPr>
            <w:noProof/>
            <w:webHidden/>
          </w:rPr>
          <w:fldChar w:fldCharType="begin"/>
        </w:r>
        <w:r w:rsidR="00913BE6">
          <w:rPr>
            <w:noProof/>
            <w:webHidden/>
          </w:rPr>
          <w:instrText xml:space="preserve"> PAGEREF _Toc99909926 \h </w:instrText>
        </w:r>
        <w:r w:rsidR="00913BE6">
          <w:rPr>
            <w:noProof/>
            <w:webHidden/>
          </w:rPr>
        </w:r>
        <w:r w:rsidR="00913BE6">
          <w:rPr>
            <w:noProof/>
            <w:webHidden/>
          </w:rPr>
          <w:fldChar w:fldCharType="separate"/>
        </w:r>
        <w:r w:rsidR="00596A42">
          <w:rPr>
            <w:noProof/>
            <w:webHidden/>
          </w:rPr>
          <w:t>62</w:t>
        </w:r>
        <w:r w:rsidR="00913BE6">
          <w:rPr>
            <w:noProof/>
            <w:webHidden/>
          </w:rPr>
          <w:fldChar w:fldCharType="end"/>
        </w:r>
      </w:hyperlink>
    </w:p>
    <w:p w14:paraId="477351E1" w14:textId="3F59D826" w:rsidR="00913BE6" w:rsidRDefault="00F529D1">
      <w:pPr>
        <w:pStyle w:val="TOC2"/>
        <w:rPr>
          <w:rFonts w:eastAsiaTheme="minorEastAsia"/>
          <w:noProof/>
          <w:lang w:val="en-GB" w:eastAsia="en-GB"/>
        </w:rPr>
      </w:pPr>
      <w:hyperlink w:anchor="_Toc99909927" w:history="1">
        <w:r w:rsidR="00913BE6" w:rsidRPr="00FF20C4">
          <w:rPr>
            <w:rStyle w:val="Hyperlink"/>
            <w:noProof/>
          </w:rPr>
          <w:t>4.6.</w:t>
        </w:r>
        <w:r w:rsidR="00913BE6">
          <w:rPr>
            <w:rFonts w:eastAsiaTheme="minorEastAsia"/>
            <w:noProof/>
            <w:lang w:val="en-GB" w:eastAsia="en-GB"/>
          </w:rPr>
          <w:tab/>
        </w:r>
        <w:r w:rsidR="00913BE6" w:rsidRPr="00FF20C4">
          <w:rPr>
            <w:rStyle w:val="Hyperlink"/>
            <w:noProof/>
          </w:rPr>
          <w:t>Digital transition</w:t>
        </w:r>
        <w:r w:rsidR="00913BE6">
          <w:rPr>
            <w:noProof/>
            <w:webHidden/>
          </w:rPr>
          <w:tab/>
        </w:r>
        <w:r w:rsidR="00913BE6">
          <w:rPr>
            <w:noProof/>
            <w:webHidden/>
          </w:rPr>
          <w:fldChar w:fldCharType="begin"/>
        </w:r>
        <w:r w:rsidR="00913BE6">
          <w:rPr>
            <w:noProof/>
            <w:webHidden/>
          </w:rPr>
          <w:instrText xml:space="preserve"> PAGEREF _Toc99909927 \h </w:instrText>
        </w:r>
        <w:r w:rsidR="00913BE6">
          <w:rPr>
            <w:noProof/>
            <w:webHidden/>
          </w:rPr>
        </w:r>
        <w:r w:rsidR="00913BE6">
          <w:rPr>
            <w:noProof/>
            <w:webHidden/>
          </w:rPr>
          <w:fldChar w:fldCharType="separate"/>
        </w:r>
        <w:r w:rsidR="00596A42">
          <w:rPr>
            <w:noProof/>
            <w:webHidden/>
          </w:rPr>
          <w:t>66</w:t>
        </w:r>
        <w:r w:rsidR="00913BE6">
          <w:rPr>
            <w:noProof/>
            <w:webHidden/>
          </w:rPr>
          <w:fldChar w:fldCharType="end"/>
        </w:r>
      </w:hyperlink>
    </w:p>
    <w:p w14:paraId="2E190027" w14:textId="5A9D52FA" w:rsidR="00913BE6" w:rsidRDefault="00F529D1">
      <w:pPr>
        <w:pStyle w:val="TOC2"/>
        <w:rPr>
          <w:rFonts w:eastAsiaTheme="minorEastAsia"/>
          <w:noProof/>
          <w:lang w:val="en-GB" w:eastAsia="en-GB"/>
        </w:rPr>
      </w:pPr>
      <w:hyperlink w:anchor="_Toc99909928" w:history="1">
        <w:r w:rsidR="00913BE6" w:rsidRPr="00FF20C4">
          <w:rPr>
            <w:rStyle w:val="Hyperlink"/>
            <w:noProof/>
          </w:rPr>
          <w:t>4.7.</w:t>
        </w:r>
        <w:r w:rsidR="00913BE6">
          <w:rPr>
            <w:rFonts w:eastAsiaTheme="minorEastAsia"/>
            <w:noProof/>
            <w:lang w:val="en-GB" w:eastAsia="en-GB"/>
          </w:rPr>
          <w:tab/>
        </w:r>
        <w:r w:rsidR="00913BE6" w:rsidRPr="00FF20C4">
          <w:rPr>
            <w:rStyle w:val="Hyperlink"/>
            <w:noProof/>
          </w:rPr>
          <w:t>Lasting impact of the plan</w:t>
        </w:r>
        <w:r w:rsidR="00913BE6">
          <w:rPr>
            <w:noProof/>
            <w:webHidden/>
          </w:rPr>
          <w:tab/>
        </w:r>
        <w:r w:rsidR="00913BE6">
          <w:rPr>
            <w:noProof/>
            <w:webHidden/>
          </w:rPr>
          <w:fldChar w:fldCharType="begin"/>
        </w:r>
        <w:r w:rsidR="00913BE6">
          <w:rPr>
            <w:noProof/>
            <w:webHidden/>
          </w:rPr>
          <w:instrText xml:space="preserve"> PAGEREF _Toc99909928 \h </w:instrText>
        </w:r>
        <w:r w:rsidR="00913BE6">
          <w:rPr>
            <w:noProof/>
            <w:webHidden/>
          </w:rPr>
        </w:r>
        <w:r w:rsidR="00913BE6">
          <w:rPr>
            <w:noProof/>
            <w:webHidden/>
          </w:rPr>
          <w:fldChar w:fldCharType="separate"/>
        </w:r>
        <w:r w:rsidR="00596A42">
          <w:rPr>
            <w:noProof/>
            <w:webHidden/>
          </w:rPr>
          <w:t>72</w:t>
        </w:r>
        <w:r w:rsidR="00913BE6">
          <w:rPr>
            <w:noProof/>
            <w:webHidden/>
          </w:rPr>
          <w:fldChar w:fldCharType="end"/>
        </w:r>
      </w:hyperlink>
    </w:p>
    <w:p w14:paraId="1027A2BA" w14:textId="7A4AA5C5" w:rsidR="00913BE6" w:rsidRDefault="00F529D1">
      <w:pPr>
        <w:pStyle w:val="TOC2"/>
        <w:rPr>
          <w:rFonts w:eastAsiaTheme="minorEastAsia"/>
          <w:noProof/>
          <w:lang w:val="en-GB" w:eastAsia="en-GB"/>
        </w:rPr>
      </w:pPr>
      <w:hyperlink w:anchor="_Toc99909929" w:history="1">
        <w:r w:rsidR="00913BE6" w:rsidRPr="00FF20C4">
          <w:rPr>
            <w:rStyle w:val="Hyperlink"/>
            <w:noProof/>
          </w:rPr>
          <w:t>4.8.</w:t>
        </w:r>
        <w:r w:rsidR="00913BE6">
          <w:rPr>
            <w:rFonts w:eastAsiaTheme="minorEastAsia"/>
            <w:noProof/>
            <w:lang w:val="en-GB" w:eastAsia="en-GB"/>
          </w:rPr>
          <w:tab/>
        </w:r>
        <w:r w:rsidR="00913BE6" w:rsidRPr="00FF20C4">
          <w:rPr>
            <w:rStyle w:val="Hyperlink"/>
            <w:noProof/>
          </w:rPr>
          <w:t>Milestones, targets, monitoring and implementation</w:t>
        </w:r>
        <w:r w:rsidR="00913BE6">
          <w:rPr>
            <w:noProof/>
            <w:webHidden/>
          </w:rPr>
          <w:tab/>
        </w:r>
        <w:r w:rsidR="00913BE6">
          <w:rPr>
            <w:noProof/>
            <w:webHidden/>
          </w:rPr>
          <w:fldChar w:fldCharType="begin"/>
        </w:r>
        <w:r w:rsidR="00913BE6">
          <w:rPr>
            <w:noProof/>
            <w:webHidden/>
          </w:rPr>
          <w:instrText xml:space="preserve"> PAGEREF _Toc99909929 \h </w:instrText>
        </w:r>
        <w:r w:rsidR="00913BE6">
          <w:rPr>
            <w:noProof/>
            <w:webHidden/>
          </w:rPr>
        </w:r>
        <w:r w:rsidR="00913BE6">
          <w:rPr>
            <w:noProof/>
            <w:webHidden/>
          </w:rPr>
          <w:fldChar w:fldCharType="separate"/>
        </w:r>
        <w:r w:rsidR="00596A42">
          <w:rPr>
            <w:noProof/>
            <w:webHidden/>
          </w:rPr>
          <w:t>74</w:t>
        </w:r>
        <w:r w:rsidR="00913BE6">
          <w:rPr>
            <w:noProof/>
            <w:webHidden/>
          </w:rPr>
          <w:fldChar w:fldCharType="end"/>
        </w:r>
      </w:hyperlink>
    </w:p>
    <w:p w14:paraId="5B9A62C8" w14:textId="7354072A" w:rsidR="00913BE6" w:rsidRDefault="00F529D1">
      <w:pPr>
        <w:pStyle w:val="TOC2"/>
        <w:rPr>
          <w:rFonts w:eastAsiaTheme="minorEastAsia"/>
          <w:noProof/>
          <w:lang w:val="en-GB" w:eastAsia="en-GB"/>
        </w:rPr>
      </w:pPr>
      <w:hyperlink w:anchor="_Toc99909930" w:history="1">
        <w:r w:rsidR="00913BE6" w:rsidRPr="00FF20C4">
          <w:rPr>
            <w:rStyle w:val="Hyperlink"/>
            <w:noProof/>
          </w:rPr>
          <w:t>4.9.</w:t>
        </w:r>
        <w:r w:rsidR="00913BE6">
          <w:rPr>
            <w:rFonts w:eastAsiaTheme="minorEastAsia"/>
            <w:noProof/>
            <w:lang w:val="en-GB" w:eastAsia="en-GB"/>
          </w:rPr>
          <w:tab/>
        </w:r>
        <w:r w:rsidR="00913BE6" w:rsidRPr="00FF20C4">
          <w:rPr>
            <w:rStyle w:val="Hyperlink"/>
            <w:noProof/>
          </w:rPr>
          <w:t>Costing</w:t>
        </w:r>
        <w:r w:rsidR="00913BE6">
          <w:rPr>
            <w:noProof/>
            <w:webHidden/>
          </w:rPr>
          <w:tab/>
        </w:r>
        <w:r w:rsidR="00913BE6">
          <w:rPr>
            <w:noProof/>
            <w:webHidden/>
          </w:rPr>
          <w:fldChar w:fldCharType="begin"/>
        </w:r>
        <w:r w:rsidR="00913BE6">
          <w:rPr>
            <w:noProof/>
            <w:webHidden/>
          </w:rPr>
          <w:instrText xml:space="preserve"> PAGEREF _Toc99909930 \h </w:instrText>
        </w:r>
        <w:r w:rsidR="00913BE6">
          <w:rPr>
            <w:noProof/>
            <w:webHidden/>
          </w:rPr>
        </w:r>
        <w:r w:rsidR="00913BE6">
          <w:rPr>
            <w:noProof/>
            <w:webHidden/>
          </w:rPr>
          <w:fldChar w:fldCharType="separate"/>
        </w:r>
        <w:r w:rsidR="00596A42">
          <w:rPr>
            <w:noProof/>
            <w:webHidden/>
          </w:rPr>
          <w:t>75</w:t>
        </w:r>
        <w:r w:rsidR="00913BE6">
          <w:rPr>
            <w:noProof/>
            <w:webHidden/>
          </w:rPr>
          <w:fldChar w:fldCharType="end"/>
        </w:r>
      </w:hyperlink>
    </w:p>
    <w:p w14:paraId="4CCC68C0" w14:textId="65E5642E" w:rsidR="00913BE6" w:rsidRDefault="00F529D1">
      <w:pPr>
        <w:pStyle w:val="TOC2"/>
        <w:rPr>
          <w:rFonts w:eastAsiaTheme="minorEastAsia"/>
          <w:noProof/>
          <w:lang w:val="en-GB" w:eastAsia="en-GB"/>
        </w:rPr>
      </w:pPr>
      <w:hyperlink w:anchor="_Toc99909931" w:history="1">
        <w:r w:rsidR="00913BE6" w:rsidRPr="00FF20C4">
          <w:rPr>
            <w:rStyle w:val="Hyperlink"/>
            <w:noProof/>
          </w:rPr>
          <w:t>4.10.</w:t>
        </w:r>
        <w:r w:rsidR="00913BE6">
          <w:rPr>
            <w:rFonts w:eastAsiaTheme="minorEastAsia"/>
            <w:noProof/>
            <w:lang w:val="en-GB" w:eastAsia="en-GB"/>
          </w:rPr>
          <w:tab/>
        </w:r>
        <w:r w:rsidR="00913BE6" w:rsidRPr="00FF20C4">
          <w:rPr>
            <w:rStyle w:val="Hyperlink"/>
            <w:noProof/>
          </w:rPr>
          <w:t>Controls and audit</w:t>
        </w:r>
        <w:r w:rsidR="00913BE6">
          <w:rPr>
            <w:noProof/>
            <w:webHidden/>
          </w:rPr>
          <w:tab/>
        </w:r>
        <w:r w:rsidR="00913BE6">
          <w:rPr>
            <w:noProof/>
            <w:webHidden/>
          </w:rPr>
          <w:fldChar w:fldCharType="begin"/>
        </w:r>
        <w:r w:rsidR="00913BE6">
          <w:rPr>
            <w:noProof/>
            <w:webHidden/>
          </w:rPr>
          <w:instrText xml:space="preserve"> PAGEREF _Toc99909931 \h </w:instrText>
        </w:r>
        <w:r w:rsidR="00913BE6">
          <w:rPr>
            <w:noProof/>
            <w:webHidden/>
          </w:rPr>
        </w:r>
        <w:r w:rsidR="00913BE6">
          <w:rPr>
            <w:noProof/>
            <w:webHidden/>
          </w:rPr>
          <w:fldChar w:fldCharType="separate"/>
        </w:r>
        <w:r w:rsidR="00596A42">
          <w:rPr>
            <w:noProof/>
            <w:webHidden/>
          </w:rPr>
          <w:t>77</w:t>
        </w:r>
        <w:r w:rsidR="00913BE6">
          <w:rPr>
            <w:noProof/>
            <w:webHidden/>
          </w:rPr>
          <w:fldChar w:fldCharType="end"/>
        </w:r>
      </w:hyperlink>
    </w:p>
    <w:p w14:paraId="58DB5C46" w14:textId="5883B2FC" w:rsidR="00913BE6" w:rsidRDefault="00F529D1">
      <w:pPr>
        <w:pStyle w:val="TOC2"/>
        <w:rPr>
          <w:rFonts w:eastAsiaTheme="minorEastAsia"/>
          <w:noProof/>
          <w:lang w:val="en-GB" w:eastAsia="en-GB"/>
        </w:rPr>
      </w:pPr>
      <w:hyperlink w:anchor="_Toc99909932" w:history="1">
        <w:r w:rsidR="00913BE6" w:rsidRPr="00FF20C4">
          <w:rPr>
            <w:rStyle w:val="Hyperlink"/>
            <w:noProof/>
          </w:rPr>
          <w:t>4.11.</w:t>
        </w:r>
        <w:r w:rsidR="00913BE6">
          <w:rPr>
            <w:rFonts w:eastAsiaTheme="minorEastAsia"/>
            <w:noProof/>
            <w:lang w:val="en-GB" w:eastAsia="en-GB"/>
          </w:rPr>
          <w:tab/>
        </w:r>
        <w:r w:rsidR="00913BE6" w:rsidRPr="00FF20C4">
          <w:rPr>
            <w:rStyle w:val="Hyperlink"/>
            <w:noProof/>
          </w:rPr>
          <w:t>Coherence</w:t>
        </w:r>
        <w:r w:rsidR="00913BE6">
          <w:rPr>
            <w:noProof/>
            <w:webHidden/>
          </w:rPr>
          <w:tab/>
        </w:r>
        <w:r w:rsidR="00913BE6">
          <w:rPr>
            <w:noProof/>
            <w:webHidden/>
          </w:rPr>
          <w:fldChar w:fldCharType="begin"/>
        </w:r>
        <w:r w:rsidR="00913BE6">
          <w:rPr>
            <w:noProof/>
            <w:webHidden/>
          </w:rPr>
          <w:instrText xml:space="preserve"> PAGEREF _Toc99909932 \h </w:instrText>
        </w:r>
        <w:r w:rsidR="00913BE6">
          <w:rPr>
            <w:noProof/>
            <w:webHidden/>
          </w:rPr>
        </w:r>
        <w:r w:rsidR="00913BE6">
          <w:rPr>
            <w:noProof/>
            <w:webHidden/>
          </w:rPr>
          <w:fldChar w:fldCharType="separate"/>
        </w:r>
        <w:r w:rsidR="00596A42">
          <w:rPr>
            <w:noProof/>
            <w:webHidden/>
          </w:rPr>
          <w:t>80</w:t>
        </w:r>
        <w:r w:rsidR="00913BE6">
          <w:rPr>
            <w:noProof/>
            <w:webHidden/>
          </w:rPr>
          <w:fldChar w:fldCharType="end"/>
        </w:r>
      </w:hyperlink>
    </w:p>
    <w:p w14:paraId="726FD10E" w14:textId="76A2A986" w:rsidR="00913BE6" w:rsidRDefault="00F529D1">
      <w:pPr>
        <w:pStyle w:val="TOC2"/>
        <w:rPr>
          <w:rFonts w:eastAsiaTheme="minorEastAsia"/>
          <w:noProof/>
          <w:lang w:val="en-GB" w:eastAsia="en-GB"/>
        </w:rPr>
      </w:pPr>
      <w:hyperlink w:anchor="_Toc99909933" w:history="1">
        <w:r w:rsidR="00913BE6" w:rsidRPr="00FF20C4">
          <w:rPr>
            <w:rStyle w:val="Hyperlink"/>
            <w:i/>
            <w:noProof/>
          </w:rPr>
          <w:t>ANNEX: Climate tracking and digital tagging</w:t>
        </w:r>
        <w:r w:rsidR="00913BE6">
          <w:rPr>
            <w:noProof/>
            <w:webHidden/>
          </w:rPr>
          <w:tab/>
        </w:r>
        <w:r w:rsidR="00913BE6">
          <w:rPr>
            <w:noProof/>
            <w:webHidden/>
          </w:rPr>
          <w:fldChar w:fldCharType="begin"/>
        </w:r>
        <w:r w:rsidR="00913BE6">
          <w:rPr>
            <w:noProof/>
            <w:webHidden/>
          </w:rPr>
          <w:instrText xml:space="preserve"> PAGEREF _Toc99909933 \h </w:instrText>
        </w:r>
        <w:r w:rsidR="00913BE6">
          <w:rPr>
            <w:noProof/>
            <w:webHidden/>
          </w:rPr>
        </w:r>
        <w:r w:rsidR="00913BE6">
          <w:rPr>
            <w:noProof/>
            <w:webHidden/>
          </w:rPr>
          <w:fldChar w:fldCharType="separate"/>
        </w:r>
        <w:r w:rsidR="00596A42">
          <w:rPr>
            <w:noProof/>
            <w:webHidden/>
          </w:rPr>
          <w:t>83</w:t>
        </w:r>
        <w:r w:rsidR="00913BE6">
          <w:rPr>
            <w:noProof/>
            <w:webHidden/>
          </w:rPr>
          <w:fldChar w:fldCharType="end"/>
        </w:r>
      </w:hyperlink>
    </w:p>
    <w:p w14:paraId="2FAC158F" w14:textId="489E1A44" w:rsidR="00A121F7" w:rsidRPr="00E76013" w:rsidRDefault="00BF4AF9">
      <w:pPr>
        <w:rPr>
          <w:rFonts w:ascii="Times New Roman" w:hAnsi="Times New Roman" w:cs="Times New Roman"/>
          <w:b/>
          <w:noProof/>
          <w:lang w:val="en-GB"/>
        </w:rPr>
      </w:pPr>
      <w:r w:rsidRPr="00E76013">
        <w:rPr>
          <w:rFonts w:ascii="Times New Roman" w:hAnsi="Times New Roman" w:cs="Times New Roman"/>
          <w:b/>
          <w:bCs/>
          <w:noProof/>
          <w:color w:val="2B579A"/>
          <w:shd w:val="clear" w:color="auto" w:fill="E6E6E6"/>
          <w:lang w:val="en-GB"/>
        </w:rPr>
        <w:fldChar w:fldCharType="end"/>
      </w:r>
    </w:p>
    <w:p w14:paraId="63ABA7F9" w14:textId="12417206" w:rsidR="00BF4AF9" w:rsidRPr="00E76013" w:rsidRDefault="00BF4AF9">
      <w:pPr>
        <w:rPr>
          <w:rFonts w:ascii="Times New Roman" w:hAnsi="Times New Roman" w:cs="Times New Roman"/>
          <w:noProof/>
          <w:lang w:val="en-GB"/>
        </w:rPr>
      </w:pPr>
    </w:p>
    <w:p w14:paraId="73C01B2E" w14:textId="1FE97EA6" w:rsidR="00C4571B" w:rsidRDefault="00C4571B">
      <w:pPr>
        <w:rPr>
          <w:rFonts w:ascii="Times New Roman" w:hAnsi="Times New Roman" w:cs="Times New Roman"/>
          <w:noProof/>
          <w:lang w:val="en-GB"/>
        </w:rPr>
      </w:pPr>
    </w:p>
    <w:p w14:paraId="5BAC6C23" w14:textId="77777777" w:rsidR="00C4571B" w:rsidRPr="00E76013" w:rsidRDefault="00C4571B">
      <w:pPr>
        <w:rPr>
          <w:rFonts w:ascii="Times New Roman" w:hAnsi="Times New Roman" w:cs="Times New Roman"/>
          <w:noProof/>
          <w:lang w:val="en-GB"/>
        </w:rPr>
      </w:pPr>
    </w:p>
    <w:p w14:paraId="011E5502" w14:textId="77777777" w:rsidR="00F772E4" w:rsidRPr="00E76013" w:rsidRDefault="00F772E4">
      <w:pPr>
        <w:rPr>
          <w:rFonts w:ascii="Times New Roman" w:hAnsi="Times New Roman" w:cs="Times New Roman"/>
          <w:noProof/>
          <w:lang w:val="en-GB"/>
        </w:rPr>
      </w:pPr>
    </w:p>
    <w:p w14:paraId="6F69688A" w14:textId="553041B0" w:rsidR="002D1532" w:rsidRPr="00E76013" w:rsidRDefault="002D1532" w:rsidP="00E01A1F">
      <w:pPr>
        <w:pStyle w:val="Heading1"/>
        <w:numPr>
          <w:ilvl w:val="0"/>
          <w:numId w:val="8"/>
        </w:numPr>
        <w:rPr>
          <w:noProof/>
        </w:rPr>
      </w:pPr>
      <w:bookmarkStart w:id="2" w:name="_Toc99399057"/>
      <w:bookmarkStart w:id="3" w:name="_Toc99399990"/>
      <w:bookmarkStart w:id="4" w:name="_Toc99400418"/>
      <w:bookmarkStart w:id="5" w:name="_Toc99719433"/>
      <w:bookmarkStart w:id="6" w:name="_Toc99728646"/>
      <w:bookmarkStart w:id="7" w:name="_Toc99729640"/>
      <w:bookmarkStart w:id="8" w:name="_Toc99730617"/>
      <w:bookmarkStart w:id="9" w:name="_Toc99731341"/>
      <w:bookmarkStart w:id="10" w:name="_Toc99756880"/>
      <w:bookmarkStart w:id="11" w:name="_Toc99909910"/>
      <w:bookmarkStart w:id="12" w:name="_Toc62455191"/>
      <w:bookmarkStart w:id="13" w:name="_Toc62818206"/>
      <w:bookmarkStart w:id="14" w:name="_Toc62818753"/>
      <w:bookmarkStart w:id="15" w:name="_Toc63417208"/>
      <w:bookmarkStart w:id="16" w:name="_Toc63418898"/>
      <w:bookmarkStart w:id="17" w:name="_Toc63418923"/>
      <w:bookmarkStart w:id="18" w:name="_Toc64281609"/>
      <w:bookmarkStart w:id="19" w:name="_Toc98952813"/>
      <w:bookmarkStart w:id="20" w:name="_Toc98953984"/>
      <w:r w:rsidRPr="00E76013">
        <w:rPr>
          <w:noProof/>
        </w:rPr>
        <w:t>Executive summary</w:t>
      </w:r>
      <w:bookmarkEnd w:id="2"/>
      <w:bookmarkEnd w:id="3"/>
      <w:bookmarkEnd w:id="4"/>
      <w:bookmarkEnd w:id="5"/>
      <w:bookmarkEnd w:id="6"/>
      <w:bookmarkEnd w:id="7"/>
      <w:bookmarkEnd w:id="8"/>
      <w:bookmarkEnd w:id="9"/>
      <w:bookmarkEnd w:id="10"/>
      <w:bookmarkEnd w:id="11"/>
      <w:r w:rsidRPr="00E76013">
        <w:rPr>
          <w:noProof/>
        </w:rPr>
        <w:t xml:space="preserve"> </w:t>
      </w:r>
      <w:bookmarkEnd w:id="12"/>
      <w:bookmarkEnd w:id="13"/>
      <w:bookmarkEnd w:id="14"/>
      <w:bookmarkEnd w:id="15"/>
      <w:bookmarkEnd w:id="16"/>
      <w:bookmarkEnd w:id="17"/>
      <w:bookmarkEnd w:id="18"/>
      <w:bookmarkEnd w:id="19"/>
      <w:bookmarkEnd w:id="20"/>
    </w:p>
    <w:p w14:paraId="3DE7C341" w14:textId="7EF4C5A5" w:rsidR="00294CBC" w:rsidRPr="00E76013" w:rsidRDefault="57295365" w:rsidP="76744A63">
      <w:pPr>
        <w:pStyle w:val="NormalWeb"/>
        <w:spacing w:after="160" w:afterAutospacing="0" w:line="276" w:lineRule="auto"/>
        <w:jc w:val="both"/>
        <w:rPr>
          <w:noProof/>
        </w:rPr>
      </w:pPr>
      <w:bookmarkStart w:id="21" w:name="_Toc62455192"/>
      <w:bookmarkStart w:id="22" w:name="_Toc62818207"/>
      <w:bookmarkStart w:id="23" w:name="_Toc62818754"/>
      <w:bookmarkStart w:id="24" w:name="_Toc63417209"/>
      <w:bookmarkStart w:id="25" w:name="_Toc63418899"/>
      <w:bookmarkStart w:id="26" w:name="_Toc63418924"/>
      <w:bookmarkStart w:id="27" w:name="_Toc64281610"/>
      <w:r w:rsidRPr="00E76013">
        <w:rPr>
          <w:b/>
          <w:bCs/>
          <w:noProof/>
        </w:rPr>
        <w:t xml:space="preserve">The COVID-19 pandemic has interrupted several years of solid economic growth. </w:t>
      </w:r>
      <w:r w:rsidR="000D7AC0">
        <w:rPr>
          <w:noProof/>
        </w:rPr>
        <w:t xml:space="preserve">This </w:t>
      </w:r>
      <w:r w:rsidR="00540789">
        <w:rPr>
          <w:noProof/>
        </w:rPr>
        <w:t>robust</w:t>
      </w:r>
      <w:r w:rsidRPr="00E76013">
        <w:rPr>
          <w:noProof/>
        </w:rPr>
        <w:t xml:space="preserve"> growth (3.6% on average</w:t>
      </w:r>
      <w:r w:rsidR="00AA714E">
        <w:rPr>
          <w:noProof/>
        </w:rPr>
        <w:t xml:space="preserve"> over </w:t>
      </w:r>
      <w:r w:rsidR="009C64E9">
        <w:rPr>
          <w:noProof/>
        </w:rPr>
        <w:t>the five preceding years</w:t>
      </w:r>
      <w:r w:rsidRPr="00E76013">
        <w:rPr>
          <w:noProof/>
        </w:rPr>
        <w:t>) was underpinned by</w:t>
      </w:r>
      <w:r w:rsidR="77DA104D" w:rsidRPr="00E76013">
        <w:rPr>
          <w:noProof/>
        </w:rPr>
        <w:t xml:space="preserve"> </w:t>
      </w:r>
      <w:r w:rsidRPr="00E76013">
        <w:rPr>
          <w:noProof/>
        </w:rPr>
        <w:t>growing private consumption and positive labour market developments. Still, Bulgaria has been slow to catch-up with the rest of the EU</w:t>
      </w:r>
      <w:r w:rsidR="5452623F" w:rsidRPr="00E76013">
        <w:rPr>
          <w:noProof/>
        </w:rPr>
        <w:t xml:space="preserve"> and it has the lowest</w:t>
      </w:r>
      <w:r w:rsidRPr="00E76013">
        <w:rPr>
          <w:noProof/>
        </w:rPr>
        <w:t xml:space="preserve"> </w:t>
      </w:r>
      <w:r w:rsidR="5452623F" w:rsidRPr="00E76013">
        <w:rPr>
          <w:noProof/>
        </w:rPr>
        <w:t xml:space="preserve">level of </w:t>
      </w:r>
      <w:r w:rsidR="77DA104D" w:rsidRPr="00E76013">
        <w:rPr>
          <w:noProof/>
        </w:rPr>
        <w:t>income per capita</w:t>
      </w:r>
      <w:r w:rsidR="00AA714E">
        <w:rPr>
          <w:noProof/>
        </w:rPr>
        <w:t xml:space="preserve"> (</w:t>
      </w:r>
      <w:r w:rsidR="00535216">
        <w:rPr>
          <w:noProof/>
        </w:rPr>
        <w:t>55</w:t>
      </w:r>
      <w:r w:rsidR="00AA714E">
        <w:rPr>
          <w:noProof/>
        </w:rPr>
        <w:t xml:space="preserve"> % of the EU average in PPP)</w:t>
      </w:r>
      <w:r w:rsidR="77DA104D" w:rsidRPr="00E76013">
        <w:rPr>
          <w:noProof/>
        </w:rPr>
        <w:t>.</w:t>
      </w:r>
      <w:r w:rsidRPr="00E76013">
        <w:rPr>
          <w:noProof/>
        </w:rPr>
        <w:t xml:space="preserve"> </w:t>
      </w:r>
      <w:r w:rsidR="73A72B1A" w:rsidRPr="00E76013">
        <w:rPr>
          <w:noProof/>
        </w:rPr>
        <w:t xml:space="preserve">After a fall by 4.4% in 2020, </w:t>
      </w:r>
      <w:r w:rsidRPr="00E76013">
        <w:rPr>
          <w:noProof/>
        </w:rPr>
        <w:t>real GDP rebounded by 4</w:t>
      </w:r>
      <w:r w:rsidR="0FA4F648" w:rsidRPr="00E76013">
        <w:rPr>
          <w:noProof/>
        </w:rPr>
        <w:t>.2</w:t>
      </w:r>
      <w:r w:rsidRPr="00E76013">
        <w:rPr>
          <w:noProof/>
        </w:rPr>
        <w:t>% in 2021, driven by household consumption and goods export</w:t>
      </w:r>
      <w:r w:rsidR="77DA104D" w:rsidRPr="00E76013">
        <w:rPr>
          <w:noProof/>
        </w:rPr>
        <w:t>. This economic</w:t>
      </w:r>
      <w:r w:rsidRPr="00E76013">
        <w:rPr>
          <w:noProof/>
        </w:rPr>
        <w:t xml:space="preserve"> expansion is projected to continue</w:t>
      </w:r>
      <w:r w:rsidR="56E27407" w:rsidRPr="00E76013">
        <w:rPr>
          <w:noProof/>
        </w:rPr>
        <w:t xml:space="preserve"> with GDP set to grow by 3.7% in 2022 and 3.9% in 2023 according to the European Commission Winter Forecast</w:t>
      </w:r>
      <w:r w:rsidR="009C64E9">
        <w:rPr>
          <w:noProof/>
        </w:rPr>
        <w:t>, which however did not include the impact from the war in Ukraine</w:t>
      </w:r>
      <w:r w:rsidRPr="00E76013">
        <w:rPr>
          <w:noProof/>
        </w:rPr>
        <w:t xml:space="preserve">. </w:t>
      </w:r>
      <w:r w:rsidR="77DA104D" w:rsidRPr="00E76013">
        <w:rPr>
          <w:noProof/>
        </w:rPr>
        <w:t xml:space="preserve">More adverse labour market developments have been avoided largely by the swift introduction of short-time work schemes, </w:t>
      </w:r>
      <w:r w:rsidR="00AA714E">
        <w:rPr>
          <w:noProof/>
        </w:rPr>
        <w:t xml:space="preserve">partly </w:t>
      </w:r>
      <w:r w:rsidR="77DA104D" w:rsidRPr="00E76013">
        <w:rPr>
          <w:noProof/>
        </w:rPr>
        <w:t xml:space="preserve">supported through the related </w:t>
      </w:r>
      <w:r w:rsidR="00184658" w:rsidRPr="00E76013">
        <w:rPr>
          <w:noProof/>
        </w:rPr>
        <w:t>E</w:t>
      </w:r>
      <w:r w:rsidR="00184658">
        <w:rPr>
          <w:noProof/>
        </w:rPr>
        <w:t>uropean instrument for temporary</w:t>
      </w:r>
      <w:r w:rsidR="00184658" w:rsidRPr="00E76013" w:rsidDel="00184658">
        <w:rPr>
          <w:noProof/>
        </w:rPr>
        <w:t xml:space="preserve"> </w:t>
      </w:r>
      <w:r w:rsidR="77DA104D" w:rsidRPr="00E76013">
        <w:rPr>
          <w:noProof/>
        </w:rPr>
        <w:t>support (SURE), as well as the EU’s recovery assistance for cohesion and the territories (REACT-EU).</w:t>
      </w:r>
      <w:r w:rsidR="61B62109" w:rsidRPr="00E76013">
        <w:rPr>
          <w:noProof/>
        </w:rPr>
        <w:t xml:space="preserve"> </w:t>
      </w:r>
      <w:r w:rsidR="56E27407" w:rsidRPr="00E76013">
        <w:rPr>
          <w:noProof/>
        </w:rPr>
        <w:t xml:space="preserve">As a result of the contraction in economic activity and </w:t>
      </w:r>
      <w:r w:rsidR="00AA714E">
        <w:rPr>
          <w:noProof/>
        </w:rPr>
        <w:t>the</w:t>
      </w:r>
      <w:r w:rsidR="56E27407" w:rsidRPr="00E76013">
        <w:rPr>
          <w:noProof/>
        </w:rPr>
        <w:t xml:space="preserve"> support measures, t</w:t>
      </w:r>
      <w:r w:rsidR="61B62109" w:rsidRPr="00E76013">
        <w:rPr>
          <w:noProof/>
        </w:rPr>
        <w:t xml:space="preserve">he government balance recorded a deficit of 4% of GDP in 2020. </w:t>
      </w:r>
      <w:r w:rsidR="000D7AC0">
        <w:rPr>
          <w:noProof/>
        </w:rPr>
        <w:t>A</w:t>
      </w:r>
      <w:r w:rsidR="000D7AC0" w:rsidRPr="00E76013">
        <w:rPr>
          <w:noProof/>
        </w:rPr>
        <w:t>ccording to the latest European Commission forecast</w:t>
      </w:r>
      <w:r w:rsidR="000D7AC0">
        <w:rPr>
          <w:noProof/>
        </w:rPr>
        <w:t>,</w:t>
      </w:r>
      <w:r w:rsidR="000D7AC0" w:rsidRPr="00E76013">
        <w:rPr>
          <w:noProof/>
        </w:rPr>
        <w:t xml:space="preserve"> </w:t>
      </w:r>
      <w:r w:rsidR="000D7AC0">
        <w:rPr>
          <w:noProof/>
        </w:rPr>
        <w:t>t</w:t>
      </w:r>
      <w:r w:rsidR="000D7AC0" w:rsidRPr="00E76013">
        <w:rPr>
          <w:noProof/>
        </w:rPr>
        <w:t>his</w:t>
      </w:r>
      <w:r w:rsidR="61B62109" w:rsidRPr="00E76013">
        <w:rPr>
          <w:noProof/>
        </w:rPr>
        <w:t xml:space="preserve"> was followed by </w:t>
      </w:r>
      <w:r w:rsidR="2D4020F7" w:rsidRPr="00E76013">
        <w:rPr>
          <w:noProof/>
        </w:rPr>
        <w:t xml:space="preserve">a slightly improved deficit of </w:t>
      </w:r>
      <w:r w:rsidR="61B62109" w:rsidRPr="00E76013">
        <w:rPr>
          <w:noProof/>
        </w:rPr>
        <w:t>3.6% in 2021</w:t>
      </w:r>
      <w:r w:rsidR="3CB9FC1B" w:rsidRPr="00E76013">
        <w:rPr>
          <w:noProof/>
        </w:rPr>
        <w:t>,</w:t>
      </w:r>
      <w:r w:rsidR="000B6475">
        <w:rPr>
          <w:noProof/>
        </w:rPr>
        <w:t xml:space="preserve"> </w:t>
      </w:r>
      <w:r w:rsidR="61B62109" w:rsidRPr="00E76013">
        <w:rPr>
          <w:noProof/>
        </w:rPr>
        <w:t xml:space="preserve">thanks to the rebound of </w:t>
      </w:r>
      <w:r w:rsidR="000D7AC0">
        <w:rPr>
          <w:noProof/>
        </w:rPr>
        <w:t xml:space="preserve">the </w:t>
      </w:r>
      <w:r w:rsidR="61B62109" w:rsidRPr="00E76013">
        <w:rPr>
          <w:noProof/>
        </w:rPr>
        <w:t xml:space="preserve">economic activity. </w:t>
      </w:r>
      <w:r w:rsidR="00AA714E">
        <w:rPr>
          <w:noProof/>
        </w:rPr>
        <w:t>L</w:t>
      </w:r>
      <w:r w:rsidR="61B62109">
        <w:rPr>
          <w:noProof/>
        </w:rPr>
        <w:t xml:space="preserve">arge </w:t>
      </w:r>
      <w:r w:rsidR="00AA714E">
        <w:rPr>
          <w:noProof/>
        </w:rPr>
        <w:t>inflows</w:t>
      </w:r>
      <w:r w:rsidR="61B62109" w:rsidRPr="00E76013">
        <w:rPr>
          <w:noProof/>
        </w:rPr>
        <w:t xml:space="preserve"> of </w:t>
      </w:r>
      <w:r w:rsidR="00AA714E">
        <w:rPr>
          <w:noProof/>
        </w:rPr>
        <w:t xml:space="preserve">RRF and other </w:t>
      </w:r>
      <w:r w:rsidR="61B62109" w:rsidRPr="00E76013">
        <w:rPr>
          <w:noProof/>
        </w:rPr>
        <w:t xml:space="preserve">EU funds </w:t>
      </w:r>
      <w:r w:rsidR="000D7AC0">
        <w:rPr>
          <w:noProof/>
        </w:rPr>
        <w:t xml:space="preserve">are expected to </w:t>
      </w:r>
      <w:r w:rsidR="00AA714E">
        <w:rPr>
          <w:noProof/>
        </w:rPr>
        <w:t xml:space="preserve">support </w:t>
      </w:r>
      <w:r w:rsidR="000D7AC0">
        <w:rPr>
          <w:noProof/>
        </w:rPr>
        <w:t xml:space="preserve">the </w:t>
      </w:r>
      <w:r w:rsidR="00AA714E">
        <w:rPr>
          <w:noProof/>
        </w:rPr>
        <w:t>activity in the coming years</w:t>
      </w:r>
      <w:r w:rsidR="61B62109">
        <w:rPr>
          <w:noProof/>
        </w:rPr>
        <w:t>.</w:t>
      </w:r>
      <w:r w:rsidR="61B62109" w:rsidRPr="00E76013">
        <w:rPr>
          <w:noProof/>
        </w:rPr>
        <w:t xml:space="preserve"> The general government debt is estimated to have increased to around 27% of GDP in 2021.</w:t>
      </w:r>
    </w:p>
    <w:p w14:paraId="25F0D5C6" w14:textId="7A6A69A4" w:rsidR="00200CD9" w:rsidRPr="00E76013" w:rsidRDefault="002520B4" w:rsidP="76744A63">
      <w:pPr>
        <w:pStyle w:val="NormalWeb"/>
        <w:spacing w:after="160" w:afterAutospacing="0" w:line="276" w:lineRule="auto"/>
        <w:jc w:val="both"/>
        <w:rPr>
          <w:noProof/>
        </w:rPr>
      </w:pPr>
      <w:r w:rsidRPr="00E76013">
        <w:rPr>
          <w:b/>
          <w:noProof/>
        </w:rPr>
        <w:t>Alt</w:t>
      </w:r>
      <w:r w:rsidR="00200CD9" w:rsidRPr="00E76013">
        <w:rPr>
          <w:b/>
          <w:noProof/>
        </w:rPr>
        <w:t>hough Bulgaria</w:t>
      </w:r>
      <w:r w:rsidR="006B33D4">
        <w:rPr>
          <w:b/>
          <w:noProof/>
        </w:rPr>
        <w:t>’s economy</w:t>
      </w:r>
      <w:r w:rsidR="00200CD9" w:rsidRPr="00E76013">
        <w:rPr>
          <w:b/>
          <w:noProof/>
        </w:rPr>
        <w:t xml:space="preserve"> has rebounded from the immediate </w:t>
      </w:r>
      <w:r w:rsidR="006B33D4">
        <w:rPr>
          <w:b/>
          <w:noProof/>
        </w:rPr>
        <w:t xml:space="preserve">COVID-19 </w:t>
      </w:r>
      <w:r w:rsidR="00200CD9" w:rsidRPr="00E76013">
        <w:rPr>
          <w:b/>
          <w:noProof/>
        </w:rPr>
        <w:t xml:space="preserve">shock, structural vulnerabilities </w:t>
      </w:r>
      <w:r w:rsidR="00AA714E">
        <w:rPr>
          <w:b/>
          <w:noProof/>
        </w:rPr>
        <w:t xml:space="preserve">continue to </w:t>
      </w:r>
      <w:r w:rsidR="00540789" w:rsidRPr="004F2DAB">
        <w:rPr>
          <w:b/>
          <w:noProof/>
        </w:rPr>
        <w:t>weigh on</w:t>
      </w:r>
      <w:r w:rsidR="00AA714E" w:rsidRPr="002954BC">
        <w:rPr>
          <w:b/>
          <w:noProof/>
        </w:rPr>
        <w:t xml:space="preserve"> </w:t>
      </w:r>
      <w:r w:rsidR="00200CD9" w:rsidRPr="00E76013">
        <w:rPr>
          <w:b/>
          <w:noProof/>
        </w:rPr>
        <w:t xml:space="preserve">its </w:t>
      </w:r>
      <w:r w:rsidR="00AA714E">
        <w:rPr>
          <w:b/>
          <w:noProof/>
        </w:rPr>
        <w:t xml:space="preserve">convergence </w:t>
      </w:r>
      <w:r w:rsidR="00540789" w:rsidRPr="002954BC">
        <w:rPr>
          <w:b/>
          <w:noProof/>
        </w:rPr>
        <w:t>p</w:t>
      </w:r>
      <w:r w:rsidR="002954BC">
        <w:rPr>
          <w:b/>
          <w:noProof/>
        </w:rPr>
        <w:t>rospects</w:t>
      </w:r>
      <w:r w:rsidR="00200CD9" w:rsidRPr="002954BC">
        <w:rPr>
          <w:b/>
          <w:noProof/>
        </w:rPr>
        <w:t>.</w:t>
      </w:r>
      <w:r w:rsidR="00200CD9" w:rsidRPr="00E76013">
        <w:rPr>
          <w:noProof/>
        </w:rPr>
        <w:t xml:space="preserve"> </w:t>
      </w:r>
      <w:r w:rsidR="00AA714E">
        <w:rPr>
          <w:noProof/>
        </w:rPr>
        <w:t>Bulgaria</w:t>
      </w:r>
      <w:r w:rsidR="00200CD9" w:rsidRPr="00E76013">
        <w:rPr>
          <w:noProof/>
        </w:rPr>
        <w:t xml:space="preserve"> has one of the highest levels of poverty and income inequality and a weak performing health system characterised by </w:t>
      </w:r>
      <w:r w:rsidR="002954BC">
        <w:rPr>
          <w:noProof/>
        </w:rPr>
        <w:t xml:space="preserve">a </w:t>
      </w:r>
      <w:r w:rsidR="00200CD9" w:rsidRPr="00E76013">
        <w:rPr>
          <w:noProof/>
        </w:rPr>
        <w:t xml:space="preserve">limited access to healthcare services. Strong regional disparities, </w:t>
      </w:r>
      <w:r w:rsidRPr="00E76013">
        <w:rPr>
          <w:noProof/>
        </w:rPr>
        <w:t xml:space="preserve">a </w:t>
      </w:r>
      <w:r w:rsidR="00200CD9" w:rsidRPr="00E76013">
        <w:rPr>
          <w:noProof/>
        </w:rPr>
        <w:t xml:space="preserve">shrinking working-age population and rising </w:t>
      </w:r>
      <w:r w:rsidR="002954BC" w:rsidRPr="00E76013">
        <w:rPr>
          <w:noProof/>
        </w:rPr>
        <w:t xml:space="preserve">labour </w:t>
      </w:r>
      <w:r w:rsidR="00200CD9" w:rsidRPr="00E76013">
        <w:rPr>
          <w:noProof/>
        </w:rPr>
        <w:t>shortages, particularly in sectors demanding specific skills, weigh on productivity growth and upward social convergence in the country. Despite reform efforts, the quality and inclusiveness of education remain a concern</w:t>
      </w:r>
      <w:r w:rsidR="002954BC">
        <w:rPr>
          <w:noProof/>
        </w:rPr>
        <w:t>,</w:t>
      </w:r>
      <w:r w:rsidR="00200CD9" w:rsidRPr="00E76013">
        <w:rPr>
          <w:noProof/>
        </w:rPr>
        <w:t xml:space="preserve"> with persistently high rates of early school leaving, low levels of basic and digital skills</w:t>
      </w:r>
      <w:r w:rsidR="002954BC">
        <w:rPr>
          <w:noProof/>
        </w:rPr>
        <w:t>,</w:t>
      </w:r>
      <w:r w:rsidR="00200CD9" w:rsidRPr="00E76013">
        <w:rPr>
          <w:noProof/>
        </w:rPr>
        <w:t xml:space="preserve"> and a strong impact of the socioeconomic status on students’ performance. The business environment is generally not supportive of investment, </w:t>
      </w:r>
      <w:r w:rsidR="002954BC">
        <w:rPr>
          <w:noProof/>
        </w:rPr>
        <w:t>also</w:t>
      </w:r>
      <w:r w:rsidR="002954BC" w:rsidRPr="00E76013">
        <w:rPr>
          <w:noProof/>
        </w:rPr>
        <w:t xml:space="preserve"> </w:t>
      </w:r>
      <w:r w:rsidR="00200CD9" w:rsidRPr="00E76013">
        <w:rPr>
          <w:noProof/>
        </w:rPr>
        <w:t xml:space="preserve">due to </w:t>
      </w:r>
      <w:r w:rsidR="002954BC">
        <w:rPr>
          <w:noProof/>
        </w:rPr>
        <w:t xml:space="preserve">many </w:t>
      </w:r>
      <w:r w:rsidR="00200CD9" w:rsidRPr="00E76013">
        <w:rPr>
          <w:noProof/>
        </w:rPr>
        <w:t xml:space="preserve">institutional </w:t>
      </w:r>
      <w:r w:rsidR="006B4EED">
        <w:rPr>
          <w:noProof/>
        </w:rPr>
        <w:t>shortcomings</w:t>
      </w:r>
      <w:r w:rsidR="006B4EED" w:rsidRPr="00E76013">
        <w:rPr>
          <w:noProof/>
        </w:rPr>
        <w:t>.</w:t>
      </w:r>
      <w:r w:rsidRPr="00E76013">
        <w:rPr>
          <w:noProof/>
        </w:rPr>
        <w:t xml:space="preserve"> Bulgaria </w:t>
      </w:r>
      <w:r w:rsidR="00162D55" w:rsidRPr="00E76013">
        <w:rPr>
          <w:noProof/>
        </w:rPr>
        <w:t>has been unable to create</w:t>
      </w:r>
      <w:r w:rsidRPr="00E76013">
        <w:rPr>
          <w:noProof/>
        </w:rPr>
        <w:t xml:space="preserve"> a solid track record </w:t>
      </w:r>
      <w:r w:rsidR="002954BC" w:rsidRPr="00E76013">
        <w:rPr>
          <w:noProof/>
        </w:rPr>
        <w:t xml:space="preserve">so far </w:t>
      </w:r>
      <w:r w:rsidR="00956ACF">
        <w:rPr>
          <w:noProof/>
        </w:rPr>
        <w:t>in fighting</w:t>
      </w:r>
      <w:r w:rsidRPr="00E76013">
        <w:rPr>
          <w:noProof/>
        </w:rPr>
        <w:t xml:space="preserve"> corruption</w:t>
      </w:r>
      <w:r w:rsidR="002954BC">
        <w:rPr>
          <w:noProof/>
        </w:rPr>
        <w:t>,</w:t>
      </w:r>
      <w:r w:rsidRPr="00E76013">
        <w:rPr>
          <w:noProof/>
        </w:rPr>
        <w:t xml:space="preserve"> </w:t>
      </w:r>
      <w:r w:rsidR="002954BC">
        <w:rPr>
          <w:noProof/>
        </w:rPr>
        <w:t>which</w:t>
      </w:r>
      <w:r w:rsidR="002954BC" w:rsidRPr="00E76013">
        <w:rPr>
          <w:noProof/>
        </w:rPr>
        <w:t xml:space="preserve"> </w:t>
      </w:r>
      <w:r w:rsidRPr="00E76013">
        <w:rPr>
          <w:noProof/>
        </w:rPr>
        <w:t xml:space="preserve">would help to build </w:t>
      </w:r>
      <w:r w:rsidR="002954BC">
        <w:rPr>
          <w:noProof/>
        </w:rPr>
        <w:t xml:space="preserve">up the currently very low levels of </w:t>
      </w:r>
      <w:r w:rsidRPr="00E76013">
        <w:rPr>
          <w:noProof/>
        </w:rPr>
        <w:t>public trust</w:t>
      </w:r>
      <w:r w:rsidR="002954BC">
        <w:rPr>
          <w:noProof/>
        </w:rPr>
        <w:t xml:space="preserve"> in institutions</w:t>
      </w:r>
      <w:r w:rsidR="006B4EED" w:rsidRPr="00E76013">
        <w:rPr>
          <w:noProof/>
        </w:rPr>
        <w:t>.</w:t>
      </w:r>
      <w:r w:rsidR="00200CD9" w:rsidRPr="00E76013">
        <w:rPr>
          <w:noProof/>
        </w:rPr>
        <w:t xml:space="preserve"> The uptake of digital technologies is slow in both public and private sectors and Bulgaria ranks last among EU M</w:t>
      </w:r>
      <w:r w:rsidR="00956ACF">
        <w:rPr>
          <w:noProof/>
        </w:rPr>
        <w:t xml:space="preserve">ember States </w:t>
      </w:r>
      <w:r w:rsidR="00200CD9" w:rsidRPr="00E76013">
        <w:rPr>
          <w:noProof/>
        </w:rPr>
        <w:t xml:space="preserve">in digital skills. </w:t>
      </w:r>
      <w:r w:rsidR="006B4EED">
        <w:rPr>
          <w:noProof/>
        </w:rPr>
        <w:t>The country is also underperforming in the area of research and innovation</w:t>
      </w:r>
      <w:r w:rsidR="006B4EED">
        <w:rPr>
          <w:rStyle w:val="FootnoteReference"/>
          <w:noProof/>
        </w:rPr>
        <w:footnoteReference w:id="2"/>
      </w:r>
      <w:r w:rsidR="00200CD9" w:rsidRPr="00E76013">
        <w:rPr>
          <w:noProof/>
        </w:rPr>
        <w:t xml:space="preserve">. </w:t>
      </w:r>
      <w:r w:rsidR="002D1532" w:rsidRPr="00E76013">
        <w:rPr>
          <w:noProof/>
        </w:rPr>
        <w:t xml:space="preserve">Finally, Bulgaria remains the most energy- and greenhouse gas-intensive economy in the EU by a wide margin. </w:t>
      </w:r>
      <w:r w:rsidR="00FD227A" w:rsidRPr="00E76013">
        <w:rPr>
          <w:noProof/>
        </w:rPr>
        <w:t xml:space="preserve">For many years, there has been </w:t>
      </w:r>
      <w:r w:rsidR="00B85D84" w:rsidRPr="00E76013">
        <w:rPr>
          <w:noProof/>
        </w:rPr>
        <w:t xml:space="preserve">a </w:t>
      </w:r>
      <w:r w:rsidR="00FD227A" w:rsidRPr="00E76013">
        <w:rPr>
          <w:noProof/>
        </w:rPr>
        <w:t xml:space="preserve">strong reluctance to </w:t>
      </w:r>
      <w:r w:rsidR="00B85D84" w:rsidRPr="00E76013">
        <w:rPr>
          <w:noProof/>
        </w:rPr>
        <w:t xml:space="preserve">commit to or even plan </w:t>
      </w:r>
      <w:r w:rsidR="00FD227A" w:rsidRPr="00E76013">
        <w:rPr>
          <w:noProof/>
        </w:rPr>
        <w:t>a coal phase out</w:t>
      </w:r>
      <w:r w:rsidR="002954BC">
        <w:rPr>
          <w:noProof/>
        </w:rPr>
        <w:t>.</w:t>
      </w:r>
      <w:r w:rsidR="00FD227A" w:rsidRPr="00E76013">
        <w:rPr>
          <w:noProof/>
        </w:rPr>
        <w:t xml:space="preserve"> </w:t>
      </w:r>
      <w:r w:rsidR="002954BC">
        <w:rPr>
          <w:noProof/>
        </w:rPr>
        <w:t>T</w:t>
      </w:r>
      <w:r w:rsidR="00FD227A" w:rsidRPr="00E76013">
        <w:rPr>
          <w:noProof/>
        </w:rPr>
        <w:t xml:space="preserve">his </w:t>
      </w:r>
      <w:r w:rsidR="00B85D84" w:rsidRPr="00E76013">
        <w:rPr>
          <w:noProof/>
        </w:rPr>
        <w:t>has become</w:t>
      </w:r>
      <w:r w:rsidR="00FD227A" w:rsidRPr="00E76013">
        <w:rPr>
          <w:noProof/>
        </w:rPr>
        <w:t xml:space="preserve"> urgent to ensure</w:t>
      </w:r>
      <w:r w:rsidR="00B85D84" w:rsidRPr="00E76013">
        <w:rPr>
          <w:noProof/>
        </w:rPr>
        <w:t xml:space="preserve"> that</w:t>
      </w:r>
      <w:r w:rsidR="00FD227A" w:rsidRPr="00E76013">
        <w:rPr>
          <w:noProof/>
        </w:rPr>
        <w:t xml:space="preserve"> the </w:t>
      </w:r>
      <w:r w:rsidR="002954BC">
        <w:rPr>
          <w:noProof/>
        </w:rPr>
        <w:t xml:space="preserve">high </w:t>
      </w:r>
      <w:r w:rsidR="00FD227A" w:rsidRPr="00E76013">
        <w:rPr>
          <w:noProof/>
        </w:rPr>
        <w:t xml:space="preserve">societal and economic costs of the transition are minimised. </w:t>
      </w:r>
      <w:r w:rsidR="002954BC">
        <w:rPr>
          <w:noProof/>
        </w:rPr>
        <w:t>To sum up, b</w:t>
      </w:r>
      <w:r w:rsidRPr="00E76013">
        <w:rPr>
          <w:noProof/>
        </w:rPr>
        <w:t xml:space="preserve">road-based structural reforms </w:t>
      </w:r>
      <w:r w:rsidR="00956ACF">
        <w:rPr>
          <w:noProof/>
        </w:rPr>
        <w:t>are needed to</w:t>
      </w:r>
      <w:r w:rsidRPr="00E76013">
        <w:rPr>
          <w:noProof/>
        </w:rPr>
        <w:t xml:space="preserve"> boost productivity and to achieve </w:t>
      </w:r>
      <w:r w:rsidR="003B0BE9" w:rsidRPr="00E76013">
        <w:rPr>
          <w:noProof/>
        </w:rPr>
        <w:t xml:space="preserve">a </w:t>
      </w:r>
      <w:r w:rsidRPr="00E76013">
        <w:rPr>
          <w:noProof/>
        </w:rPr>
        <w:t>sustainable and inclusive growth.</w:t>
      </w:r>
    </w:p>
    <w:p w14:paraId="5942F8C9" w14:textId="2552D79C" w:rsidR="006C002C" w:rsidRPr="00E76013" w:rsidRDefault="002876C7" w:rsidP="00753B79">
      <w:pPr>
        <w:spacing w:line="276" w:lineRule="auto"/>
        <w:jc w:val="both"/>
        <w:rPr>
          <w:rFonts w:ascii="Times New Roman" w:eastAsia="Times New Roman" w:hAnsi="Times New Roman" w:cs="Times New Roman"/>
          <w:noProof/>
          <w:color w:val="000000" w:themeColor="text1"/>
          <w:sz w:val="24"/>
          <w:szCs w:val="24"/>
        </w:rPr>
      </w:pPr>
      <w:r w:rsidRPr="00E76013">
        <w:rPr>
          <w:rFonts w:ascii="Times New Roman" w:eastAsia="Times New Roman" w:hAnsi="Times New Roman" w:cs="Times New Roman"/>
          <w:b/>
          <w:bCs/>
          <w:noProof/>
          <w:color w:val="000000" w:themeColor="text1"/>
          <w:sz w:val="24"/>
          <w:szCs w:val="24"/>
        </w:rPr>
        <w:t>Bulgaria</w:t>
      </w:r>
      <w:r w:rsidR="006C002C" w:rsidRPr="00E76013">
        <w:rPr>
          <w:rFonts w:ascii="Times New Roman" w:eastAsia="Times New Roman" w:hAnsi="Times New Roman" w:cs="Times New Roman"/>
          <w:b/>
          <w:bCs/>
          <w:noProof/>
          <w:color w:val="000000" w:themeColor="text1"/>
          <w:sz w:val="24"/>
          <w:szCs w:val="24"/>
        </w:rPr>
        <w:t xml:space="preserve">’s </w:t>
      </w:r>
      <w:r w:rsidR="009C7F1F" w:rsidRPr="00E76013">
        <w:rPr>
          <w:rFonts w:ascii="Times New Roman" w:eastAsia="Times New Roman" w:hAnsi="Times New Roman" w:cs="Times New Roman"/>
          <w:b/>
          <w:bCs/>
          <w:noProof/>
          <w:color w:val="000000" w:themeColor="text1"/>
          <w:sz w:val="24"/>
          <w:szCs w:val="24"/>
        </w:rPr>
        <w:t>R</w:t>
      </w:r>
      <w:r w:rsidR="006C002C" w:rsidRPr="00E76013">
        <w:rPr>
          <w:rFonts w:ascii="Times New Roman" w:eastAsia="Times New Roman" w:hAnsi="Times New Roman" w:cs="Times New Roman"/>
          <w:b/>
          <w:bCs/>
          <w:noProof/>
          <w:color w:val="000000" w:themeColor="text1"/>
          <w:sz w:val="24"/>
          <w:szCs w:val="24"/>
        </w:rPr>
        <w:t xml:space="preserve">ecovery and </w:t>
      </w:r>
      <w:r w:rsidR="009C7F1F" w:rsidRPr="00E76013">
        <w:rPr>
          <w:rFonts w:ascii="Times New Roman" w:eastAsia="Times New Roman" w:hAnsi="Times New Roman" w:cs="Times New Roman"/>
          <w:b/>
          <w:bCs/>
          <w:noProof/>
          <w:color w:val="000000" w:themeColor="text1"/>
          <w:sz w:val="24"/>
          <w:szCs w:val="24"/>
        </w:rPr>
        <w:t>R</w:t>
      </w:r>
      <w:r w:rsidR="006C002C" w:rsidRPr="00E76013">
        <w:rPr>
          <w:rFonts w:ascii="Times New Roman" w:eastAsia="Times New Roman" w:hAnsi="Times New Roman" w:cs="Times New Roman"/>
          <w:b/>
          <w:bCs/>
          <w:noProof/>
          <w:color w:val="000000" w:themeColor="text1"/>
          <w:sz w:val="24"/>
          <w:szCs w:val="24"/>
        </w:rPr>
        <w:t xml:space="preserve">esilience </w:t>
      </w:r>
      <w:r w:rsidR="009C7F1F" w:rsidRPr="00E76013">
        <w:rPr>
          <w:rFonts w:ascii="Times New Roman" w:eastAsia="Times New Roman" w:hAnsi="Times New Roman" w:cs="Times New Roman"/>
          <w:b/>
          <w:bCs/>
          <w:noProof/>
          <w:color w:val="000000" w:themeColor="text1"/>
          <w:sz w:val="24"/>
          <w:szCs w:val="24"/>
        </w:rPr>
        <w:t>P</w:t>
      </w:r>
      <w:r w:rsidR="006C002C" w:rsidRPr="00E76013">
        <w:rPr>
          <w:rFonts w:ascii="Times New Roman" w:eastAsia="Times New Roman" w:hAnsi="Times New Roman" w:cs="Times New Roman"/>
          <w:b/>
          <w:bCs/>
          <w:noProof/>
          <w:color w:val="000000" w:themeColor="text1"/>
          <w:sz w:val="24"/>
          <w:szCs w:val="24"/>
        </w:rPr>
        <w:t>lan</w:t>
      </w:r>
      <w:r w:rsidR="009C7F1F" w:rsidRPr="00E76013">
        <w:rPr>
          <w:rFonts w:ascii="Times New Roman" w:eastAsia="Times New Roman" w:hAnsi="Times New Roman" w:cs="Times New Roman"/>
          <w:b/>
          <w:bCs/>
          <w:noProof/>
          <w:color w:val="000000" w:themeColor="text1"/>
          <w:sz w:val="24"/>
          <w:szCs w:val="24"/>
        </w:rPr>
        <w:t xml:space="preserve"> (“Plan”)</w:t>
      </w:r>
      <w:r w:rsidR="006C002C" w:rsidRPr="00E76013">
        <w:rPr>
          <w:rFonts w:ascii="Times New Roman" w:eastAsia="Times New Roman" w:hAnsi="Times New Roman" w:cs="Times New Roman"/>
          <w:b/>
          <w:bCs/>
          <w:noProof/>
          <w:color w:val="000000" w:themeColor="text1"/>
          <w:sz w:val="24"/>
          <w:szCs w:val="24"/>
        </w:rPr>
        <w:t xml:space="preserve"> has an estimated total cost of EUR 6.9 billion</w:t>
      </w:r>
      <w:r w:rsidR="005C2460" w:rsidRPr="00E76013">
        <w:rPr>
          <w:rFonts w:ascii="Times New Roman" w:eastAsia="Times New Roman" w:hAnsi="Times New Roman" w:cs="Times New Roman"/>
          <w:b/>
          <w:bCs/>
          <w:noProof/>
          <w:color w:val="000000" w:themeColor="text1"/>
          <w:sz w:val="24"/>
          <w:szCs w:val="24"/>
        </w:rPr>
        <w:t xml:space="preserve">. </w:t>
      </w:r>
      <w:r w:rsidR="005C2460" w:rsidRPr="00E76013">
        <w:rPr>
          <w:rFonts w:ascii="Times New Roman" w:eastAsia="Times New Roman" w:hAnsi="Times New Roman" w:cs="Times New Roman"/>
          <w:bCs/>
          <w:noProof/>
          <w:color w:val="000000" w:themeColor="text1"/>
          <w:sz w:val="24"/>
          <w:szCs w:val="24"/>
        </w:rPr>
        <w:t>It is</w:t>
      </w:r>
      <w:r w:rsidR="006C002C" w:rsidRPr="00E76013">
        <w:rPr>
          <w:rFonts w:ascii="Times New Roman" w:eastAsia="Times New Roman" w:hAnsi="Times New Roman" w:cs="Times New Roman"/>
          <w:bCs/>
          <w:noProof/>
          <w:color w:val="000000" w:themeColor="text1"/>
          <w:sz w:val="24"/>
          <w:szCs w:val="24"/>
        </w:rPr>
        <w:t xml:space="preserve"> structured around</w:t>
      </w:r>
      <w:r w:rsidR="006C002C" w:rsidRPr="00E76013">
        <w:rPr>
          <w:rFonts w:ascii="Times New Roman" w:eastAsia="Times New Roman" w:hAnsi="Times New Roman" w:cs="Times New Roman"/>
          <w:b/>
          <w:bCs/>
          <w:noProof/>
          <w:color w:val="000000" w:themeColor="text1"/>
          <w:sz w:val="24"/>
          <w:szCs w:val="24"/>
        </w:rPr>
        <w:t xml:space="preserve"> </w:t>
      </w:r>
      <w:r w:rsidR="005C2460" w:rsidRPr="00E76013">
        <w:rPr>
          <w:rFonts w:ascii="Times New Roman" w:eastAsia="Times New Roman" w:hAnsi="Times New Roman" w:cs="Times New Roman"/>
          <w:noProof/>
          <w:sz w:val="24"/>
          <w:szCs w:val="24"/>
          <w:lang w:val="en-IE"/>
        </w:rPr>
        <w:t xml:space="preserve">twelve components grouped in four policy pillars: i) Innovative Bulgaria; ii) Green Bulgaria; iii) Connected Bulgaria; and iv) Fair Bulgaria. </w:t>
      </w:r>
      <w:r w:rsidR="006C002C" w:rsidRPr="00E76013">
        <w:rPr>
          <w:rFonts w:ascii="Times New Roman" w:eastAsia="Times New Roman" w:hAnsi="Times New Roman" w:cs="Times New Roman"/>
          <w:noProof/>
          <w:color w:val="000000" w:themeColor="text1"/>
          <w:sz w:val="24"/>
          <w:szCs w:val="24"/>
        </w:rPr>
        <w:t xml:space="preserve">It consists of </w:t>
      </w:r>
      <w:r w:rsidR="00DB4452">
        <w:rPr>
          <w:rFonts w:ascii="Times New Roman" w:eastAsia="Times New Roman" w:hAnsi="Times New Roman" w:cs="Times New Roman"/>
          <w:noProof/>
          <w:color w:val="000000" w:themeColor="text1"/>
          <w:sz w:val="24"/>
          <w:szCs w:val="24"/>
        </w:rPr>
        <w:t>103</w:t>
      </w:r>
      <w:r w:rsidR="005C2460" w:rsidRPr="00E76013">
        <w:rPr>
          <w:rFonts w:ascii="Times New Roman" w:eastAsia="Times New Roman" w:hAnsi="Times New Roman" w:cs="Times New Roman"/>
          <w:noProof/>
          <w:color w:val="000000" w:themeColor="text1"/>
          <w:sz w:val="24"/>
          <w:szCs w:val="24"/>
        </w:rPr>
        <w:t xml:space="preserve"> </w:t>
      </w:r>
      <w:r w:rsidR="006C002C" w:rsidRPr="00E76013">
        <w:rPr>
          <w:rFonts w:ascii="Times New Roman" w:eastAsia="Times New Roman" w:hAnsi="Times New Roman" w:cs="Times New Roman"/>
          <w:noProof/>
          <w:color w:val="000000" w:themeColor="text1"/>
          <w:sz w:val="24"/>
          <w:szCs w:val="24"/>
        </w:rPr>
        <w:t>individual measures (</w:t>
      </w:r>
      <w:r w:rsidR="00DB4452">
        <w:rPr>
          <w:rFonts w:ascii="Times New Roman" w:eastAsia="Times New Roman" w:hAnsi="Times New Roman" w:cs="Times New Roman"/>
          <w:noProof/>
          <w:color w:val="000000" w:themeColor="text1"/>
          <w:sz w:val="24"/>
          <w:szCs w:val="24"/>
        </w:rPr>
        <w:t>47</w:t>
      </w:r>
      <w:r w:rsidR="005C2460" w:rsidRPr="00E76013">
        <w:rPr>
          <w:rFonts w:ascii="Times New Roman" w:eastAsia="Times New Roman" w:hAnsi="Times New Roman" w:cs="Times New Roman"/>
          <w:noProof/>
          <w:color w:val="000000" w:themeColor="text1"/>
          <w:sz w:val="24"/>
          <w:szCs w:val="24"/>
        </w:rPr>
        <w:t xml:space="preserve"> </w:t>
      </w:r>
      <w:r w:rsidR="006C002C" w:rsidRPr="00E76013">
        <w:rPr>
          <w:rFonts w:ascii="Times New Roman" w:eastAsia="Times New Roman" w:hAnsi="Times New Roman" w:cs="Times New Roman"/>
          <w:noProof/>
          <w:color w:val="000000" w:themeColor="text1"/>
          <w:sz w:val="24"/>
          <w:szCs w:val="24"/>
        </w:rPr>
        <w:t xml:space="preserve">reforms and </w:t>
      </w:r>
      <w:r w:rsidR="00DB4452">
        <w:rPr>
          <w:rFonts w:ascii="Times New Roman" w:eastAsia="Times New Roman" w:hAnsi="Times New Roman" w:cs="Times New Roman"/>
          <w:noProof/>
          <w:color w:val="000000" w:themeColor="text1"/>
          <w:sz w:val="24"/>
          <w:szCs w:val="24"/>
        </w:rPr>
        <w:t>56</w:t>
      </w:r>
      <w:r w:rsidR="005C2460" w:rsidRPr="00E76013">
        <w:rPr>
          <w:rFonts w:ascii="Times New Roman" w:eastAsia="Times New Roman" w:hAnsi="Times New Roman" w:cs="Times New Roman"/>
          <w:noProof/>
          <w:color w:val="000000" w:themeColor="text1"/>
          <w:sz w:val="24"/>
          <w:szCs w:val="24"/>
        </w:rPr>
        <w:t xml:space="preserve"> </w:t>
      </w:r>
      <w:r w:rsidR="006C002C" w:rsidRPr="00E76013">
        <w:rPr>
          <w:rFonts w:ascii="Times New Roman" w:eastAsia="Times New Roman" w:hAnsi="Times New Roman" w:cs="Times New Roman"/>
          <w:noProof/>
          <w:color w:val="000000" w:themeColor="text1"/>
          <w:sz w:val="24"/>
          <w:szCs w:val="24"/>
        </w:rPr>
        <w:t xml:space="preserve">investments). The estimated total cost of the plan is above the non-repayable financial support available to </w:t>
      </w:r>
      <w:r w:rsidR="005C2460" w:rsidRPr="00E76013">
        <w:rPr>
          <w:rFonts w:ascii="Times New Roman" w:eastAsia="Times New Roman" w:hAnsi="Times New Roman" w:cs="Times New Roman"/>
          <w:noProof/>
          <w:color w:val="000000" w:themeColor="text1"/>
          <w:sz w:val="24"/>
          <w:szCs w:val="24"/>
        </w:rPr>
        <w:t>Bulgaria</w:t>
      </w:r>
      <w:r w:rsidR="006C002C" w:rsidRPr="00E76013">
        <w:rPr>
          <w:rFonts w:ascii="Times New Roman" w:eastAsia="Times New Roman" w:hAnsi="Times New Roman" w:cs="Times New Roman"/>
          <w:noProof/>
          <w:color w:val="000000" w:themeColor="text1"/>
          <w:sz w:val="24"/>
          <w:szCs w:val="24"/>
        </w:rPr>
        <w:t xml:space="preserve"> under the RRF Regulation of EUR </w:t>
      </w:r>
      <w:r w:rsidR="005C2460" w:rsidRPr="00E76013">
        <w:rPr>
          <w:rFonts w:ascii="Times New Roman" w:eastAsia="Times New Roman" w:hAnsi="Times New Roman" w:cs="Times New Roman"/>
          <w:noProof/>
          <w:color w:val="000000" w:themeColor="text1"/>
          <w:sz w:val="24"/>
          <w:szCs w:val="24"/>
        </w:rPr>
        <w:t>6.27</w:t>
      </w:r>
      <w:r w:rsidR="006C002C" w:rsidRPr="00E76013">
        <w:rPr>
          <w:rFonts w:ascii="Times New Roman" w:eastAsia="Times New Roman" w:hAnsi="Times New Roman" w:cs="Times New Roman"/>
          <w:noProof/>
          <w:color w:val="000000" w:themeColor="text1"/>
          <w:sz w:val="24"/>
          <w:szCs w:val="24"/>
        </w:rPr>
        <w:t xml:space="preserve"> billion. </w:t>
      </w:r>
      <w:r w:rsidR="005C2460" w:rsidRPr="00E76013">
        <w:rPr>
          <w:rFonts w:ascii="Times New Roman" w:eastAsia="Times New Roman" w:hAnsi="Times New Roman" w:cs="Times New Roman"/>
          <w:noProof/>
          <w:color w:val="000000" w:themeColor="text1"/>
          <w:sz w:val="24"/>
          <w:szCs w:val="24"/>
        </w:rPr>
        <w:t>Bulgaria</w:t>
      </w:r>
      <w:r w:rsidR="006C002C" w:rsidRPr="00E76013">
        <w:rPr>
          <w:rFonts w:ascii="Times New Roman" w:eastAsia="Times New Roman" w:hAnsi="Times New Roman" w:cs="Times New Roman"/>
          <w:noProof/>
          <w:color w:val="000000" w:themeColor="text1"/>
          <w:sz w:val="24"/>
          <w:szCs w:val="24"/>
        </w:rPr>
        <w:t xml:space="preserve"> has not requested any loans under the RRF Regulation. </w:t>
      </w:r>
    </w:p>
    <w:p w14:paraId="144DC42B" w14:textId="0FCB22E9" w:rsidR="00ED5FD6" w:rsidRPr="00E76013" w:rsidRDefault="17E40A16" w:rsidP="00B732FC">
      <w:pPr>
        <w:spacing w:line="276" w:lineRule="auto"/>
        <w:jc w:val="both"/>
        <w:rPr>
          <w:rFonts w:ascii="Times New Roman" w:eastAsia="Times New Roman" w:hAnsi="Times New Roman" w:cs="Times New Roman"/>
          <w:noProof/>
          <w:color w:val="0E101A"/>
          <w:sz w:val="24"/>
          <w:szCs w:val="24"/>
        </w:rPr>
      </w:pPr>
      <w:r w:rsidRPr="00E76013">
        <w:rPr>
          <w:rFonts w:ascii="Times New Roman" w:eastAsia="Times New Roman" w:hAnsi="Times New Roman" w:cs="Times New Roman"/>
          <w:b/>
          <w:bCs/>
          <w:noProof/>
          <w:color w:val="0E101A"/>
          <w:sz w:val="24"/>
          <w:szCs w:val="24"/>
        </w:rPr>
        <w:t xml:space="preserve">Bulgaria’s </w:t>
      </w:r>
      <w:r w:rsidR="009C7F1F" w:rsidRPr="00E76013">
        <w:rPr>
          <w:rFonts w:ascii="Times New Roman" w:eastAsia="Times New Roman" w:hAnsi="Times New Roman" w:cs="Times New Roman"/>
          <w:b/>
          <w:bCs/>
          <w:noProof/>
          <w:color w:val="0E101A"/>
          <w:sz w:val="24"/>
          <w:szCs w:val="24"/>
        </w:rPr>
        <w:t>P</w:t>
      </w:r>
      <w:r w:rsidRPr="00E76013">
        <w:rPr>
          <w:rFonts w:ascii="Times New Roman" w:eastAsia="Times New Roman" w:hAnsi="Times New Roman" w:cs="Times New Roman"/>
          <w:b/>
          <w:bCs/>
          <w:noProof/>
          <w:color w:val="0E101A"/>
          <w:sz w:val="24"/>
          <w:szCs w:val="24"/>
        </w:rPr>
        <w:t>lan represents to a large extent a comprehensive and adequately balanced response to the economic and social situation in the country</w:t>
      </w:r>
      <w:r w:rsidR="004E52FB">
        <w:rPr>
          <w:rFonts w:ascii="Times New Roman" w:eastAsia="Times New Roman" w:hAnsi="Times New Roman" w:cs="Times New Roman"/>
          <w:b/>
          <w:bCs/>
          <w:noProof/>
          <w:color w:val="0E101A"/>
          <w:sz w:val="24"/>
          <w:szCs w:val="24"/>
        </w:rPr>
        <w:t>.</w:t>
      </w:r>
      <w:r w:rsidRPr="00E76013">
        <w:rPr>
          <w:rFonts w:ascii="Times New Roman" w:eastAsia="Times New Roman" w:hAnsi="Times New Roman" w:cs="Times New Roman"/>
          <w:b/>
          <w:bCs/>
          <w:noProof/>
          <w:color w:val="0E101A"/>
          <w:sz w:val="24"/>
          <w:szCs w:val="24"/>
        </w:rPr>
        <w:t xml:space="preserve"> </w:t>
      </w:r>
      <w:r w:rsidR="004E52FB" w:rsidRPr="004F2DAB">
        <w:rPr>
          <w:rFonts w:ascii="Times New Roman" w:eastAsia="Times New Roman" w:hAnsi="Times New Roman" w:cs="Times New Roman"/>
          <w:bCs/>
          <w:noProof/>
          <w:color w:val="0E101A"/>
          <w:sz w:val="24"/>
          <w:szCs w:val="24"/>
        </w:rPr>
        <w:t>Therefore</w:t>
      </w:r>
      <w:r w:rsidR="004E52FB">
        <w:rPr>
          <w:rFonts w:ascii="Times New Roman" w:eastAsia="Times New Roman" w:hAnsi="Times New Roman" w:cs="Times New Roman"/>
          <w:bCs/>
          <w:noProof/>
          <w:color w:val="0E101A"/>
          <w:sz w:val="24"/>
          <w:szCs w:val="24"/>
        </w:rPr>
        <w:t>,</w:t>
      </w:r>
      <w:r w:rsidR="004E52FB" w:rsidRPr="004F2DAB">
        <w:rPr>
          <w:rFonts w:ascii="Times New Roman" w:eastAsia="Times New Roman" w:hAnsi="Times New Roman" w:cs="Times New Roman"/>
          <w:bCs/>
          <w:noProof/>
          <w:color w:val="0E101A"/>
          <w:sz w:val="24"/>
          <w:szCs w:val="24"/>
        </w:rPr>
        <w:t xml:space="preserve"> it contribut</w:t>
      </w:r>
      <w:r w:rsidR="004E52FB">
        <w:rPr>
          <w:rFonts w:ascii="Times New Roman" w:eastAsia="Times New Roman" w:hAnsi="Times New Roman" w:cs="Times New Roman"/>
          <w:bCs/>
          <w:noProof/>
          <w:color w:val="0E101A"/>
          <w:sz w:val="24"/>
          <w:szCs w:val="24"/>
        </w:rPr>
        <w:t>e</w:t>
      </w:r>
      <w:r w:rsidR="004E52FB" w:rsidRPr="004F2DAB">
        <w:rPr>
          <w:rFonts w:ascii="Times New Roman" w:eastAsia="Times New Roman" w:hAnsi="Times New Roman" w:cs="Times New Roman"/>
          <w:bCs/>
          <w:noProof/>
          <w:color w:val="0E101A"/>
          <w:sz w:val="24"/>
          <w:szCs w:val="24"/>
        </w:rPr>
        <w:t xml:space="preserve">s </w:t>
      </w:r>
      <w:r w:rsidRPr="004F2DAB">
        <w:rPr>
          <w:rFonts w:ascii="Times New Roman" w:eastAsia="Times New Roman" w:hAnsi="Times New Roman" w:cs="Times New Roman"/>
          <w:noProof/>
          <w:color w:val="0E101A"/>
          <w:sz w:val="24"/>
          <w:szCs w:val="24"/>
        </w:rPr>
        <w:t>appropriately to the six policy pillars referred to in Article 3 of the Regulation</w:t>
      </w:r>
      <w:r w:rsidR="00ED5FD6" w:rsidRPr="004F2DAB">
        <w:rPr>
          <w:rStyle w:val="FootnoteReference"/>
          <w:rFonts w:ascii="Times New Roman" w:eastAsia="Times New Roman" w:hAnsi="Times New Roman" w:cs="Times New Roman"/>
          <w:noProof/>
          <w:color w:val="0E101A"/>
          <w:sz w:val="24"/>
          <w:szCs w:val="24"/>
        </w:rPr>
        <w:footnoteReference w:id="3"/>
      </w:r>
      <w:r w:rsidRPr="004F2DAB">
        <w:rPr>
          <w:rFonts w:ascii="Times New Roman" w:eastAsia="Times New Roman" w:hAnsi="Times New Roman" w:cs="Times New Roman"/>
          <w:noProof/>
          <w:color w:val="0E101A"/>
          <w:sz w:val="24"/>
          <w:szCs w:val="24"/>
        </w:rPr>
        <w:t>.</w:t>
      </w:r>
      <w:r w:rsidRPr="00E76013">
        <w:rPr>
          <w:rFonts w:ascii="Times New Roman" w:eastAsia="Times New Roman" w:hAnsi="Times New Roman" w:cs="Times New Roman"/>
          <w:noProof/>
          <w:color w:val="0E101A"/>
          <w:sz w:val="24"/>
          <w:szCs w:val="24"/>
        </w:rPr>
        <w:t xml:space="preserve"> The </w:t>
      </w:r>
      <w:r w:rsidR="008B1B1F" w:rsidRPr="00E76013">
        <w:rPr>
          <w:rFonts w:ascii="Times New Roman" w:eastAsia="Times New Roman" w:hAnsi="Times New Roman" w:cs="Times New Roman"/>
          <w:noProof/>
          <w:color w:val="0E101A"/>
          <w:sz w:val="24"/>
          <w:szCs w:val="24"/>
        </w:rPr>
        <w:t>P</w:t>
      </w:r>
      <w:r w:rsidRPr="00E76013">
        <w:rPr>
          <w:rFonts w:ascii="Times New Roman" w:eastAsia="Times New Roman" w:hAnsi="Times New Roman" w:cs="Times New Roman"/>
          <w:noProof/>
          <w:color w:val="0E101A"/>
          <w:sz w:val="24"/>
          <w:szCs w:val="24"/>
        </w:rPr>
        <w:t xml:space="preserve">lan strongly supports the green transition and aims to address </w:t>
      </w:r>
      <w:r w:rsidR="00956ACF">
        <w:rPr>
          <w:rFonts w:ascii="Times New Roman" w:eastAsia="Times New Roman" w:hAnsi="Times New Roman" w:cs="Times New Roman"/>
          <w:noProof/>
          <w:color w:val="0E101A"/>
          <w:sz w:val="24"/>
          <w:szCs w:val="24"/>
        </w:rPr>
        <w:t xml:space="preserve">the </w:t>
      </w:r>
      <w:r w:rsidRPr="00E76013">
        <w:rPr>
          <w:rFonts w:ascii="Times New Roman" w:eastAsia="Times New Roman" w:hAnsi="Times New Roman" w:cs="Times New Roman"/>
          <w:noProof/>
          <w:color w:val="0E101A"/>
          <w:sz w:val="24"/>
          <w:szCs w:val="24"/>
        </w:rPr>
        <w:t xml:space="preserve">major societal and environmental challenge </w:t>
      </w:r>
      <w:r w:rsidR="00956ACF">
        <w:rPr>
          <w:rFonts w:ascii="Times New Roman" w:eastAsia="Times New Roman" w:hAnsi="Times New Roman" w:cs="Times New Roman"/>
          <w:noProof/>
          <w:color w:val="0E101A"/>
          <w:sz w:val="24"/>
          <w:szCs w:val="24"/>
        </w:rPr>
        <w:t>of</w:t>
      </w:r>
      <w:r w:rsidRPr="00E76013">
        <w:rPr>
          <w:rFonts w:ascii="Times New Roman" w:eastAsia="Times New Roman" w:hAnsi="Times New Roman" w:cs="Times New Roman"/>
          <w:noProof/>
          <w:color w:val="0E101A"/>
          <w:sz w:val="24"/>
          <w:szCs w:val="24"/>
        </w:rPr>
        <w:t xml:space="preserve"> decarbonisation of the economy. The Plan is expected to greatly accelerate the deployment of </w:t>
      </w:r>
      <w:r w:rsidR="004E52FB">
        <w:rPr>
          <w:rFonts w:ascii="Times New Roman" w:eastAsia="Times New Roman" w:hAnsi="Times New Roman" w:cs="Times New Roman"/>
          <w:noProof/>
          <w:color w:val="0E101A"/>
          <w:sz w:val="24"/>
          <w:szCs w:val="24"/>
        </w:rPr>
        <w:t>the</w:t>
      </w:r>
      <w:r w:rsidRPr="00E76013">
        <w:rPr>
          <w:rFonts w:ascii="Times New Roman" w:eastAsia="Times New Roman" w:hAnsi="Times New Roman" w:cs="Times New Roman"/>
          <w:noProof/>
          <w:color w:val="0E101A"/>
          <w:sz w:val="24"/>
          <w:szCs w:val="24"/>
        </w:rPr>
        <w:t xml:space="preserve"> renewable energy sources and </w:t>
      </w:r>
      <w:r w:rsidR="00956ACF">
        <w:rPr>
          <w:rFonts w:ascii="Times New Roman" w:eastAsia="Times New Roman" w:hAnsi="Times New Roman" w:cs="Times New Roman"/>
          <w:noProof/>
          <w:color w:val="0E101A"/>
          <w:sz w:val="24"/>
          <w:szCs w:val="24"/>
        </w:rPr>
        <w:t xml:space="preserve">to </w:t>
      </w:r>
      <w:r w:rsidRPr="00E76013">
        <w:rPr>
          <w:rFonts w:ascii="Times New Roman" w:eastAsia="Times New Roman" w:hAnsi="Times New Roman" w:cs="Times New Roman"/>
          <w:noProof/>
          <w:color w:val="0E101A"/>
          <w:sz w:val="24"/>
          <w:szCs w:val="24"/>
        </w:rPr>
        <w:t xml:space="preserve">cut by </w:t>
      </w:r>
      <w:r w:rsidR="00956ACF">
        <w:rPr>
          <w:rFonts w:ascii="Times New Roman" w:eastAsia="Times New Roman" w:hAnsi="Times New Roman" w:cs="Times New Roman"/>
          <w:noProof/>
          <w:color w:val="0E101A"/>
          <w:sz w:val="24"/>
          <w:szCs w:val="24"/>
        </w:rPr>
        <w:t xml:space="preserve">40% </w:t>
      </w:r>
      <w:r w:rsidRPr="00E76013">
        <w:rPr>
          <w:rFonts w:ascii="Times New Roman" w:eastAsia="Times New Roman" w:hAnsi="Times New Roman" w:cs="Times New Roman"/>
          <w:noProof/>
          <w:color w:val="0E101A"/>
          <w:sz w:val="24"/>
          <w:szCs w:val="24"/>
        </w:rPr>
        <w:t xml:space="preserve">the greenhouse gas emissions from power production. </w:t>
      </w:r>
      <w:r w:rsidR="724C043A" w:rsidRPr="00E76013">
        <w:rPr>
          <w:rFonts w:ascii="Times New Roman" w:eastAsia="Times New Roman" w:hAnsi="Times New Roman" w:cs="Times New Roman"/>
          <w:noProof/>
          <w:color w:val="0E101A"/>
          <w:sz w:val="24"/>
          <w:szCs w:val="24"/>
        </w:rPr>
        <w:t xml:space="preserve">It includes measures for the decarbonisation and the digitalisation of the transport sector, promoting low-emission mobility and use of less polluting modes of trasnport, and for the improvement of road safety. </w:t>
      </w:r>
      <w:r w:rsidRPr="00E76013">
        <w:rPr>
          <w:rFonts w:ascii="Times New Roman" w:eastAsia="Times New Roman" w:hAnsi="Times New Roman" w:cs="Times New Roman"/>
          <w:noProof/>
          <w:color w:val="0E101A"/>
          <w:sz w:val="24"/>
          <w:szCs w:val="24"/>
        </w:rPr>
        <w:t>Moreover, the Plan includes a host of measures supporting the digital transition</w:t>
      </w:r>
      <w:r w:rsidR="76E5A971" w:rsidRPr="00E76013">
        <w:rPr>
          <w:rFonts w:ascii="Times New Roman" w:eastAsia="Times New Roman" w:hAnsi="Times New Roman" w:cs="Times New Roman"/>
          <w:noProof/>
          <w:color w:val="0E101A"/>
          <w:sz w:val="24"/>
          <w:szCs w:val="24"/>
        </w:rPr>
        <w:t xml:space="preserve"> that are</w:t>
      </w:r>
      <w:r w:rsidRPr="00E76013">
        <w:rPr>
          <w:rFonts w:ascii="Times New Roman" w:eastAsia="Times New Roman" w:hAnsi="Times New Roman" w:cs="Times New Roman"/>
          <w:noProof/>
          <w:color w:val="0E101A"/>
          <w:sz w:val="24"/>
          <w:szCs w:val="24"/>
        </w:rPr>
        <w:t xml:space="preserve"> spread over many components, including </w:t>
      </w:r>
      <w:r w:rsidR="66280BB5" w:rsidRPr="00E76013">
        <w:rPr>
          <w:rFonts w:ascii="Times New Roman" w:eastAsia="Times New Roman" w:hAnsi="Times New Roman" w:cs="Times New Roman"/>
          <w:noProof/>
          <w:color w:val="0E101A"/>
          <w:sz w:val="24"/>
          <w:szCs w:val="24"/>
        </w:rPr>
        <w:t xml:space="preserve">the large-scale roll-out of very high capacity networks across the country, digitalisation of the </w:t>
      </w:r>
      <w:r w:rsidRPr="00E76013">
        <w:rPr>
          <w:rFonts w:ascii="Times New Roman" w:eastAsia="Times New Roman" w:hAnsi="Times New Roman" w:cs="Times New Roman"/>
          <w:noProof/>
          <w:color w:val="0E101A"/>
          <w:sz w:val="24"/>
          <w:szCs w:val="24"/>
        </w:rPr>
        <w:t xml:space="preserve">public administration, </w:t>
      </w:r>
      <w:r w:rsidR="4FADABE6" w:rsidRPr="00E76013">
        <w:rPr>
          <w:rFonts w:ascii="Times New Roman" w:eastAsia="Times New Roman" w:hAnsi="Times New Roman" w:cs="Times New Roman"/>
          <w:noProof/>
          <w:color w:val="0E101A"/>
          <w:sz w:val="24"/>
          <w:szCs w:val="24"/>
        </w:rPr>
        <w:t>education</w:t>
      </w:r>
      <w:r w:rsidRPr="00E76013">
        <w:rPr>
          <w:rFonts w:ascii="Times New Roman" w:eastAsia="Times New Roman" w:hAnsi="Times New Roman" w:cs="Times New Roman"/>
          <w:noProof/>
          <w:color w:val="0E101A"/>
          <w:sz w:val="24"/>
          <w:szCs w:val="24"/>
        </w:rPr>
        <w:t xml:space="preserve"> and </w:t>
      </w:r>
      <w:r w:rsidR="4FADABE6" w:rsidRPr="00E76013">
        <w:rPr>
          <w:rFonts w:ascii="Times New Roman" w:eastAsia="Times New Roman" w:hAnsi="Times New Roman" w:cs="Times New Roman"/>
          <w:noProof/>
          <w:color w:val="0E101A"/>
          <w:sz w:val="24"/>
          <w:szCs w:val="24"/>
        </w:rPr>
        <w:t>training systems, and judiciary.</w:t>
      </w:r>
      <w:r w:rsidRPr="00E76013">
        <w:rPr>
          <w:rFonts w:ascii="Times New Roman" w:eastAsia="Times New Roman" w:hAnsi="Times New Roman" w:cs="Times New Roman"/>
          <w:noProof/>
          <w:color w:val="0E101A"/>
          <w:sz w:val="24"/>
          <w:szCs w:val="24"/>
        </w:rPr>
        <w:t xml:space="preserve"> Additionally, a number of measures will </w:t>
      </w:r>
      <w:r w:rsidRPr="00E76013">
        <w:rPr>
          <w:rFonts w:ascii="Times New Roman" w:eastAsia="Times New Roman" w:hAnsi="Times New Roman" w:cs="Times New Roman"/>
          <w:noProof/>
          <w:sz w:val="24"/>
          <w:szCs w:val="24"/>
        </w:rPr>
        <w:t xml:space="preserve">contribute to a smart, inclusive and sustainable growth, </w:t>
      </w:r>
      <w:r w:rsidRPr="00E76013">
        <w:rPr>
          <w:rFonts w:ascii="Times New Roman" w:eastAsia="Times New Roman" w:hAnsi="Times New Roman" w:cs="Times New Roman"/>
          <w:noProof/>
          <w:color w:val="0E101A"/>
          <w:sz w:val="24"/>
          <w:szCs w:val="24"/>
        </w:rPr>
        <w:t>including through reforms and investments for improving business environment, foster</w:t>
      </w:r>
      <w:r w:rsidR="3BAC4496" w:rsidRPr="00E76013">
        <w:rPr>
          <w:rFonts w:ascii="Times New Roman" w:eastAsia="Times New Roman" w:hAnsi="Times New Roman" w:cs="Times New Roman"/>
          <w:noProof/>
          <w:color w:val="0E101A"/>
          <w:sz w:val="24"/>
          <w:szCs w:val="24"/>
        </w:rPr>
        <w:t>ing</w:t>
      </w:r>
      <w:r w:rsidRPr="00E76013">
        <w:rPr>
          <w:rFonts w:ascii="Times New Roman" w:eastAsia="Times New Roman" w:hAnsi="Times New Roman" w:cs="Times New Roman"/>
          <w:noProof/>
          <w:color w:val="0E101A"/>
          <w:sz w:val="24"/>
          <w:szCs w:val="24"/>
        </w:rPr>
        <w:t xml:space="preserve"> innovation and R&amp;D and support</w:t>
      </w:r>
      <w:r w:rsidR="3BAC4496" w:rsidRPr="00E76013">
        <w:rPr>
          <w:rFonts w:ascii="Times New Roman" w:eastAsia="Times New Roman" w:hAnsi="Times New Roman" w:cs="Times New Roman"/>
          <w:noProof/>
          <w:color w:val="0E101A"/>
          <w:sz w:val="24"/>
          <w:szCs w:val="24"/>
        </w:rPr>
        <w:t>ing</w:t>
      </w:r>
      <w:r w:rsidRPr="00E76013">
        <w:rPr>
          <w:rFonts w:ascii="Times New Roman" w:eastAsia="Times New Roman" w:hAnsi="Times New Roman" w:cs="Times New Roman"/>
          <w:noProof/>
          <w:color w:val="0E101A"/>
          <w:sz w:val="24"/>
          <w:szCs w:val="24"/>
        </w:rPr>
        <w:t xml:space="preserve"> SMEs </w:t>
      </w:r>
      <w:r w:rsidRPr="00E76013" w:rsidDel="17E40A16">
        <w:rPr>
          <w:rFonts w:ascii="Times New Roman" w:eastAsia="Times New Roman" w:hAnsi="Times New Roman" w:cs="Times New Roman"/>
          <w:noProof/>
          <w:color w:val="0E101A"/>
          <w:sz w:val="24"/>
          <w:szCs w:val="24"/>
        </w:rPr>
        <w:t>and</w:t>
      </w:r>
      <w:r w:rsidRPr="00E76013">
        <w:rPr>
          <w:rFonts w:ascii="Times New Roman" w:eastAsia="Times New Roman" w:hAnsi="Times New Roman" w:cs="Times New Roman"/>
          <w:noProof/>
          <w:color w:val="0E101A"/>
          <w:sz w:val="24"/>
          <w:szCs w:val="24"/>
        </w:rPr>
        <w:t xml:space="preserve"> the cultural and creative sectors. Social cohesion is strengthened through the reform of the minimum income scheme and </w:t>
      </w:r>
      <w:r w:rsidR="004E52FB">
        <w:rPr>
          <w:rFonts w:ascii="Times New Roman" w:eastAsia="Times New Roman" w:hAnsi="Times New Roman" w:cs="Times New Roman"/>
          <w:noProof/>
          <w:color w:val="0E101A"/>
          <w:sz w:val="24"/>
          <w:szCs w:val="24"/>
        </w:rPr>
        <w:t xml:space="preserve">the </w:t>
      </w:r>
      <w:r w:rsidR="004E52FB" w:rsidRPr="00E76013">
        <w:rPr>
          <w:rFonts w:ascii="Times New Roman" w:eastAsia="Times New Roman" w:hAnsi="Times New Roman" w:cs="Times New Roman"/>
          <w:noProof/>
          <w:color w:val="0E101A"/>
          <w:sz w:val="24"/>
          <w:szCs w:val="24"/>
        </w:rPr>
        <w:t>modernis</w:t>
      </w:r>
      <w:r w:rsidR="004E52FB">
        <w:rPr>
          <w:rFonts w:ascii="Times New Roman" w:eastAsia="Times New Roman" w:hAnsi="Times New Roman" w:cs="Times New Roman"/>
          <w:noProof/>
          <w:color w:val="0E101A"/>
          <w:sz w:val="24"/>
          <w:szCs w:val="24"/>
        </w:rPr>
        <w:t>ation of</w:t>
      </w:r>
      <w:r w:rsidRPr="00E76013">
        <w:rPr>
          <w:rFonts w:ascii="Times New Roman" w:eastAsia="Times New Roman" w:hAnsi="Times New Roman" w:cs="Times New Roman"/>
          <w:noProof/>
          <w:color w:val="0E101A"/>
          <w:sz w:val="24"/>
          <w:szCs w:val="24"/>
        </w:rPr>
        <w:t xml:space="preserve"> the</w:t>
      </w:r>
      <w:r w:rsidR="4FADABE6" w:rsidRPr="00E76013">
        <w:rPr>
          <w:rFonts w:ascii="Times New Roman" w:eastAsia="Times New Roman" w:hAnsi="Times New Roman" w:cs="Times New Roman"/>
          <w:noProof/>
          <w:color w:val="0E101A"/>
          <w:sz w:val="24"/>
          <w:szCs w:val="24"/>
        </w:rPr>
        <w:t xml:space="preserve"> Employment and Social Assistance agencies, as well as by providing support to the </w:t>
      </w:r>
      <w:r w:rsidR="7989A34C" w:rsidRPr="00E76013">
        <w:rPr>
          <w:rFonts w:ascii="Times New Roman" w:eastAsia="Times New Roman" w:hAnsi="Times New Roman" w:cs="Times New Roman"/>
          <w:noProof/>
          <w:color w:val="0E101A"/>
          <w:sz w:val="24"/>
          <w:szCs w:val="24"/>
        </w:rPr>
        <w:t>social and solidarity economy</w:t>
      </w:r>
      <w:r w:rsidR="4FADABE6" w:rsidRPr="00E76013">
        <w:rPr>
          <w:rFonts w:ascii="Times New Roman" w:eastAsia="Times New Roman" w:hAnsi="Times New Roman" w:cs="Times New Roman"/>
          <w:noProof/>
          <w:color w:val="0E101A"/>
          <w:sz w:val="24"/>
          <w:szCs w:val="24"/>
        </w:rPr>
        <w:t xml:space="preserve">. </w:t>
      </w:r>
      <w:r w:rsidR="7BBD6A16" w:rsidRPr="00E76013">
        <w:rPr>
          <w:rFonts w:ascii="Times New Roman" w:eastAsia="Times New Roman" w:hAnsi="Times New Roman" w:cs="Times New Roman"/>
          <w:noProof/>
          <w:color w:val="0E101A"/>
          <w:sz w:val="24"/>
          <w:szCs w:val="24"/>
        </w:rPr>
        <w:t xml:space="preserve">The </w:t>
      </w:r>
      <w:r w:rsidR="008B1B1F" w:rsidRPr="00E76013">
        <w:rPr>
          <w:rFonts w:ascii="Times New Roman" w:eastAsia="Times New Roman" w:hAnsi="Times New Roman" w:cs="Times New Roman"/>
          <w:noProof/>
          <w:color w:val="0E101A"/>
          <w:sz w:val="24"/>
          <w:szCs w:val="24"/>
        </w:rPr>
        <w:t>P</w:t>
      </w:r>
      <w:r w:rsidR="7BBD6A16" w:rsidRPr="00E76013">
        <w:rPr>
          <w:rFonts w:ascii="Times New Roman" w:eastAsia="Times New Roman" w:hAnsi="Times New Roman" w:cs="Times New Roman"/>
          <w:noProof/>
          <w:color w:val="0E101A"/>
          <w:sz w:val="24"/>
          <w:szCs w:val="24"/>
        </w:rPr>
        <w:t>lan also contains</w:t>
      </w:r>
      <w:r w:rsidR="3BAC4496" w:rsidRPr="00E76013">
        <w:rPr>
          <w:rFonts w:ascii="Times New Roman" w:eastAsia="Times New Roman" w:hAnsi="Times New Roman" w:cs="Times New Roman"/>
          <w:noProof/>
          <w:color w:val="0E101A"/>
          <w:sz w:val="24"/>
          <w:szCs w:val="24"/>
        </w:rPr>
        <w:t xml:space="preserve"> </w:t>
      </w:r>
      <w:r w:rsidR="7565DDCD" w:rsidRPr="00E76013">
        <w:rPr>
          <w:rFonts w:ascii="Times New Roman" w:eastAsia="Times New Roman" w:hAnsi="Times New Roman" w:cs="Times New Roman"/>
          <w:noProof/>
          <w:color w:val="0E101A"/>
          <w:sz w:val="24"/>
          <w:szCs w:val="24"/>
        </w:rPr>
        <w:t>measures</w:t>
      </w:r>
      <w:r w:rsidR="27855C1C" w:rsidRPr="00E76013">
        <w:rPr>
          <w:rFonts w:ascii="Times New Roman" w:eastAsia="Times New Roman" w:hAnsi="Times New Roman" w:cs="Times New Roman"/>
          <w:noProof/>
          <w:color w:val="0E101A"/>
          <w:sz w:val="24"/>
          <w:szCs w:val="24"/>
        </w:rPr>
        <w:t xml:space="preserve"> </w:t>
      </w:r>
      <w:r w:rsidR="3BAC4496" w:rsidRPr="00E76013">
        <w:rPr>
          <w:rFonts w:ascii="Times New Roman" w:eastAsia="Times New Roman" w:hAnsi="Times New Roman" w:cs="Times New Roman"/>
          <w:noProof/>
          <w:color w:val="0E101A"/>
          <w:sz w:val="24"/>
          <w:szCs w:val="24"/>
        </w:rPr>
        <w:t xml:space="preserve">for improving </w:t>
      </w:r>
      <w:r w:rsidR="27855C1C" w:rsidRPr="00E76013">
        <w:rPr>
          <w:rFonts w:ascii="Times New Roman" w:eastAsia="Times New Roman" w:hAnsi="Times New Roman" w:cs="Times New Roman"/>
          <w:noProof/>
          <w:color w:val="0E101A"/>
          <w:sz w:val="24"/>
          <w:szCs w:val="24"/>
        </w:rPr>
        <w:t xml:space="preserve">education and skills, lifelong learning and vocational training, and </w:t>
      </w:r>
      <w:r w:rsidR="004E52FB">
        <w:rPr>
          <w:rFonts w:ascii="Times New Roman" w:eastAsia="Times New Roman" w:hAnsi="Times New Roman" w:cs="Times New Roman"/>
          <w:noProof/>
          <w:color w:val="0E101A"/>
          <w:sz w:val="24"/>
          <w:szCs w:val="24"/>
        </w:rPr>
        <w:t>reforming</w:t>
      </w:r>
      <w:r w:rsidR="27855C1C" w:rsidRPr="00E76013">
        <w:rPr>
          <w:rFonts w:ascii="Times New Roman" w:eastAsia="Times New Roman" w:hAnsi="Times New Roman" w:cs="Times New Roman"/>
          <w:noProof/>
          <w:color w:val="0E101A"/>
          <w:sz w:val="24"/>
          <w:szCs w:val="24"/>
        </w:rPr>
        <w:t xml:space="preserve"> the system of social services, including </w:t>
      </w:r>
      <w:r w:rsidR="004E52FB">
        <w:rPr>
          <w:rFonts w:ascii="Times New Roman" w:eastAsia="Times New Roman" w:hAnsi="Times New Roman" w:cs="Times New Roman"/>
          <w:noProof/>
          <w:color w:val="0E101A"/>
          <w:sz w:val="24"/>
          <w:szCs w:val="24"/>
        </w:rPr>
        <w:t xml:space="preserve">the </w:t>
      </w:r>
      <w:r w:rsidR="27855C1C" w:rsidRPr="00E76013">
        <w:rPr>
          <w:rFonts w:ascii="Times New Roman" w:eastAsia="Times New Roman" w:hAnsi="Times New Roman" w:cs="Times New Roman"/>
          <w:noProof/>
          <w:color w:val="0E101A"/>
          <w:sz w:val="24"/>
          <w:szCs w:val="24"/>
        </w:rPr>
        <w:t>long-term care</w:t>
      </w:r>
      <w:r w:rsidR="65936FB8" w:rsidRPr="00E76013">
        <w:rPr>
          <w:rFonts w:ascii="Times New Roman" w:eastAsia="Times New Roman" w:hAnsi="Times New Roman" w:cs="Times New Roman"/>
          <w:noProof/>
          <w:color w:val="0E101A"/>
          <w:sz w:val="24"/>
          <w:szCs w:val="24"/>
        </w:rPr>
        <w:t>.</w:t>
      </w:r>
      <w:r w:rsidR="3BAC4496" w:rsidRPr="00E76013">
        <w:rPr>
          <w:rFonts w:ascii="Times New Roman" w:eastAsia="Times New Roman" w:hAnsi="Times New Roman" w:cs="Times New Roman"/>
          <w:noProof/>
          <w:color w:val="0E101A"/>
          <w:sz w:val="24"/>
          <w:szCs w:val="24"/>
        </w:rPr>
        <w:t xml:space="preserve"> </w:t>
      </w:r>
      <w:r w:rsidRPr="00E76013">
        <w:rPr>
          <w:rFonts w:ascii="Times New Roman" w:eastAsia="Times New Roman" w:hAnsi="Times New Roman" w:cs="Times New Roman"/>
          <w:noProof/>
          <w:color w:val="0E101A"/>
          <w:sz w:val="24"/>
          <w:szCs w:val="24"/>
        </w:rPr>
        <w:t xml:space="preserve">As one of the critical sectors for crisis preparedness and resilience, the health sector is specifically supported by a dedicated component. The </w:t>
      </w:r>
      <w:r w:rsidR="008B1B1F" w:rsidRPr="00E76013">
        <w:rPr>
          <w:rFonts w:ascii="Times New Roman" w:eastAsia="Times New Roman" w:hAnsi="Times New Roman" w:cs="Times New Roman"/>
          <w:noProof/>
          <w:color w:val="0E101A"/>
          <w:sz w:val="24"/>
          <w:szCs w:val="24"/>
        </w:rPr>
        <w:t>P</w:t>
      </w:r>
      <w:r w:rsidRPr="00E76013">
        <w:rPr>
          <w:rFonts w:ascii="Times New Roman" w:eastAsia="Times New Roman" w:hAnsi="Times New Roman" w:cs="Times New Roman"/>
          <w:noProof/>
          <w:color w:val="0E101A"/>
          <w:sz w:val="24"/>
          <w:szCs w:val="24"/>
        </w:rPr>
        <w:t>lan also includes measures for the next generation, such as the mandatory inclusion of four-year old</w:t>
      </w:r>
      <w:r w:rsidR="004E52FB">
        <w:rPr>
          <w:rFonts w:ascii="Times New Roman" w:eastAsia="Times New Roman" w:hAnsi="Times New Roman" w:cs="Times New Roman"/>
          <w:noProof/>
          <w:color w:val="0E101A"/>
          <w:sz w:val="24"/>
          <w:szCs w:val="24"/>
        </w:rPr>
        <w:t>s</w:t>
      </w:r>
      <w:r w:rsidRPr="00E76013">
        <w:rPr>
          <w:rFonts w:ascii="Times New Roman" w:eastAsia="Times New Roman" w:hAnsi="Times New Roman" w:cs="Times New Roman"/>
          <w:noProof/>
          <w:color w:val="0E101A"/>
          <w:sz w:val="24"/>
          <w:szCs w:val="24"/>
        </w:rPr>
        <w:t xml:space="preserve"> in pre-school education, and investments </w:t>
      </w:r>
      <w:r w:rsidR="61EAFCAB" w:rsidRPr="00E76013">
        <w:rPr>
          <w:rFonts w:ascii="Times New Roman" w:eastAsia="Times New Roman" w:hAnsi="Times New Roman" w:cs="Times New Roman"/>
          <w:noProof/>
          <w:color w:val="0E101A"/>
          <w:sz w:val="24"/>
          <w:szCs w:val="24"/>
        </w:rPr>
        <w:t>i</w:t>
      </w:r>
      <w:r w:rsidRPr="00E76013">
        <w:rPr>
          <w:rFonts w:ascii="Times New Roman" w:eastAsia="Times New Roman" w:hAnsi="Times New Roman" w:cs="Times New Roman"/>
          <w:noProof/>
          <w:color w:val="0E101A"/>
          <w:sz w:val="24"/>
          <w:szCs w:val="24"/>
        </w:rPr>
        <w:t xml:space="preserve">n </w:t>
      </w:r>
      <w:r w:rsidR="004E52FB">
        <w:rPr>
          <w:rFonts w:ascii="Times New Roman" w:eastAsia="Times New Roman" w:hAnsi="Times New Roman" w:cs="Times New Roman"/>
          <w:noProof/>
          <w:color w:val="0E101A"/>
          <w:sz w:val="24"/>
          <w:szCs w:val="24"/>
        </w:rPr>
        <w:t xml:space="preserve">the </w:t>
      </w:r>
      <w:r w:rsidRPr="00E76013">
        <w:rPr>
          <w:rFonts w:ascii="Times New Roman" w:eastAsia="Times New Roman" w:hAnsi="Times New Roman" w:cs="Times New Roman"/>
          <w:noProof/>
          <w:color w:val="0E101A"/>
          <w:sz w:val="24"/>
          <w:szCs w:val="24"/>
        </w:rPr>
        <w:t>educational infrastructure, including school laboratories and youth centres.</w:t>
      </w:r>
    </w:p>
    <w:p w14:paraId="6A324EFD" w14:textId="3331A5A7" w:rsidR="006C002C" w:rsidRPr="00E76013" w:rsidRDefault="00956ACF" w:rsidP="00753B79">
      <w:pPr>
        <w:spacing w:line="276" w:lineRule="auto"/>
        <w:jc w:val="both"/>
        <w:rPr>
          <w:rStyle w:val="Strong"/>
          <w:rFonts w:ascii="Times New Roman" w:hAnsi="Times New Roman" w:cs="Times New Roman"/>
          <w:noProof/>
          <w:color w:val="0E101A"/>
          <w:sz w:val="24"/>
          <w:szCs w:val="24"/>
        </w:rPr>
      </w:pPr>
      <w:r>
        <w:rPr>
          <w:rStyle w:val="Strong"/>
          <w:rFonts w:ascii="Times New Roman" w:hAnsi="Times New Roman" w:cs="Times New Roman"/>
          <w:noProof/>
          <w:color w:val="0E101A"/>
          <w:sz w:val="24"/>
          <w:szCs w:val="24"/>
        </w:rPr>
        <w:t>T</w:t>
      </w:r>
      <w:r w:rsidR="006C002C" w:rsidRPr="00E76013">
        <w:rPr>
          <w:rStyle w:val="Strong"/>
          <w:rFonts w:ascii="Times New Roman" w:hAnsi="Times New Roman" w:cs="Times New Roman"/>
          <w:noProof/>
          <w:color w:val="0E101A"/>
          <w:sz w:val="24"/>
          <w:szCs w:val="24"/>
        </w:rPr>
        <w:t xml:space="preserve">he </w:t>
      </w:r>
      <w:r w:rsidR="008B1B1F" w:rsidRPr="00E76013">
        <w:rPr>
          <w:rStyle w:val="Strong"/>
          <w:rFonts w:ascii="Times New Roman" w:hAnsi="Times New Roman" w:cs="Times New Roman"/>
          <w:noProof/>
          <w:color w:val="0E101A"/>
          <w:sz w:val="24"/>
          <w:szCs w:val="24"/>
        </w:rPr>
        <w:t>P</w:t>
      </w:r>
      <w:r w:rsidR="006C002C" w:rsidRPr="00E76013">
        <w:rPr>
          <w:rStyle w:val="Strong"/>
          <w:rFonts w:ascii="Times New Roman" w:hAnsi="Times New Roman" w:cs="Times New Roman"/>
          <w:noProof/>
          <w:color w:val="0E101A"/>
          <w:sz w:val="24"/>
          <w:szCs w:val="24"/>
        </w:rPr>
        <w:t>lan constitutes a comprehensive package of reforms and investments addressing all or a significant subset of the challenges and recommendations identified in the European Semester. </w:t>
      </w:r>
      <w:r w:rsidR="006C002C" w:rsidRPr="00E76013">
        <w:rPr>
          <w:rFonts w:ascii="Times New Roman" w:hAnsi="Times New Roman" w:cs="Times New Roman"/>
          <w:noProof/>
          <w:sz w:val="24"/>
          <w:szCs w:val="24"/>
        </w:rPr>
        <w:t xml:space="preserve">The </w:t>
      </w:r>
      <w:r w:rsidR="008B1B1F" w:rsidRPr="00E76013">
        <w:rPr>
          <w:rFonts w:ascii="Times New Roman" w:hAnsi="Times New Roman" w:cs="Times New Roman"/>
          <w:noProof/>
          <w:sz w:val="24"/>
          <w:szCs w:val="24"/>
        </w:rPr>
        <w:t>P</w:t>
      </w:r>
      <w:r w:rsidR="006C002C" w:rsidRPr="00E76013">
        <w:rPr>
          <w:rFonts w:ascii="Times New Roman" w:hAnsi="Times New Roman" w:cs="Times New Roman"/>
          <w:noProof/>
          <w:sz w:val="24"/>
          <w:szCs w:val="24"/>
        </w:rPr>
        <w:t xml:space="preserve">lan addresses the country-specific recommendations </w:t>
      </w:r>
      <w:r>
        <w:rPr>
          <w:rFonts w:ascii="Times New Roman" w:hAnsi="Times New Roman" w:cs="Times New Roman"/>
          <w:noProof/>
          <w:sz w:val="24"/>
          <w:szCs w:val="24"/>
        </w:rPr>
        <w:t xml:space="preserve">in the social field </w:t>
      </w:r>
      <w:r w:rsidR="006C002C" w:rsidRPr="00E76013">
        <w:rPr>
          <w:rFonts w:ascii="Times New Roman" w:hAnsi="Times New Roman" w:cs="Times New Roman"/>
          <w:noProof/>
          <w:sz w:val="24"/>
          <w:szCs w:val="24"/>
        </w:rPr>
        <w:t xml:space="preserve">with </w:t>
      </w:r>
      <w:r w:rsidR="00342D95" w:rsidRPr="00E76013">
        <w:rPr>
          <w:rFonts w:ascii="Times New Roman" w:hAnsi="Times New Roman" w:cs="Times New Roman"/>
          <w:noProof/>
          <w:sz w:val="24"/>
          <w:szCs w:val="24"/>
        </w:rPr>
        <w:t xml:space="preserve">measures </w:t>
      </w:r>
      <w:r w:rsidR="006C002C" w:rsidRPr="00E76013">
        <w:rPr>
          <w:rFonts w:ascii="Times New Roman" w:hAnsi="Times New Roman" w:cs="Times New Roman"/>
          <w:noProof/>
          <w:sz w:val="24"/>
          <w:szCs w:val="24"/>
        </w:rPr>
        <w:t xml:space="preserve">to </w:t>
      </w:r>
      <w:r w:rsidR="00342D95" w:rsidRPr="00E76013">
        <w:rPr>
          <w:rFonts w:ascii="Times New Roman" w:hAnsi="Times New Roman" w:cs="Times New Roman"/>
          <w:noProof/>
          <w:sz w:val="24"/>
          <w:szCs w:val="24"/>
        </w:rPr>
        <w:t xml:space="preserve">foster social inclusion, </w:t>
      </w:r>
      <w:r w:rsidR="45186299" w:rsidRPr="00E76013">
        <w:rPr>
          <w:rFonts w:ascii="Times New Roman" w:hAnsi="Times New Roman" w:cs="Times New Roman"/>
          <w:noProof/>
          <w:sz w:val="24"/>
          <w:szCs w:val="24"/>
        </w:rPr>
        <w:t>which are expected to improve the adequacy and coverage of the minimum income scheme</w:t>
      </w:r>
      <w:r w:rsidR="003F1D04">
        <w:rPr>
          <w:rFonts w:ascii="Times New Roman" w:hAnsi="Times New Roman" w:cs="Times New Roman"/>
          <w:noProof/>
          <w:sz w:val="24"/>
          <w:szCs w:val="24"/>
        </w:rPr>
        <w:t>,</w:t>
      </w:r>
      <w:r w:rsidR="45186299" w:rsidRPr="00E76013">
        <w:rPr>
          <w:rFonts w:ascii="Times New Roman" w:hAnsi="Times New Roman" w:cs="Times New Roman"/>
          <w:noProof/>
          <w:sz w:val="24"/>
          <w:szCs w:val="24"/>
        </w:rPr>
        <w:t xml:space="preserve"> and </w:t>
      </w:r>
      <w:r>
        <w:rPr>
          <w:rFonts w:ascii="Times New Roman" w:hAnsi="Times New Roman" w:cs="Times New Roman"/>
          <w:noProof/>
          <w:sz w:val="24"/>
          <w:szCs w:val="24"/>
        </w:rPr>
        <w:t xml:space="preserve">with measures to </w:t>
      </w:r>
      <w:r w:rsidR="45186299" w:rsidRPr="00E76013">
        <w:rPr>
          <w:rFonts w:ascii="Times New Roman" w:hAnsi="Times New Roman" w:cs="Times New Roman"/>
          <w:noProof/>
          <w:sz w:val="24"/>
          <w:szCs w:val="24"/>
        </w:rPr>
        <w:t xml:space="preserve">move forward the integration of employment and social services. Other measures addressing the </w:t>
      </w:r>
      <w:r w:rsidR="3708A6E5" w:rsidRPr="00E76013">
        <w:rPr>
          <w:rFonts w:ascii="Times New Roman" w:hAnsi="Times New Roman" w:cs="Times New Roman"/>
          <w:noProof/>
          <w:sz w:val="24"/>
          <w:szCs w:val="24"/>
        </w:rPr>
        <w:t xml:space="preserve">country-specific recommendations focus on </w:t>
      </w:r>
      <w:r w:rsidR="00342D95" w:rsidRPr="00E76013">
        <w:rPr>
          <w:rFonts w:ascii="Times New Roman" w:hAnsi="Times New Roman" w:cs="Times New Roman"/>
          <w:noProof/>
          <w:sz w:val="24"/>
          <w:szCs w:val="24"/>
        </w:rPr>
        <w:t xml:space="preserve">skills </w:t>
      </w:r>
      <w:r w:rsidR="45186299" w:rsidRPr="00E76013">
        <w:rPr>
          <w:rFonts w:ascii="Times New Roman" w:hAnsi="Times New Roman" w:cs="Times New Roman"/>
          <w:noProof/>
          <w:sz w:val="24"/>
          <w:szCs w:val="24"/>
        </w:rPr>
        <w:t xml:space="preserve">acquisition </w:t>
      </w:r>
      <w:r w:rsidR="00663F95" w:rsidRPr="00E76013">
        <w:rPr>
          <w:rFonts w:ascii="Times New Roman" w:hAnsi="Times New Roman" w:cs="Times New Roman"/>
          <w:noProof/>
          <w:sz w:val="24"/>
          <w:szCs w:val="24"/>
        </w:rPr>
        <w:t xml:space="preserve">- </w:t>
      </w:r>
      <w:r w:rsidR="00342D95" w:rsidRPr="00E76013">
        <w:rPr>
          <w:rFonts w:ascii="Times New Roman" w:hAnsi="Times New Roman" w:cs="Times New Roman"/>
          <w:noProof/>
          <w:sz w:val="24"/>
          <w:szCs w:val="24"/>
        </w:rPr>
        <w:t>in particular digital</w:t>
      </w:r>
      <w:r w:rsidR="003F1D04">
        <w:rPr>
          <w:rFonts w:ascii="Times New Roman" w:hAnsi="Times New Roman" w:cs="Times New Roman"/>
          <w:noProof/>
          <w:sz w:val="24"/>
          <w:szCs w:val="24"/>
        </w:rPr>
        <w:t xml:space="preserve"> skills</w:t>
      </w:r>
      <w:r w:rsidR="00342D95" w:rsidRPr="00E76013">
        <w:rPr>
          <w:rFonts w:ascii="Times New Roman" w:hAnsi="Times New Roman" w:cs="Times New Roman"/>
          <w:noProof/>
          <w:sz w:val="24"/>
          <w:szCs w:val="24"/>
        </w:rPr>
        <w:t>,</w:t>
      </w:r>
      <w:r w:rsidR="45186299" w:rsidRPr="00E76013">
        <w:rPr>
          <w:rFonts w:ascii="Times New Roman" w:hAnsi="Times New Roman" w:cs="Times New Roman"/>
          <w:noProof/>
          <w:sz w:val="24"/>
          <w:szCs w:val="24"/>
        </w:rPr>
        <w:t xml:space="preserve"> on improving</w:t>
      </w:r>
      <w:r w:rsidR="00342D95" w:rsidRPr="00E76013">
        <w:rPr>
          <w:rFonts w:ascii="Times New Roman" w:hAnsi="Times New Roman" w:cs="Times New Roman"/>
          <w:noProof/>
          <w:sz w:val="24"/>
          <w:szCs w:val="24"/>
        </w:rPr>
        <w:t xml:space="preserve"> the labour market relevance of </w:t>
      </w:r>
      <w:r w:rsidR="003F1D04">
        <w:rPr>
          <w:rFonts w:ascii="Times New Roman" w:hAnsi="Times New Roman" w:cs="Times New Roman"/>
          <w:noProof/>
          <w:sz w:val="24"/>
          <w:szCs w:val="24"/>
        </w:rPr>
        <w:t xml:space="preserve">the </w:t>
      </w:r>
      <w:r w:rsidR="00342D95" w:rsidRPr="00E76013">
        <w:rPr>
          <w:rFonts w:ascii="Times New Roman" w:hAnsi="Times New Roman" w:cs="Times New Roman"/>
          <w:noProof/>
          <w:sz w:val="24"/>
          <w:szCs w:val="24"/>
        </w:rPr>
        <w:t xml:space="preserve">education and lifelong-learning systems and </w:t>
      </w:r>
      <w:r w:rsidR="45186299" w:rsidRPr="00E76013">
        <w:rPr>
          <w:rFonts w:ascii="Times New Roman" w:hAnsi="Times New Roman" w:cs="Times New Roman"/>
          <w:noProof/>
          <w:sz w:val="24"/>
          <w:szCs w:val="24"/>
        </w:rPr>
        <w:t xml:space="preserve">on widening the offer of </w:t>
      </w:r>
      <w:r w:rsidR="00342D95" w:rsidRPr="17D31D35">
        <w:rPr>
          <w:rFonts w:ascii="Times New Roman" w:hAnsi="Times New Roman" w:cs="Times New Roman"/>
          <w:noProof/>
          <w:sz w:val="24"/>
          <w:szCs w:val="24"/>
        </w:rPr>
        <w:t>healthcare</w:t>
      </w:r>
      <w:r w:rsidR="00342D95" w:rsidRPr="00E76013">
        <w:rPr>
          <w:rFonts w:ascii="Times New Roman" w:hAnsi="Times New Roman" w:cs="Times New Roman"/>
          <w:noProof/>
          <w:sz w:val="24"/>
          <w:szCs w:val="24"/>
        </w:rPr>
        <w:t xml:space="preserve"> </w:t>
      </w:r>
      <w:r w:rsidR="45186299" w:rsidRPr="00E76013">
        <w:rPr>
          <w:rFonts w:ascii="Times New Roman" w:hAnsi="Times New Roman" w:cs="Times New Roman"/>
          <w:noProof/>
          <w:sz w:val="24"/>
          <w:szCs w:val="24"/>
        </w:rPr>
        <w:t>services across Bulgaria</w:t>
      </w:r>
      <w:r w:rsidR="6358CD69" w:rsidRPr="00E76013">
        <w:rPr>
          <w:rFonts w:ascii="Times New Roman" w:hAnsi="Times New Roman" w:cs="Times New Roman"/>
          <w:noProof/>
          <w:sz w:val="24"/>
          <w:szCs w:val="24"/>
        </w:rPr>
        <w:t>.</w:t>
      </w:r>
      <w:r w:rsidR="00342D95" w:rsidRPr="00E76013">
        <w:rPr>
          <w:noProof/>
        </w:rPr>
        <w:t xml:space="preserve"> </w:t>
      </w:r>
      <w:r w:rsidR="00B84F4A" w:rsidRPr="00F1500F">
        <w:rPr>
          <w:rFonts w:ascii="Times New Roman" w:hAnsi="Times New Roman" w:cs="Times New Roman"/>
          <w:noProof/>
          <w:sz w:val="24"/>
          <w:szCs w:val="24"/>
        </w:rPr>
        <w:t xml:space="preserve">These actions can contribute to reach </w:t>
      </w:r>
      <w:r w:rsidR="003F1D04">
        <w:rPr>
          <w:rFonts w:ascii="Times New Roman" w:hAnsi="Times New Roman" w:cs="Times New Roman"/>
          <w:noProof/>
          <w:sz w:val="24"/>
          <w:szCs w:val="24"/>
        </w:rPr>
        <w:t>the objectives</w:t>
      </w:r>
      <w:r w:rsidR="004F2DAB">
        <w:rPr>
          <w:rFonts w:ascii="Times New Roman" w:hAnsi="Times New Roman" w:cs="Times New Roman"/>
          <w:noProof/>
          <w:sz w:val="24"/>
          <w:szCs w:val="24"/>
        </w:rPr>
        <w:t xml:space="preserve"> </w:t>
      </w:r>
      <w:r w:rsidR="00B84F4A" w:rsidRPr="00F1500F">
        <w:rPr>
          <w:rFonts w:ascii="Times New Roman" w:hAnsi="Times New Roman" w:cs="Times New Roman"/>
          <w:noProof/>
          <w:sz w:val="24"/>
          <w:szCs w:val="24"/>
        </w:rPr>
        <w:t xml:space="preserve">and progress further on the European Pillar </w:t>
      </w:r>
      <w:r w:rsidR="00B84F4A">
        <w:rPr>
          <w:rFonts w:ascii="Times New Roman" w:hAnsi="Times New Roman" w:cs="Times New Roman"/>
          <w:noProof/>
          <w:sz w:val="24"/>
          <w:szCs w:val="24"/>
        </w:rPr>
        <w:t xml:space="preserve">of Social Rights and its </w:t>
      </w:r>
      <w:r w:rsidR="00B84F4A" w:rsidRPr="00F1500F">
        <w:rPr>
          <w:rFonts w:ascii="Times New Roman" w:hAnsi="Times New Roman" w:cs="Times New Roman"/>
          <w:noProof/>
          <w:sz w:val="24"/>
          <w:szCs w:val="24"/>
        </w:rPr>
        <w:t xml:space="preserve">Action Plan by 2030. </w:t>
      </w:r>
      <w:r w:rsidR="006C002C" w:rsidRPr="00E76013">
        <w:rPr>
          <w:rFonts w:ascii="Times New Roman" w:hAnsi="Times New Roman" w:cs="Times New Roman"/>
          <w:noProof/>
          <w:sz w:val="24"/>
          <w:szCs w:val="24"/>
        </w:rPr>
        <w:t xml:space="preserve">Furthermore, through advancing the decarbonisation of the energy sector, increasing </w:t>
      </w:r>
      <w:r w:rsidR="003F1D04">
        <w:rPr>
          <w:rFonts w:ascii="Times New Roman" w:hAnsi="Times New Roman" w:cs="Times New Roman"/>
          <w:noProof/>
          <w:sz w:val="24"/>
          <w:szCs w:val="24"/>
        </w:rPr>
        <w:t xml:space="preserve">the </w:t>
      </w:r>
      <w:r w:rsidR="006C002C" w:rsidRPr="00E76013">
        <w:rPr>
          <w:rFonts w:ascii="Times New Roman" w:hAnsi="Times New Roman" w:cs="Times New Roman"/>
          <w:noProof/>
          <w:sz w:val="24"/>
          <w:szCs w:val="24"/>
        </w:rPr>
        <w:t xml:space="preserve">overall energy efficiency, and </w:t>
      </w:r>
      <w:r w:rsidR="0C1A631E" w:rsidRPr="00E76013">
        <w:rPr>
          <w:rFonts w:ascii="Times New Roman" w:hAnsi="Times New Roman" w:cs="Times New Roman"/>
          <w:noProof/>
          <w:sz w:val="24"/>
          <w:szCs w:val="24"/>
        </w:rPr>
        <w:t>implementing actions</w:t>
      </w:r>
      <w:r w:rsidR="006C002C" w:rsidRPr="00E76013">
        <w:rPr>
          <w:rFonts w:ascii="Times New Roman" w:hAnsi="Times New Roman" w:cs="Times New Roman"/>
          <w:noProof/>
          <w:sz w:val="24"/>
          <w:szCs w:val="24"/>
        </w:rPr>
        <w:t xml:space="preserve"> on sustainable transport and digital infrastructure and services, the </w:t>
      </w:r>
      <w:r w:rsidR="00ED3333" w:rsidRPr="00E76013">
        <w:rPr>
          <w:rFonts w:ascii="Times New Roman" w:hAnsi="Times New Roman" w:cs="Times New Roman"/>
          <w:noProof/>
          <w:sz w:val="24"/>
          <w:szCs w:val="24"/>
        </w:rPr>
        <w:t>P</w:t>
      </w:r>
      <w:r w:rsidR="006C002C" w:rsidRPr="00E76013">
        <w:rPr>
          <w:rFonts w:ascii="Times New Roman" w:hAnsi="Times New Roman" w:cs="Times New Roman"/>
          <w:noProof/>
          <w:sz w:val="24"/>
          <w:szCs w:val="24"/>
        </w:rPr>
        <w:t xml:space="preserve">lan addresses country-specific recommendations in those areas. Finally, the </w:t>
      </w:r>
      <w:r w:rsidR="00ED3333" w:rsidRPr="00E76013">
        <w:rPr>
          <w:rFonts w:ascii="Times New Roman" w:hAnsi="Times New Roman" w:cs="Times New Roman"/>
          <w:noProof/>
          <w:sz w:val="24"/>
          <w:szCs w:val="24"/>
        </w:rPr>
        <w:t>P</w:t>
      </w:r>
      <w:r w:rsidR="006C002C" w:rsidRPr="00E76013">
        <w:rPr>
          <w:rFonts w:ascii="Times New Roman" w:hAnsi="Times New Roman" w:cs="Times New Roman"/>
          <w:noProof/>
          <w:sz w:val="24"/>
          <w:szCs w:val="24"/>
        </w:rPr>
        <w:t xml:space="preserve">lan contains far-reaching measures to improve the efficiency of the public administration and justice system, to prevent, detect and correct corruption, to improve the business environment and to </w:t>
      </w:r>
      <w:r w:rsidR="00BF5915" w:rsidRPr="00E76013">
        <w:rPr>
          <w:rFonts w:ascii="Times New Roman" w:hAnsi="Times New Roman" w:cs="Times New Roman"/>
          <w:noProof/>
          <w:sz w:val="24"/>
          <w:szCs w:val="24"/>
        </w:rPr>
        <w:t>improve the</w:t>
      </w:r>
      <w:r w:rsidR="006C002C" w:rsidRPr="00E76013">
        <w:rPr>
          <w:rFonts w:ascii="Times New Roman" w:hAnsi="Times New Roman" w:cs="Times New Roman"/>
          <w:noProof/>
          <w:sz w:val="24"/>
          <w:szCs w:val="24"/>
        </w:rPr>
        <w:t xml:space="preserve"> research and innovation</w:t>
      </w:r>
      <w:r w:rsidR="00BF5915" w:rsidRPr="00E76013">
        <w:rPr>
          <w:rFonts w:ascii="Times New Roman" w:hAnsi="Times New Roman" w:cs="Times New Roman"/>
          <w:noProof/>
          <w:sz w:val="24"/>
          <w:szCs w:val="24"/>
        </w:rPr>
        <w:t xml:space="preserve"> system</w:t>
      </w:r>
      <w:r w:rsidR="006C002C" w:rsidRPr="00E76013">
        <w:rPr>
          <w:rFonts w:ascii="Times New Roman" w:hAnsi="Times New Roman" w:cs="Times New Roman"/>
          <w:noProof/>
          <w:sz w:val="24"/>
          <w:szCs w:val="24"/>
        </w:rPr>
        <w:t>.</w:t>
      </w:r>
      <w:r w:rsidR="004F2DAB">
        <w:rPr>
          <w:rFonts w:ascii="Times New Roman" w:hAnsi="Times New Roman" w:cs="Times New Roman"/>
          <w:noProof/>
          <w:sz w:val="24"/>
          <w:szCs w:val="24"/>
        </w:rPr>
        <w:t xml:space="preserve"> </w:t>
      </w:r>
    </w:p>
    <w:p w14:paraId="7087504C" w14:textId="6C873C4E" w:rsidR="1460AAEB" w:rsidRPr="00E76013" w:rsidRDefault="006C002C" w:rsidP="1EDD8C6D">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color w:val="0E101A"/>
          <w:sz w:val="24"/>
          <w:szCs w:val="24"/>
        </w:rPr>
        <w:t>The Plan contributes to climate objectives for 58.</w:t>
      </w:r>
      <w:r w:rsidR="00037B79">
        <w:rPr>
          <w:rFonts w:ascii="Times New Roman" w:eastAsia="Times New Roman" w:hAnsi="Times New Roman" w:cs="Times New Roman"/>
          <w:b/>
          <w:bCs/>
          <w:noProof/>
          <w:color w:val="0E101A"/>
          <w:sz w:val="24"/>
          <w:szCs w:val="24"/>
        </w:rPr>
        <w:t>9</w:t>
      </w:r>
      <w:r w:rsidRPr="00E76013">
        <w:rPr>
          <w:rFonts w:ascii="Times New Roman" w:eastAsia="Times New Roman" w:hAnsi="Times New Roman" w:cs="Times New Roman"/>
          <w:b/>
          <w:bCs/>
          <w:noProof/>
          <w:color w:val="0E101A"/>
          <w:sz w:val="24"/>
          <w:szCs w:val="24"/>
        </w:rPr>
        <w:t xml:space="preserve">% (close to EUR 3.7 billion), </w:t>
      </w:r>
      <w:r w:rsidR="009E1D21">
        <w:rPr>
          <w:rFonts w:ascii="Times New Roman" w:eastAsia="Times New Roman" w:hAnsi="Times New Roman" w:cs="Times New Roman"/>
          <w:b/>
          <w:bCs/>
          <w:noProof/>
          <w:color w:val="0E101A"/>
          <w:sz w:val="24"/>
          <w:szCs w:val="24"/>
        </w:rPr>
        <w:t xml:space="preserve">thus </w:t>
      </w:r>
      <w:r w:rsidRPr="00E76013">
        <w:rPr>
          <w:rFonts w:ascii="Times New Roman" w:eastAsia="Times New Roman" w:hAnsi="Times New Roman" w:cs="Times New Roman"/>
          <w:b/>
          <w:bCs/>
          <w:noProof/>
          <w:color w:val="0E101A"/>
          <w:sz w:val="24"/>
          <w:szCs w:val="24"/>
        </w:rPr>
        <w:t xml:space="preserve">over-achieving the climate target of 37% </w:t>
      </w:r>
      <w:r w:rsidR="009E1D21" w:rsidRPr="00E76013">
        <w:rPr>
          <w:rFonts w:ascii="Times New Roman" w:eastAsia="Times New Roman" w:hAnsi="Times New Roman" w:cs="Times New Roman"/>
          <w:b/>
          <w:bCs/>
          <w:noProof/>
          <w:color w:val="0E101A"/>
          <w:sz w:val="24"/>
          <w:szCs w:val="24"/>
        </w:rPr>
        <w:t>by a large margin.</w:t>
      </w:r>
      <w:r w:rsidRPr="00E76013">
        <w:rPr>
          <w:rFonts w:ascii="Times New Roman" w:eastAsia="Times New Roman" w:hAnsi="Times New Roman" w:cs="Times New Roman"/>
          <w:b/>
          <w:bCs/>
          <w:noProof/>
          <w:color w:val="0E101A"/>
          <w:sz w:val="24"/>
          <w:szCs w:val="24"/>
        </w:rPr>
        <w:t xml:space="preserve"> </w:t>
      </w:r>
      <w:r w:rsidR="00920CD3" w:rsidRPr="00E76013">
        <w:rPr>
          <w:rFonts w:ascii="Times New Roman" w:hAnsi="Times New Roman" w:cs="Times New Roman"/>
          <w:noProof/>
          <w:sz w:val="24"/>
          <w:szCs w:val="24"/>
        </w:rPr>
        <w:t xml:space="preserve">Reforms and investments in the Plan aim to accelerate the decarbonisation of the energy sector by </w:t>
      </w:r>
      <w:r w:rsidR="06CAF8F0" w:rsidRPr="00E76013">
        <w:rPr>
          <w:rFonts w:ascii="Times New Roman" w:hAnsi="Times New Roman" w:cs="Times New Roman"/>
          <w:noProof/>
          <w:sz w:val="24"/>
          <w:szCs w:val="24"/>
        </w:rPr>
        <w:t xml:space="preserve">setting out a </w:t>
      </w:r>
      <w:r w:rsidR="00DC70F8" w:rsidRPr="00DC70F8">
        <w:rPr>
          <w:rFonts w:ascii="Times New Roman" w:hAnsi="Times New Roman" w:cs="Times New Roman"/>
          <w:noProof/>
          <w:sz w:val="24"/>
          <w:szCs w:val="24"/>
        </w:rPr>
        <w:t xml:space="preserve">clear commitment </w:t>
      </w:r>
      <w:r w:rsidR="00DC70F8">
        <w:rPr>
          <w:rFonts w:ascii="Times New Roman" w:hAnsi="Times New Roman" w:cs="Times New Roman"/>
          <w:noProof/>
          <w:sz w:val="24"/>
          <w:szCs w:val="24"/>
        </w:rPr>
        <w:t xml:space="preserve">to approve by 2023 a calendar </w:t>
      </w:r>
      <w:r w:rsidR="00DC70F8" w:rsidRPr="00DC70F8">
        <w:rPr>
          <w:rFonts w:ascii="Times New Roman" w:hAnsi="Times New Roman" w:cs="Times New Roman"/>
          <w:noProof/>
          <w:sz w:val="24"/>
          <w:szCs w:val="24"/>
        </w:rPr>
        <w:t>to phase out coal and lignite power generation as soon as possible and at the latest by 2038</w:t>
      </w:r>
      <w:r w:rsidR="1F28A18B" w:rsidRPr="00E76013">
        <w:rPr>
          <w:rFonts w:ascii="Times New Roman" w:hAnsi="Times New Roman" w:cs="Times New Roman"/>
          <w:noProof/>
          <w:sz w:val="24"/>
          <w:szCs w:val="24"/>
        </w:rPr>
        <w:t>, as well as</w:t>
      </w:r>
      <w:r w:rsidR="484E06D4" w:rsidRPr="00E76013">
        <w:rPr>
          <w:rFonts w:ascii="Times New Roman" w:hAnsi="Times New Roman" w:cs="Times New Roman"/>
          <w:noProof/>
          <w:sz w:val="24"/>
          <w:szCs w:val="24"/>
        </w:rPr>
        <w:t xml:space="preserve"> </w:t>
      </w:r>
      <w:r w:rsidR="00920CD3" w:rsidRPr="00E76013">
        <w:rPr>
          <w:rFonts w:ascii="Times New Roman" w:hAnsi="Times New Roman" w:cs="Times New Roman"/>
          <w:noProof/>
          <w:sz w:val="24"/>
          <w:szCs w:val="24"/>
        </w:rPr>
        <w:t>by facilitating the deployment of renewables and alternative energy sources, such as green hydrogen and biogas. The Plan also includes reform</w:t>
      </w:r>
      <w:r w:rsidR="00956ACF">
        <w:rPr>
          <w:rFonts w:ascii="Times New Roman" w:hAnsi="Times New Roman" w:cs="Times New Roman"/>
          <w:noProof/>
          <w:sz w:val="24"/>
          <w:szCs w:val="24"/>
        </w:rPr>
        <w:t>s</w:t>
      </w:r>
      <w:r w:rsidR="00920CD3" w:rsidRPr="00E76013">
        <w:rPr>
          <w:rFonts w:ascii="Times New Roman" w:hAnsi="Times New Roman" w:cs="Times New Roman"/>
          <w:noProof/>
          <w:sz w:val="24"/>
          <w:szCs w:val="24"/>
        </w:rPr>
        <w:t xml:space="preserve"> aiming to establish competitive wholesale and retail markets through a gradual deregulation of electricity prices by 2025</w:t>
      </w:r>
      <w:r w:rsidR="00956ACF">
        <w:rPr>
          <w:rFonts w:ascii="Times New Roman" w:hAnsi="Times New Roman" w:cs="Times New Roman"/>
          <w:noProof/>
          <w:sz w:val="24"/>
          <w:szCs w:val="24"/>
        </w:rPr>
        <w:t xml:space="preserve"> and to strengthen the governance of energy SOEs</w:t>
      </w:r>
      <w:r w:rsidR="00920CD3" w:rsidRPr="00E76013">
        <w:rPr>
          <w:rFonts w:ascii="Times New Roman" w:hAnsi="Times New Roman" w:cs="Times New Roman"/>
          <w:noProof/>
          <w:sz w:val="24"/>
          <w:szCs w:val="24"/>
        </w:rPr>
        <w:t>.</w:t>
      </w:r>
      <w:r w:rsidR="008F268B" w:rsidRPr="00E76013">
        <w:rPr>
          <w:rFonts w:ascii="Times New Roman" w:eastAsia="Times New Roman" w:hAnsi="Times New Roman" w:cs="Times New Roman"/>
          <w:noProof/>
          <w:color w:val="0E101A"/>
          <w:sz w:val="24"/>
          <w:szCs w:val="24"/>
        </w:rPr>
        <w:t xml:space="preserve"> </w:t>
      </w:r>
      <w:r w:rsidR="008F268B" w:rsidRPr="00E76013">
        <w:rPr>
          <w:rFonts w:ascii="Times New Roman" w:eastAsia="Times New Roman" w:hAnsi="Times New Roman" w:cs="Times New Roman"/>
          <w:noProof/>
          <w:sz w:val="24"/>
          <w:szCs w:val="24"/>
          <w:lang w:val="en-GB"/>
        </w:rPr>
        <w:t xml:space="preserve">The biodiversity component of the Plan contains measures aiming at protecting and restoring ecosystems and natural habitats and species of European and national importance. </w:t>
      </w:r>
      <w:r w:rsidR="1460AAEB" w:rsidRPr="00E76013">
        <w:rPr>
          <w:rFonts w:ascii="Times New Roman" w:eastAsia="Times New Roman" w:hAnsi="Times New Roman" w:cs="Times New Roman"/>
          <w:noProof/>
          <w:color w:val="474747"/>
          <w:sz w:val="24"/>
          <w:szCs w:val="24"/>
        </w:rPr>
        <w:t xml:space="preserve">The </w:t>
      </w:r>
      <w:r w:rsidR="1460AAEB" w:rsidRPr="00E76013">
        <w:rPr>
          <w:rFonts w:ascii="Times New Roman" w:eastAsia="Times New Roman" w:hAnsi="Times New Roman" w:cs="Times New Roman"/>
          <w:noProof/>
          <w:sz w:val="24"/>
          <w:szCs w:val="24"/>
        </w:rPr>
        <w:t>Plan is expected to enhance the sustainability of the transport sector by reforming the road and railways sectors, promoting zero-emission vehicles, enhancing road safety, and investing in railways, intermodal transport and sustainable urban mobility.</w:t>
      </w:r>
      <w:r w:rsidR="1460AAEB" w:rsidRPr="00E76013">
        <w:rPr>
          <w:rFonts w:ascii="Times New Roman" w:eastAsia="Times New Roman" w:hAnsi="Times New Roman" w:cs="Times New Roman"/>
          <w:noProof/>
        </w:rPr>
        <w:t xml:space="preserve"> </w:t>
      </w:r>
      <w:r w:rsidR="1460AAEB" w:rsidRPr="00E76013">
        <w:rPr>
          <w:rFonts w:ascii="Times New Roman" w:eastAsia="Times New Roman" w:hAnsi="Times New Roman" w:cs="Times New Roman"/>
          <w:noProof/>
          <w:sz w:val="24"/>
          <w:szCs w:val="24"/>
        </w:rPr>
        <w:t xml:space="preserve">This includes investments in the modernisation and digitalisation of railways, new zero-emission rolling stock, </w:t>
      </w:r>
      <w:r w:rsidR="008C76E4" w:rsidRPr="00E76013">
        <w:rPr>
          <w:rFonts w:ascii="Times New Roman" w:eastAsia="Times New Roman" w:hAnsi="Times New Roman" w:cs="Times New Roman"/>
          <w:noProof/>
          <w:sz w:val="24"/>
          <w:szCs w:val="24"/>
        </w:rPr>
        <w:t xml:space="preserve">deployment </w:t>
      </w:r>
      <w:r w:rsidR="008C76E4">
        <w:rPr>
          <w:rFonts w:ascii="Times New Roman" w:eastAsia="Times New Roman" w:hAnsi="Times New Roman" w:cs="Times New Roman"/>
          <w:noProof/>
          <w:sz w:val="24"/>
          <w:szCs w:val="24"/>
        </w:rPr>
        <w:t xml:space="preserve">of the </w:t>
      </w:r>
      <w:r w:rsidR="1460AAEB" w:rsidRPr="00E76013">
        <w:rPr>
          <w:rFonts w:ascii="Times New Roman" w:eastAsia="Times New Roman" w:hAnsi="Times New Roman" w:cs="Times New Roman"/>
          <w:noProof/>
          <w:sz w:val="24"/>
          <w:szCs w:val="24"/>
        </w:rPr>
        <w:t>European Rail Traffic Management System, a new intermodal terminal in Ruse and clean public transport</w:t>
      </w:r>
      <w:r w:rsidR="2B0BCC4F" w:rsidRPr="00E76013">
        <w:rPr>
          <w:rFonts w:ascii="Times New Roman" w:eastAsia="Times New Roman" w:hAnsi="Times New Roman" w:cs="Times New Roman"/>
          <w:noProof/>
          <w:sz w:val="24"/>
          <w:szCs w:val="24"/>
        </w:rPr>
        <w:t xml:space="preserve"> (Sofia metro and a pilot programme for sustainable urban mobility).</w:t>
      </w:r>
    </w:p>
    <w:p w14:paraId="42AE9291" w14:textId="0B52D560" w:rsidR="006C002C" w:rsidRPr="00E76013" w:rsidRDefault="006C002C" w:rsidP="00753B79">
      <w:pPr>
        <w:spacing w:line="276" w:lineRule="auto"/>
        <w:jc w:val="both"/>
        <w:rPr>
          <w:rFonts w:ascii="Times New Roman" w:eastAsia="Times New Roman" w:hAnsi="Times New Roman" w:cs="Times New Roman"/>
          <w:noProof/>
          <w:color w:val="0E101A"/>
          <w:sz w:val="24"/>
          <w:szCs w:val="24"/>
        </w:rPr>
      </w:pPr>
      <w:r w:rsidRPr="00E76013">
        <w:rPr>
          <w:rFonts w:ascii="Times New Roman" w:eastAsia="Times New Roman" w:hAnsi="Times New Roman" w:cs="Times New Roman"/>
          <w:b/>
          <w:bCs/>
          <w:noProof/>
          <w:color w:val="0E101A"/>
          <w:sz w:val="24"/>
          <w:szCs w:val="24"/>
        </w:rPr>
        <w:t xml:space="preserve">The recovery and resilience plan contributes to the digital objective for </w:t>
      </w:r>
      <w:r w:rsidR="2C9F708F" w:rsidRPr="00E76013">
        <w:rPr>
          <w:rFonts w:ascii="Times New Roman" w:eastAsia="Times New Roman" w:hAnsi="Times New Roman" w:cs="Times New Roman"/>
          <w:b/>
          <w:bCs/>
          <w:noProof/>
          <w:color w:val="0E101A"/>
          <w:sz w:val="24"/>
          <w:szCs w:val="24"/>
        </w:rPr>
        <w:t>2</w:t>
      </w:r>
      <w:r w:rsidR="00037B79">
        <w:rPr>
          <w:rFonts w:ascii="Times New Roman" w:eastAsia="Times New Roman" w:hAnsi="Times New Roman" w:cs="Times New Roman"/>
          <w:b/>
          <w:bCs/>
          <w:noProof/>
          <w:color w:val="0E101A"/>
          <w:sz w:val="24"/>
          <w:szCs w:val="24"/>
        </w:rPr>
        <w:t>5.8</w:t>
      </w:r>
      <w:r w:rsidRPr="00E76013">
        <w:rPr>
          <w:rFonts w:ascii="Times New Roman" w:eastAsia="Times New Roman" w:hAnsi="Times New Roman" w:cs="Times New Roman"/>
          <w:b/>
          <w:bCs/>
          <w:noProof/>
          <w:color w:val="0E101A"/>
          <w:sz w:val="24"/>
          <w:szCs w:val="24"/>
        </w:rPr>
        <w:t xml:space="preserve">% ( EUR </w:t>
      </w:r>
      <w:r w:rsidR="2C9F708F" w:rsidRPr="00E76013">
        <w:rPr>
          <w:rFonts w:ascii="Times New Roman" w:eastAsia="Times New Roman" w:hAnsi="Times New Roman" w:cs="Times New Roman"/>
          <w:b/>
          <w:bCs/>
          <w:noProof/>
          <w:color w:val="0E101A"/>
          <w:sz w:val="24"/>
          <w:szCs w:val="24"/>
        </w:rPr>
        <w:t>1.6</w:t>
      </w:r>
      <w:r w:rsidRPr="00E76013">
        <w:rPr>
          <w:rFonts w:ascii="Times New Roman" w:eastAsia="Times New Roman" w:hAnsi="Times New Roman" w:cs="Times New Roman"/>
          <w:b/>
          <w:bCs/>
          <w:noProof/>
          <w:color w:val="0E101A"/>
          <w:sz w:val="24"/>
          <w:szCs w:val="24"/>
        </w:rPr>
        <w:t xml:space="preserve"> billion), thus achieving the digital target of 20%. </w:t>
      </w:r>
      <w:r w:rsidR="00793BBE" w:rsidRPr="00E76013">
        <w:rPr>
          <w:rFonts w:ascii="Times New Roman" w:eastAsia="Times New Roman" w:hAnsi="Times New Roman" w:cs="Times New Roman"/>
          <w:noProof/>
          <w:color w:val="0E101A"/>
          <w:sz w:val="24"/>
          <w:szCs w:val="24"/>
        </w:rPr>
        <w:t>Investments in digital connectivity include the roll-out of very high capacity networks in rural and sparsely populated areas, which are lagging behind in terms of digital inclusion. The reforms included in the Plan aim to contribute to the development and implementation of an effective policy and regulatory framework, the efficient use of the radio frequency spectrum for the development of 5G networks and services and the creation of a favourable investment environment.</w:t>
      </w:r>
      <w:r w:rsidR="004E3E35" w:rsidRPr="00E76013">
        <w:rPr>
          <w:noProof/>
        </w:rPr>
        <w:t xml:space="preserve"> </w:t>
      </w:r>
      <w:r w:rsidR="004E3E35" w:rsidRPr="00E76013">
        <w:rPr>
          <w:rFonts w:ascii="Times New Roman" w:eastAsia="Times New Roman" w:hAnsi="Times New Roman" w:cs="Times New Roman"/>
          <w:noProof/>
          <w:color w:val="0E101A"/>
          <w:sz w:val="24"/>
          <w:szCs w:val="24"/>
        </w:rPr>
        <w:t>The Plan also includes a comprehensive package of reforms and investments to support the digitalisation of the public administration,</w:t>
      </w:r>
      <w:r w:rsidR="00ED09FA" w:rsidRPr="00ED09FA">
        <w:rPr>
          <w:rFonts w:ascii="Times New Roman" w:eastAsia="Times New Roman" w:hAnsi="Times New Roman" w:cs="Times New Roman"/>
          <w:noProof/>
          <w:color w:val="0E101A"/>
          <w:sz w:val="24"/>
          <w:szCs w:val="24"/>
          <w:lang w:val="en-IE"/>
        </w:rPr>
        <w:t xml:space="preserve"> </w:t>
      </w:r>
      <w:r w:rsidR="00ED09FA">
        <w:rPr>
          <w:rFonts w:ascii="Times New Roman" w:eastAsia="Times New Roman" w:hAnsi="Times New Roman" w:cs="Times New Roman"/>
          <w:noProof/>
          <w:color w:val="0E101A"/>
          <w:sz w:val="24"/>
          <w:szCs w:val="24"/>
          <w:lang w:val="en-IE"/>
        </w:rPr>
        <w:t xml:space="preserve">including </w:t>
      </w:r>
      <w:r w:rsidR="00ED09FA" w:rsidRPr="003F442D">
        <w:rPr>
          <w:rFonts w:ascii="Times New Roman" w:eastAsia="Times New Roman" w:hAnsi="Times New Roman" w:cs="Times New Roman"/>
          <w:noProof/>
          <w:color w:val="0E101A"/>
          <w:sz w:val="24"/>
          <w:szCs w:val="24"/>
          <w:lang w:val="en-IE"/>
        </w:rPr>
        <w:t>the judiciary</w:t>
      </w:r>
      <w:r w:rsidR="00ED09FA">
        <w:rPr>
          <w:rFonts w:ascii="Times New Roman" w:eastAsia="Times New Roman" w:hAnsi="Times New Roman" w:cs="Times New Roman"/>
          <w:noProof/>
          <w:color w:val="0E101A"/>
          <w:sz w:val="24"/>
          <w:szCs w:val="24"/>
          <w:lang w:val="en-IE"/>
        </w:rPr>
        <w:t>,</w:t>
      </w:r>
      <w:r w:rsidR="004E3E35" w:rsidRPr="00E76013">
        <w:rPr>
          <w:rFonts w:ascii="Times New Roman" w:eastAsia="Times New Roman" w:hAnsi="Times New Roman" w:cs="Times New Roman"/>
          <w:noProof/>
          <w:color w:val="0E101A"/>
          <w:sz w:val="24"/>
          <w:szCs w:val="24"/>
        </w:rPr>
        <w:t xml:space="preserve"> unlocking the</w:t>
      </w:r>
      <w:r w:rsidR="00ED09FA">
        <w:rPr>
          <w:rFonts w:ascii="Times New Roman" w:eastAsia="Times New Roman" w:hAnsi="Times New Roman" w:cs="Times New Roman"/>
          <w:noProof/>
          <w:color w:val="0E101A"/>
          <w:sz w:val="24"/>
          <w:szCs w:val="24"/>
        </w:rPr>
        <w:t xml:space="preserve"> </w:t>
      </w:r>
      <w:r w:rsidR="004E3E35" w:rsidRPr="00E76013">
        <w:rPr>
          <w:rFonts w:ascii="Times New Roman" w:eastAsia="Times New Roman" w:hAnsi="Times New Roman" w:cs="Times New Roman"/>
          <w:noProof/>
          <w:color w:val="0E101A"/>
          <w:sz w:val="24"/>
          <w:szCs w:val="24"/>
        </w:rPr>
        <w:t>potential in areas such as justice, health, agriculture</w:t>
      </w:r>
      <w:r w:rsidR="004F3C7F">
        <w:rPr>
          <w:rFonts w:ascii="Times New Roman" w:eastAsia="Times New Roman" w:hAnsi="Times New Roman" w:cs="Times New Roman"/>
          <w:noProof/>
          <w:color w:val="0E101A"/>
          <w:sz w:val="24"/>
          <w:szCs w:val="24"/>
        </w:rPr>
        <w:t>,</w:t>
      </w:r>
      <w:r w:rsidR="004E3E35" w:rsidRPr="00E76013">
        <w:rPr>
          <w:rFonts w:ascii="Times New Roman" w:eastAsia="Times New Roman" w:hAnsi="Times New Roman" w:cs="Times New Roman"/>
          <w:noProof/>
          <w:color w:val="0E101A"/>
          <w:sz w:val="24"/>
          <w:szCs w:val="24"/>
        </w:rPr>
        <w:t xml:space="preserve"> environment, culture, employment</w:t>
      </w:r>
      <w:r w:rsidR="004F2DAB">
        <w:rPr>
          <w:rFonts w:ascii="Times New Roman" w:eastAsia="Times New Roman" w:hAnsi="Times New Roman" w:cs="Times New Roman"/>
          <w:noProof/>
          <w:color w:val="0E101A"/>
          <w:sz w:val="24"/>
          <w:szCs w:val="24"/>
        </w:rPr>
        <w:t xml:space="preserve"> </w:t>
      </w:r>
      <w:r w:rsidR="004E3E35" w:rsidRPr="00E76013">
        <w:rPr>
          <w:rFonts w:ascii="Times New Roman" w:eastAsia="Times New Roman" w:hAnsi="Times New Roman" w:cs="Times New Roman"/>
          <w:noProof/>
          <w:color w:val="0E101A"/>
          <w:sz w:val="24"/>
          <w:szCs w:val="24"/>
        </w:rPr>
        <w:t xml:space="preserve">and social protection. </w:t>
      </w:r>
      <w:r w:rsidR="00D508F5">
        <w:rPr>
          <w:rFonts w:ascii="Times New Roman" w:eastAsia="Times New Roman" w:hAnsi="Times New Roman" w:cs="Times New Roman"/>
          <w:noProof/>
          <w:color w:val="0E101A"/>
          <w:sz w:val="24"/>
          <w:szCs w:val="24"/>
        </w:rPr>
        <w:t xml:space="preserve">The Plan includes measures to increase </w:t>
      </w:r>
      <w:r w:rsidR="004E3E35" w:rsidRPr="00E76013">
        <w:rPr>
          <w:rFonts w:ascii="Times New Roman" w:eastAsia="Times New Roman" w:hAnsi="Times New Roman" w:cs="Times New Roman"/>
          <w:noProof/>
          <w:color w:val="0E101A"/>
          <w:sz w:val="24"/>
          <w:szCs w:val="24"/>
        </w:rPr>
        <w:t>the level of digital skills of the population.</w:t>
      </w:r>
      <w:r w:rsidR="00EC15C1" w:rsidRPr="00E76013">
        <w:rPr>
          <w:rFonts w:ascii="Times New Roman" w:eastAsia="Times New Roman" w:hAnsi="Times New Roman" w:cs="Times New Roman"/>
          <w:noProof/>
          <w:color w:val="0E101A"/>
          <w:sz w:val="24"/>
          <w:szCs w:val="24"/>
        </w:rPr>
        <w:t xml:space="preserve"> T</w:t>
      </w:r>
      <w:r w:rsidR="00921F44" w:rsidRPr="00E76013">
        <w:rPr>
          <w:rFonts w:ascii="Times New Roman" w:eastAsia="Times New Roman" w:hAnsi="Times New Roman" w:cs="Times New Roman"/>
          <w:noProof/>
          <w:color w:val="0E101A"/>
          <w:sz w:val="24"/>
          <w:szCs w:val="24"/>
        </w:rPr>
        <w:t xml:space="preserve">he </w:t>
      </w:r>
      <w:r w:rsidR="00E7503F" w:rsidRPr="00E76013">
        <w:rPr>
          <w:rFonts w:ascii="Times New Roman" w:eastAsia="Times New Roman" w:hAnsi="Times New Roman" w:cs="Times New Roman"/>
          <w:noProof/>
          <w:color w:val="0E101A"/>
          <w:sz w:val="24"/>
          <w:szCs w:val="24"/>
        </w:rPr>
        <w:t>P</w:t>
      </w:r>
      <w:r w:rsidR="00EC15C1" w:rsidRPr="00E76013">
        <w:rPr>
          <w:rFonts w:ascii="Times New Roman" w:eastAsia="Times New Roman" w:hAnsi="Times New Roman" w:cs="Times New Roman"/>
          <w:noProof/>
          <w:color w:val="0E101A"/>
          <w:sz w:val="24"/>
          <w:szCs w:val="24"/>
        </w:rPr>
        <w:t>lan also supports the digitalisation of the transport and energy sectors</w:t>
      </w:r>
      <w:r w:rsidR="00203308">
        <w:rPr>
          <w:rFonts w:ascii="Times New Roman" w:eastAsia="Times New Roman" w:hAnsi="Times New Roman" w:cs="Times New Roman"/>
          <w:noProof/>
          <w:color w:val="0E101A"/>
          <w:sz w:val="24"/>
          <w:szCs w:val="24"/>
        </w:rPr>
        <w:t>,</w:t>
      </w:r>
      <w:r w:rsidR="00EC15C1" w:rsidRPr="00E76013">
        <w:rPr>
          <w:rFonts w:ascii="Times New Roman" w:eastAsia="Times New Roman" w:hAnsi="Times New Roman" w:cs="Times New Roman"/>
          <w:noProof/>
          <w:color w:val="0E101A"/>
          <w:sz w:val="24"/>
          <w:szCs w:val="24"/>
        </w:rPr>
        <w:t xml:space="preserve"> thus contributing to their progressive decarbonisation. As regards the private sector, the investments in the digital transformation of </w:t>
      </w:r>
      <w:r w:rsidR="00203308">
        <w:rPr>
          <w:rFonts w:ascii="Times New Roman" w:eastAsia="Times New Roman" w:hAnsi="Times New Roman" w:cs="Times New Roman"/>
          <w:noProof/>
          <w:color w:val="0E101A"/>
          <w:sz w:val="24"/>
          <w:szCs w:val="24"/>
        </w:rPr>
        <w:t xml:space="preserve">the </w:t>
      </w:r>
      <w:r w:rsidR="00EC15C1" w:rsidRPr="00E76013">
        <w:rPr>
          <w:rFonts w:ascii="Times New Roman" w:eastAsia="Times New Roman" w:hAnsi="Times New Roman" w:cs="Times New Roman"/>
          <w:noProof/>
          <w:color w:val="0E101A"/>
          <w:sz w:val="24"/>
          <w:szCs w:val="24"/>
        </w:rPr>
        <w:t xml:space="preserve">business processes and increased cybersecurity capabilities should contribute to </w:t>
      </w:r>
      <w:r w:rsidR="00203308" w:rsidRPr="00E76013">
        <w:rPr>
          <w:rFonts w:ascii="Times New Roman" w:eastAsia="Times New Roman" w:hAnsi="Times New Roman" w:cs="Times New Roman"/>
          <w:noProof/>
          <w:color w:val="0E101A"/>
          <w:sz w:val="24"/>
          <w:szCs w:val="24"/>
        </w:rPr>
        <w:t>improv</w:t>
      </w:r>
      <w:r w:rsidR="00203308">
        <w:rPr>
          <w:rFonts w:ascii="Times New Roman" w:eastAsia="Times New Roman" w:hAnsi="Times New Roman" w:cs="Times New Roman"/>
          <w:noProof/>
          <w:color w:val="0E101A"/>
          <w:sz w:val="24"/>
          <w:szCs w:val="24"/>
        </w:rPr>
        <w:t>ements</w:t>
      </w:r>
      <w:r w:rsidR="00203308" w:rsidRPr="00E76013">
        <w:rPr>
          <w:rFonts w:ascii="Times New Roman" w:eastAsia="Times New Roman" w:hAnsi="Times New Roman" w:cs="Times New Roman"/>
          <w:noProof/>
          <w:color w:val="0E101A"/>
          <w:sz w:val="24"/>
          <w:szCs w:val="24"/>
        </w:rPr>
        <w:t xml:space="preserve"> </w:t>
      </w:r>
      <w:r w:rsidR="00203308">
        <w:rPr>
          <w:rFonts w:ascii="Times New Roman" w:eastAsia="Times New Roman" w:hAnsi="Times New Roman" w:cs="Times New Roman"/>
          <w:noProof/>
          <w:color w:val="0E101A"/>
          <w:sz w:val="24"/>
          <w:szCs w:val="24"/>
        </w:rPr>
        <w:t>in</w:t>
      </w:r>
      <w:r w:rsidR="00203308" w:rsidRPr="00E76013">
        <w:rPr>
          <w:rFonts w:ascii="Times New Roman" w:eastAsia="Times New Roman" w:hAnsi="Times New Roman" w:cs="Times New Roman"/>
          <w:noProof/>
          <w:color w:val="0E101A"/>
          <w:sz w:val="24"/>
          <w:szCs w:val="24"/>
        </w:rPr>
        <w:t xml:space="preserve"> </w:t>
      </w:r>
      <w:r w:rsidR="00EC15C1" w:rsidRPr="00E76013">
        <w:rPr>
          <w:rFonts w:ascii="Times New Roman" w:eastAsia="Times New Roman" w:hAnsi="Times New Roman" w:cs="Times New Roman"/>
          <w:noProof/>
          <w:color w:val="0E101A"/>
          <w:sz w:val="24"/>
          <w:szCs w:val="24"/>
        </w:rPr>
        <w:t>their efficiency and productivity. Moreover, digital technologies and infrastructure are expected to enhance Bulgaria’s innovation capacity, with a particular focus on green and digital technologies.</w:t>
      </w:r>
    </w:p>
    <w:p w14:paraId="3E398F01" w14:textId="70CFDA3C" w:rsidR="006C002C" w:rsidRPr="00E76013" w:rsidRDefault="006C002C" w:rsidP="00753B79">
      <w:pPr>
        <w:spacing w:line="276" w:lineRule="auto"/>
        <w:jc w:val="both"/>
        <w:rPr>
          <w:rFonts w:ascii="Times New Roman" w:eastAsia="Times New Roman" w:hAnsi="Times New Roman" w:cs="Times New Roman"/>
          <w:noProof/>
          <w:color w:val="0E101A"/>
          <w:sz w:val="24"/>
          <w:szCs w:val="24"/>
        </w:rPr>
      </w:pPr>
      <w:r w:rsidRPr="00E76013">
        <w:rPr>
          <w:rFonts w:ascii="Times New Roman" w:eastAsia="Times New Roman" w:hAnsi="Times New Roman" w:cs="Times New Roman"/>
          <w:b/>
          <w:bCs/>
          <w:noProof/>
          <w:color w:val="0E101A"/>
          <w:sz w:val="24"/>
          <w:szCs w:val="24"/>
        </w:rPr>
        <w:t xml:space="preserve">The implementation of the investments and reforms in the </w:t>
      </w:r>
      <w:r w:rsidR="00E7503F" w:rsidRPr="00E76013">
        <w:rPr>
          <w:rFonts w:ascii="Times New Roman" w:eastAsia="Times New Roman" w:hAnsi="Times New Roman" w:cs="Times New Roman"/>
          <w:b/>
          <w:bCs/>
          <w:noProof/>
          <w:color w:val="000000" w:themeColor="text1"/>
          <w:sz w:val="24"/>
          <w:szCs w:val="24"/>
        </w:rPr>
        <w:t>P</w:t>
      </w:r>
      <w:r w:rsidRPr="00E76013">
        <w:rPr>
          <w:rFonts w:ascii="Times New Roman" w:eastAsia="Times New Roman" w:hAnsi="Times New Roman" w:cs="Times New Roman"/>
          <w:b/>
          <w:bCs/>
          <w:noProof/>
          <w:color w:val="000000" w:themeColor="text1"/>
          <w:sz w:val="24"/>
          <w:szCs w:val="24"/>
        </w:rPr>
        <w:t>lan</w:t>
      </w:r>
      <w:r w:rsidRPr="00E76013">
        <w:rPr>
          <w:rFonts w:ascii="Times New Roman" w:eastAsia="Times New Roman" w:hAnsi="Times New Roman" w:cs="Times New Roman"/>
          <w:b/>
          <w:bCs/>
          <w:noProof/>
          <w:color w:val="0E101A"/>
          <w:sz w:val="24"/>
          <w:szCs w:val="24"/>
        </w:rPr>
        <w:t xml:space="preserve"> is expected to </w:t>
      </w:r>
      <w:r w:rsidR="006E411F">
        <w:rPr>
          <w:rFonts w:ascii="Times New Roman" w:eastAsia="Times New Roman" w:hAnsi="Times New Roman" w:cs="Times New Roman"/>
          <w:b/>
          <w:bCs/>
          <w:noProof/>
          <w:color w:val="0E101A"/>
          <w:sz w:val="24"/>
          <w:szCs w:val="24"/>
        </w:rPr>
        <w:t>have</w:t>
      </w:r>
      <w:r w:rsidR="006E411F" w:rsidRPr="00E76013">
        <w:rPr>
          <w:rFonts w:ascii="Times New Roman" w:eastAsia="Times New Roman" w:hAnsi="Times New Roman" w:cs="Times New Roman"/>
          <w:b/>
          <w:bCs/>
          <w:noProof/>
          <w:color w:val="0E101A"/>
          <w:sz w:val="24"/>
          <w:szCs w:val="24"/>
        </w:rPr>
        <w:t xml:space="preserve"> </w:t>
      </w:r>
      <w:r w:rsidRPr="00E76013">
        <w:rPr>
          <w:rFonts w:ascii="Times New Roman" w:eastAsia="Times New Roman" w:hAnsi="Times New Roman" w:cs="Times New Roman"/>
          <w:b/>
          <w:bCs/>
          <w:noProof/>
          <w:color w:val="0E101A"/>
          <w:sz w:val="24"/>
          <w:szCs w:val="24"/>
        </w:rPr>
        <w:t>a lasting impact</w:t>
      </w:r>
      <w:r w:rsidR="006E411F">
        <w:rPr>
          <w:rFonts w:ascii="Times New Roman" w:eastAsia="Times New Roman" w:hAnsi="Times New Roman" w:cs="Times New Roman"/>
          <w:b/>
          <w:bCs/>
          <w:noProof/>
          <w:color w:val="0E101A"/>
          <w:sz w:val="24"/>
          <w:szCs w:val="24"/>
        </w:rPr>
        <w:t>, primarily</w:t>
      </w:r>
      <w:r w:rsidR="00602EE0" w:rsidRPr="00E76013">
        <w:rPr>
          <w:rFonts w:ascii="Times New Roman" w:eastAsia="Times New Roman" w:hAnsi="Times New Roman" w:cs="Times New Roman"/>
          <w:b/>
          <w:bCs/>
          <w:noProof/>
          <w:color w:val="0E101A"/>
          <w:sz w:val="24"/>
          <w:szCs w:val="24"/>
        </w:rPr>
        <w:t xml:space="preserve"> by </w:t>
      </w:r>
      <w:r w:rsidR="00A8043B" w:rsidRPr="00E76013">
        <w:rPr>
          <w:rFonts w:ascii="Times New Roman" w:eastAsia="Times New Roman" w:hAnsi="Times New Roman" w:cs="Times New Roman"/>
          <w:b/>
          <w:bCs/>
          <w:noProof/>
          <w:color w:val="0E101A"/>
          <w:sz w:val="24"/>
          <w:szCs w:val="24"/>
        </w:rPr>
        <w:t xml:space="preserve">strengthening </w:t>
      </w:r>
      <w:r w:rsidR="006E411F">
        <w:rPr>
          <w:rFonts w:ascii="Times New Roman" w:eastAsia="Times New Roman" w:hAnsi="Times New Roman" w:cs="Times New Roman"/>
          <w:b/>
          <w:bCs/>
          <w:noProof/>
          <w:color w:val="0E101A"/>
          <w:sz w:val="24"/>
          <w:szCs w:val="24"/>
        </w:rPr>
        <w:t xml:space="preserve">the </w:t>
      </w:r>
      <w:r w:rsidR="00A8043B" w:rsidRPr="00E76013">
        <w:rPr>
          <w:rFonts w:ascii="Times New Roman" w:eastAsia="Times New Roman" w:hAnsi="Times New Roman" w:cs="Times New Roman"/>
          <w:b/>
          <w:bCs/>
          <w:noProof/>
          <w:color w:val="0E101A"/>
          <w:sz w:val="24"/>
          <w:szCs w:val="24"/>
        </w:rPr>
        <w:t xml:space="preserve">public institutions and by </w:t>
      </w:r>
      <w:r w:rsidR="00DC70F8">
        <w:rPr>
          <w:rFonts w:ascii="Times New Roman" w:eastAsia="Times New Roman" w:hAnsi="Times New Roman" w:cs="Times New Roman"/>
          <w:b/>
          <w:bCs/>
          <w:noProof/>
          <w:color w:val="0E101A"/>
          <w:sz w:val="24"/>
          <w:szCs w:val="24"/>
        </w:rPr>
        <w:t>structural reforms</w:t>
      </w:r>
      <w:r w:rsidR="004F2DAB">
        <w:rPr>
          <w:rFonts w:ascii="Times New Roman" w:eastAsia="Times New Roman" w:hAnsi="Times New Roman" w:cs="Times New Roman"/>
          <w:b/>
          <w:bCs/>
          <w:noProof/>
          <w:color w:val="0E101A"/>
          <w:sz w:val="24"/>
          <w:szCs w:val="24"/>
        </w:rPr>
        <w:t xml:space="preserve"> </w:t>
      </w:r>
      <w:r w:rsidR="00DC70F8">
        <w:rPr>
          <w:rFonts w:ascii="Times New Roman" w:eastAsia="Times New Roman" w:hAnsi="Times New Roman" w:cs="Times New Roman"/>
          <w:b/>
          <w:bCs/>
          <w:noProof/>
          <w:color w:val="0E101A"/>
          <w:sz w:val="24"/>
          <w:szCs w:val="24"/>
        </w:rPr>
        <w:t xml:space="preserve">in key </w:t>
      </w:r>
      <w:r w:rsidR="00A8043B" w:rsidRPr="00E76013">
        <w:rPr>
          <w:rFonts w:ascii="Times New Roman" w:eastAsia="Times New Roman" w:hAnsi="Times New Roman" w:cs="Times New Roman"/>
          <w:b/>
          <w:bCs/>
          <w:noProof/>
          <w:color w:val="0E101A"/>
          <w:sz w:val="24"/>
          <w:szCs w:val="24"/>
        </w:rPr>
        <w:t>polic</w:t>
      </w:r>
      <w:r w:rsidR="00DC70F8">
        <w:rPr>
          <w:rFonts w:ascii="Times New Roman" w:eastAsia="Times New Roman" w:hAnsi="Times New Roman" w:cs="Times New Roman"/>
          <w:b/>
          <w:bCs/>
          <w:noProof/>
          <w:color w:val="0E101A"/>
          <w:sz w:val="24"/>
          <w:szCs w:val="24"/>
        </w:rPr>
        <w:t>y areas</w:t>
      </w:r>
      <w:r w:rsidR="00A8043B" w:rsidRPr="00E76013">
        <w:rPr>
          <w:rFonts w:ascii="Times New Roman" w:eastAsia="Times New Roman" w:hAnsi="Times New Roman" w:cs="Times New Roman"/>
          <w:b/>
          <w:bCs/>
          <w:noProof/>
          <w:color w:val="0E101A"/>
          <w:sz w:val="24"/>
          <w:szCs w:val="24"/>
        </w:rPr>
        <w:t>.</w:t>
      </w:r>
      <w:r w:rsidRPr="00E76013">
        <w:rPr>
          <w:rFonts w:ascii="Times New Roman" w:eastAsia="Times New Roman" w:hAnsi="Times New Roman" w:cs="Times New Roman"/>
          <w:b/>
          <w:bCs/>
          <w:noProof/>
          <w:color w:val="0E101A"/>
          <w:sz w:val="24"/>
          <w:szCs w:val="24"/>
        </w:rPr>
        <w:t xml:space="preserve"> </w:t>
      </w:r>
      <w:r w:rsidR="00A8043B" w:rsidRPr="00E76013">
        <w:rPr>
          <w:rFonts w:ascii="Times New Roman" w:eastAsia="Times New Roman" w:hAnsi="Times New Roman" w:cs="Times New Roman"/>
          <w:noProof/>
          <w:color w:val="0E101A"/>
          <w:sz w:val="24"/>
          <w:szCs w:val="24"/>
        </w:rPr>
        <w:t xml:space="preserve">Ambitious reforms in the judiciary and anti-corruption bodies combined with administrative reforms in key areas such as research and innovation, green transition and digital transformation, aim </w:t>
      </w:r>
      <w:r w:rsidR="006E411F">
        <w:rPr>
          <w:rFonts w:ascii="Times New Roman" w:eastAsia="Times New Roman" w:hAnsi="Times New Roman" w:cs="Times New Roman"/>
          <w:noProof/>
          <w:color w:val="0E101A"/>
          <w:sz w:val="24"/>
          <w:szCs w:val="24"/>
        </w:rPr>
        <w:t>to improve</w:t>
      </w:r>
      <w:r w:rsidR="00A8043B" w:rsidRPr="00E76013">
        <w:rPr>
          <w:rFonts w:ascii="Times New Roman" w:eastAsia="Times New Roman" w:hAnsi="Times New Roman" w:cs="Times New Roman"/>
          <w:noProof/>
          <w:color w:val="0E101A"/>
          <w:sz w:val="24"/>
          <w:szCs w:val="24"/>
        </w:rPr>
        <w:t xml:space="preserve"> the quality of public services. In addition, </w:t>
      </w:r>
      <w:r w:rsidR="00871BB2" w:rsidRPr="00E76013">
        <w:rPr>
          <w:rFonts w:ascii="Times New Roman" w:eastAsia="Times New Roman" w:hAnsi="Times New Roman" w:cs="Times New Roman"/>
          <w:noProof/>
          <w:color w:val="0E101A"/>
          <w:sz w:val="24"/>
          <w:szCs w:val="24"/>
        </w:rPr>
        <w:t xml:space="preserve">policy changes to reduce existing barriers to business activity and reforms to address long-standing problems in education, healthcare and social protection complement investments in these areas. </w:t>
      </w:r>
      <w:r w:rsidRPr="00E76013">
        <w:rPr>
          <w:rFonts w:ascii="Times New Roman" w:eastAsia="Times New Roman" w:hAnsi="Times New Roman" w:cs="Times New Roman"/>
          <w:noProof/>
          <w:color w:val="0E101A"/>
          <w:sz w:val="24"/>
          <w:szCs w:val="24"/>
        </w:rPr>
        <w:t xml:space="preserve">Overall, the </w:t>
      </w:r>
      <w:r w:rsidR="00E7503F" w:rsidRPr="00E76013">
        <w:rPr>
          <w:rFonts w:ascii="Times New Roman" w:eastAsia="Times New Roman" w:hAnsi="Times New Roman" w:cs="Times New Roman"/>
          <w:noProof/>
          <w:color w:val="0E101A"/>
          <w:sz w:val="24"/>
          <w:szCs w:val="24"/>
        </w:rPr>
        <w:t>P</w:t>
      </w:r>
      <w:r w:rsidRPr="00E76013">
        <w:rPr>
          <w:rFonts w:ascii="Times New Roman" w:eastAsia="Times New Roman" w:hAnsi="Times New Roman" w:cs="Times New Roman"/>
          <w:noProof/>
          <w:color w:val="0E101A"/>
          <w:sz w:val="24"/>
          <w:szCs w:val="24"/>
        </w:rPr>
        <w:t xml:space="preserve">lan addresses many of the country's core problems in the areas of </w:t>
      </w:r>
      <w:r w:rsidR="00D05DAE" w:rsidRPr="00E76013">
        <w:rPr>
          <w:rFonts w:ascii="Times New Roman" w:eastAsia="Times New Roman" w:hAnsi="Times New Roman" w:cs="Times New Roman"/>
          <w:noProof/>
          <w:color w:val="0E101A"/>
          <w:sz w:val="24"/>
          <w:szCs w:val="24"/>
        </w:rPr>
        <w:t xml:space="preserve">environmental sustainability, business environment, </w:t>
      </w:r>
      <w:r w:rsidR="13E5C801" w:rsidRPr="00E76013">
        <w:rPr>
          <w:rFonts w:ascii="Times New Roman" w:eastAsia="Times New Roman" w:hAnsi="Times New Roman" w:cs="Times New Roman"/>
          <w:noProof/>
          <w:color w:val="0E101A"/>
          <w:sz w:val="24"/>
          <w:szCs w:val="24"/>
        </w:rPr>
        <w:t>education and skill</w:t>
      </w:r>
      <w:r w:rsidR="00122C4C" w:rsidRPr="00E76013">
        <w:rPr>
          <w:rFonts w:ascii="Times New Roman" w:eastAsia="Times New Roman" w:hAnsi="Times New Roman" w:cs="Times New Roman"/>
          <w:noProof/>
          <w:color w:val="0E101A"/>
          <w:sz w:val="24"/>
          <w:szCs w:val="24"/>
        </w:rPr>
        <w:t xml:space="preserve">s, healthcare, </w:t>
      </w:r>
      <w:r w:rsidR="00D05DAE" w:rsidRPr="00E76013">
        <w:rPr>
          <w:rFonts w:ascii="Times New Roman" w:eastAsia="Times New Roman" w:hAnsi="Times New Roman" w:cs="Times New Roman"/>
          <w:noProof/>
          <w:color w:val="0E101A"/>
          <w:sz w:val="24"/>
          <w:szCs w:val="24"/>
        </w:rPr>
        <w:t xml:space="preserve">social </w:t>
      </w:r>
      <w:r w:rsidR="000607C3" w:rsidRPr="00E76013">
        <w:rPr>
          <w:rFonts w:ascii="Times New Roman" w:eastAsia="Times New Roman" w:hAnsi="Times New Roman" w:cs="Times New Roman"/>
          <w:noProof/>
          <w:color w:val="0E101A"/>
          <w:sz w:val="24"/>
          <w:szCs w:val="24"/>
        </w:rPr>
        <w:t>and labour market.</w:t>
      </w:r>
      <w:r w:rsidR="00323501">
        <w:rPr>
          <w:rFonts w:ascii="Times New Roman" w:eastAsia="Times New Roman" w:hAnsi="Times New Roman" w:cs="Times New Roman"/>
          <w:noProof/>
          <w:color w:val="0E101A"/>
          <w:sz w:val="24"/>
          <w:szCs w:val="24"/>
        </w:rPr>
        <w:t xml:space="preserve"> </w:t>
      </w:r>
      <w:r w:rsidR="00D05DAE" w:rsidRPr="00E76013">
        <w:rPr>
          <w:rFonts w:ascii="Times New Roman" w:eastAsia="Times New Roman" w:hAnsi="Times New Roman" w:cs="Times New Roman"/>
          <w:noProof/>
          <w:color w:val="0E101A"/>
          <w:sz w:val="24"/>
          <w:szCs w:val="24"/>
        </w:rPr>
        <w:t>As a result, t</w:t>
      </w:r>
      <w:r w:rsidR="00871BB2" w:rsidRPr="00E76013">
        <w:rPr>
          <w:rFonts w:ascii="Times New Roman" w:eastAsia="Times New Roman" w:hAnsi="Times New Roman" w:cs="Times New Roman"/>
          <w:noProof/>
          <w:color w:val="0E101A"/>
          <w:sz w:val="24"/>
          <w:szCs w:val="24"/>
        </w:rPr>
        <w:t xml:space="preserve">he implementation of the Plan is expected to lead to </w:t>
      </w:r>
      <w:r w:rsidR="006E411F">
        <w:rPr>
          <w:rFonts w:ascii="Times New Roman" w:eastAsia="Times New Roman" w:hAnsi="Times New Roman" w:cs="Times New Roman"/>
          <w:noProof/>
          <w:color w:val="0E101A"/>
          <w:sz w:val="24"/>
          <w:szCs w:val="24"/>
        </w:rPr>
        <w:t xml:space="preserve">a </w:t>
      </w:r>
      <w:r w:rsidR="00871BB2" w:rsidRPr="00E76013">
        <w:rPr>
          <w:rFonts w:ascii="Times New Roman" w:eastAsia="Times New Roman" w:hAnsi="Times New Roman" w:cs="Times New Roman"/>
          <w:noProof/>
          <w:color w:val="0E101A"/>
          <w:sz w:val="24"/>
          <w:szCs w:val="24"/>
        </w:rPr>
        <w:t>faster, more sustainable and more inclusive economic growth.</w:t>
      </w:r>
    </w:p>
    <w:p w14:paraId="412FFA65" w14:textId="7DCA0AED" w:rsidR="006C002C" w:rsidRPr="00E76013" w:rsidRDefault="00AB3898" w:rsidP="00753B79">
      <w:pPr>
        <w:spacing w:line="276" w:lineRule="auto"/>
        <w:jc w:val="both"/>
        <w:rPr>
          <w:rFonts w:ascii="Times New Roman" w:eastAsia="Times New Roman" w:hAnsi="Times New Roman" w:cs="Times New Roman"/>
          <w:noProof/>
          <w:color w:val="0E101A"/>
          <w:sz w:val="24"/>
          <w:szCs w:val="24"/>
        </w:rPr>
      </w:pPr>
      <w:r w:rsidRPr="00E76013">
        <w:rPr>
          <w:rFonts w:ascii="Times New Roman" w:eastAsia="Times New Roman" w:hAnsi="Times New Roman" w:cs="Times New Roman"/>
          <w:b/>
          <w:bCs/>
          <w:noProof/>
          <w:color w:val="0E101A"/>
          <w:sz w:val="24"/>
          <w:szCs w:val="24"/>
        </w:rPr>
        <w:t>T</w:t>
      </w:r>
      <w:r w:rsidRPr="00E76013">
        <w:rPr>
          <w:rFonts w:ascii="Times New Roman" w:eastAsia="Times New Roman" w:hAnsi="Times New Roman" w:cs="Times New Roman"/>
          <w:b/>
          <w:noProof/>
          <w:sz w:val="24"/>
          <w:szCs w:val="24"/>
          <w:lang w:val="en-GB"/>
        </w:rPr>
        <w:t xml:space="preserve">he </w:t>
      </w:r>
      <w:r w:rsidRPr="004F2DAB">
        <w:rPr>
          <w:rFonts w:ascii="Times New Roman" w:eastAsia="Times New Roman" w:hAnsi="Times New Roman" w:cs="Times New Roman"/>
          <w:b/>
          <w:noProof/>
          <w:sz w:val="24"/>
          <w:szCs w:val="24"/>
          <w:lang w:val="en-GB"/>
        </w:rPr>
        <w:t>National Fund Directorate</w:t>
      </w:r>
      <w:r w:rsidRPr="00E76013">
        <w:rPr>
          <w:rFonts w:ascii="Times New Roman" w:eastAsia="Times New Roman" w:hAnsi="Times New Roman" w:cs="Times New Roman"/>
          <w:b/>
          <w:noProof/>
          <w:sz w:val="24"/>
          <w:szCs w:val="24"/>
          <w:lang w:val="en-GB"/>
        </w:rPr>
        <w:t xml:space="preserve"> of the Ministry of Finance is designated as the coordinating unit for the implementation and control of the </w:t>
      </w:r>
      <w:r w:rsidR="008B190D" w:rsidRPr="00E76013">
        <w:rPr>
          <w:rFonts w:ascii="Times New Roman" w:eastAsia="Times New Roman" w:hAnsi="Times New Roman" w:cs="Times New Roman"/>
          <w:b/>
          <w:noProof/>
          <w:sz w:val="24"/>
          <w:szCs w:val="24"/>
          <w:lang w:val="en-GB"/>
        </w:rPr>
        <w:t>Plan</w:t>
      </w:r>
      <w:r w:rsidRPr="00E76013">
        <w:rPr>
          <w:rFonts w:ascii="Times New Roman" w:eastAsia="Times New Roman" w:hAnsi="Times New Roman" w:cs="Times New Roman"/>
          <w:b/>
          <w:noProof/>
          <w:sz w:val="24"/>
          <w:szCs w:val="24"/>
          <w:lang w:val="en-GB"/>
        </w:rPr>
        <w:t>.</w:t>
      </w:r>
      <w:r w:rsidRPr="00E76013">
        <w:rPr>
          <w:rFonts w:ascii="Times New Roman" w:eastAsia="Times New Roman" w:hAnsi="Times New Roman" w:cs="Times New Roman"/>
          <w:noProof/>
          <w:sz w:val="24"/>
          <w:szCs w:val="24"/>
          <w:lang w:val="en-GB"/>
        </w:rPr>
        <w:t xml:space="preserve"> The Directorate will act as a focal point at the national level for the preparation of common rules and procedures and for carrying out checks and controls on the implementation of milestones and targets.</w:t>
      </w:r>
      <w:r w:rsidR="006C002C" w:rsidRPr="00E76013">
        <w:rPr>
          <w:rFonts w:ascii="Times New Roman" w:eastAsia="Times New Roman" w:hAnsi="Times New Roman" w:cs="Times New Roman"/>
          <w:b/>
          <w:bCs/>
          <w:noProof/>
          <w:color w:val="0E101A"/>
          <w:sz w:val="24"/>
          <w:szCs w:val="24"/>
        </w:rPr>
        <w:t xml:space="preserve"> </w:t>
      </w:r>
      <w:r w:rsidR="2987A509" w:rsidRPr="00E76013">
        <w:rPr>
          <w:rFonts w:ascii="Times New Roman" w:eastAsia="Times New Roman" w:hAnsi="Times New Roman" w:cs="Times New Roman"/>
          <w:noProof/>
          <w:sz w:val="24"/>
          <w:szCs w:val="24"/>
        </w:rPr>
        <w:t xml:space="preserve">The </w:t>
      </w:r>
      <w:r w:rsidR="2987A509" w:rsidRPr="004F2DAB">
        <w:rPr>
          <w:rFonts w:ascii="Times New Roman" w:eastAsia="Times New Roman" w:hAnsi="Times New Roman" w:cs="Times New Roman"/>
          <w:noProof/>
          <w:sz w:val="24"/>
          <w:szCs w:val="24"/>
        </w:rPr>
        <w:t>Economic and Financial Policy Directorate</w:t>
      </w:r>
      <w:r w:rsidR="2987A509" w:rsidRPr="00E76013">
        <w:rPr>
          <w:rFonts w:ascii="Times New Roman" w:eastAsia="Times New Roman" w:hAnsi="Times New Roman" w:cs="Times New Roman"/>
          <w:noProof/>
          <w:sz w:val="24"/>
          <w:szCs w:val="24"/>
        </w:rPr>
        <w:t xml:space="preserve"> at the Ministry of Finance will</w:t>
      </w:r>
      <w:r w:rsidR="002B6344" w:rsidRPr="00E76013">
        <w:rPr>
          <w:rFonts w:ascii="Times New Roman" w:eastAsia="Times New Roman" w:hAnsi="Times New Roman" w:cs="Times New Roman"/>
          <w:noProof/>
          <w:sz w:val="24"/>
          <w:szCs w:val="24"/>
        </w:rPr>
        <w:t xml:space="preserve"> </w:t>
      </w:r>
      <w:r w:rsidR="002B6344">
        <w:rPr>
          <w:rFonts w:ascii="Times New Roman" w:eastAsia="Times New Roman" w:hAnsi="Times New Roman" w:cs="Times New Roman"/>
          <w:noProof/>
          <w:sz w:val="24"/>
          <w:szCs w:val="24"/>
          <w:lang w:val="en-GB"/>
        </w:rPr>
        <w:t xml:space="preserve">assist the National Fund Directorate </w:t>
      </w:r>
      <w:r w:rsidR="002B6344" w:rsidRPr="00C6449B">
        <w:rPr>
          <w:rFonts w:ascii="Times New Roman" w:eastAsia="Times New Roman" w:hAnsi="Times New Roman" w:cs="Times New Roman"/>
          <w:noProof/>
          <w:sz w:val="24"/>
          <w:szCs w:val="24"/>
          <w:lang w:val="en-GB"/>
        </w:rPr>
        <w:t>by reviewing and confirming the implementation of reforms</w:t>
      </w:r>
      <w:r w:rsidR="002B6344" w:rsidRPr="52AC1841">
        <w:rPr>
          <w:rFonts w:ascii="Times New Roman" w:eastAsia="Times New Roman" w:hAnsi="Times New Roman" w:cs="Times New Roman"/>
          <w:noProof/>
          <w:sz w:val="24"/>
          <w:szCs w:val="24"/>
          <w:lang w:val="en-GB"/>
        </w:rPr>
        <w:t xml:space="preserve"> included in the </w:t>
      </w:r>
      <w:r w:rsidR="002B6344">
        <w:rPr>
          <w:rFonts w:ascii="Times New Roman" w:eastAsia="Times New Roman" w:hAnsi="Times New Roman" w:cs="Times New Roman"/>
          <w:noProof/>
          <w:sz w:val="24"/>
          <w:szCs w:val="24"/>
          <w:lang w:val="en-GB"/>
        </w:rPr>
        <w:t>P</w:t>
      </w:r>
      <w:r w:rsidR="002B6344" w:rsidRPr="52AC1841">
        <w:rPr>
          <w:rFonts w:ascii="Times New Roman" w:eastAsia="Times New Roman" w:hAnsi="Times New Roman" w:cs="Times New Roman"/>
          <w:noProof/>
          <w:sz w:val="24"/>
          <w:szCs w:val="24"/>
          <w:lang w:val="en-GB"/>
        </w:rPr>
        <w:t>lan</w:t>
      </w:r>
      <w:r w:rsidR="002B6344">
        <w:rPr>
          <w:rFonts w:ascii="Times New Roman" w:eastAsia="Times New Roman" w:hAnsi="Times New Roman" w:cs="Times New Roman"/>
          <w:noProof/>
          <w:sz w:val="24"/>
          <w:szCs w:val="24"/>
          <w:lang w:val="en-GB"/>
        </w:rPr>
        <w:t>.</w:t>
      </w:r>
      <w:r w:rsidR="2987A509" w:rsidRPr="00E76013">
        <w:rPr>
          <w:rFonts w:ascii="Times New Roman" w:eastAsia="Times New Roman" w:hAnsi="Times New Roman" w:cs="Times New Roman"/>
          <w:noProof/>
          <w:sz w:val="24"/>
          <w:szCs w:val="24"/>
        </w:rPr>
        <w:t>.</w:t>
      </w:r>
      <w:r w:rsidR="00323501">
        <w:rPr>
          <w:rFonts w:ascii="Times New Roman" w:eastAsia="Times New Roman" w:hAnsi="Times New Roman" w:cs="Times New Roman"/>
          <w:noProof/>
          <w:sz w:val="24"/>
          <w:szCs w:val="24"/>
        </w:rPr>
        <w:t xml:space="preserve"> </w:t>
      </w:r>
      <w:r w:rsidR="006C002C" w:rsidRPr="00E76013">
        <w:rPr>
          <w:rFonts w:ascii="Times New Roman" w:eastAsia="Times New Roman" w:hAnsi="Times New Roman" w:cs="Times New Roman"/>
          <w:noProof/>
          <w:color w:val="0E101A"/>
          <w:sz w:val="24"/>
          <w:szCs w:val="24"/>
        </w:rPr>
        <w:t>The proposed qualitative and quantitative indicators used for the milestones and targets are sufficiently clear, realistic and comprehensive to ensure that their completion can be traced and verified. Where compliance with the Do No Significant Harm principle cannot be ascertained in advance, the milestones and targets lay</w:t>
      </w:r>
      <w:r w:rsidR="00D508F5">
        <w:rPr>
          <w:rFonts w:ascii="Times New Roman" w:eastAsia="Times New Roman" w:hAnsi="Times New Roman" w:cs="Times New Roman"/>
          <w:noProof/>
          <w:color w:val="0E101A"/>
          <w:sz w:val="24"/>
          <w:szCs w:val="24"/>
        </w:rPr>
        <w:t xml:space="preserve"> </w:t>
      </w:r>
      <w:r w:rsidR="006C002C" w:rsidRPr="00E76013">
        <w:rPr>
          <w:rFonts w:ascii="Times New Roman" w:eastAsia="Times New Roman" w:hAnsi="Times New Roman" w:cs="Times New Roman"/>
          <w:noProof/>
          <w:color w:val="0E101A"/>
          <w:sz w:val="24"/>
          <w:szCs w:val="24"/>
        </w:rPr>
        <w:t>out adequate safeguards for compliance. The large number of milestones and targets appears commensurate to the size of the reform and investment package</w:t>
      </w:r>
      <w:r w:rsidR="00D508F5">
        <w:rPr>
          <w:rFonts w:ascii="Times New Roman" w:eastAsia="Times New Roman" w:hAnsi="Times New Roman" w:cs="Times New Roman"/>
          <w:noProof/>
          <w:color w:val="0E101A"/>
          <w:sz w:val="24"/>
          <w:szCs w:val="24"/>
        </w:rPr>
        <w:t xml:space="preserve">. To support a successful </w:t>
      </w:r>
      <w:r w:rsidR="006C002C" w:rsidRPr="00E76013">
        <w:rPr>
          <w:rFonts w:ascii="Times New Roman" w:eastAsia="Times New Roman" w:hAnsi="Times New Roman" w:cs="Times New Roman"/>
          <w:noProof/>
          <w:sz w:val="24"/>
          <w:szCs w:val="24"/>
        </w:rPr>
        <w:t xml:space="preserve">implementation of the </w:t>
      </w:r>
      <w:r w:rsidR="00E7503F" w:rsidRPr="00E76013">
        <w:rPr>
          <w:rFonts w:ascii="Times New Roman" w:eastAsia="Times New Roman" w:hAnsi="Times New Roman" w:cs="Times New Roman"/>
          <w:noProof/>
          <w:sz w:val="24"/>
          <w:szCs w:val="24"/>
        </w:rPr>
        <w:t>P</w:t>
      </w:r>
      <w:r w:rsidR="006C002C" w:rsidRPr="00E76013">
        <w:rPr>
          <w:rFonts w:ascii="Times New Roman" w:eastAsia="Times New Roman" w:hAnsi="Times New Roman" w:cs="Times New Roman"/>
          <w:noProof/>
          <w:sz w:val="24"/>
          <w:szCs w:val="24"/>
        </w:rPr>
        <w:t>lan</w:t>
      </w:r>
      <w:r w:rsidR="00D508F5">
        <w:rPr>
          <w:rFonts w:ascii="Times New Roman" w:eastAsia="Times New Roman" w:hAnsi="Times New Roman" w:cs="Times New Roman"/>
          <w:noProof/>
          <w:sz w:val="24"/>
          <w:szCs w:val="24"/>
        </w:rPr>
        <w:t xml:space="preserve">, </w:t>
      </w:r>
      <w:r w:rsidR="006C002C" w:rsidRPr="00E76013">
        <w:rPr>
          <w:rFonts w:ascii="Times New Roman" w:eastAsia="Times New Roman" w:hAnsi="Times New Roman" w:cs="Times New Roman"/>
          <w:noProof/>
          <w:sz w:val="24"/>
          <w:szCs w:val="24"/>
        </w:rPr>
        <w:t>the administrative and implementation capacity of the implementing bodies will be reinforced and closely monitored</w:t>
      </w:r>
      <w:r w:rsidR="00F47A22" w:rsidRPr="00E76013">
        <w:rPr>
          <w:rFonts w:ascii="Times New Roman" w:eastAsia="Times New Roman" w:hAnsi="Times New Roman" w:cs="Times New Roman"/>
          <w:noProof/>
          <w:sz w:val="24"/>
          <w:szCs w:val="24"/>
        </w:rPr>
        <w:t>.</w:t>
      </w:r>
    </w:p>
    <w:p w14:paraId="15472009" w14:textId="78CE808E" w:rsidR="000F289A" w:rsidRPr="00E76013" w:rsidRDefault="002E43A1" w:rsidP="002A0BDC">
      <w:pPr>
        <w:spacing w:line="276" w:lineRule="auto"/>
        <w:jc w:val="both"/>
        <w:rPr>
          <w:rFonts w:ascii="Times New Roman" w:hAnsi="Times New Roman" w:cs="Times New Roman"/>
          <w:i/>
          <w:noProof/>
          <w:color w:val="000000" w:themeColor="text1"/>
          <w:sz w:val="24"/>
          <w:szCs w:val="24"/>
          <w:lang w:val="en-GB"/>
        </w:rPr>
      </w:pPr>
      <w:r>
        <w:rPr>
          <w:rFonts w:ascii="Times New Roman" w:eastAsia="Times New Roman" w:hAnsi="Times New Roman" w:cs="Times New Roman"/>
          <w:b/>
          <w:bCs/>
          <w:noProof/>
          <w:color w:val="0E101A"/>
          <w:sz w:val="24"/>
          <w:szCs w:val="24"/>
        </w:rPr>
        <w:t>Overall, t</w:t>
      </w:r>
      <w:r w:rsidRPr="00E76013">
        <w:rPr>
          <w:rFonts w:ascii="Times New Roman" w:eastAsia="Times New Roman" w:hAnsi="Times New Roman" w:cs="Times New Roman"/>
          <w:b/>
          <w:bCs/>
          <w:noProof/>
          <w:color w:val="0E101A"/>
          <w:sz w:val="24"/>
          <w:szCs w:val="24"/>
        </w:rPr>
        <w:t>he cost</w:t>
      </w:r>
      <w:r>
        <w:rPr>
          <w:rFonts w:ascii="Times New Roman" w:eastAsia="Times New Roman" w:hAnsi="Times New Roman" w:cs="Times New Roman"/>
          <w:b/>
          <w:bCs/>
          <w:noProof/>
          <w:color w:val="0E101A"/>
          <w:sz w:val="24"/>
          <w:szCs w:val="24"/>
        </w:rPr>
        <w:t>ing information and supporting documents provided</w:t>
      </w:r>
      <w:r w:rsidR="006C002C" w:rsidRPr="00E76013">
        <w:rPr>
          <w:rFonts w:ascii="Times New Roman" w:eastAsia="Times New Roman" w:hAnsi="Times New Roman" w:cs="Times New Roman"/>
          <w:b/>
          <w:bCs/>
          <w:noProof/>
          <w:color w:val="0E101A"/>
          <w:sz w:val="24"/>
          <w:szCs w:val="24"/>
        </w:rPr>
        <w:t xml:space="preserve"> appear </w:t>
      </w:r>
      <w:r w:rsidR="0094011B">
        <w:rPr>
          <w:rFonts w:ascii="Times New Roman" w:eastAsia="Times New Roman" w:hAnsi="Times New Roman" w:cs="Times New Roman"/>
          <w:b/>
          <w:bCs/>
          <w:noProof/>
          <w:color w:val="0E101A"/>
          <w:sz w:val="24"/>
          <w:szCs w:val="24"/>
        </w:rPr>
        <w:t xml:space="preserve">to be </w:t>
      </w:r>
      <w:r w:rsidR="006C002C" w:rsidRPr="00E76013">
        <w:rPr>
          <w:rFonts w:ascii="Times New Roman" w:eastAsia="Times New Roman" w:hAnsi="Times New Roman" w:cs="Times New Roman"/>
          <w:b/>
          <w:bCs/>
          <w:noProof/>
          <w:color w:val="0E101A"/>
          <w:sz w:val="24"/>
          <w:szCs w:val="24"/>
        </w:rPr>
        <w:t xml:space="preserve">reasonable and plausible. </w:t>
      </w:r>
      <w:r w:rsidR="006C002C" w:rsidRPr="00E76013">
        <w:rPr>
          <w:rFonts w:ascii="Times New Roman" w:eastAsia="Times New Roman" w:hAnsi="Times New Roman" w:cs="Times New Roman"/>
          <w:noProof/>
          <w:color w:val="0E101A"/>
          <w:sz w:val="24"/>
          <w:szCs w:val="24"/>
        </w:rPr>
        <w:t xml:space="preserve">The </w:t>
      </w:r>
      <w:r w:rsidR="00E7503F" w:rsidRPr="00E76013">
        <w:rPr>
          <w:rFonts w:ascii="Times New Roman" w:eastAsia="Times New Roman" w:hAnsi="Times New Roman" w:cs="Times New Roman"/>
          <w:noProof/>
          <w:color w:val="0E101A"/>
          <w:sz w:val="24"/>
          <w:szCs w:val="24"/>
        </w:rPr>
        <w:t>P</w:t>
      </w:r>
      <w:r w:rsidR="006C002C" w:rsidRPr="00E76013">
        <w:rPr>
          <w:rFonts w:ascii="Times New Roman" w:eastAsia="Times New Roman" w:hAnsi="Times New Roman" w:cs="Times New Roman"/>
          <w:noProof/>
          <w:color w:val="0E101A"/>
          <w:sz w:val="24"/>
          <w:szCs w:val="24"/>
        </w:rPr>
        <w:t xml:space="preserve">lan provides adequate explanations on the methodology used for establishing the cost estimates for </w:t>
      </w:r>
      <w:r w:rsidR="64551628" w:rsidRPr="0B896F5F">
        <w:rPr>
          <w:rFonts w:ascii="Times New Roman" w:eastAsia="Times New Roman" w:hAnsi="Times New Roman" w:cs="Times New Roman"/>
          <w:noProof/>
          <w:color w:val="0E101A"/>
          <w:sz w:val="24"/>
          <w:szCs w:val="24"/>
        </w:rPr>
        <w:t>the</w:t>
      </w:r>
      <w:r w:rsidR="006C002C" w:rsidRPr="00E76013">
        <w:rPr>
          <w:rFonts w:ascii="Times New Roman" w:eastAsia="Times New Roman" w:hAnsi="Times New Roman" w:cs="Times New Roman"/>
          <w:noProof/>
          <w:color w:val="0E101A"/>
          <w:sz w:val="24"/>
          <w:szCs w:val="24"/>
        </w:rPr>
        <w:t xml:space="preserve"> majority of measures. </w:t>
      </w:r>
      <w:r w:rsidR="000F289A" w:rsidRPr="00E76013">
        <w:rPr>
          <w:rFonts w:ascii="Times New Roman" w:eastAsia="Times New Roman" w:hAnsi="Times New Roman" w:cs="Times New Roman"/>
          <w:noProof/>
          <w:color w:val="0E101A"/>
          <w:sz w:val="24"/>
          <w:szCs w:val="24"/>
        </w:rPr>
        <w:t xml:space="preserve">The justification provided by Bulgaria on the amount of the estimated total costs of the Plan is to a medium extent reasonable, plausible, </w:t>
      </w:r>
      <w:r w:rsidR="0094011B">
        <w:rPr>
          <w:rFonts w:ascii="Times New Roman" w:eastAsia="Times New Roman" w:hAnsi="Times New Roman" w:cs="Times New Roman"/>
          <w:noProof/>
          <w:color w:val="0E101A"/>
          <w:sz w:val="24"/>
          <w:szCs w:val="24"/>
        </w:rPr>
        <w:t>and</w:t>
      </w:r>
      <w:r w:rsidR="000F289A" w:rsidRPr="00E76013">
        <w:rPr>
          <w:rFonts w:ascii="Times New Roman" w:eastAsia="Times New Roman" w:hAnsi="Times New Roman" w:cs="Times New Roman"/>
          <w:noProof/>
          <w:color w:val="0E101A"/>
          <w:sz w:val="24"/>
          <w:szCs w:val="24"/>
        </w:rPr>
        <w:t xml:space="preserve"> in line with the principle of cost-efficiency</w:t>
      </w:r>
      <w:r w:rsidR="00D508F5">
        <w:rPr>
          <w:rFonts w:ascii="Times New Roman" w:eastAsia="Times New Roman" w:hAnsi="Times New Roman" w:cs="Times New Roman"/>
          <w:noProof/>
          <w:color w:val="0E101A"/>
          <w:sz w:val="24"/>
          <w:szCs w:val="24"/>
        </w:rPr>
        <w:t>. T</w:t>
      </w:r>
      <w:r w:rsidR="000F289A" w:rsidRPr="00E76013">
        <w:rPr>
          <w:rFonts w:ascii="Times New Roman" w:eastAsia="Times New Roman" w:hAnsi="Times New Roman" w:cs="Times New Roman"/>
          <w:noProof/>
          <w:color w:val="0E101A"/>
          <w:sz w:val="24"/>
          <w:szCs w:val="24"/>
        </w:rPr>
        <w:t xml:space="preserve">he total cost is commensurate to the expected national economic and social impacts. </w:t>
      </w:r>
      <w:r w:rsidR="000C0AF9" w:rsidRPr="00E76013">
        <w:rPr>
          <w:rFonts w:ascii="Times New Roman" w:eastAsia="Times New Roman" w:hAnsi="Times New Roman" w:cs="Times New Roman"/>
          <w:noProof/>
          <w:color w:val="0E101A"/>
          <w:sz w:val="24"/>
          <w:szCs w:val="24"/>
        </w:rPr>
        <w:t xml:space="preserve">For all measures, calculations behind the cost estimates are provided, and these are </w:t>
      </w:r>
      <w:r w:rsidR="040F144D" w:rsidRPr="5DC04CB4">
        <w:rPr>
          <w:rFonts w:ascii="Times New Roman" w:eastAsia="Times New Roman" w:hAnsi="Times New Roman" w:cs="Times New Roman"/>
          <w:noProof/>
          <w:color w:val="0E101A"/>
          <w:sz w:val="24"/>
          <w:szCs w:val="24"/>
        </w:rPr>
        <w:t>generally</w:t>
      </w:r>
      <w:r w:rsidR="00295E63" w:rsidRPr="00E76013">
        <w:rPr>
          <w:rFonts w:ascii="Times New Roman" w:eastAsia="Times New Roman" w:hAnsi="Times New Roman" w:cs="Times New Roman"/>
          <w:noProof/>
          <w:color w:val="0E101A"/>
          <w:sz w:val="24"/>
          <w:szCs w:val="24"/>
        </w:rPr>
        <w:t xml:space="preserve"> </w:t>
      </w:r>
      <w:r w:rsidR="000C0AF9" w:rsidRPr="00E76013">
        <w:rPr>
          <w:rFonts w:ascii="Times New Roman" w:eastAsia="Times New Roman" w:hAnsi="Times New Roman" w:cs="Times New Roman"/>
          <w:noProof/>
          <w:color w:val="0E101A"/>
          <w:sz w:val="24"/>
          <w:szCs w:val="24"/>
        </w:rPr>
        <w:t>clear and understandable</w:t>
      </w:r>
      <w:r w:rsidR="00F8ECA6" w:rsidRPr="5DC04CB4">
        <w:rPr>
          <w:rFonts w:ascii="Times New Roman" w:eastAsia="Times New Roman" w:hAnsi="Times New Roman" w:cs="Times New Roman"/>
          <w:noProof/>
          <w:color w:val="0E101A"/>
          <w:sz w:val="24"/>
          <w:szCs w:val="24"/>
        </w:rPr>
        <w:t>, though in certain cases</w:t>
      </w:r>
      <w:r w:rsidR="00DC70F8" w:rsidRPr="00DC70F8">
        <w:rPr>
          <w:rFonts w:ascii="Times New Roman" w:eastAsia="Times New Roman" w:hAnsi="Times New Roman" w:cs="Times New Roman"/>
          <w:noProof/>
          <w:color w:val="0E101A"/>
          <w:sz w:val="24"/>
          <w:szCs w:val="24"/>
        </w:rPr>
        <w:t>, more details could have been provided to explain how the final budget was computed</w:t>
      </w:r>
      <w:r w:rsidR="00F8ECA6" w:rsidRPr="5DC04CB4">
        <w:rPr>
          <w:rFonts w:ascii="Times New Roman" w:eastAsia="Times New Roman" w:hAnsi="Times New Roman" w:cs="Times New Roman"/>
          <w:noProof/>
          <w:color w:val="0E101A"/>
          <w:sz w:val="24"/>
          <w:szCs w:val="24"/>
        </w:rPr>
        <w:t>.</w:t>
      </w:r>
      <w:r w:rsidR="000C0AF9" w:rsidRPr="00E76013">
        <w:rPr>
          <w:rFonts w:ascii="Times New Roman" w:eastAsia="Times New Roman" w:hAnsi="Times New Roman" w:cs="Times New Roman"/>
          <w:noProof/>
          <w:color w:val="0E101A"/>
          <w:sz w:val="24"/>
          <w:szCs w:val="24"/>
        </w:rPr>
        <w:t xml:space="preserve"> The estimated cost of reforms and investments included in the </w:t>
      </w:r>
      <w:r w:rsidR="000C0AF9" w:rsidRPr="7E3C692A">
        <w:rPr>
          <w:rFonts w:ascii="Times New Roman" w:eastAsia="Times New Roman" w:hAnsi="Times New Roman" w:cs="Times New Roman"/>
          <w:noProof/>
          <w:color w:val="0E101A"/>
          <w:sz w:val="24"/>
          <w:szCs w:val="24"/>
        </w:rPr>
        <w:t>Plan</w:t>
      </w:r>
      <w:r w:rsidR="000C0AF9" w:rsidRPr="00E76013">
        <w:rPr>
          <w:rFonts w:ascii="Times New Roman" w:eastAsia="Times New Roman" w:hAnsi="Times New Roman" w:cs="Times New Roman"/>
          <w:noProof/>
          <w:color w:val="0E101A"/>
          <w:sz w:val="24"/>
          <w:szCs w:val="24"/>
        </w:rPr>
        <w:t xml:space="preserve"> is in line with – and consistent with – </w:t>
      </w:r>
      <w:r w:rsidR="00C93D5D">
        <w:rPr>
          <w:rFonts w:ascii="Times New Roman" w:eastAsia="Times New Roman" w:hAnsi="Times New Roman" w:cs="Times New Roman"/>
          <w:noProof/>
          <w:color w:val="0E101A"/>
          <w:sz w:val="24"/>
          <w:szCs w:val="24"/>
        </w:rPr>
        <w:t>exi</w:t>
      </w:r>
      <w:r w:rsidR="00B40E93">
        <w:rPr>
          <w:rFonts w:ascii="Times New Roman" w:eastAsia="Times New Roman" w:hAnsi="Times New Roman" w:cs="Times New Roman"/>
          <w:noProof/>
          <w:color w:val="0E101A"/>
          <w:sz w:val="24"/>
          <w:szCs w:val="24"/>
        </w:rPr>
        <w:t>s</w:t>
      </w:r>
      <w:r w:rsidR="00C93D5D">
        <w:rPr>
          <w:rFonts w:ascii="Times New Roman" w:eastAsia="Times New Roman" w:hAnsi="Times New Roman" w:cs="Times New Roman"/>
          <w:noProof/>
          <w:color w:val="0E101A"/>
          <w:sz w:val="24"/>
          <w:szCs w:val="24"/>
        </w:rPr>
        <w:t xml:space="preserve">ting information for </w:t>
      </w:r>
      <w:r w:rsidR="000C0AF9" w:rsidRPr="00E76013">
        <w:rPr>
          <w:rFonts w:ascii="Times New Roman" w:eastAsia="Times New Roman" w:hAnsi="Times New Roman" w:cs="Times New Roman"/>
          <w:noProof/>
          <w:color w:val="0E101A"/>
          <w:sz w:val="24"/>
          <w:szCs w:val="24"/>
        </w:rPr>
        <w:t>similar reforms and investments, including those funded by other Union programmes</w:t>
      </w:r>
      <w:r w:rsidR="0094011B">
        <w:rPr>
          <w:rFonts w:ascii="Times New Roman" w:eastAsia="Times New Roman" w:hAnsi="Times New Roman" w:cs="Times New Roman"/>
          <w:noProof/>
          <w:color w:val="0E101A"/>
          <w:sz w:val="24"/>
          <w:szCs w:val="24"/>
        </w:rPr>
        <w:t>,</w:t>
      </w:r>
      <w:r w:rsidR="000C0AF9" w:rsidRPr="00E76013">
        <w:rPr>
          <w:rFonts w:ascii="Times New Roman" w:eastAsia="Times New Roman" w:hAnsi="Times New Roman" w:cs="Times New Roman"/>
          <w:noProof/>
          <w:color w:val="0E101A"/>
          <w:sz w:val="24"/>
          <w:szCs w:val="24"/>
        </w:rPr>
        <w:t xml:space="preserve"> if available. The cost estimates of the Plan have been reviewed by the Bulgarian Executive Agency for</w:t>
      </w:r>
      <w:r w:rsidR="00B734F1">
        <w:rPr>
          <w:rFonts w:ascii="Times New Roman" w:eastAsia="Times New Roman" w:hAnsi="Times New Roman" w:cs="Times New Roman"/>
          <w:noProof/>
          <w:color w:val="0E101A"/>
          <w:sz w:val="24"/>
          <w:szCs w:val="24"/>
        </w:rPr>
        <w:t xml:space="preserve"> ‘</w:t>
      </w:r>
      <w:r w:rsidR="00B734F1" w:rsidRPr="58605E46">
        <w:rPr>
          <w:rFonts w:ascii="Times New Roman" w:eastAsia="Times New Roman" w:hAnsi="Times New Roman" w:cs="Times New Roman"/>
          <w:noProof/>
          <w:color w:val="0E101A"/>
          <w:sz w:val="24"/>
          <w:szCs w:val="24"/>
        </w:rPr>
        <w:t xml:space="preserve">Audit </w:t>
      </w:r>
      <w:r w:rsidR="00B734F1" w:rsidRPr="58605E46">
        <w:rPr>
          <w:rFonts w:ascii="Times New Roman" w:eastAsia="Times New Roman" w:hAnsi="Times New Roman" w:cs="Times New Roman"/>
          <w:noProof/>
          <w:color w:val="0E101A"/>
          <w:sz w:val="24"/>
          <w:szCs w:val="24"/>
          <w:lang w:val="en-IE"/>
        </w:rPr>
        <w:t>of</w:t>
      </w:r>
      <w:r w:rsidR="000C0AF9" w:rsidRPr="00E76013">
        <w:rPr>
          <w:rFonts w:ascii="Times New Roman" w:eastAsia="Times New Roman" w:hAnsi="Times New Roman" w:cs="Times New Roman"/>
          <w:noProof/>
          <w:color w:val="0E101A"/>
          <w:sz w:val="24"/>
          <w:szCs w:val="24"/>
        </w:rPr>
        <w:t xml:space="preserve"> European </w:t>
      </w:r>
      <w:r w:rsidR="00B734F1" w:rsidRPr="58605E46">
        <w:rPr>
          <w:rFonts w:ascii="Times New Roman" w:eastAsia="Times New Roman" w:hAnsi="Times New Roman" w:cs="Times New Roman"/>
          <w:noProof/>
          <w:color w:val="0E101A"/>
          <w:sz w:val="24"/>
          <w:szCs w:val="24"/>
        </w:rPr>
        <w:t xml:space="preserve">Union </w:t>
      </w:r>
      <w:r w:rsidR="000C0AF9" w:rsidRPr="00E76013">
        <w:rPr>
          <w:rFonts w:ascii="Times New Roman" w:eastAsia="Times New Roman" w:hAnsi="Times New Roman" w:cs="Times New Roman"/>
          <w:noProof/>
          <w:color w:val="0E101A"/>
          <w:sz w:val="24"/>
          <w:szCs w:val="24"/>
        </w:rPr>
        <w:t>Funds</w:t>
      </w:r>
      <w:r w:rsidR="00B734F1">
        <w:rPr>
          <w:rFonts w:ascii="Times New Roman" w:eastAsia="Times New Roman" w:hAnsi="Times New Roman" w:cs="Times New Roman"/>
          <w:noProof/>
          <w:color w:val="0E101A"/>
          <w:sz w:val="24"/>
          <w:szCs w:val="24"/>
        </w:rPr>
        <w:t>’</w:t>
      </w:r>
      <w:r w:rsidR="00C93D5D">
        <w:rPr>
          <w:rFonts w:ascii="Times New Roman" w:eastAsia="Times New Roman" w:hAnsi="Times New Roman" w:cs="Times New Roman"/>
          <w:noProof/>
          <w:color w:val="0E101A"/>
          <w:sz w:val="24"/>
          <w:szCs w:val="24"/>
        </w:rPr>
        <w:t xml:space="preserve">, which </w:t>
      </w:r>
      <w:r w:rsidR="000E339A">
        <w:rPr>
          <w:rFonts w:ascii="Times New Roman" w:eastAsia="Times New Roman" w:hAnsi="Times New Roman" w:cs="Times New Roman"/>
          <w:noProof/>
          <w:color w:val="0E101A"/>
          <w:sz w:val="24"/>
          <w:szCs w:val="24"/>
        </w:rPr>
        <w:t>provides further assurance of</w:t>
      </w:r>
      <w:r w:rsidR="00C93D5D">
        <w:rPr>
          <w:rFonts w:ascii="Times New Roman" w:eastAsia="Times New Roman" w:hAnsi="Times New Roman" w:cs="Times New Roman"/>
          <w:noProof/>
          <w:color w:val="0E101A"/>
          <w:sz w:val="24"/>
          <w:szCs w:val="24"/>
        </w:rPr>
        <w:t xml:space="preserve"> their reliability</w:t>
      </w:r>
      <w:r w:rsidR="000F289A" w:rsidRPr="00E76013">
        <w:rPr>
          <w:rFonts w:ascii="Times New Roman" w:eastAsia="Times New Roman" w:hAnsi="Times New Roman" w:cs="Times New Roman"/>
          <w:noProof/>
          <w:color w:val="0E101A"/>
          <w:sz w:val="24"/>
          <w:szCs w:val="24"/>
        </w:rPr>
        <w:t>.</w:t>
      </w:r>
      <w:r w:rsidR="000C0AF9" w:rsidRPr="00E76013">
        <w:rPr>
          <w:rFonts w:ascii="Times New Roman" w:eastAsia="Times New Roman" w:hAnsi="Times New Roman" w:cs="Times New Roman"/>
          <w:noProof/>
          <w:color w:val="0E101A"/>
          <w:sz w:val="24"/>
          <w:szCs w:val="24"/>
        </w:rPr>
        <w:t xml:space="preserve"> </w:t>
      </w:r>
      <w:r w:rsidR="000F289A" w:rsidRPr="00E76013">
        <w:rPr>
          <w:rFonts w:ascii="Times New Roman" w:eastAsia="Times New Roman" w:hAnsi="Times New Roman" w:cs="Times New Roman"/>
          <w:noProof/>
          <w:color w:val="0E101A"/>
          <w:sz w:val="24"/>
          <w:szCs w:val="24"/>
        </w:rPr>
        <w:t xml:space="preserve">Bulgaria provided sufficient information and evidence that the amount of the estimated cost of the reforms and investments of the </w:t>
      </w:r>
      <w:r w:rsidR="000F289A" w:rsidRPr="7E3C692A">
        <w:rPr>
          <w:rFonts w:ascii="Times New Roman" w:eastAsia="Times New Roman" w:hAnsi="Times New Roman" w:cs="Times New Roman"/>
          <w:noProof/>
          <w:color w:val="0E101A"/>
          <w:sz w:val="24"/>
          <w:szCs w:val="24"/>
        </w:rPr>
        <w:t>Plan</w:t>
      </w:r>
      <w:r w:rsidR="000F289A" w:rsidRPr="00E76013">
        <w:rPr>
          <w:rFonts w:ascii="Times New Roman" w:eastAsia="Times New Roman" w:hAnsi="Times New Roman" w:cs="Times New Roman"/>
          <w:noProof/>
          <w:color w:val="0E101A"/>
          <w:sz w:val="24"/>
          <w:szCs w:val="24"/>
        </w:rPr>
        <w:t xml:space="preserve"> is not covered by existing or planned Union financing.</w:t>
      </w:r>
    </w:p>
    <w:p w14:paraId="3D3B9A35" w14:textId="2526C218" w:rsidR="006C002C" w:rsidRPr="00E76013" w:rsidRDefault="006C002C" w:rsidP="00753B79">
      <w:pPr>
        <w:spacing w:line="276" w:lineRule="auto"/>
        <w:jc w:val="both"/>
        <w:rPr>
          <w:rFonts w:ascii="Times New Roman" w:eastAsia="Times New Roman" w:hAnsi="Times New Roman" w:cs="Times New Roman"/>
          <w:noProof/>
          <w:color w:val="0E101A"/>
          <w:sz w:val="24"/>
          <w:szCs w:val="24"/>
        </w:rPr>
      </w:pPr>
      <w:r w:rsidRPr="00E76013">
        <w:rPr>
          <w:rFonts w:ascii="Times New Roman" w:eastAsia="Times New Roman" w:hAnsi="Times New Roman" w:cs="Times New Roman"/>
          <w:b/>
          <w:bCs/>
          <w:noProof/>
          <w:color w:val="0E101A"/>
          <w:sz w:val="24"/>
          <w:szCs w:val="24"/>
        </w:rPr>
        <w:t xml:space="preserve">The </w:t>
      </w:r>
      <w:r w:rsidR="00E7503F" w:rsidRPr="00E76013">
        <w:rPr>
          <w:rFonts w:ascii="Times New Roman" w:eastAsia="Times New Roman" w:hAnsi="Times New Roman" w:cs="Times New Roman"/>
          <w:b/>
          <w:bCs/>
          <w:noProof/>
          <w:color w:val="0E101A"/>
          <w:sz w:val="24"/>
          <w:szCs w:val="24"/>
        </w:rPr>
        <w:t>P</w:t>
      </w:r>
      <w:r w:rsidRPr="00E76013">
        <w:rPr>
          <w:rFonts w:ascii="Times New Roman" w:eastAsia="Times New Roman" w:hAnsi="Times New Roman" w:cs="Times New Roman"/>
          <w:b/>
          <w:bCs/>
          <w:noProof/>
          <w:color w:val="0E101A"/>
          <w:sz w:val="24"/>
          <w:szCs w:val="24"/>
        </w:rPr>
        <w:t xml:space="preserve">lan adequately describes the system for the implementation of the audits and controls. </w:t>
      </w:r>
      <w:r w:rsidRPr="00E76013">
        <w:rPr>
          <w:rFonts w:ascii="Times New Roman" w:eastAsia="Times New Roman" w:hAnsi="Times New Roman" w:cs="Times New Roman"/>
          <w:noProof/>
          <w:color w:val="0E101A"/>
          <w:sz w:val="24"/>
          <w:szCs w:val="24"/>
        </w:rPr>
        <w:t xml:space="preserve">The </w:t>
      </w:r>
      <w:r w:rsidR="00D3725F" w:rsidRPr="00E76013">
        <w:rPr>
          <w:rFonts w:ascii="Times New Roman" w:eastAsia="Times New Roman" w:hAnsi="Times New Roman" w:cs="Times New Roman"/>
          <w:noProof/>
          <w:color w:val="0E101A"/>
          <w:sz w:val="24"/>
          <w:szCs w:val="24"/>
        </w:rPr>
        <w:t xml:space="preserve">internal control system described in the Plan is based on robust processes and structures and clearly identifies actors and their roles and responsibilities for the performance of the internal control tasks. The internal control system and other relevant arrangements, including </w:t>
      </w:r>
      <w:r w:rsidR="00DE7E99" w:rsidRPr="00DE7E99">
        <w:rPr>
          <w:rFonts w:ascii="Times New Roman" w:eastAsia="Times New Roman" w:hAnsi="Times New Roman" w:cs="Times New Roman"/>
          <w:noProof/>
          <w:color w:val="0E101A"/>
          <w:sz w:val="24"/>
          <w:szCs w:val="24"/>
        </w:rPr>
        <w:t xml:space="preserve">for </w:t>
      </w:r>
      <w:r w:rsidR="00D3725F" w:rsidRPr="00E76013">
        <w:rPr>
          <w:rFonts w:ascii="Times New Roman" w:eastAsia="Times New Roman" w:hAnsi="Times New Roman" w:cs="Times New Roman"/>
          <w:noProof/>
          <w:color w:val="0E101A"/>
          <w:sz w:val="24"/>
          <w:szCs w:val="24"/>
        </w:rPr>
        <w:t xml:space="preserve">the collection and publication of data on final recipients are expected to prevent, detect and correct corruption, fraud, conflicts of interest when using the funds under Regulation (EU) 2021/241 and to avoid double funding under that Regulation and other Union programmes. A repository system for monitoring of the implementation of the Plan is to be put in place and operational by the time of the first payment request. The proposed measures give assurance that there is an adequate level of control to prevent, detect, and correct irregularities identified when using </w:t>
      </w:r>
      <w:r w:rsidR="00181095">
        <w:rPr>
          <w:rFonts w:ascii="Times New Roman" w:eastAsia="Times New Roman" w:hAnsi="Times New Roman" w:cs="Times New Roman"/>
          <w:noProof/>
          <w:color w:val="0E101A"/>
          <w:sz w:val="24"/>
          <w:szCs w:val="24"/>
        </w:rPr>
        <w:t xml:space="preserve">RRF </w:t>
      </w:r>
      <w:r w:rsidR="00D3725F" w:rsidRPr="00E76013">
        <w:rPr>
          <w:rFonts w:ascii="Times New Roman" w:eastAsia="Times New Roman" w:hAnsi="Times New Roman" w:cs="Times New Roman"/>
          <w:noProof/>
          <w:color w:val="0E101A"/>
          <w:sz w:val="24"/>
          <w:szCs w:val="24"/>
        </w:rPr>
        <w:t>funds</w:t>
      </w:r>
      <w:r w:rsidR="00181095">
        <w:rPr>
          <w:rFonts w:ascii="Times New Roman" w:eastAsia="Times New Roman" w:hAnsi="Times New Roman" w:cs="Times New Roman"/>
          <w:noProof/>
          <w:color w:val="0E101A"/>
          <w:sz w:val="24"/>
          <w:szCs w:val="24"/>
        </w:rPr>
        <w:t>,</w:t>
      </w:r>
      <w:r w:rsidR="00D3725F" w:rsidRPr="00E76013">
        <w:rPr>
          <w:rFonts w:ascii="Times New Roman" w:eastAsia="Times New Roman" w:hAnsi="Times New Roman" w:cs="Times New Roman"/>
          <w:noProof/>
          <w:color w:val="0E101A"/>
          <w:sz w:val="24"/>
          <w:szCs w:val="24"/>
        </w:rPr>
        <w:t xml:space="preserve"> </w:t>
      </w:r>
      <w:r w:rsidR="00D3725F" w:rsidRPr="00E76013">
        <w:rPr>
          <w:rFonts w:ascii="Times New Roman" w:eastAsia="Times New Roman" w:hAnsi="Times New Roman" w:cs="Times New Roman"/>
          <w:iCs/>
          <w:noProof/>
          <w:sz w:val="24"/>
          <w:szCs w:val="24"/>
          <w:lang w:val="en-GB"/>
        </w:rPr>
        <w:t xml:space="preserve">provided that the pending points on the repository system and administrative capacity are addressed before the first payment request, </w:t>
      </w:r>
      <w:r w:rsidR="00D508F5">
        <w:rPr>
          <w:rFonts w:ascii="Times New Roman" w:eastAsia="Times New Roman" w:hAnsi="Times New Roman" w:cs="Times New Roman"/>
          <w:iCs/>
          <w:noProof/>
          <w:sz w:val="24"/>
          <w:szCs w:val="24"/>
          <w:lang w:val="en-GB"/>
        </w:rPr>
        <w:t xml:space="preserve">as required by </w:t>
      </w:r>
      <w:r w:rsidR="00D3725F" w:rsidRPr="00E76013">
        <w:rPr>
          <w:rFonts w:ascii="Times New Roman" w:eastAsia="Times New Roman" w:hAnsi="Times New Roman" w:cs="Times New Roman"/>
          <w:noProof/>
          <w:sz w:val="24"/>
          <w:szCs w:val="24"/>
          <w:lang w:val="en-GB"/>
        </w:rPr>
        <w:t>the dedicated milestones</w:t>
      </w:r>
      <w:r w:rsidR="00857922" w:rsidRPr="00E7601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color w:val="0E101A"/>
          <w:sz w:val="24"/>
          <w:szCs w:val="24"/>
        </w:rPr>
        <w:t xml:space="preserve"> </w:t>
      </w:r>
    </w:p>
    <w:p w14:paraId="3297AF15" w14:textId="5F8C883B" w:rsidR="006C002C" w:rsidRPr="004F2DAB" w:rsidRDefault="006C002C" w:rsidP="005A222A">
      <w:pPr>
        <w:spacing w:line="276" w:lineRule="auto"/>
        <w:jc w:val="both"/>
        <w:rPr>
          <w:rFonts w:ascii="Times New Roman" w:eastAsia="Times New Roman" w:hAnsi="Times New Roman" w:cs="Times New Roman"/>
          <w:noProof/>
          <w:color w:val="0E101A"/>
          <w:sz w:val="24"/>
          <w:szCs w:val="24"/>
          <w:lang w:val="en-GB"/>
        </w:rPr>
      </w:pPr>
      <w:r w:rsidRPr="00E76013">
        <w:rPr>
          <w:rFonts w:ascii="Times New Roman" w:eastAsia="Times New Roman" w:hAnsi="Times New Roman" w:cs="Times New Roman"/>
          <w:b/>
          <w:bCs/>
          <w:noProof/>
          <w:color w:val="0E101A"/>
          <w:sz w:val="24"/>
          <w:szCs w:val="24"/>
        </w:rPr>
        <w:t xml:space="preserve">The </w:t>
      </w:r>
      <w:r w:rsidR="0093198C" w:rsidRPr="00E76013">
        <w:rPr>
          <w:rFonts w:ascii="Times New Roman" w:eastAsia="Times New Roman" w:hAnsi="Times New Roman" w:cs="Times New Roman"/>
          <w:b/>
          <w:bCs/>
          <w:noProof/>
          <w:color w:val="0E101A"/>
          <w:sz w:val="24"/>
          <w:szCs w:val="24"/>
        </w:rPr>
        <w:t>P</w:t>
      </w:r>
      <w:r w:rsidRPr="00E76013">
        <w:rPr>
          <w:rFonts w:ascii="Times New Roman" w:eastAsia="Times New Roman" w:hAnsi="Times New Roman" w:cs="Times New Roman"/>
          <w:b/>
          <w:bCs/>
          <w:noProof/>
          <w:color w:val="0E101A"/>
          <w:sz w:val="24"/>
          <w:szCs w:val="24"/>
        </w:rPr>
        <w:t>lan’s twelve components represent a package of coherent reforms and investments</w:t>
      </w:r>
      <w:r w:rsidR="00251832">
        <w:rPr>
          <w:rFonts w:ascii="Times New Roman" w:eastAsia="Times New Roman" w:hAnsi="Times New Roman" w:cs="Times New Roman"/>
          <w:b/>
          <w:bCs/>
          <w:noProof/>
          <w:color w:val="0E101A"/>
          <w:sz w:val="24"/>
          <w:szCs w:val="24"/>
        </w:rPr>
        <w:t>.</w:t>
      </w:r>
      <w:r w:rsidRPr="00E76013">
        <w:rPr>
          <w:rFonts w:ascii="Times New Roman" w:eastAsia="Times New Roman" w:hAnsi="Times New Roman" w:cs="Times New Roman"/>
          <w:b/>
          <w:bCs/>
          <w:noProof/>
          <w:color w:val="0E101A"/>
          <w:sz w:val="24"/>
          <w:szCs w:val="24"/>
        </w:rPr>
        <w:t xml:space="preserve"> </w:t>
      </w:r>
      <w:r w:rsidR="0083647A" w:rsidRPr="00DC70F8">
        <w:rPr>
          <w:rFonts w:ascii="Times New Roman" w:eastAsia="Times New Roman" w:hAnsi="Times New Roman" w:cs="Times New Roman"/>
          <w:noProof/>
          <w:color w:val="0E101A"/>
          <w:sz w:val="24"/>
          <w:szCs w:val="24"/>
        </w:rPr>
        <w:t xml:space="preserve">The </w:t>
      </w:r>
      <w:r w:rsidR="0083647A">
        <w:rPr>
          <w:rFonts w:ascii="Times New Roman" w:eastAsia="Times New Roman" w:hAnsi="Times New Roman" w:cs="Times New Roman"/>
          <w:noProof/>
          <w:color w:val="0E101A"/>
          <w:sz w:val="24"/>
          <w:szCs w:val="24"/>
        </w:rPr>
        <w:t xml:space="preserve">Plan </w:t>
      </w:r>
      <w:r w:rsidR="0083647A" w:rsidRPr="00DC70F8">
        <w:rPr>
          <w:rFonts w:ascii="Times New Roman" w:eastAsia="Times New Roman" w:hAnsi="Times New Roman" w:cs="Times New Roman"/>
          <w:noProof/>
          <w:color w:val="0E101A"/>
          <w:sz w:val="24"/>
          <w:szCs w:val="24"/>
        </w:rPr>
        <w:t>is structured around four coherent pillars supporting the recovery of the Bulgarian economy, the contribution to the green and digital transition, and the enhanced resilience towards more sustainable and inclusive growth.</w:t>
      </w:r>
      <w:r w:rsidR="005A222A">
        <w:rPr>
          <w:rFonts w:ascii="Times New Roman" w:eastAsia="Times New Roman" w:hAnsi="Times New Roman" w:cs="Times New Roman"/>
          <w:noProof/>
          <w:color w:val="0E101A"/>
          <w:sz w:val="24"/>
          <w:szCs w:val="24"/>
        </w:rPr>
        <w:t xml:space="preserve"> </w:t>
      </w:r>
      <w:r w:rsidR="005A222A" w:rsidRPr="005A222A">
        <w:rPr>
          <w:rFonts w:ascii="Times New Roman" w:eastAsia="Times New Roman" w:hAnsi="Times New Roman" w:cs="Times New Roman"/>
          <w:noProof/>
          <w:color w:val="0E101A"/>
          <w:sz w:val="24"/>
          <w:szCs w:val="24"/>
        </w:rPr>
        <w:t>Each pillar is built around components which include overall consistent packages of mutually reinforcing and complementary reforms and investments. The measures in each of the individual components are mutually reinforcing, as investments are accompanied by reforms that aim to resolve structural underlying challenges.</w:t>
      </w:r>
      <w:r w:rsidR="004F2DAB">
        <w:rPr>
          <w:rFonts w:ascii="Times New Roman" w:eastAsia="Times New Roman" w:hAnsi="Times New Roman" w:cs="Times New Roman"/>
          <w:noProof/>
          <w:color w:val="0E101A"/>
          <w:sz w:val="24"/>
          <w:szCs w:val="24"/>
        </w:rPr>
        <w:t xml:space="preserve"> </w:t>
      </w:r>
    </w:p>
    <w:p w14:paraId="3DA4EAC3" w14:textId="4A75EE10" w:rsidR="006F29A2" w:rsidRPr="00E76013" w:rsidRDefault="006F29A2" w:rsidP="006F29A2">
      <w:pPr>
        <w:pStyle w:val="Caption"/>
        <w:keepNext/>
        <w:rPr>
          <w:rFonts w:ascii="Times New Roman" w:hAnsi="Times New Roman" w:cs="Times New Roman"/>
          <w:b/>
          <w:i w:val="0"/>
          <w:noProof/>
          <w:color w:val="auto"/>
          <w:sz w:val="22"/>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00C84127" w:rsidRPr="00E76013">
        <w:rPr>
          <w:rFonts w:ascii="Times New Roman" w:hAnsi="Times New Roman" w:cs="Times New Roman"/>
          <w:b/>
          <w:i w:val="0"/>
          <w:noProof/>
          <w:color w:val="auto"/>
          <w:sz w:val="22"/>
        </w:rPr>
        <w:t>1</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Assessment per criterion</w:t>
      </w:r>
    </w:p>
    <w:tbl>
      <w:tblPr>
        <w:tblW w:w="9498" w:type="dxa"/>
        <w:tblInd w:w="-152" w:type="dxa"/>
        <w:tblLayout w:type="fixed"/>
        <w:tblLook w:val="04A0" w:firstRow="1" w:lastRow="0" w:firstColumn="1" w:lastColumn="0" w:noHBand="0" w:noVBand="1"/>
      </w:tblPr>
      <w:tblGrid>
        <w:gridCol w:w="1111"/>
        <w:gridCol w:w="731"/>
        <w:gridCol w:w="994"/>
        <w:gridCol w:w="760"/>
        <w:gridCol w:w="818"/>
        <w:gridCol w:w="818"/>
        <w:gridCol w:w="877"/>
        <w:gridCol w:w="701"/>
        <w:gridCol w:w="818"/>
        <w:gridCol w:w="818"/>
        <w:gridCol w:w="1052"/>
      </w:tblGrid>
      <w:tr w:rsidR="001F2F88" w:rsidRPr="001F2F88" w14:paraId="1A730468" w14:textId="77777777" w:rsidTr="007103C9">
        <w:trPr>
          <w:trHeight w:val="1051"/>
        </w:trPr>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50B632B" w14:textId="42BACA98"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(1)</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Balanced Response</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0E81726" w14:textId="42A54C89" w:rsidR="006C002C" w:rsidRPr="001F2F88" w:rsidRDefault="006C002C" w:rsidP="00EE207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(2)</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CSRs</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2CD13A9" w14:textId="7ECBFC71"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(3)</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Growth, jobs…</w:t>
            </w:r>
          </w:p>
        </w:tc>
        <w:tc>
          <w:tcPr>
            <w:tcW w:w="7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6077F403" w14:textId="6C8862D2"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(4)</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DNSH</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4D90B13" w14:textId="2B268717" w:rsidR="006C002C" w:rsidRPr="001F2F88" w:rsidRDefault="006C002C" w:rsidP="001F2F88">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(5)</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Green target</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58ADEFF" w14:textId="6E24DC48"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(6)</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Digital target</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B99C9A7" w14:textId="1EA30E1E"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(7)</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Lasting impact</w:t>
            </w:r>
          </w:p>
        </w:tc>
        <w:tc>
          <w:tcPr>
            <w:tcW w:w="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5DA16E2" w14:textId="000AFC76" w:rsidR="006C002C" w:rsidRPr="001F2F88" w:rsidRDefault="006C002C" w:rsidP="001F2F88">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(8)</w:t>
            </w:r>
            <w:r w:rsidRPr="001F2F88">
              <w:rPr>
                <w:rFonts w:ascii="Times New Roman" w:eastAsia="Times New Roman" w:hAnsi="Times New Roman" w:cs="Times New Roman"/>
                <w:noProof/>
                <w:sz w:val="18"/>
                <w:szCs w:val="18"/>
              </w:rPr>
              <w:t xml:space="preserve"> </w:t>
            </w:r>
            <w:r w:rsidRPr="001F2F88">
              <w:rPr>
                <w:noProof/>
                <w:sz w:val="18"/>
                <w:szCs w:val="18"/>
              </w:rPr>
              <w:br/>
            </w:r>
            <w:r w:rsidR="001F2F88" w:rsidRPr="001F2F88">
              <w:rPr>
                <w:rFonts w:ascii="Times New Roman" w:eastAsia="Times New Roman" w:hAnsi="Times New Roman" w:cs="Times New Roman"/>
                <w:b/>
                <w:bCs/>
                <w:noProof/>
                <w:sz w:val="18"/>
                <w:szCs w:val="18"/>
              </w:rPr>
              <w:t>M</w:t>
            </w:r>
            <w:r w:rsidRPr="001F2F88">
              <w:rPr>
                <w:rFonts w:ascii="Times New Roman" w:eastAsia="Times New Roman" w:hAnsi="Times New Roman" w:cs="Times New Roman"/>
                <w:b/>
                <w:bCs/>
                <w:noProof/>
                <w:sz w:val="18"/>
                <w:szCs w:val="18"/>
              </w:rPr>
              <w:t>&amp;T</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AACC8D3" w14:textId="18822B0B" w:rsidR="006C002C" w:rsidRPr="001F2F88" w:rsidRDefault="006C002C" w:rsidP="009E0642">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(9)</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Costing</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1A10FA2" w14:textId="03E7C3C1" w:rsidR="006C002C" w:rsidRPr="001F2F88" w:rsidRDefault="006C002C" w:rsidP="001F2F88">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(10)</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Control Systems</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E1908B" w14:textId="551F47CE" w:rsidR="006C002C" w:rsidRPr="001F2F88" w:rsidRDefault="006C002C" w:rsidP="001F2F88">
            <w:pPr>
              <w:jc w:val="center"/>
              <w:rPr>
                <w:rFonts w:ascii="Times New Roman" w:eastAsia="Times New Roman" w:hAnsi="Times New Roman" w:cs="Times New Roman"/>
                <w:noProof/>
                <w:sz w:val="18"/>
                <w:szCs w:val="18"/>
              </w:rPr>
            </w:pPr>
            <w:r w:rsidRPr="001F2F88">
              <w:rPr>
                <w:rFonts w:ascii="Times New Roman" w:eastAsia="Times New Roman" w:hAnsi="Times New Roman" w:cs="Times New Roman"/>
                <w:b/>
                <w:bCs/>
                <w:noProof/>
                <w:sz w:val="18"/>
                <w:szCs w:val="18"/>
              </w:rPr>
              <w:t>(11)</w:t>
            </w:r>
            <w:r w:rsidRPr="001F2F88">
              <w:rPr>
                <w:rFonts w:ascii="Times New Roman" w:eastAsia="Times New Roman" w:hAnsi="Times New Roman" w:cs="Times New Roman"/>
                <w:noProof/>
                <w:sz w:val="18"/>
                <w:szCs w:val="18"/>
              </w:rPr>
              <w:t xml:space="preserve"> </w:t>
            </w:r>
            <w:r w:rsidRPr="001F2F88">
              <w:rPr>
                <w:noProof/>
                <w:sz w:val="18"/>
                <w:szCs w:val="18"/>
              </w:rPr>
              <w:br/>
            </w:r>
            <w:r w:rsidRPr="001F2F88">
              <w:rPr>
                <w:rFonts w:ascii="Times New Roman" w:eastAsia="Times New Roman" w:hAnsi="Times New Roman" w:cs="Times New Roman"/>
                <w:b/>
                <w:bCs/>
                <w:noProof/>
                <w:sz w:val="18"/>
                <w:szCs w:val="18"/>
              </w:rPr>
              <w:t>Coherence</w:t>
            </w:r>
          </w:p>
        </w:tc>
      </w:tr>
      <w:tr w:rsidR="001F2F88" w:rsidRPr="001F2F88" w14:paraId="562F451C" w14:textId="77777777" w:rsidTr="007103C9">
        <w:trPr>
          <w:trHeight w:val="495"/>
        </w:trPr>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7CD070" w14:textId="3CA0D368"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4553D8A" w14:textId="6A9566A7"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526C3B4" w14:textId="04A362EC"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7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B2EB1CD" w14:textId="29AD6E2B"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967BE0B" w14:textId="05D25C6A"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BF28B28" w14:textId="799218A8"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2D14B3C" w14:textId="155AD53C"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23FFE23" w14:textId="69F60BE8"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05472E" w14:textId="28DF3A92"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B</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188679C" w14:textId="252AED45"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8FB927B" w14:textId="271D987B" w:rsidR="00857922" w:rsidRPr="001F2F88" w:rsidRDefault="00857922" w:rsidP="00857922">
            <w:pPr>
              <w:jc w:val="center"/>
              <w:rPr>
                <w:rFonts w:ascii="Times New Roman" w:eastAsia="Times New Roman" w:hAnsi="Times New Roman" w:cs="Times New Roman"/>
                <w:b/>
                <w:bCs/>
                <w:noProof/>
                <w:sz w:val="18"/>
                <w:szCs w:val="18"/>
              </w:rPr>
            </w:pPr>
            <w:r w:rsidRPr="001F2F88">
              <w:rPr>
                <w:rFonts w:ascii="Times New Roman" w:eastAsia="Times New Roman" w:hAnsi="Times New Roman" w:cs="Times New Roman"/>
                <w:b/>
                <w:bCs/>
                <w:noProof/>
                <w:sz w:val="18"/>
                <w:szCs w:val="18"/>
              </w:rPr>
              <w:t>A</w:t>
            </w:r>
          </w:p>
        </w:tc>
      </w:tr>
    </w:tbl>
    <w:p w14:paraId="7FC7CCE6" w14:textId="77777777" w:rsidR="006E0B66" w:rsidRPr="00E76013" w:rsidRDefault="00E844BF" w:rsidP="00E01A1F">
      <w:pPr>
        <w:pStyle w:val="Heading1"/>
        <w:numPr>
          <w:ilvl w:val="0"/>
          <w:numId w:val="7"/>
        </w:numPr>
        <w:rPr>
          <w:noProof/>
        </w:rPr>
      </w:pPr>
      <w:bookmarkStart w:id="28" w:name="_Toc98952814"/>
      <w:bookmarkStart w:id="29" w:name="_Toc98953985"/>
      <w:bookmarkStart w:id="30" w:name="_Toc99399058"/>
      <w:bookmarkStart w:id="31" w:name="_Toc99399991"/>
      <w:bookmarkStart w:id="32" w:name="_Toc99400419"/>
      <w:bookmarkStart w:id="33" w:name="_Toc99719434"/>
      <w:bookmarkStart w:id="34" w:name="_Toc99728647"/>
      <w:bookmarkStart w:id="35" w:name="_Toc99729641"/>
      <w:bookmarkStart w:id="36" w:name="_Toc99730618"/>
      <w:bookmarkStart w:id="37" w:name="_Toc99731342"/>
      <w:bookmarkStart w:id="38" w:name="_Toc99756881"/>
      <w:bookmarkStart w:id="39" w:name="_Toc99909911"/>
      <w:r w:rsidRPr="00E76013">
        <w:rPr>
          <w:noProof/>
        </w:rPr>
        <w:t xml:space="preserve">Recovery and </w:t>
      </w:r>
      <w:r w:rsidR="00850459" w:rsidRPr="00E76013">
        <w:rPr>
          <w:noProof/>
        </w:rPr>
        <w:t>resilience</w:t>
      </w:r>
      <w:r w:rsidRPr="00E76013">
        <w:rPr>
          <w:noProof/>
        </w:rPr>
        <w:t xml:space="preserve"> challenges: scene</w:t>
      </w:r>
      <w:r w:rsidR="00850459" w:rsidRPr="00E76013">
        <w:rPr>
          <w:noProof/>
        </w:rPr>
        <w:t>-</w:t>
      </w:r>
      <w:r w:rsidRPr="00E76013">
        <w:rPr>
          <w:noProof/>
        </w:rPr>
        <w:t>setter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F0C9A21" w14:textId="4A3D2C0A" w:rsidR="6C064230" w:rsidRPr="00D8256C" w:rsidRDefault="6C064230" w:rsidP="00E01A1F">
      <w:pPr>
        <w:pStyle w:val="Heading2"/>
        <w:numPr>
          <w:ilvl w:val="1"/>
          <w:numId w:val="7"/>
        </w:numPr>
        <w:spacing w:after="160" w:line="276" w:lineRule="auto"/>
        <w:rPr>
          <w:noProof/>
        </w:rPr>
      </w:pPr>
      <w:bookmarkStart w:id="40" w:name="_Toc99399059"/>
      <w:bookmarkStart w:id="41" w:name="_Toc99399992"/>
      <w:bookmarkStart w:id="42" w:name="_Toc99400420"/>
      <w:bookmarkStart w:id="43" w:name="_Toc99719435"/>
      <w:bookmarkStart w:id="44" w:name="_Toc99728648"/>
      <w:bookmarkStart w:id="45" w:name="_Toc99729642"/>
      <w:bookmarkStart w:id="46" w:name="_Toc99730619"/>
      <w:bookmarkStart w:id="47" w:name="_Toc99731343"/>
      <w:bookmarkStart w:id="48" w:name="_Toc99756882"/>
      <w:bookmarkStart w:id="49" w:name="_Toc99909912"/>
      <w:bookmarkStart w:id="50" w:name="_Toc62455193"/>
      <w:bookmarkStart w:id="51" w:name="_Toc62818208"/>
      <w:bookmarkStart w:id="52" w:name="_Toc62818755"/>
      <w:bookmarkStart w:id="53" w:name="_Toc63417210"/>
      <w:bookmarkStart w:id="54" w:name="_Toc63418900"/>
      <w:bookmarkStart w:id="55" w:name="_Toc63418925"/>
      <w:bookmarkStart w:id="56" w:name="_Toc64281611"/>
      <w:bookmarkStart w:id="57" w:name="_Toc98952815"/>
      <w:bookmarkStart w:id="58" w:name="_Toc98953986"/>
      <w:r w:rsidRPr="00D8256C">
        <w:rPr>
          <w:noProof/>
        </w:rPr>
        <w:t>Macroeconomic outlook</w:t>
      </w:r>
      <w:r w:rsidR="676DEFDB" w:rsidRPr="00D8256C">
        <w:rPr>
          <w:noProof/>
        </w:rPr>
        <w:t xml:space="preserve"> and developments since the 2020 </w:t>
      </w:r>
      <w:r w:rsidR="00850459" w:rsidRPr="00D83396">
        <w:rPr>
          <w:noProof/>
        </w:rPr>
        <w:t>country report</w:t>
      </w:r>
      <w:bookmarkEnd w:id="40"/>
      <w:bookmarkEnd w:id="41"/>
      <w:bookmarkEnd w:id="42"/>
      <w:bookmarkEnd w:id="43"/>
      <w:bookmarkEnd w:id="44"/>
      <w:bookmarkEnd w:id="45"/>
      <w:bookmarkEnd w:id="46"/>
      <w:bookmarkEnd w:id="47"/>
      <w:bookmarkEnd w:id="48"/>
      <w:bookmarkEnd w:id="49"/>
      <w:r w:rsidR="004B2E4B" w:rsidRPr="00D8256C">
        <w:rPr>
          <w:noProof/>
        </w:rPr>
        <w:t xml:space="preserve"> </w:t>
      </w:r>
      <w:bookmarkEnd w:id="50"/>
      <w:bookmarkEnd w:id="51"/>
      <w:bookmarkEnd w:id="52"/>
      <w:bookmarkEnd w:id="53"/>
      <w:bookmarkEnd w:id="54"/>
      <w:bookmarkEnd w:id="55"/>
      <w:bookmarkEnd w:id="56"/>
      <w:bookmarkEnd w:id="57"/>
      <w:bookmarkEnd w:id="58"/>
    </w:p>
    <w:p w14:paraId="77C62A17" w14:textId="3343DF1C"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At the onset of the COVID-19 pandemic, economic conditions in Bulgaria were favourable. </w:t>
      </w:r>
      <w:r w:rsidRPr="00E76013">
        <w:rPr>
          <w:rFonts w:ascii="Times New Roman" w:eastAsia="Times New Roman" w:hAnsi="Times New Roman" w:cs="Times New Roman"/>
          <w:noProof/>
          <w:sz w:val="24"/>
          <w:szCs w:val="24"/>
          <w:lang w:val="en-GB"/>
        </w:rPr>
        <w:t>The positive trend of robust economic growth in the last five years (3.6% on average) was underpinned by growing private consumption and positive labour market developments. Still, Bulgaria has been slow to catch-up with the rest of the EU and the modest positive trend has been interrupted by the COVID-19 outbreak.</w:t>
      </w:r>
    </w:p>
    <w:p w14:paraId="4DD30113" w14:textId="2783185A" w:rsidR="00987E53" w:rsidRPr="00E76013" w:rsidRDefault="00987E53" w:rsidP="00C21B94">
      <w:pPr>
        <w:spacing w:line="276" w:lineRule="auto"/>
        <w:jc w:val="both"/>
        <w:rPr>
          <w:rFonts w:ascii="Times New Roman" w:eastAsia="Times New Roman" w:hAnsi="Times New Roman" w:cs="Times New Roman"/>
          <w:noProof/>
          <w:sz w:val="28"/>
          <w:szCs w:val="28"/>
          <w:lang w:val="en-GB"/>
        </w:rPr>
      </w:pPr>
      <w:r w:rsidRPr="7E3C692A">
        <w:rPr>
          <w:rFonts w:ascii="Times New Roman" w:hAnsi="Times New Roman" w:cs="Times New Roman"/>
          <w:b/>
          <w:noProof/>
          <w:sz w:val="24"/>
          <w:szCs w:val="24"/>
        </w:rPr>
        <w:t>Bulgaria has also had three rounds of parliamentary elections in 2021, ushering in a period of political instability.</w:t>
      </w:r>
      <w:r w:rsidRPr="7E3C692A">
        <w:rPr>
          <w:rFonts w:ascii="Times New Roman" w:hAnsi="Times New Roman" w:cs="Times New Roman"/>
          <w:noProof/>
          <w:sz w:val="24"/>
          <w:szCs w:val="24"/>
        </w:rPr>
        <w:t xml:space="preserve"> After the ordinary parliamentary elections in May and a snap election in July, a new round of combined presidential and parliamentary elections on 14 November </w:t>
      </w:r>
      <w:r w:rsidR="000B2D7D">
        <w:rPr>
          <w:rFonts w:ascii="Times New Roman" w:hAnsi="Times New Roman" w:cs="Times New Roman"/>
          <w:noProof/>
          <w:sz w:val="24"/>
          <w:szCs w:val="24"/>
        </w:rPr>
        <w:t xml:space="preserve">has </w:t>
      </w:r>
      <w:r w:rsidRPr="7E3C692A">
        <w:rPr>
          <w:rFonts w:ascii="Times New Roman" w:hAnsi="Times New Roman" w:cs="Times New Roman"/>
          <w:noProof/>
          <w:sz w:val="24"/>
          <w:szCs w:val="24"/>
        </w:rPr>
        <w:t>finally led to the formation of a government. The</w:t>
      </w:r>
      <w:r w:rsidR="009C64E9" w:rsidRPr="7E3C692A">
        <w:rPr>
          <w:rFonts w:ascii="Times New Roman" w:hAnsi="Times New Roman" w:cs="Times New Roman"/>
          <w:noProof/>
          <w:sz w:val="24"/>
          <w:szCs w:val="24"/>
        </w:rPr>
        <w:t xml:space="preserve"> government backed by a </w:t>
      </w:r>
      <w:r w:rsidRPr="7E3C692A">
        <w:rPr>
          <w:rFonts w:ascii="Times New Roman" w:hAnsi="Times New Roman" w:cs="Times New Roman"/>
          <w:noProof/>
          <w:sz w:val="24"/>
          <w:szCs w:val="24"/>
        </w:rPr>
        <w:t>four-party coalition was approved by the Parliament on 13 December.</w:t>
      </w:r>
    </w:p>
    <w:p w14:paraId="08499FE2" w14:textId="57585041"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The Bulgarian economy is gradually rebounding from the pandemic-induced shock.</w:t>
      </w:r>
      <w:r w:rsidRPr="00E76013">
        <w:rPr>
          <w:rFonts w:ascii="Times New Roman" w:eastAsia="Times New Roman" w:hAnsi="Times New Roman" w:cs="Times New Roman"/>
          <w:noProof/>
          <w:sz w:val="24"/>
          <w:szCs w:val="24"/>
          <w:lang w:val="en-GB"/>
        </w:rPr>
        <w:t xml:space="preserve"> After falling by 4.4% in 2020, real GDP rebounded by 4</w:t>
      </w:r>
      <w:r w:rsidR="00CC7E79" w:rsidRPr="00E76013">
        <w:rPr>
          <w:rFonts w:ascii="Times New Roman" w:eastAsia="Times New Roman" w:hAnsi="Times New Roman" w:cs="Times New Roman"/>
          <w:noProof/>
          <w:sz w:val="24"/>
          <w:szCs w:val="24"/>
          <w:lang w:val="en-GB"/>
        </w:rPr>
        <w:t>.2</w:t>
      </w:r>
      <w:r w:rsidRPr="00E76013">
        <w:rPr>
          <w:rFonts w:ascii="Times New Roman" w:eastAsia="Times New Roman" w:hAnsi="Times New Roman" w:cs="Times New Roman"/>
          <w:noProof/>
          <w:sz w:val="24"/>
          <w:szCs w:val="24"/>
          <w:lang w:val="en-GB"/>
        </w:rPr>
        <w:t>% in 2021, driven by household consumption and goods export</w:t>
      </w:r>
      <w:r w:rsidR="00F82346" w:rsidRPr="00E7601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This economic expansion is projected to continue. Private consumption remained relatively unfazed in 2020 given that the industries most hit by the supply restrictions, e.g. accommodation and catering services, account for a much smaller share of consumer spending in Bulgaria than in other EU M</w:t>
      </w:r>
      <w:r w:rsidR="009C64E9">
        <w:rPr>
          <w:rFonts w:ascii="Times New Roman" w:eastAsia="Times New Roman" w:hAnsi="Times New Roman" w:cs="Times New Roman"/>
          <w:noProof/>
          <w:sz w:val="24"/>
          <w:szCs w:val="24"/>
          <w:lang w:val="en-GB"/>
        </w:rPr>
        <w:t xml:space="preserve">ember </w:t>
      </w:r>
      <w:r w:rsidRPr="00E76013">
        <w:rPr>
          <w:rFonts w:ascii="Times New Roman" w:eastAsia="Times New Roman" w:hAnsi="Times New Roman" w:cs="Times New Roman"/>
          <w:noProof/>
          <w:sz w:val="24"/>
          <w:szCs w:val="24"/>
          <w:lang w:val="en-GB"/>
        </w:rPr>
        <w:t>S</w:t>
      </w:r>
      <w:r w:rsidR="009C64E9">
        <w:rPr>
          <w:rFonts w:ascii="Times New Roman" w:eastAsia="Times New Roman" w:hAnsi="Times New Roman" w:cs="Times New Roman"/>
          <w:noProof/>
          <w:sz w:val="24"/>
          <w:szCs w:val="24"/>
          <w:lang w:val="en-GB"/>
        </w:rPr>
        <w:t>tates</w:t>
      </w:r>
      <w:r w:rsidRPr="00E76013">
        <w:rPr>
          <w:rFonts w:ascii="Times New Roman" w:eastAsia="Times New Roman" w:hAnsi="Times New Roman" w:cs="Times New Roman"/>
          <w:noProof/>
          <w:sz w:val="24"/>
          <w:szCs w:val="24"/>
          <w:lang w:val="en-GB"/>
        </w:rPr>
        <w:t xml:space="preserve">. In addition, Bulgaria </w:t>
      </w:r>
      <w:r w:rsidR="000B2D7D">
        <w:rPr>
          <w:rFonts w:ascii="Times New Roman" w:eastAsia="Times New Roman" w:hAnsi="Times New Roman" w:cs="Times New Roman"/>
          <w:noProof/>
          <w:sz w:val="24"/>
          <w:szCs w:val="24"/>
          <w:lang w:val="en-GB"/>
        </w:rPr>
        <w:t>has</w:t>
      </w:r>
      <w:r w:rsidRPr="00E76013">
        <w:rPr>
          <w:rFonts w:ascii="Times New Roman" w:eastAsia="Times New Roman" w:hAnsi="Times New Roman" w:cs="Times New Roman"/>
          <w:noProof/>
          <w:sz w:val="24"/>
          <w:szCs w:val="24"/>
          <w:lang w:val="en-GB"/>
        </w:rPr>
        <w:t xml:space="preserve"> had generally less stringent restrictions in the second half of the year. In 2021, private consumption </w:t>
      </w:r>
      <w:r w:rsidR="000B2D7D">
        <w:rPr>
          <w:rFonts w:ascii="Times New Roman" w:eastAsia="Times New Roman" w:hAnsi="Times New Roman" w:cs="Times New Roman"/>
          <w:noProof/>
          <w:sz w:val="24"/>
          <w:szCs w:val="24"/>
          <w:lang w:val="en-GB"/>
        </w:rPr>
        <w:t>grew</w:t>
      </w:r>
      <w:r w:rsidR="000B2D7D"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robustly, supported by the job retention schemes, positive wage dynamics, low household debt, and improvements in consumer sentiment. Investment growth remained subdued in 2020 and turned negative in 2021. The contraction in capital formation was driven by high uncertainty, combined with reduced business activity in the sectors most affected by the pandemic. The exports of goods </w:t>
      </w:r>
      <w:r w:rsidR="000B2D7D">
        <w:rPr>
          <w:rFonts w:ascii="Times New Roman" w:eastAsia="Times New Roman" w:hAnsi="Times New Roman" w:cs="Times New Roman"/>
          <w:noProof/>
          <w:sz w:val="24"/>
          <w:szCs w:val="24"/>
          <w:lang w:val="en-GB"/>
        </w:rPr>
        <w:t>have</w:t>
      </w:r>
      <w:r w:rsidRPr="00E76013">
        <w:rPr>
          <w:rFonts w:ascii="Times New Roman" w:eastAsia="Times New Roman" w:hAnsi="Times New Roman" w:cs="Times New Roman"/>
          <w:noProof/>
          <w:sz w:val="24"/>
          <w:szCs w:val="24"/>
          <w:lang w:val="en-GB"/>
        </w:rPr>
        <w:t xml:space="preserve"> fully </w:t>
      </w:r>
      <w:r w:rsidR="000B2D7D" w:rsidRPr="00E76013">
        <w:rPr>
          <w:rFonts w:ascii="Times New Roman" w:eastAsia="Times New Roman" w:hAnsi="Times New Roman" w:cs="Times New Roman"/>
          <w:noProof/>
          <w:sz w:val="24"/>
          <w:szCs w:val="24"/>
          <w:lang w:val="en-GB"/>
        </w:rPr>
        <w:t>recovered</w:t>
      </w:r>
      <w:r w:rsidR="000B2D7D">
        <w:rPr>
          <w:rFonts w:ascii="Times New Roman" w:eastAsia="Times New Roman" w:hAnsi="Times New Roman" w:cs="Times New Roman"/>
          <w:noProof/>
          <w:sz w:val="24"/>
          <w:szCs w:val="24"/>
          <w:lang w:val="en-GB"/>
        </w:rPr>
        <w:t xml:space="preserve">. They </w:t>
      </w:r>
      <w:r w:rsidRPr="00E76013">
        <w:rPr>
          <w:rFonts w:ascii="Times New Roman" w:eastAsia="Times New Roman" w:hAnsi="Times New Roman" w:cs="Times New Roman"/>
          <w:noProof/>
          <w:sz w:val="24"/>
          <w:szCs w:val="24"/>
          <w:lang w:val="en-GB"/>
        </w:rPr>
        <w:t xml:space="preserve">reached </w:t>
      </w:r>
      <w:r w:rsidR="000B2D7D">
        <w:rPr>
          <w:rFonts w:ascii="Times New Roman" w:eastAsia="Times New Roman" w:hAnsi="Times New Roman" w:cs="Times New Roman"/>
          <w:noProof/>
          <w:sz w:val="24"/>
          <w:szCs w:val="24"/>
          <w:lang w:val="en-GB"/>
        </w:rPr>
        <w:t>their</w:t>
      </w:r>
      <w:r w:rsidR="000B2D7D"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pre-pandemic level already at the beginning of 2021, following a sharp drop at the onset of the pandemic in Q2-2020. In contrast, in 2021 the exports of services, </w:t>
      </w:r>
      <w:r w:rsidR="000B2D7D">
        <w:rPr>
          <w:rFonts w:ascii="Times New Roman" w:eastAsia="Times New Roman" w:hAnsi="Times New Roman" w:cs="Times New Roman"/>
          <w:noProof/>
          <w:sz w:val="24"/>
          <w:szCs w:val="24"/>
          <w:lang w:val="en-GB"/>
        </w:rPr>
        <w:t xml:space="preserve">which are normally </w:t>
      </w:r>
      <w:r w:rsidRPr="00E76013">
        <w:rPr>
          <w:rFonts w:ascii="Times New Roman" w:eastAsia="Times New Roman" w:hAnsi="Times New Roman" w:cs="Times New Roman"/>
          <w:noProof/>
          <w:sz w:val="24"/>
          <w:szCs w:val="24"/>
          <w:lang w:val="en-GB"/>
        </w:rPr>
        <w:t>dominated by revenue from foreign tourism, were still 50% below their 2019 levels.</w:t>
      </w:r>
    </w:p>
    <w:p w14:paraId="0B874765" w14:textId="6978D307" w:rsidR="004F6C6A" w:rsidRPr="00E76013" w:rsidRDefault="004F6C6A" w:rsidP="002A0BDC">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volatility in energy and food prices has been driving </w:t>
      </w:r>
      <w:r w:rsidR="001D4292">
        <w:rPr>
          <w:rFonts w:ascii="Times New Roman" w:eastAsia="Times New Roman" w:hAnsi="Times New Roman" w:cs="Times New Roman"/>
          <w:b/>
          <w:noProof/>
          <w:sz w:val="24"/>
          <w:szCs w:val="24"/>
          <w:lang w:val="en-GB"/>
        </w:rPr>
        <w:t xml:space="preserve">the </w:t>
      </w:r>
      <w:r w:rsidRPr="00E76013">
        <w:rPr>
          <w:rFonts w:ascii="Times New Roman" w:eastAsia="Times New Roman" w:hAnsi="Times New Roman" w:cs="Times New Roman"/>
          <w:b/>
          <w:noProof/>
          <w:sz w:val="24"/>
          <w:szCs w:val="24"/>
          <w:lang w:val="en-GB"/>
        </w:rPr>
        <w:t>overall inflation in 2020 and 2021</w:t>
      </w:r>
      <w:r w:rsidR="001D4292">
        <w:rPr>
          <w:rFonts w:ascii="Times New Roman" w:eastAsia="Times New Roman" w:hAnsi="Times New Roman" w:cs="Times New Roman"/>
          <w:b/>
          <w:noProof/>
          <w:sz w:val="24"/>
          <w:szCs w:val="24"/>
          <w:lang w:val="en-GB"/>
        </w:rPr>
        <w:t>.</w:t>
      </w:r>
      <w:r w:rsidR="001D4292" w:rsidRPr="00E76013">
        <w:rPr>
          <w:rFonts w:ascii="Times New Roman" w:eastAsia="Times New Roman" w:hAnsi="Times New Roman" w:cs="Times New Roman"/>
          <w:b/>
          <w:noProof/>
          <w:sz w:val="24"/>
          <w:szCs w:val="24"/>
          <w:lang w:val="en-GB"/>
        </w:rPr>
        <w:t xml:space="preserve"> </w:t>
      </w:r>
      <w:r w:rsidR="001D4292" w:rsidRPr="004F2DAB">
        <w:rPr>
          <w:rFonts w:ascii="Times New Roman" w:eastAsia="Times New Roman" w:hAnsi="Times New Roman" w:cs="Times New Roman"/>
          <w:noProof/>
          <w:sz w:val="24"/>
          <w:szCs w:val="24"/>
          <w:lang w:val="en-GB"/>
        </w:rPr>
        <w:t>This</w:t>
      </w:r>
      <w:r w:rsidR="004F2DAB">
        <w:rPr>
          <w:rFonts w:ascii="Times New Roman" w:eastAsia="Times New Roman" w:hAnsi="Times New Roman" w:cs="Times New Roman"/>
          <w:noProof/>
          <w:sz w:val="24"/>
          <w:szCs w:val="24"/>
          <w:lang w:val="en-GB"/>
        </w:rPr>
        <w:t xml:space="preserve"> </w:t>
      </w:r>
      <w:r w:rsidRPr="004F2DAB">
        <w:rPr>
          <w:rFonts w:ascii="Times New Roman" w:eastAsia="Times New Roman" w:hAnsi="Times New Roman" w:cs="Times New Roman"/>
          <w:noProof/>
          <w:sz w:val="24"/>
          <w:szCs w:val="24"/>
          <w:lang w:val="en-GB"/>
        </w:rPr>
        <w:t>is expected to remain in the next two years.</w:t>
      </w:r>
      <w:r w:rsidRPr="00E76013">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Effects of hikes in energy prices are exacerbated by the energy intensity of the economy. The price for electricity on the free market has increased four-fold and has become more volatile since mid-2021, while the regulated prices have been kept fixed. As the economy is still around three times more energy intensive than the EU average, the indirect effect on the producer and final consumer prices is more pronounced than in most of the other EU M</w:t>
      </w:r>
      <w:r w:rsidR="007832E7">
        <w:rPr>
          <w:rFonts w:ascii="Times New Roman" w:eastAsia="Times New Roman" w:hAnsi="Times New Roman" w:cs="Times New Roman"/>
          <w:noProof/>
          <w:sz w:val="24"/>
          <w:szCs w:val="24"/>
          <w:lang w:val="en-GB"/>
        </w:rPr>
        <w:t xml:space="preserve">ember </w:t>
      </w:r>
      <w:r w:rsidRPr="00E76013">
        <w:rPr>
          <w:rFonts w:ascii="Times New Roman" w:eastAsia="Times New Roman" w:hAnsi="Times New Roman" w:cs="Times New Roman"/>
          <w:noProof/>
          <w:sz w:val="24"/>
          <w:szCs w:val="24"/>
          <w:lang w:val="en-GB"/>
        </w:rPr>
        <w:t>S</w:t>
      </w:r>
      <w:r w:rsidR="007832E7">
        <w:rPr>
          <w:rFonts w:ascii="Times New Roman" w:eastAsia="Times New Roman" w:hAnsi="Times New Roman" w:cs="Times New Roman"/>
          <w:noProof/>
          <w:sz w:val="24"/>
          <w:szCs w:val="24"/>
          <w:lang w:val="en-GB"/>
        </w:rPr>
        <w:t>tates</w:t>
      </w:r>
      <w:r w:rsidRPr="00E76013">
        <w:rPr>
          <w:rFonts w:ascii="Times New Roman" w:eastAsia="Times New Roman" w:hAnsi="Times New Roman" w:cs="Times New Roman"/>
          <w:noProof/>
          <w:sz w:val="24"/>
          <w:szCs w:val="24"/>
          <w:lang w:val="en-GB"/>
        </w:rPr>
        <w:t xml:space="preserve">. </w:t>
      </w:r>
      <w:r w:rsidR="00CC7E79" w:rsidRPr="00E76013">
        <w:rPr>
          <w:rFonts w:ascii="Times New Roman" w:eastAsia="Times New Roman" w:hAnsi="Times New Roman" w:cs="Times New Roman"/>
          <w:noProof/>
          <w:sz w:val="24"/>
          <w:szCs w:val="24"/>
          <w:lang w:val="en-GB"/>
        </w:rPr>
        <w:t xml:space="preserve">According to the Commission’s Winter 2022 Economic Forecast, </w:t>
      </w:r>
      <w:r w:rsidRPr="00E76013">
        <w:rPr>
          <w:rFonts w:ascii="Times New Roman" w:eastAsia="Times New Roman" w:hAnsi="Times New Roman" w:cs="Times New Roman"/>
          <w:noProof/>
          <w:sz w:val="24"/>
          <w:szCs w:val="24"/>
          <w:lang w:val="en-GB"/>
        </w:rPr>
        <w:t>Annual HICP inflation is expected to reach 6.3% in 2022 and to fall to 3.9% in 2023.</w:t>
      </w:r>
    </w:p>
    <w:p w14:paraId="5FCA9A32" w14:textId="480CFB14" w:rsidR="004F6C6A" w:rsidRPr="00E76013" w:rsidRDefault="004F6C6A" w:rsidP="002A0BDC">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economic expansion is projected to continue. </w:t>
      </w:r>
      <w:r w:rsidR="00CC7E79" w:rsidRPr="00E76013">
        <w:rPr>
          <w:rFonts w:ascii="Times New Roman" w:eastAsia="Times New Roman" w:hAnsi="Times New Roman" w:cs="Times New Roman"/>
          <w:bCs/>
          <w:noProof/>
          <w:sz w:val="24"/>
          <w:szCs w:val="24"/>
          <w:lang w:val="en-GB"/>
        </w:rPr>
        <w:t xml:space="preserve">According to the </w:t>
      </w:r>
      <w:r w:rsidR="00CC7E79" w:rsidRPr="00E76013">
        <w:rPr>
          <w:rFonts w:ascii="Times New Roman" w:eastAsia="Times New Roman" w:hAnsi="Times New Roman" w:cs="Times New Roman"/>
          <w:noProof/>
          <w:sz w:val="24"/>
          <w:szCs w:val="24"/>
          <w:lang w:val="en-GB"/>
        </w:rPr>
        <w:t>Commission’s Winter</w:t>
      </w:r>
      <w:r w:rsidR="00CC7E79" w:rsidRPr="00E76013">
        <w:rPr>
          <w:rFonts w:ascii="Times New Roman" w:eastAsia="Times New Roman" w:hAnsi="Times New Roman" w:cs="Times New Roman"/>
          <w:bCs/>
          <w:noProof/>
          <w:sz w:val="24"/>
          <w:szCs w:val="24"/>
          <w:lang w:val="en-GB"/>
        </w:rPr>
        <w:t xml:space="preserve"> 2022 </w:t>
      </w:r>
      <w:r w:rsidR="00CC7E79" w:rsidRPr="00E76013">
        <w:rPr>
          <w:rFonts w:ascii="Times New Roman" w:eastAsia="Times New Roman" w:hAnsi="Times New Roman" w:cs="Times New Roman"/>
          <w:noProof/>
          <w:sz w:val="24"/>
          <w:szCs w:val="24"/>
          <w:lang w:val="en-GB"/>
        </w:rPr>
        <w:t>Economic Forecast</w:t>
      </w:r>
      <w:r w:rsidR="00CC7E79" w:rsidRPr="00E76013">
        <w:rPr>
          <w:rFonts w:ascii="Times New Roman" w:eastAsia="Times New Roman" w:hAnsi="Times New Roman" w:cs="Times New Roman"/>
          <w:bCs/>
          <w:noProof/>
          <w:sz w:val="24"/>
          <w:szCs w:val="24"/>
          <w:lang w:val="en-GB"/>
        </w:rPr>
        <w:t>,</w:t>
      </w:r>
      <w:r w:rsidRPr="00E76013">
        <w:rPr>
          <w:rFonts w:ascii="Times New Roman" w:eastAsia="Times New Roman" w:hAnsi="Times New Roman" w:cs="Times New Roman"/>
          <w:b/>
          <w:bCs/>
          <w:noProof/>
          <w:sz w:val="24"/>
          <w:szCs w:val="24"/>
          <w:lang w:val="en-GB"/>
        </w:rPr>
        <w:t xml:space="preserve"> </w:t>
      </w:r>
      <w:r w:rsidR="00307263" w:rsidRPr="00006072">
        <w:rPr>
          <w:rFonts w:ascii="Times New Roman" w:eastAsia="Times New Roman" w:hAnsi="Times New Roman" w:cs="Times New Roman"/>
          <w:noProof/>
          <w:sz w:val="24"/>
          <w:szCs w:val="24"/>
          <w:lang w:val="en-GB"/>
        </w:rPr>
        <w:t>which was finalised before the start o</w:t>
      </w:r>
      <w:r w:rsidR="00631D02">
        <w:rPr>
          <w:rFonts w:ascii="Times New Roman" w:eastAsia="Times New Roman" w:hAnsi="Times New Roman" w:cs="Times New Roman"/>
          <w:noProof/>
          <w:sz w:val="24"/>
          <w:szCs w:val="24"/>
          <w:lang w:val="en-GB"/>
        </w:rPr>
        <w:t>f</w:t>
      </w:r>
      <w:r w:rsidR="00307263" w:rsidRPr="00006072">
        <w:rPr>
          <w:rFonts w:ascii="Times New Roman" w:eastAsia="Times New Roman" w:hAnsi="Times New Roman" w:cs="Times New Roman"/>
          <w:noProof/>
          <w:sz w:val="24"/>
          <w:szCs w:val="24"/>
          <w:lang w:val="en-GB"/>
        </w:rPr>
        <w:t xml:space="preserve"> the war in Ukraine, </w:t>
      </w:r>
      <w:r w:rsidRPr="00E76013">
        <w:rPr>
          <w:rFonts w:ascii="Times New Roman" w:eastAsia="Times New Roman" w:hAnsi="Times New Roman" w:cs="Times New Roman"/>
          <w:bCs/>
          <w:noProof/>
          <w:sz w:val="24"/>
          <w:szCs w:val="24"/>
          <w:lang w:val="en-GB"/>
        </w:rPr>
        <w:t>GDP is forecasted to grow at 3.7% in 2022 and 3.9% and 2023.</w:t>
      </w:r>
      <w:r w:rsidRPr="00E76013">
        <w:rPr>
          <w:rFonts w:ascii="Times New Roman" w:eastAsia="Times New Roman" w:hAnsi="Times New Roman" w:cs="Times New Roman"/>
          <w:noProof/>
          <w:sz w:val="24"/>
          <w:szCs w:val="24"/>
          <w:lang w:val="en-GB"/>
        </w:rPr>
        <w:t xml:space="preserve"> Investment rates are projected to increase with an important contribution from investment projects financed by the Plan. Exports are also set to contribute to </w:t>
      </w:r>
      <w:r w:rsidR="002174EA">
        <w:rPr>
          <w:rFonts w:ascii="Times New Roman" w:eastAsia="Times New Roman" w:hAnsi="Times New Roman" w:cs="Times New Roman"/>
          <w:noProof/>
          <w:sz w:val="24"/>
          <w:szCs w:val="24"/>
          <w:lang w:val="en-GB"/>
        </w:rPr>
        <w:t>the</w:t>
      </w:r>
      <w:r w:rsidRPr="00E76013">
        <w:rPr>
          <w:rFonts w:ascii="Times New Roman" w:eastAsia="Times New Roman" w:hAnsi="Times New Roman" w:cs="Times New Roman"/>
          <w:noProof/>
          <w:sz w:val="24"/>
          <w:szCs w:val="24"/>
          <w:lang w:val="en-GB"/>
        </w:rPr>
        <w:t xml:space="preserve"> economic growth, following the evolution of external demand. Private consumption is expected to grow steadily, albeit at a more moderate pace compared to the </w:t>
      </w:r>
      <w:r w:rsidR="00006072">
        <w:rPr>
          <w:rFonts w:ascii="Times New Roman" w:eastAsia="Times New Roman" w:hAnsi="Times New Roman" w:cs="Times New Roman"/>
          <w:noProof/>
          <w:sz w:val="24"/>
          <w:szCs w:val="24"/>
          <w:lang w:val="en-GB"/>
        </w:rPr>
        <w:t>high</w:t>
      </w:r>
      <w:r w:rsidRPr="00E76013">
        <w:rPr>
          <w:rFonts w:ascii="Times New Roman" w:eastAsia="Times New Roman" w:hAnsi="Times New Roman" w:cs="Times New Roman"/>
          <w:noProof/>
          <w:sz w:val="24"/>
          <w:szCs w:val="24"/>
          <w:lang w:val="en-GB"/>
        </w:rPr>
        <w:t xml:space="preserve"> 2021 rates, amid expected consumer price increases. The dynamic growth in nominal disposable income, supported by </w:t>
      </w:r>
      <w:r w:rsidR="002174EA">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favourable labour market situation and increased social transfers, is forecast to offset the negative effect of higher consumer prices on private consumption </w:t>
      </w:r>
      <w:r w:rsidR="002174EA">
        <w:rPr>
          <w:rFonts w:ascii="Times New Roman" w:eastAsia="Times New Roman" w:hAnsi="Times New Roman" w:cs="Times New Roman"/>
          <w:noProof/>
          <w:sz w:val="24"/>
          <w:szCs w:val="24"/>
          <w:lang w:val="en-GB"/>
        </w:rPr>
        <w:t xml:space="preserve">both </w:t>
      </w:r>
      <w:r w:rsidRPr="00E76013">
        <w:rPr>
          <w:rFonts w:ascii="Times New Roman" w:eastAsia="Times New Roman" w:hAnsi="Times New Roman" w:cs="Times New Roman"/>
          <w:noProof/>
          <w:sz w:val="24"/>
          <w:szCs w:val="24"/>
          <w:lang w:val="en-GB"/>
        </w:rPr>
        <w:t>in 2022 and 2023.</w:t>
      </w:r>
      <w:r w:rsidR="006454F1" w:rsidRPr="00E76013">
        <w:rPr>
          <w:rFonts w:ascii="Times New Roman" w:eastAsia="Times New Roman" w:hAnsi="Times New Roman" w:cs="Times New Roman"/>
          <w:noProof/>
          <w:sz w:val="24"/>
          <w:szCs w:val="24"/>
          <w:lang w:val="en-GB"/>
        </w:rPr>
        <w:t xml:space="preserve"> </w:t>
      </w:r>
    </w:p>
    <w:p w14:paraId="7A8A6C51" w14:textId="15937C39"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Unemployment is stabilising after a surge at the onset of the pandemic.</w:t>
      </w:r>
      <w:r w:rsidRPr="00E76013">
        <w:rPr>
          <w:rFonts w:ascii="Times New Roman" w:eastAsia="Times New Roman" w:hAnsi="Times New Roman" w:cs="Times New Roman"/>
          <w:noProof/>
          <w:sz w:val="24"/>
          <w:szCs w:val="24"/>
          <w:lang w:val="en-GB"/>
        </w:rPr>
        <w:t xml:space="preserve"> Prior to the pandemic, unemployment had reached historical lows, before jumping to 6.6% in Q2-2020 as the Covid-19 crisis took hold. </w:t>
      </w:r>
      <w:r w:rsidR="0006044F">
        <w:rPr>
          <w:rFonts w:ascii="Times New Roman" w:eastAsia="Times New Roman" w:hAnsi="Times New Roman" w:cs="Times New Roman"/>
          <w:noProof/>
          <w:sz w:val="24"/>
          <w:szCs w:val="24"/>
          <w:lang w:val="en-GB"/>
        </w:rPr>
        <w:t>Since</w:t>
      </w:r>
      <w:r w:rsidRPr="00E76013">
        <w:rPr>
          <w:rFonts w:ascii="Times New Roman" w:eastAsia="Times New Roman" w:hAnsi="Times New Roman" w:cs="Times New Roman"/>
          <w:noProof/>
          <w:sz w:val="24"/>
          <w:szCs w:val="24"/>
          <w:lang w:val="en-GB"/>
        </w:rPr>
        <w:t xml:space="preserve"> Q3-2021 it </w:t>
      </w:r>
      <w:r w:rsidR="0006044F">
        <w:rPr>
          <w:rFonts w:ascii="Times New Roman" w:eastAsia="Times New Roman" w:hAnsi="Times New Roman" w:cs="Times New Roman"/>
          <w:noProof/>
          <w:sz w:val="24"/>
          <w:szCs w:val="24"/>
          <w:lang w:val="en-GB"/>
        </w:rPr>
        <w:t xml:space="preserve">has </w:t>
      </w:r>
      <w:r w:rsidRPr="00E76013">
        <w:rPr>
          <w:rFonts w:ascii="Times New Roman" w:eastAsia="Times New Roman" w:hAnsi="Times New Roman" w:cs="Times New Roman"/>
          <w:noProof/>
          <w:sz w:val="24"/>
          <w:szCs w:val="24"/>
          <w:lang w:val="en-GB"/>
        </w:rPr>
        <w:t xml:space="preserve">levelled off </w:t>
      </w:r>
      <w:r w:rsidR="00764130">
        <w:rPr>
          <w:rFonts w:ascii="Times New Roman" w:eastAsia="Times New Roman" w:hAnsi="Times New Roman" w:cs="Times New Roman"/>
          <w:noProof/>
          <w:sz w:val="24"/>
          <w:szCs w:val="24"/>
          <w:lang w:val="en-GB"/>
        </w:rPr>
        <w:t xml:space="preserve">and </w:t>
      </w:r>
      <w:r w:rsidR="008F7D68">
        <w:rPr>
          <w:rFonts w:ascii="Times New Roman" w:eastAsia="Times New Roman" w:hAnsi="Times New Roman" w:cs="Times New Roman"/>
          <w:noProof/>
          <w:sz w:val="24"/>
          <w:szCs w:val="24"/>
          <w:lang w:val="en-GB"/>
        </w:rPr>
        <w:t>in January 2022 it stood</w:t>
      </w:r>
      <w:r w:rsidR="00764130">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at </w:t>
      </w:r>
      <w:r w:rsidR="00764130">
        <w:rPr>
          <w:rFonts w:ascii="Times New Roman" w:eastAsia="Times New Roman" w:hAnsi="Times New Roman" w:cs="Times New Roman"/>
          <w:noProof/>
          <w:sz w:val="24"/>
          <w:szCs w:val="24"/>
          <w:lang w:val="en-GB"/>
        </w:rPr>
        <w:t>4.7</w:t>
      </w:r>
      <w:r w:rsidRPr="00E76013">
        <w:rPr>
          <w:rFonts w:ascii="Times New Roman" w:eastAsia="Times New Roman" w:hAnsi="Times New Roman" w:cs="Times New Roman"/>
          <w:noProof/>
          <w:sz w:val="24"/>
          <w:szCs w:val="24"/>
          <w:lang w:val="en-GB"/>
        </w:rPr>
        <w:t>%</w:t>
      </w:r>
      <w:r w:rsidR="00764130">
        <w:rPr>
          <w:rFonts w:ascii="Times New Roman" w:eastAsia="Times New Roman" w:hAnsi="Times New Roman" w:cs="Times New Roman"/>
          <w:noProof/>
          <w:sz w:val="24"/>
          <w:szCs w:val="24"/>
          <w:lang w:val="en-GB"/>
        </w:rPr>
        <w:t xml:space="preserve">, </w:t>
      </w:r>
      <w:r w:rsidR="008F7D68">
        <w:rPr>
          <w:rFonts w:ascii="Times New Roman" w:eastAsia="Times New Roman" w:hAnsi="Times New Roman" w:cs="Times New Roman"/>
          <w:noProof/>
          <w:sz w:val="24"/>
          <w:szCs w:val="24"/>
          <w:lang w:val="en-GB"/>
        </w:rPr>
        <w:t>(</w:t>
      </w:r>
      <w:r w:rsidR="00764130">
        <w:rPr>
          <w:rFonts w:ascii="Times New Roman" w:eastAsia="Times New Roman" w:hAnsi="Times New Roman" w:cs="Times New Roman"/>
          <w:noProof/>
          <w:sz w:val="24"/>
          <w:szCs w:val="24"/>
          <w:lang w:val="en-GB"/>
        </w:rPr>
        <w:t>seasonally adjusted</w:t>
      </w:r>
      <w:r w:rsidR="008F7D68">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As expected, the largest share of job losses was recorded in the accommodation and food services sectors. In parallel, the labour market participation rate has dropped on average by around 1 pp since the beginning of the COVID-19 crisis, as some dismissed workers </w:t>
      </w:r>
      <w:r w:rsidR="00F21379">
        <w:rPr>
          <w:rFonts w:ascii="Times New Roman" w:eastAsia="Times New Roman" w:hAnsi="Times New Roman" w:cs="Times New Roman"/>
          <w:noProof/>
          <w:sz w:val="24"/>
          <w:szCs w:val="24"/>
          <w:lang w:val="en-GB"/>
        </w:rPr>
        <w:t xml:space="preserve">may </w:t>
      </w:r>
      <w:r w:rsidRPr="00E76013">
        <w:rPr>
          <w:rFonts w:ascii="Times New Roman" w:eastAsia="Times New Roman" w:hAnsi="Times New Roman" w:cs="Times New Roman"/>
          <w:noProof/>
          <w:sz w:val="24"/>
          <w:szCs w:val="24"/>
          <w:lang w:val="en-GB"/>
        </w:rPr>
        <w:t xml:space="preserve">have </w:t>
      </w:r>
      <w:r w:rsidR="00F21379">
        <w:rPr>
          <w:rFonts w:ascii="Times New Roman" w:eastAsia="Times New Roman" w:hAnsi="Times New Roman" w:cs="Times New Roman"/>
          <w:noProof/>
          <w:sz w:val="24"/>
          <w:szCs w:val="24"/>
          <w:lang w:val="en-GB"/>
        </w:rPr>
        <w:t>moved at least temporarily into inactivity</w:t>
      </w:r>
      <w:r w:rsidRPr="00E76013">
        <w:rPr>
          <w:rFonts w:ascii="Times New Roman" w:eastAsia="Times New Roman" w:hAnsi="Times New Roman" w:cs="Times New Roman"/>
          <w:noProof/>
          <w:sz w:val="24"/>
          <w:szCs w:val="24"/>
          <w:lang w:val="en-GB"/>
        </w:rPr>
        <w:t xml:space="preserve">. More adverse labour market developments have been avoided largely by the swift introduction of short-time work schemes and the support received through SURE, the EU’s </w:t>
      </w:r>
      <w:r w:rsidR="00F21379">
        <w:rPr>
          <w:rFonts w:ascii="Times New Roman" w:eastAsia="Times New Roman" w:hAnsi="Times New Roman" w:cs="Times New Roman"/>
          <w:noProof/>
          <w:sz w:val="24"/>
          <w:szCs w:val="24"/>
          <w:lang w:val="en-GB"/>
        </w:rPr>
        <w:t xml:space="preserve">temporary </w:t>
      </w:r>
      <w:r w:rsidRPr="00E76013">
        <w:rPr>
          <w:rFonts w:ascii="Times New Roman" w:eastAsia="Times New Roman" w:hAnsi="Times New Roman" w:cs="Times New Roman"/>
          <w:noProof/>
          <w:sz w:val="24"/>
          <w:szCs w:val="24"/>
          <w:lang w:val="en-GB"/>
        </w:rPr>
        <w:t xml:space="preserve">support scheme for national short-term work schemes, and REACT-EU, the EU’s recovery assistance for cohesion and the territories. The quick rebound in manufacturing production and the relaxation of containment measures already in the second half of 2020 also supported </w:t>
      </w:r>
      <w:r w:rsidR="008F7D68">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labour market demand.</w:t>
      </w:r>
      <w:r w:rsidRPr="00E76013">
        <w:rPr>
          <w:rFonts w:ascii="Times New Roman" w:hAnsi="Times New Roman" w:cs="Times New Roman"/>
          <w:noProof/>
        </w:rPr>
        <w:t xml:space="preserve"> </w:t>
      </w:r>
      <w:r w:rsidR="00631D02" w:rsidRPr="00EB1A71">
        <w:rPr>
          <w:rFonts w:ascii="Times New Roman" w:hAnsi="Times New Roman" w:cs="Times New Roman"/>
          <w:noProof/>
          <w:sz w:val="24"/>
        </w:rPr>
        <w:t xml:space="preserve">According to the Commission’s Autumn 2021 Economic Forecast, </w:t>
      </w:r>
      <w:r w:rsidRPr="00E76013">
        <w:rPr>
          <w:rFonts w:ascii="Times New Roman" w:eastAsia="Times New Roman" w:hAnsi="Times New Roman" w:cs="Times New Roman"/>
          <w:noProof/>
          <w:sz w:val="24"/>
          <w:szCs w:val="24"/>
          <w:lang w:val="en-GB"/>
        </w:rPr>
        <w:t xml:space="preserve">the favourable economic outlook is set to </w:t>
      </w:r>
      <w:r w:rsidR="008F7D68">
        <w:rPr>
          <w:rFonts w:ascii="Times New Roman" w:eastAsia="Times New Roman" w:hAnsi="Times New Roman" w:cs="Times New Roman"/>
          <w:noProof/>
          <w:sz w:val="24"/>
          <w:szCs w:val="24"/>
          <w:lang w:val="en-GB"/>
        </w:rPr>
        <w:t xml:space="preserve">further </w:t>
      </w:r>
      <w:r w:rsidRPr="00E76013">
        <w:rPr>
          <w:rFonts w:ascii="Times New Roman" w:eastAsia="Times New Roman" w:hAnsi="Times New Roman" w:cs="Times New Roman"/>
          <w:noProof/>
          <w:sz w:val="24"/>
          <w:szCs w:val="24"/>
          <w:lang w:val="en-GB"/>
        </w:rPr>
        <w:t xml:space="preserve">tighten the labour market, with unemployment rates gradually declining to 4.6% in 2022 and 4.4% in 2023. At the same time, the transition back to </w:t>
      </w:r>
      <w:r w:rsidR="008F7D68">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full-time work and a projected increase in activity rates are forecast to partially alleviate the pressure on the labour market and on wages. Nevertheless, growth of wages is expected to remain strong at 9% in 2022 and 7.9% in 2023.</w:t>
      </w:r>
      <w:r w:rsidR="00670688" w:rsidRPr="00E76013">
        <w:rPr>
          <w:rFonts w:ascii="Times New Roman" w:eastAsia="Times New Roman" w:hAnsi="Times New Roman" w:cs="Times New Roman"/>
          <w:noProof/>
          <w:sz w:val="24"/>
          <w:szCs w:val="24"/>
          <w:lang w:val="en-GB"/>
        </w:rPr>
        <w:t xml:space="preserve"> </w:t>
      </w:r>
    </w:p>
    <w:p w14:paraId="2B6A5ECE" w14:textId="73D5B686" w:rsidR="004F6C6A" w:rsidRPr="00E76013" w:rsidRDefault="004F6C6A" w:rsidP="00EB1A71">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Emergency budgetary measures helped to contain the negative effects of the pandemic, making use of the fiscal space created before the pandemic.</w:t>
      </w:r>
      <w:r w:rsidR="00323501">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 xml:space="preserve">The Bulgarian government has </w:t>
      </w:r>
      <w:r w:rsidR="00BD24BD" w:rsidRPr="00E76013">
        <w:rPr>
          <w:rFonts w:ascii="Times New Roman" w:eastAsia="Times New Roman" w:hAnsi="Times New Roman" w:cs="Times New Roman"/>
          <w:noProof/>
          <w:sz w:val="24"/>
          <w:szCs w:val="24"/>
          <w:lang w:val="en-GB"/>
        </w:rPr>
        <w:t>raised</w:t>
      </w:r>
      <w:r w:rsidRPr="00E76013">
        <w:rPr>
          <w:rFonts w:ascii="Times New Roman" w:eastAsia="Times New Roman" w:hAnsi="Times New Roman" w:cs="Times New Roman"/>
          <w:noProof/>
          <w:sz w:val="24"/>
          <w:szCs w:val="24"/>
          <w:lang w:val="en-GB"/>
        </w:rPr>
        <w:t xml:space="preserve"> health </w:t>
      </w:r>
      <w:r w:rsidR="00BD24BD" w:rsidRPr="00E76013">
        <w:rPr>
          <w:rFonts w:ascii="Times New Roman" w:eastAsia="Times New Roman" w:hAnsi="Times New Roman" w:cs="Times New Roman"/>
          <w:noProof/>
          <w:sz w:val="24"/>
          <w:szCs w:val="24"/>
          <w:lang w:val="en-GB"/>
        </w:rPr>
        <w:t>care related funding for providers of medical care and introduced measures including the provisi</w:t>
      </w:r>
      <w:r w:rsidR="00DE2F55" w:rsidRPr="00E76013">
        <w:rPr>
          <w:rFonts w:ascii="Times New Roman" w:eastAsia="Times New Roman" w:hAnsi="Times New Roman" w:cs="Times New Roman"/>
          <w:noProof/>
          <w:sz w:val="24"/>
          <w:szCs w:val="24"/>
          <w:lang w:val="en-GB"/>
        </w:rPr>
        <w:t>on of vaccines and PCR tests</w:t>
      </w:r>
      <w:r w:rsidR="00CD1EC5">
        <w:rPr>
          <w:rFonts w:ascii="Times New Roman" w:eastAsia="Times New Roman" w:hAnsi="Times New Roman" w:cs="Times New Roman"/>
          <w:noProof/>
          <w:sz w:val="24"/>
          <w:szCs w:val="24"/>
          <w:lang w:val="en-GB"/>
        </w:rPr>
        <w:t>,</w:t>
      </w:r>
      <w:r w:rsidR="00DE2F55" w:rsidRPr="00E76013">
        <w:rPr>
          <w:rFonts w:ascii="Times New Roman" w:eastAsia="Times New Roman" w:hAnsi="Times New Roman" w:cs="Times New Roman"/>
          <w:noProof/>
          <w:sz w:val="24"/>
          <w:szCs w:val="24"/>
          <w:lang w:val="en-GB"/>
        </w:rPr>
        <w:t xml:space="preserve"> as well as</w:t>
      </w:r>
      <w:r w:rsidR="00BD24BD" w:rsidRPr="00E76013">
        <w:rPr>
          <w:rFonts w:ascii="Times New Roman" w:eastAsia="Times New Roman" w:hAnsi="Times New Roman" w:cs="Times New Roman"/>
          <w:noProof/>
          <w:sz w:val="24"/>
          <w:szCs w:val="24"/>
          <w:lang w:val="en-GB"/>
        </w:rPr>
        <w:t xml:space="preserve"> additional remuneration payments for medical staff. </w:t>
      </w:r>
      <w:r w:rsidR="00DE2F55" w:rsidRPr="00E76013">
        <w:rPr>
          <w:rFonts w:ascii="Times New Roman" w:eastAsia="Times New Roman" w:hAnsi="Times New Roman" w:cs="Times New Roman"/>
          <w:noProof/>
          <w:sz w:val="24"/>
          <w:szCs w:val="24"/>
          <w:lang w:val="en-GB"/>
        </w:rPr>
        <w:t xml:space="preserve">It </w:t>
      </w:r>
      <w:r w:rsidR="00CD1EC5">
        <w:rPr>
          <w:rFonts w:ascii="Times New Roman" w:eastAsia="Times New Roman" w:hAnsi="Times New Roman" w:cs="Times New Roman"/>
          <w:noProof/>
          <w:sz w:val="24"/>
          <w:szCs w:val="24"/>
          <w:lang w:val="en-GB"/>
        </w:rPr>
        <w:t>has</w:t>
      </w:r>
      <w:r w:rsidR="00DE2F55" w:rsidRPr="00E76013">
        <w:rPr>
          <w:rFonts w:ascii="Times New Roman" w:eastAsia="Times New Roman" w:hAnsi="Times New Roman" w:cs="Times New Roman"/>
          <w:noProof/>
          <w:sz w:val="24"/>
          <w:szCs w:val="24"/>
          <w:lang w:val="en-GB"/>
        </w:rPr>
        <w:t xml:space="preserve"> also</w:t>
      </w:r>
      <w:r w:rsidRPr="00E76013">
        <w:rPr>
          <w:rFonts w:ascii="Times New Roman" w:eastAsia="Times New Roman" w:hAnsi="Times New Roman" w:cs="Times New Roman"/>
          <w:noProof/>
          <w:sz w:val="24"/>
          <w:szCs w:val="24"/>
          <w:lang w:val="en-GB"/>
        </w:rPr>
        <w:t xml:space="preserve"> provided relief to those individuals and sectors that have been particularly affected and </w:t>
      </w:r>
      <w:r w:rsidRPr="35804D96">
        <w:rPr>
          <w:rFonts w:ascii="Times New Roman" w:eastAsia="Times New Roman" w:hAnsi="Times New Roman" w:cs="Times New Roman"/>
          <w:noProof/>
          <w:sz w:val="24"/>
          <w:szCs w:val="24"/>
          <w:lang w:val="en-GB"/>
        </w:rPr>
        <w:t>launched</w:t>
      </w:r>
      <w:r w:rsidRPr="00E76013">
        <w:rPr>
          <w:rFonts w:ascii="Times New Roman" w:eastAsia="Times New Roman" w:hAnsi="Times New Roman" w:cs="Times New Roman"/>
          <w:noProof/>
          <w:sz w:val="24"/>
          <w:szCs w:val="24"/>
          <w:lang w:val="en-GB"/>
        </w:rPr>
        <w:t xml:space="preserve"> measures to protect jobs. The estimated direct budgetary impact of these measures </w:t>
      </w:r>
      <w:r w:rsidR="00DE2F55" w:rsidRPr="00E76013">
        <w:rPr>
          <w:rFonts w:ascii="Times New Roman" w:eastAsia="Times New Roman" w:hAnsi="Times New Roman" w:cs="Times New Roman"/>
          <w:noProof/>
          <w:sz w:val="24"/>
          <w:szCs w:val="24"/>
          <w:lang w:val="en-GB"/>
        </w:rPr>
        <w:t xml:space="preserve">in 2020 </w:t>
      </w:r>
      <w:r w:rsidRPr="00E76013">
        <w:rPr>
          <w:rFonts w:ascii="Times New Roman" w:eastAsia="Times New Roman" w:hAnsi="Times New Roman" w:cs="Times New Roman"/>
          <w:noProof/>
          <w:sz w:val="24"/>
          <w:szCs w:val="24"/>
          <w:lang w:val="en-GB"/>
        </w:rPr>
        <w:t xml:space="preserve">is close to BGN </w:t>
      </w:r>
      <w:r w:rsidR="00DE2F55" w:rsidRPr="00E76013">
        <w:rPr>
          <w:rFonts w:ascii="Times New Roman" w:eastAsia="Times New Roman" w:hAnsi="Times New Roman" w:cs="Times New Roman"/>
          <w:noProof/>
          <w:sz w:val="24"/>
          <w:szCs w:val="24"/>
          <w:lang w:val="en-GB"/>
        </w:rPr>
        <w:t>3.8</w:t>
      </w:r>
      <w:r w:rsidRPr="00E76013">
        <w:rPr>
          <w:rFonts w:ascii="Times New Roman" w:eastAsia="Times New Roman" w:hAnsi="Times New Roman" w:cs="Times New Roman"/>
          <w:noProof/>
          <w:sz w:val="24"/>
          <w:szCs w:val="24"/>
          <w:lang w:val="en-GB"/>
        </w:rPr>
        <w:t xml:space="preserve"> billion (EUR 1</w:t>
      </w:r>
      <w:r w:rsidR="00DE2F55" w:rsidRPr="00E76013">
        <w:rPr>
          <w:rFonts w:ascii="Times New Roman" w:eastAsia="Times New Roman" w:hAnsi="Times New Roman" w:cs="Times New Roman"/>
          <w:noProof/>
          <w:sz w:val="24"/>
          <w:szCs w:val="24"/>
          <w:lang w:val="en-GB"/>
        </w:rPr>
        <w:t>.94</w:t>
      </w:r>
      <w:r w:rsidRPr="00E76013">
        <w:rPr>
          <w:rFonts w:ascii="Times New Roman" w:eastAsia="Times New Roman" w:hAnsi="Times New Roman" w:cs="Times New Roman"/>
          <w:noProof/>
          <w:sz w:val="24"/>
          <w:szCs w:val="24"/>
          <w:lang w:val="en-GB"/>
        </w:rPr>
        <w:t xml:space="preserve"> billion), or around </w:t>
      </w:r>
      <w:r w:rsidR="00DE2F55" w:rsidRPr="00E76013">
        <w:rPr>
          <w:rFonts w:ascii="Times New Roman" w:eastAsia="Times New Roman" w:hAnsi="Times New Roman" w:cs="Times New Roman"/>
          <w:noProof/>
          <w:sz w:val="24"/>
          <w:szCs w:val="24"/>
          <w:lang w:val="en-GB"/>
        </w:rPr>
        <w:t>3.2</w:t>
      </w:r>
      <w:r w:rsidRPr="00E76013">
        <w:rPr>
          <w:rFonts w:ascii="Times New Roman" w:eastAsia="Times New Roman" w:hAnsi="Times New Roman" w:cs="Times New Roman"/>
          <w:noProof/>
          <w:sz w:val="24"/>
          <w:szCs w:val="24"/>
          <w:lang w:val="en-GB"/>
        </w:rPr>
        <w:t>% of GDP. Taking into account these measures and the impact of the pandemic on economic activity, the Bulgarian government amended its budgetary target to a deficit of 3.1% of GDP in 2021. In light of the rising energy prices, the government has introduced compensations for firms in certain sectors. The indicative amount of these measures hover around BGN 1.</w:t>
      </w:r>
      <w:r w:rsidR="00F51D17" w:rsidRPr="00E76013">
        <w:rPr>
          <w:rFonts w:ascii="Times New Roman" w:eastAsia="Times New Roman" w:hAnsi="Times New Roman" w:cs="Times New Roman"/>
          <w:noProof/>
          <w:sz w:val="24"/>
          <w:szCs w:val="24"/>
          <w:lang w:val="en-GB"/>
        </w:rPr>
        <w:t>8</w:t>
      </w:r>
      <w:r w:rsidRPr="00E76013">
        <w:rPr>
          <w:rFonts w:ascii="Times New Roman" w:eastAsia="Times New Roman" w:hAnsi="Times New Roman" w:cs="Times New Roman"/>
          <w:noProof/>
          <w:sz w:val="24"/>
          <w:szCs w:val="24"/>
          <w:lang w:val="en-GB"/>
        </w:rPr>
        <w:t xml:space="preserve"> billion (EUR </w:t>
      </w:r>
      <w:r w:rsidR="00F51D17" w:rsidRPr="00E76013">
        <w:rPr>
          <w:rFonts w:ascii="Times New Roman" w:eastAsia="Times New Roman" w:hAnsi="Times New Roman" w:cs="Times New Roman"/>
          <w:noProof/>
          <w:sz w:val="24"/>
          <w:szCs w:val="24"/>
          <w:lang w:val="en-GB"/>
        </w:rPr>
        <w:t>920</w:t>
      </w:r>
      <w:r w:rsidRPr="00E76013">
        <w:rPr>
          <w:rFonts w:ascii="Times New Roman" w:eastAsia="Times New Roman" w:hAnsi="Times New Roman" w:cs="Times New Roman"/>
          <w:noProof/>
          <w:sz w:val="24"/>
          <w:szCs w:val="24"/>
          <w:lang w:val="en-GB"/>
        </w:rPr>
        <w:t xml:space="preserve"> million) or 1.</w:t>
      </w:r>
      <w:r w:rsidR="00F51D17" w:rsidRPr="00E76013">
        <w:rPr>
          <w:rFonts w:ascii="Times New Roman" w:eastAsia="Times New Roman" w:hAnsi="Times New Roman" w:cs="Times New Roman"/>
          <w:noProof/>
          <w:sz w:val="24"/>
          <w:szCs w:val="24"/>
          <w:lang w:val="en-GB"/>
        </w:rPr>
        <w:t>2</w:t>
      </w:r>
      <w:r w:rsidRPr="00E76013">
        <w:rPr>
          <w:rFonts w:ascii="Times New Roman" w:eastAsia="Times New Roman" w:hAnsi="Times New Roman" w:cs="Times New Roman"/>
          <w:noProof/>
          <w:sz w:val="24"/>
          <w:szCs w:val="24"/>
          <w:lang w:val="en-GB"/>
        </w:rPr>
        <w:t>% of GDP. The general government debt is estimated to have further increased to around 27% of GDP in 2021.</w:t>
      </w:r>
      <w:r w:rsidR="10C5D094" w:rsidRPr="00E76013">
        <w:rPr>
          <w:rFonts w:ascii="Times New Roman" w:eastAsia="Times New Roman" w:hAnsi="Times New Roman" w:cs="Times New Roman"/>
          <w:noProof/>
          <w:sz w:val="24"/>
          <w:szCs w:val="24"/>
          <w:lang w:val="en-GB"/>
        </w:rPr>
        <w:t xml:space="preserve"> </w:t>
      </w:r>
      <w:r w:rsidR="00503238">
        <w:rPr>
          <w:rFonts w:ascii="Times New Roman" w:eastAsia="Times New Roman" w:hAnsi="Times New Roman" w:cs="Times New Roman"/>
          <w:noProof/>
          <w:sz w:val="24"/>
          <w:szCs w:val="24"/>
          <w:lang w:val="en-GB"/>
        </w:rPr>
        <w:t xml:space="preserve">Overall, </w:t>
      </w:r>
      <w:r w:rsidR="00503238" w:rsidRPr="0C2F4870">
        <w:rPr>
          <w:rFonts w:ascii="Times New Roman" w:eastAsia="Times New Roman" w:hAnsi="Times New Roman" w:cs="Times New Roman"/>
          <w:noProof/>
          <w:sz w:val="24"/>
          <w:szCs w:val="24"/>
          <w:lang w:val="en-GB"/>
        </w:rPr>
        <w:t xml:space="preserve">national as well as EU-wise measures to address the exceptional economic situation have </w:t>
      </w:r>
      <w:r w:rsidR="00503238">
        <w:rPr>
          <w:rFonts w:ascii="Times New Roman" w:eastAsia="Times New Roman" w:hAnsi="Times New Roman" w:cs="Times New Roman"/>
          <w:noProof/>
          <w:sz w:val="24"/>
          <w:szCs w:val="24"/>
          <w:lang w:val="en-GB"/>
        </w:rPr>
        <w:t>helped to lessen</w:t>
      </w:r>
      <w:r w:rsidR="00503238" w:rsidRPr="0C2F4870">
        <w:rPr>
          <w:rFonts w:ascii="Times New Roman" w:eastAsia="Times New Roman" w:hAnsi="Times New Roman" w:cs="Times New Roman"/>
          <w:noProof/>
          <w:sz w:val="24"/>
          <w:szCs w:val="24"/>
          <w:lang w:val="en-GB"/>
        </w:rPr>
        <w:t xml:space="preserve"> the shock on household income and prevented further rise in income inequality and poverty risk</w:t>
      </w:r>
      <w:r w:rsidR="00503238">
        <w:rPr>
          <w:rStyle w:val="FootnoteReference"/>
          <w:rFonts w:ascii="Times New Roman" w:eastAsia="Times New Roman" w:hAnsi="Times New Roman" w:cs="Times New Roman"/>
          <w:noProof/>
          <w:sz w:val="24"/>
          <w:szCs w:val="24"/>
          <w:lang w:val="en-GB"/>
        </w:rPr>
        <w:footnoteReference w:id="4"/>
      </w:r>
      <w:r w:rsidR="00503238" w:rsidRPr="002B7870">
        <w:rPr>
          <w:rFonts w:ascii="Times New Roman" w:eastAsia="Times New Roman" w:hAnsi="Times New Roman" w:cs="Times New Roman"/>
          <w:noProof/>
          <w:sz w:val="24"/>
          <w:szCs w:val="24"/>
          <w:lang w:val="en-GB"/>
        </w:rPr>
        <w:t>.</w:t>
      </w:r>
      <w:r w:rsidR="00503238">
        <w:rPr>
          <w:rFonts w:ascii="Times New Roman" w:eastAsia="Times New Roman" w:hAnsi="Times New Roman" w:cs="Times New Roman"/>
          <w:noProof/>
          <w:sz w:val="24"/>
          <w:szCs w:val="24"/>
          <w:lang w:val="en-GB"/>
        </w:rPr>
        <w:t xml:space="preserve"> </w:t>
      </w:r>
    </w:p>
    <w:p w14:paraId="2AC3D696" w14:textId="68C822C5"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Although profitable and well-capitalised, the financial sector operates amid heightened uncertainty.</w:t>
      </w:r>
      <w:r w:rsidRPr="00E76013">
        <w:rPr>
          <w:rFonts w:ascii="Times New Roman" w:eastAsia="Times New Roman" w:hAnsi="Times New Roman" w:cs="Times New Roman"/>
          <w:noProof/>
          <w:sz w:val="24"/>
          <w:szCs w:val="24"/>
          <w:lang w:val="en-GB"/>
        </w:rPr>
        <w:t xml:space="preserve"> The system-wide CET1 ratio remained high at 22.1% at the end of Q2 2021. Following the pronounced decline in 2020, profitability </w:t>
      </w:r>
      <w:r w:rsidR="00CD1EC5">
        <w:rPr>
          <w:rFonts w:ascii="Times New Roman" w:eastAsia="Times New Roman" w:hAnsi="Times New Roman" w:cs="Times New Roman"/>
          <w:noProof/>
          <w:sz w:val="24"/>
          <w:szCs w:val="24"/>
          <w:lang w:val="en-GB"/>
        </w:rPr>
        <w:t xml:space="preserve">of banks has </w:t>
      </w:r>
      <w:r w:rsidRPr="00E76013">
        <w:rPr>
          <w:rFonts w:ascii="Times New Roman" w:eastAsia="Times New Roman" w:hAnsi="Times New Roman" w:cs="Times New Roman"/>
          <w:noProof/>
          <w:sz w:val="24"/>
          <w:szCs w:val="24"/>
          <w:lang w:val="en-GB"/>
        </w:rPr>
        <w:t xml:space="preserve">improved somewhat in 2021, with return on equity at 8.1% in Q2 2021. The measures announced by the Bulgarian National Bank at the beginning of the crisis, including the retention of profits and limit on commercial banks’ foreign exposures, were instrumental for preserving the banking sector stability. Risks stem mainly from the relatively high share of non-performing loans, corporate indebtedness and banks’ exposures to highly affected sectors. The NPL ratio has been on a downward trend across individual banks and segments, declining to 5.6% at the end of Q2 2021 (from 6.7% a year earlier). Nevertheless, certain credit risk linked to the expiration of the loan payment moratorium, imposed </w:t>
      </w:r>
      <w:r w:rsidR="00543EBE">
        <w:rPr>
          <w:rFonts w:ascii="Times New Roman" w:eastAsia="Times New Roman" w:hAnsi="Times New Roman" w:cs="Times New Roman"/>
          <w:noProof/>
          <w:sz w:val="24"/>
          <w:szCs w:val="24"/>
          <w:lang w:val="en-GB"/>
        </w:rPr>
        <w:t xml:space="preserve">in </w:t>
      </w:r>
      <w:r w:rsidRPr="00E76013">
        <w:rPr>
          <w:rFonts w:ascii="Times New Roman" w:eastAsia="Times New Roman" w:hAnsi="Times New Roman" w:cs="Times New Roman"/>
          <w:noProof/>
          <w:sz w:val="24"/>
          <w:szCs w:val="24"/>
          <w:lang w:val="en-GB"/>
        </w:rPr>
        <w:t>April 2020, exists.</w:t>
      </w:r>
    </w:p>
    <w:p w14:paraId="03626F85" w14:textId="576E7606"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C2F4870">
        <w:rPr>
          <w:rFonts w:ascii="Times New Roman" w:eastAsia="Times New Roman" w:hAnsi="Times New Roman" w:cs="Times New Roman"/>
          <w:b/>
          <w:bCs/>
          <w:noProof/>
          <w:sz w:val="24"/>
          <w:szCs w:val="24"/>
          <w:lang w:val="en-GB"/>
        </w:rPr>
        <w:t xml:space="preserve">Notwithstanding the </w:t>
      </w:r>
      <w:r w:rsidRPr="00E76013">
        <w:rPr>
          <w:rFonts w:ascii="Times New Roman" w:eastAsia="Times New Roman" w:hAnsi="Times New Roman" w:cs="Times New Roman"/>
          <w:b/>
          <w:bCs/>
          <w:noProof/>
          <w:sz w:val="24"/>
          <w:szCs w:val="24"/>
          <w:lang w:val="en-GB"/>
        </w:rPr>
        <w:t>gradual rebound</w:t>
      </w:r>
      <w:r w:rsidRPr="0C2F4870">
        <w:rPr>
          <w:rFonts w:ascii="Times New Roman" w:eastAsia="Times New Roman" w:hAnsi="Times New Roman" w:cs="Times New Roman"/>
          <w:b/>
          <w:bCs/>
          <w:noProof/>
          <w:sz w:val="24"/>
          <w:szCs w:val="24"/>
          <w:lang w:val="en-GB"/>
        </w:rPr>
        <w:t xml:space="preserve"> from the immediate economic shock, structural </w:t>
      </w:r>
      <w:r w:rsidR="00F22ACB" w:rsidRPr="0C2F4870">
        <w:rPr>
          <w:rFonts w:ascii="Times New Roman" w:eastAsia="Times New Roman" w:hAnsi="Times New Roman" w:cs="Times New Roman"/>
          <w:b/>
          <w:bCs/>
          <w:noProof/>
          <w:sz w:val="24"/>
          <w:szCs w:val="24"/>
          <w:lang w:val="en-GB"/>
        </w:rPr>
        <w:t>weaknesses</w:t>
      </w:r>
      <w:r w:rsidRPr="0C2F4870">
        <w:rPr>
          <w:rFonts w:ascii="Times New Roman" w:eastAsia="Times New Roman" w:hAnsi="Times New Roman" w:cs="Times New Roman"/>
          <w:b/>
          <w:bCs/>
          <w:noProof/>
          <w:sz w:val="24"/>
          <w:szCs w:val="24"/>
          <w:lang w:val="en-GB"/>
        </w:rPr>
        <w:t xml:space="preserve"> hamper Bulgaria’s path towards convergence.</w:t>
      </w:r>
      <w:r w:rsidRPr="00E76013">
        <w:rPr>
          <w:rFonts w:ascii="Times New Roman" w:eastAsia="Times New Roman" w:hAnsi="Times New Roman" w:cs="Times New Roman"/>
          <w:noProof/>
          <w:sz w:val="24"/>
          <w:szCs w:val="24"/>
          <w:lang w:val="en-GB"/>
        </w:rPr>
        <w:t xml:space="preserve"> </w:t>
      </w:r>
      <w:r w:rsidR="002843C1">
        <w:rPr>
          <w:rFonts w:ascii="Times New Roman" w:eastAsia="Times New Roman" w:hAnsi="Times New Roman" w:cs="Times New Roman"/>
          <w:noProof/>
          <w:sz w:val="24"/>
          <w:szCs w:val="24"/>
          <w:lang w:val="en-GB"/>
        </w:rPr>
        <w:t xml:space="preserve">GDP per capita in PPP in Bulgaria has converged from 45% of </w:t>
      </w:r>
      <w:r w:rsidR="002843C1" w:rsidRPr="4431C935">
        <w:rPr>
          <w:rFonts w:ascii="Times New Roman" w:eastAsia="Times New Roman" w:hAnsi="Times New Roman" w:cs="Times New Roman"/>
          <w:noProof/>
          <w:sz w:val="24"/>
          <w:szCs w:val="24"/>
          <w:lang w:val="en-GB"/>
        </w:rPr>
        <w:t xml:space="preserve">the </w:t>
      </w:r>
      <w:r w:rsidR="002843C1">
        <w:rPr>
          <w:rFonts w:ascii="Times New Roman" w:eastAsia="Times New Roman" w:hAnsi="Times New Roman" w:cs="Times New Roman"/>
          <w:noProof/>
          <w:sz w:val="24"/>
          <w:szCs w:val="24"/>
          <w:lang w:val="en-GB"/>
        </w:rPr>
        <w:t xml:space="preserve">EU average in 2010 to 55% in 2020. The gap in consumer price level to EU average has remained relatively unchanged in the last ten years, with overall prices at 55% of EU average in 2020. </w:t>
      </w:r>
      <w:r w:rsidR="00317DE6">
        <w:rPr>
          <w:rFonts w:ascii="Times New Roman" w:eastAsia="Times New Roman" w:hAnsi="Times New Roman" w:cs="Times New Roman"/>
          <w:noProof/>
          <w:sz w:val="24"/>
          <w:szCs w:val="24"/>
          <w:lang w:val="en-GB"/>
        </w:rPr>
        <w:t>Bu</w:t>
      </w:r>
      <w:r w:rsidR="00624655">
        <w:rPr>
          <w:rFonts w:ascii="Times New Roman" w:eastAsia="Times New Roman" w:hAnsi="Times New Roman" w:cs="Times New Roman"/>
          <w:noProof/>
          <w:sz w:val="24"/>
          <w:szCs w:val="24"/>
          <w:lang w:val="en-GB"/>
        </w:rPr>
        <w:t xml:space="preserve">lgaria </w:t>
      </w:r>
      <w:r w:rsidRPr="00E76013">
        <w:rPr>
          <w:rFonts w:ascii="Times New Roman" w:eastAsia="Times New Roman" w:hAnsi="Times New Roman" w:cs="Times New Roman"/>
          <w:noProof/>
          <w:sz w:val="24"/>
          <w:szCs w:val="24"/>
          <w:lang w:val="en-GB"/>
        </w:rPr>
        <w:t xml:space="preserve">has one of the highest levels of poverty and income inequality and a weak performing health system characterized by limited </w:t>
      </w:r>
      <w:r w:rsidR="008253E5">
        <w:rPr>
          <w:rFonts w:ascii="Times New Roman" w:eastAsia="Times New Roman" w:hAnsi="Times New Roman" w:cs="Times New Roman"/>
          <w:noProof/>
          <w:sz w:val="24"/>
          <w:szCs w:val="24"/>
          <w:lang w:val="en-GB"/>
        </w:rPr>
        <w:t xml:space="preserve">and unequal </w:t>
      </w:r>
      <w:r w:rsidRPr="00E76013">
        <w:rPr>
          <w:rFonts w:ascii="Times New Roman" w:eastAsia="Times New Roman" w:hAnsi="Times New Roman" w:cs="Times New Roman"/>
          <w:noProof/>
          <w:sz w:val="24"/>
          <w:szCs w:val="24"/>
          <w:lang w:val="en-GB"/>
        </w:rPr>
        <w:t xml:space="preserve">access to healthcare services. Broad-based structural reforms are needed to boost productivity and to achieve sustainable and inclusive growth. </w:t>
      </w:r>
    </w:p>
    <w:p w14:paraId="725CE714" w14:textId="43B2A2D0"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In the longer term, adverse demographic developments and high inactivity rates pose significant risks.</w:t>
      </w:r>
      <w:r w:rsidRPr="00E76013">
        <w:rPr>
          <w:rFonts w:ascii="Times New Roman" w:eastAsia="Times New Roman" w:hAnsi="Times New Roman" w:cs="Times New Roman"/>
          <w:noProof/>
          <w:sz w:val="24"/>
          <w:szCs w:val="24"/>
          <w:lang w:val="en-GB"/>
        </w:rPr>
        <w:t xml:space="preserve"> Bulgaria is facing a double-trend of an ageing and rapidly shrinking population, which decreased by around 10% over the past decade</w:t>
      </w:r>
      <w:r w:rsidR="00E1484F" w:rsidRPr="00E76013">
        <w:rPr>
          <w:rFonts w:ascii="Times New Roman" w:eastAsia="Times New Roman" w:hAnsi="Times New Roman" w:cs="Times New Roman"/>
          <w:noProof/>
          <w:sz w:val="24"/>
          <w:szCs w:val="24"/>
          <w:lang w:val="en-GB"/>
        </w:rPr>
        <w:t xml:space="preserve">, according to the </w:t>
      </w:r>
      <w:r w:rsidR="009958D6">
        <w:rPr>
          <w:rFonts w:ascii="Times New Roman" w:eastAsia="Times New Roman" w:hAnsi="Times New Roman" w:cs="Times New Roman"/>
          <w:noProof/>
          <w:sz w:val="24"/>
          <w:szCs w:val="24"/>
          <w:lang w:val="en-GB"/>
        </w:rPr>
        <w:t>preliminary</w:t>
      </w:r>
      <w:r w:rsidR="009958D6" w:rsidRPr="00E76013">
        <w:rPr>
          <w:rFonts w:ascii="Times New Roman" w:eastAsia="Times New Roman" w:hAnsi="Times New Roman" w:cs="Times New Roman"/>
          <w:noProof/>
          <w:sz w:val="24"/>
          <w:szCs w:val="24"/>
          <w:lang w:val="en-GB"/>
        </w:rPr>
        <w:t xml:space="preserve"> </w:t>
      </w:r>
      <w:r w:rsidR="00E1484F" w:rsidRPr="00E76013">
        <w:rPr>
          <w:rFonts w:ascii="Times New Roman" w:eastAsia="Times New Roman" w:hAnsi="Times New Roman" w:cs="Times New Roman"/>
          <w:noProof/>
          <w:sz w:val="24"/>
          <w:szCs w:val="24"/>
          <w:lang w:val="en-GB"/>
        </w:rPr>
        <w:t>results of the 2021 population census</w:t>
      </w:r>
      <w:r w:rsidRPr="00E76013">
        <w:rPr>
          <w:rFonts w:ascii="Times New Roman" w:eastAsia="Times New Roman" w:hAnsi="Times New Roman" w:cs="Times New Roman"/>
          <w:noProof/>
          <w:sz w:val="24"/>
          <w:szCs w:val="24"/>
          <w:lang w:val="en-GB"/>
        </w:rPr>
        <w:t xml:space="preserve">. Combined with </w:t>
      </w:r>
      <w:r w:rsidR="00CD1EC5">
        <w:rPr>
          <w:rFonts w:ascii="Times New Roman" w:eastAsia="Times New Roman" w:hAnsi="Times New Roman" w:cs="Times New Roman"/>
          <w:noProof/>
          <w:sz w:val="24"/>
          <w:szCs w:val="24"/>
          <w:lang w:val="en-GB"/>
        </w:rPr>
        <w:t>the</w:t>
      </w:r>
      <w:r w:rsidRPr="00E76013">
        <w:rPr>
          <w:rFonts w:ascii="Times New Roman" w:eastAsia="Times New Roman" w:hAnsi="Times New Roman" w:cs="Times New Roman"/>
          <w:noProof/>
          <w:sz w:val="24"/>
          <w:szCs w:val="24"/>
          <w:lang w:val="en-GB"/>
        </w:rPr>
        <w:t xml:space="preserve"> high inactivity rates for some groups, notably those living in rural and underserved areas, this remains a key challenge for achieving a fair and inclusive recovery.</w:t>
      </w:r>
    </w:p>
    <w:p w14:paraId="7119D915" w14:textId="42719C1F" w:rsidR="00C71C4D" w:rsidRPr="00E76013" w:rsidDel="0081779F" w:rsidRDefault="00C71C4D" w:rsidP="00C21B94">
      <w:pPr>
        <w:spacing w:line="276" w:lineRule="auto"/>
        <w:jc w:val="both"/>
        <w:rPr>
          <w:rFonts w:ascii="Times New Roman" w:eastAsia="Times New Roman" w:hAnsi="Times New Roman" w:cs="Times New Roman"/>
          <w:noProof/>
          <w:sz w:val="24"/>
          <w:szCs w:val="24"/>
          <w:lang w:val="en-GB"/>
        </w:rPr>
      </w:pPr>
      <w:r w:rsidRPr="00E76013" w:rsidDel="0081779F">
        <w:rPr>
          <w:rFonts w:ascii="Times New Roman" w:eastAsia="Times New Roman" w:hAnsi="Times New Roman" w:cs="Times New Roman"/>
          <w:b/>
          <w:noProof/>
          <w:sz w:val="24"/>
          <w:szCs w:val="24"/>
          <w:lang w:val="en-GB"/>
        </w:rPr>
        <w:t xml:space="preserve">Bulgaria </w:t>
      </w:r>
      <w:r w:rsidR="00DE2F55" w:rsidRPr="00E76013">
        <w:rPr>
          <w:rFonts w:ascii="Times New Roman" w:eastAsia="Times New Roman" w:hAnsi="Times New Roman" w:cs="Times New Roman"/>
          <w:b/>
          <w:noProof/>
          <w:sz w:val="24"/>
          <w:szCs w:val="24"/>
          <w:lang w:val="en-GB"/>
        </w:rPr>
        <w:t>entered</w:t>
      </w:r>
      <w:r w:rsidRPr="00E76013" w:rsidDel="0081779F">
        <w:rPr>
          <w:rFonts w:ascii="Times New Roman" w:eastAsia="Times New Roman" w:hAnsi="Times New Roman" w:cs="Times New Roman"/>
          <w:b/>
          <w:noProof/>
          <w:sz w:val="24"/>
          <w:szCs w:val="24"/>
          <w:lang w:val="en-GB"/>
        </w:rPr>
        <w:t xml:space="preserve"> the COVID-19 crisis </w:t>
      </w:r>
      <w:r w:rsidR="00DE2F55" w:rsidRPr="00E76013">
        <w:rPr>
          <w:rFonts w:ascii="Times New Roman" w:eastAsia="Times New Roman" w:hAnsi="Times New Roman" w:cs="Times New Roman"/>
          <w:b/>
          <w:noProof/>
          <w:sz w:val="24"/>
          <w:szCs w:val="24"/>
          <w:lang w:val="en-GB"/>
        </w:rPr>
        <w:t>with</w:t>
      </w:r>
      <w:r w:rsidRPr="00E76013" w:rsidDel="0081779F">
        <w:rPr>
          <w:rFonts w:ascii="Times New Roman" w:eastAsia="Times New Roman" w:hAnsi="Times New Roman" w:cs="Times New Roman"/>
          <w:b/>
          <w:noProof/>
          <w:sz w:val="24"/>
          <w:szCs w:val="24"/>
          <w:lang w:val="en-GB"/>
        </w:rPr>
        <w:t xml:space="preserve"> a strong fiscal position.</w:t>
      </w:r>
      <w:r w:rsidRPr="00E76013" w:rsidDel="0081779F">
        <w:rPr>
          <w:rFonts w:ascii="Times New Roman" w:eastAsia="Times New Roman" w:hAnsi="Times New Roman" w:cs="Times New Roman"/>
          <w:noProof/>
          <w:sz w:val="24"/>
          <w:szCs w:val="24"/>
          <w:lang w:val="en-GB"/>
        </w:rPr>
        <w:t xml:space="preserve"> The general government budget was in surplus since 2016. Rising revenues from taxes and social security contributions counterbalanced </w:t>
      </w:r>
      <w:r w:rsidR="00C90533" w:rsidRPr="00E76013" w:rsidDel="0081779F">
        <w:rPr>
          <w:rFonts w:ascii="Times New Roman" w:eastAsia="Times New Roman" w:hAnsi="Times New Roman" w:cs="Times New Roman"/>
          <w:noProof/>
          <w:sz w:val="24"/>
          <w:szCs w:val="24"/>
          <w:lang w:val="en-GB"/>
        </w:rPr>
        <w:t xml:space="preserve">increases in expenditure </w:t>
      </w:r>
      <w:r w:rsidR="00DE2F55" w:rsidRPr="00E76013">
        <w:rPr>
          <w:rFonts w:ascii="Times New Roman" w:eastAsia="Times New Roman" w:hAnsi="Times New Roman" w:cs="Times New Roman"/>
          <w:noProof/>
          <w:sz w:val="24"/>
          <w:szCs w:val="24"/>
          <w:lang w:val="en-GB"/>
        </w:rPr>
        <w:t xml:space="preserve">that were </w:t>
      </w:r>
      <w:r w:rsidR="00C90533" w:rsidRPr="00E76013" w:rsidDel="0081779F">
        <w:rPr>
          <w:rFonts w:ascii="Times New Roman" w:eastAsia="Times New Roman" w:hAnsi="Times New Roman" w:cs="Times New Roman"/>
          <w:noProof/>
          <w:sz w:val="24"/>
          <w:szCs w:val="24"/>
          <w:lang w:val="en-GB"/>
        </w:rPr>
        <w:t xml:space="preserve">mainly due </w:t>
      </w:r>
      <w:r w:rsidRPr="00E76013" w:rsidDel="0081779F">
        <w:rPr>
          <w:rFonts w:ascii="Times New Roman" w:eastAsia="Times New Roman" w:hAnsi="Times New Roman" w:cs="Times New Roman"/>
          <w:noProof/>
          <w:sz w:val="24"/>
          <w:szCs w:val="24"/>
          <w:lang w:val="en-GB"/>
        </w:rPr>
        <w:t xml:space="preserve">to higher public </w:t>
      </w:r>
      <w:r w:rsidRPr="35804D96">
        <w:rPr>
          <w:rFonts w:ascii="Times New Roman" w:eastAsia="Times New Roman" w:hAnsi="Times New Roman" w:cs="Times New Roman"/>
          <w:noProof/>
          <w:sz w:val="24"/>
          <w:szCs w:val="24"/>
          <w:lang w:val="en-GB"/>
        </w:rPr>
        <w:t>wage</w:t>
      </w:r>
      <w:r w:rsidR="00146F29" w:rsidRPr="35804D96">
        <w:rPr>
          <w:rFonts w:ascii="Times New Roman" w:eastAsia="Times New Roman" w:hAnsi="Times New Roman" w:cs="Times New Roman"/>
          <w:noProof/>
          <w:sz w:val="24"/>
          <w:szCs w:val="24"/>
          <w:lang w:val="en-GB"/>
        </w:rPr>
        <w:t>s</w:t>
      </w:r>
      <w:r w:rsidRPr="00E76013" w:rsidDel="0081779F">
        <w:rPr>
          <w:rFonts w:ascii="Times New Roman" w:eastAsia="Times New Roman" w:hAnsi="Times New Roman" w:cs="Times New Roman"/>
          <w:noProof/>
          <w:sz w:val="24"/>
          <w:szCs w:val="24"/>
          <w:lang w:val="en-GB"/>
        </w:rPr>
        <w:t xml:space="preserve"> and a partial recovery in public investment. In 2020, the COVID-19 pandemic pushed </w:t>
      </w:r>
      <w:r w:rsidR="00DE2F55" w:rsidRPr="00E76013">
        <w:rPr>
          <w:rFonts w:ascii="Times New Roman" w:eastAsia="Times New Roman" w:hAnsi="Times New Roman" w:cs="Times New Roman"/>
          <w:noProof/>
          <w:sz w:val="24"/>
          <w:szCs w:val="24"/>
          <w:lang w:val="en-GB"/>
        </w:rPr>
        <w:t xml:space="preserve">the </w:t>
      </w:r>
      <w:r w:rsidRPr="00E76013" w:rsidDel="0081779F">
        <w:rPr>
          <w:rFonts w:ascii="Times New Roman" w:eastAsia="Times New Roman" w:hAnsi="Times New Roman" w:cs="Times New Roman"/>
          <w:noProof/>
          <w:sz w:val="24"/>
          <w:szCs w:val="24"/>
          <w:lang w:val="en-GB"/>
        </w:rPr>
        <w:t>general government balance down. Revenues fell due to the economic downturn</w:t>
      </w:r>
      <w:r w:rsidR="00DE2F55" w:rsidRPr="00E76013">
        <w:rPr>
          <w:rFonts w:ascii="Times New Roman" w:eastAsia="Times New Roman" w:hAnsi="Times New Roman" w:cs="Times New Roman"/>
          <w:noProof/>
          <w:sz w:val="24"/>
          <w:szCs w:val="24"/>
          <w:lang w:val="en-GB"/>
        </w:rPr>
        <w:t xml:space="preserve"> and</w:t>
      </w:r>
      <w:r w:rsidRPr="00E76013" w:rsidDel="0081779F">
        <w:rPr>
          <w:rFonts w:ascii="Times New Roman" w:eastAsia="Times New Roman" w:hAnsi="Times New Roman" w:cs="Times New Roman"/>
          <w:noProof/>
          <w:sz w:val="24"/>
          <w:szCs w:val="24"/>
          <w:lang w:val="en-GB"/>
        </w:rPr>
        <w:t xml:space="preserve"> expenditure increased to address </w:t>
      </w:r>
      <w:r w:rsidR="00146F29">
        <w:rPr>
          <w:rFonts w:ascii="Times New Roman" w:eastAsia="Times New Roman" w:hAnsi="Times New Roman" w:cs="Times New Roman"/>
          <w:noProof/>
          <w:sz w:val="24"/>
          <w:szCs w:val="24"/>
          <w:lang w:val="en-GB"/>
        </w:rPr>
        <w:t>the</w:t>
      </w:r>
      <w:r w:rsidRPr="00E76013" w:rsidDel="0081779F">
        <w:rPr>
          <w:rFonts w:ascii="Times New Roman" w:eastAsia="Times New Roman" w:hAnsi="Times New Roman" w:cs="Times New Roman"/>
          <w:noProof/>
          <w:sz w:val="24"/>
          <w:szCs w:val="24"/>
          <w:lang w:val="en-GB"/>
        </w:rPr>
        <w:t xml:space="preserve"> social and econ</w:t>
      </w:r>
      <w:r w:rsidR="00C90533" w:rsidRPr="00E76013" w:rsidDel="0081779F">
        <w:rPr>
          <w:rFonts w:ascii="Times New Roman" w:eastAsia="Times New Roman" w:hAnsi="Times New Roman" w:cs="Times New Roman"/>
          <w:noProof/>
          <w:sz w:val="24"/>
          <w:szCs w:val="24"/>
          <w:lang w:val="en-GB"/>
        </w:rPr>
        <w:t xml:space="preserve">omic consequences of the crisis, while </w:t>
      </w:r>
      <w:r w:rsidRPr="00E76013" w:rsidDel="0081779F">
        <w:rPr>
          <w:rFonts w:ascii="Times New Roman" w:eastAsia="Times New Roman" w:hAnsi="Times New Roman" w:cs="Times New Roman"/>
          <w:noProof/>
          <w:sz w:val="24"/>
          <w:szCs w:val="24"/>
          <w:lang w:val="en-GB"/>
        </w:rPr>
        <w:t>increases in public wages</w:t>
      </w:r>
      <w:r w:rsidR="00C90533" w:rsidRPr="00E76013" w:rsidDel="0081779F">
        <w:rPr>
          <w:rFonts w:ascii="Times New Roman" w:eastAsia="Times New Roman" w:hAnsi="Times New Roman" w:cs="Times New Roman"/>
          <w:noProof/>
          <w:sz w:val="24"/>
          <w:szCs w:val="24"/>
          <w:lang w:val="en-GB"/>
        </w:rPr>
        <w:t xml:space="preserve"> continued</w:t>
      </w:r>
      <w:r w:rsidRPr="00E76013" w:rsidDel="0081779F">
        <w:rPr>
          <w:rFonts w:ascii="Times New Roman" w:eastAsia="Times New Roman" w:hAnsi="Times New Roman" w:cs="Times New Roman"/>
          <w:noProof/>
          <w:sz w:val="24"/>
          <w:szCs w:val="24"/>
          <w:lang w:val="en-GB"/>
        </w:rPr>
        <w:t>.</w:t>
      </w:r>
      <w:r w:rsidR="00C90533" w:rsidRPr="00E76013" w:rsidDel="0081779F">
        <w:rPr>
          <w:rFonts w:ascii="Times New Roman" w:eastAsia="Times New Roman" w:hAnsi="Times New Roman" w:cs="Times New Roman"/>
          <w:noProof/>
          <w:sz w:val="24"/>
          <w:szCs w:val="24"/>
          <w:lang w:val="en-GB"/>
        </w:rPr>
        <w:t xml:space="preserve"> Mainly as a result of these developments</w:t>
      </w:r>
      <w:r w:rsidR="00621CBD">
        <w:rPr>
          <w:rFonts w:ascii="Times New Roman" w:eastAsia="Times New Roman" w:hAnsi="Times New Roman" w:cs="Times New Roman"/>
          <w:noProof/>
          <w:sz w:val="24"/>
          <w:szCs w:val="24"/>
          <w:lang w:val="en-GB"/>
        </w:rPr>
        <w:t>,</w:t>
      </w:r>
      <w:r w:rsidR="00C90533" w:rsidRPr="00E76013" w:rsidDel="0081779F">
        <w:rPr>
          <w:rFonts w:ascii="Times New Roman" w:eastAsia="Times New Roman" w:hAnsi="Times New Roman" w:cs="Times New Roman"/>
          <w:noProof/>
          <w:sz w:val="24"/>
          <w:szCs w:val="24"/>
          <w:lang w:val="en-GB"/>
        </w:rPr>
        <w:t xml:space="preserve"> the general government budget registered a deficit of 4% of GDP in 2020 against a surplus of 2.1% of GDP in the previous year. The </w:t>
      </w:r>
      <w:r w:rsidRPr="00E76013" w:rsidDel="0081779F">
        <w:rPr>
          <w:rFonts w:ascii="Times New Roman" w:eastAsia="Times New Roman" w:hAnsi="Times New Roman" w:cs="Times New Roman"/>
          <w:noProof/>
          <w:sz w:val="24"/>
          <w:szCs w:val="24"/>
          <w:lang w:val="en-GB"/>
        </w:rPr>
        <w:t xml:space="preserve">Commission </w:t>
      </w:r>
      <w:r w:rsidR="00C90533" w:rsidRPr="00E76013" w:rsidDel="0081779F">
        <w:rPr>
          <w:rFonts w:ascii="Times New Roman" w:eastAsia="Times New Roman" w:hAnsi="Times New Roman" w:cs="Times New Roman"/>
          <w:noProof/>
          <w:sz w:val="24"/>
          <w:szCs w:val="24"/>
          <w:lang w:val="en-GB"/>
        </w:rPr>
        <w:t>2021</w:t>
      </w:r>
      <w:r w:rsidRPr="00E76013" w:rsidDel="0081779F">
        <w:rPr>
          <w:rFonts w:ascii="Times New Roman" w:eastAsia="Times New Roman" w:hAnsi="Times New Roman" w:cs="Times New Roman"/>
          <w:noProof/>
          <w:sz w:val="24"/>
          <w:szCs w:val="24"/>
          <w:lang w:val="en-GB"/>
        </w:rPr>
        <w:t xml:space="preserve"> autumn economic forecast </w:t>
      </w:r>
      <w:r w:rsidRPr="00E76013">
        <w:rPr>
          <w:rFonts w:ascii="Times New Roman" w:eastAsia="Times New Roman" w:hAnsi="Times New Roman" w:cs="Times New Roman"/>
          <w:noProof/>
          <w:sz w:val="24"/>
          <w:szCs w:val="24"/>
          <w:lang w:val="en-GB"/>
        </w:rPr>
        <w:t>estimated</w:t>
      </w:r>
      <w:r w:rsidRPr="00E76013" w:rsidDel="0081779F">
        <w:rPr>
          <w:rFonts w:ascii="Times New Roman" w:eastAsia="Times New Roman" w:hAnsi="Times New Roman" w:cs="Times New Roman"/>
          <w:noProof/>
          <w:sz w:val="24"/>
          <w:szCs w:val="24"/>
          <w:lang w:val="en-GB"/>
        </w:rPr>
        <w:t xml:space="preserve"> the general government deficit at 3</w:t>
      </w:r>
      <w:r w:rsidR="00696DDA" w:rsidRPr="00E76013" w:rsidDel="0081779F">
        <w:rPr>
          <w:rFonts w:ascii="Times New Roman" w:eastAsia="Times New Roman" w:hAnsi="Times New Roman" w:cs="Times New Roman"/>
          <w:noProof/>
          <w:sz w:val="24"/>
          <w:szCs w:val="24"/>
          <w:lang w:val="en-GB"/>
        </w:rPr>
        <w:t>.6</w:t>
      </w:r>
      <w:r w:rsidRPr="00E76013" w:rsidDel="0081779F">
        <w:rPr>
          <w:rFonts w:ascii="Times New Roman" w:eastAsia="Times New Roman" w:hAnsi="Times New Roman" w:cs="Times New Roman"/>
          <w:noProof/>
          <w:sz w:val="24"/>
          <w:szCs w:val="24"/>
          <w:lang w:val="en-GB"/>
        </w:rPr>
        <w:t>% of GDP in 2021</w:t>
      </w:r>
      <w:r w:rsidR="00621CBD">
        <w:rPr>
          <w:rFonts w:ascii="Times New Roman" w:eastAsia="Times New Roman" w:hAnsi="Times New Roman" w:cs="Times New Roman"/>
          <w:noProof/>
          <w:sz w:val="24"/>
          <w:szCs w:val="24"/>
          <w:lang w:val="en-GB"/>
        </w:rPr>
        <w:t>, which is</w:t>
      </w:r>
      <w:r w:rsidR="00696DDA" w:rsidRPr="00E76013" w:rsidDel="0081779F">
        <w:rPr>
          <w:rFonts w:ascii="Times New Roman" w:eastAsia="Times New Roman" w:hAnsi="Times New Roman" w:cs="Times New Roman"/>
          <w:noProof/>
          <w:sz w:val="24"/>
          <w:szCs w:val="24"/>
          <w:lang w:val="en-GB"/>
        </w:rPr>
        <w:t xml:space="preserve"> </w:t>
      </w:r>
      <w:r w:rsidR="00621CBD">
        <w:rPr>
          <w:rFonts w:ascii="Times New Roman" w:eastAsia="Times New Roman" w:hAnsi="Times New Roman" w:cs="Times New Roman"/>
          <w:noProof/>
          <w:sz w:val="24"/>
          <w:szCs w:val="24"/>
          <w:lang w:val="en-GB"/>
        </w:rPr>
        <w:t>an improvement</w:t>
      </w:r>
      <w:r w:rsidR="00696DDA" w:rsidRPr="00E76013" w:rsidDel="0081779F">
        <w:rPr>
          <w:rFonts w:ascii="Times New Roman" w:eastAsia="Times New Roman" w:hAnsi="Times New Roman" w:cs="Times New Roman"/>
          <w:noProof/>
          <w:sz w:val="24"/>
          <w:szCs w:val="24"/>
          <w:lang w:val="en-GB"/>
        </w:rPr>
        <w:t xml:space="preserve"> but still above the 3% of GDP</w:t>
      </w:r>
      <w:r w:rsidR="00621CBD">
        <w:rPr>
          <w:rFonts w:ascii="Times New Roman" w:eastAsia="Times New Roman" w:hAnsi="Times New Roman" w:cs="Times New Roman"/>
          <w:noProof/>
          <w:sz w:val="24"/>
          <w:szCs w:val="24"/>
          <w:lang w:val="en-GB"/>
        </w:rPr>
        <w:t>, mainly due to</w:t>
      </w:r>
      <w:r w:rsidR="00696DDA" w:rsidRPr="00E76013" w:rsidDel="0081779F">
        <w:rPr>
          <w:rFonts w:ascii="Times New Roman" w:eastAsia="Times New Roman" w:hAnsi="Times New Roman" w:cs="Times New Roman"/>
          <w:noProof/>
          <w:sz w:val="24"/>
          <w:szCs w:val="24"/>
          <w:lang w:val="en-GB"/>
        </w:rPr>
        <w:t xml:space="preserve"> the </w:t>
      </w:r>
      <w:r w:rsidR="00621CBD" w:rsidRPr="00E76013" w:rsidDel="0081779F">
        <w:rPr>
          <w:rFonts w:ascii="Times New Roman" w:eastAsia="Times New Roman" w:hAnsi="Times New Roman" w:cs="Times New Roman"/>
          <w:noProof/>
          <w:sz w:val="24"/>
          <w:szCs w:val="24"/>
          <w:lang w:val="en-GB"/>
        </w:rPr>
        <w:t>continued</w:t>
      </w:r>
      <w:r w:rsidR="00696DDA" w:rsidRPr="00E76013" w:rsidDel="0081779F">
        <w:rPr>
          <w:rFonts w:ascii="Times New Roman" w:eastAsia="Times New Roman" w:hAnsi="Times New Roman" w:cs="Times New Roman"/>
          <w:noProof/>
          <w:sz w:val="24"/>
          <w:szCs w:val="24"/>
          <w:lang w:val="en-GB"/>
        </w:rPr>
        <w:t xml:space="preserve"> COVID-19 emergency support measures and new permanent social measures. </w:t>
      </w:r>
      <w:r w:rsidRPr="00E76013" w:rsidDel="0081779F">
        <w:rPr>
          <w:rFonts w:ascii="Times New Roman" w:eastAsia="Times New Roman" w:hAnsi="Times New Roman" w:cs="Times New Roman"/>
          <w:noProof/>
          <w:sz w:val="24"/>
          <w:szCs w:val="24"/>
          <w:lang w:val="en-GB"/>
        </w:rPr>
        <w:t>The general government debt</w:t>
      </w:r>
      <w:r w:rsidR="00EE0F77" w:rsidRPr="00E76013" w:rsidDel="0081779F">
        <w:rPr>
          <w:rFonts w:ascii="Times New Roman" w:eastAsia="Times New Roman" w:hAnsi="Times New Roman" w:cs="Times New Roman"/>
          <w:noProof/>
          <w:sz w:val="24"/>
          <w:szCs w:val="24"/>
          <w:lang w:val="en-GB"/>
        </w:rPr>
        <w:t>, which increased by almost 5 pp</w:t>
      </w:r>
      <w:r w:rsidR="00F45E8C" w:rsidRPr="00E76013" w:rsidDel="0081779F">
        <w:rPr>
          <w:rFonts w:ascii="Times New Roman" w:eastAsia="Times New Roman" w:hAnsi="Times New Roman" w:cs="Times New Roman"/>
          <w:noProof/>
          <w:sz w:val="24"/>
          <w:szCs w:val="24"/>
          <w:lang w:val="en-GB"/>
        </w:rPr>
        <w:t xml:space="preserve">, </w:t>
      </w:r>
      <w:r w:rsidR="00EE0F77" w:rsidRPr="00E76013" w:rsidDel="0081779F">
        <w:rPr>
          <w:rFonts w:ascii="Times New Roman" w:eastAsia="Times New Roman" w:hAnsi="Times New Roman" w:cs="Times New Roman"/>
          <w:noProof/>
          <w:sz w:val="24"/>
          <w:szCs w:val="24"/>
          <w:lang w:val="en-GB"/>
        </w:rPr>
        <w:t xml:space="preserve">to 24.7% of GDP </w:t>
      </w:r>
      <w:r w:rsidRPr="00E76013" w:rsidDel="0081779F">
        <w:rPr>
          <w:rFonts w:ascii="Times New Roman" w:eastAsia="Times New Roman" w:hAnsi="Times New Roman" w:cs="Times New Roman"/>
          <w:noProof/>
          <w:sz w:val="24"/>
          <w:szCs w:val="24"/>
          <w:lang w:val="en-GB"/>
        </w:rPr>
        <w:t>in 2020</w:t>
      </w:r>
      <w:r w:rsidR="00CA40E4" w:rsidRPr="00E76013" w:rsidDel="0081779F">
        <w:rPr>
          <w:rFonts w:ascii="Times New Roman" w:eastAsia="Times New Roman" w:hAnsi="Times New Roman" w:cs="Times New Roman"/>
          <w:noProof/>
          <w:sz w:val="24"/>
          <w:szCs w:val="24"/>
          <w:lang w:val="en-GB"/>
        </w:rPr>
        <w:t>,</w:t>
      </w:r>
      <w:r w:rsidRPr="00E76013" w:rsidDel="0081779F">
        <w:rPr>
          <w:rFonts w:ascii="Times New Roman" w:eastAsia="Times New Roman" w:hAnsi="Times New Roman" w:cs="Times New Roman"/>
          <w:noProof/>
          <w:sz w:val="24"/>
          <w:szCs w:val="24"/>
          <w:lang w:val="en-GB"/>
        </w:rPr>
        <w:t xml:space="preserve"> is estimated </w:t>
      </w:r>
      <w:r w:rsidR="00EE0F77" w:rsidRPr="00E76013" w:rsidDel="0081779F">
        <w:rPr>
          <w:rFonts w:ascii="Times New Roman" w:eastAsia="Times New Roman" w:hAnsi="Times New Roman" w:cs="Times New Roman"/>
          <w:noProof/>
          <w:sz w:val="24"/>
          <w:szCs w:val="24"/>
          <w:lang w:val="en-GB"/>
        </w:rPr>
        <w:t xml:space="preserve">to </w:t>
      </w:r>
      <w:r w:rsidR="00DC25EC">
        <w:rPr>
          <w:rFonts w:ascii="Times New Roman" w:eastAsia="Times New Roman" w:hAnsi="Times New Roman" w:cs="Times New Roman"/>
          <w:noProof/>
          <w:sz w:val="24"/>
          <w:szCs w:val="24"/>
          <w:lang w:val="en-GB"/>
        </w:rPr>
        <w:t xml:space="preserve">have </w:t>
      </w:r>
      <w:r w:rsidR="00EE0F77" w:rsidRPr="00E76013" w:rsidDel="0081779F">
        <w:rPr>
          <w:rFonts w:ascii="Times New Roman" w:eastAsia="Times New Roman" w:hAnsi="Times New Roman" w:cs="Times New Roman"/>
          <w:noProof/>
          <w:sz w:val="24"/>
          <w:szCs w:val="24"/>
          <w:lang w:val="en-GB"/>
        </w:rPr>
        <w:t xml:space="preserve">further </w:t>
      </w:r>
      <w:r w:rsidR="00EE0F77" w:rsidRPr="35804D96">
        <w:rPr>
          <w:rFonts w:ascii="Times New Roman" w:eastAsia="Times New Roman" w:hAnsi="Times New Roman" w:cs="Times New Roman"/>
          <w:noProof/>
          <w:sz w:val="24"/>
          <w:szCs w:val="24"/>
          <w:lang w:val="en-GB"/>
        </w:rPr>
        <w:t>increase</w:t>
      </w:r>
      <w:r w:rsidR="00DC25EC" w:rsidRPr="35804D96">
        <w:rPr>
          <w:rFonts w:ascii="Times New Roman" w:eastAsia="Times New Roman" w:hAnsi="Times New Roman" w:cs="Times New Roman"/>
          <w:noProof/>
          <w:sz w:val="24"/>
          <w:szCs w:val="24"/>
          <w:lang w:val="en-GB"/>
        </w:rPr>
        <w:t>d</w:t>
      </w:r>
      <w:r w:rsidR="00EE0F77" w:rsidRPr="00E76013" w:rsidDel="0081779F">
        <w:rPr>
          <w:rFonts w:ascii="Times New Roman" w:eastAsia="Times New Roman" w:hAnsi="Times New Roman" w:cs="Times New Roman"/>
          <w:noProof/>
          <w:sz w:val="24"/>
          <w:szCs w:val="24"/>
          <w:lang w:val="en-GB"/>
        </w:rPr>
        <w:t xml:space="preserve"> to around 27% of GDP in 2021</w:t>
      </w:r>
      <w:r w:rsidR="00771DF9" w:rsidRPr="00E76013">
        <w:rPr>
          <w:rFonts w:ascii="Times New Roman" w:eastAsia="Times New Roman" w:hAnsi="Times New Roman" w:cs="Times New Roman"/>
          <w:noProof/>
          <w:sz w:val="24"/>
          <w:szCs w:val="24"/>
          <w:lang w:val="en-GB"/>
        </w:rPr>
        <w:t>.</w:t>
      </w:r>
    </w:p>
    <w:p w14:paraId="07A9ED59" w14:textId="77E79EA6"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w:t>
      </w:r>
      <w:r w:rsidR="00D9683C" w:rsidRPr="00E76013">
        <w:rPr>
          <w:rFonts w:ascii="Times New Roman" w:eastAsia="Times New Roman" w:hAnsi="Times New Roman" w:cs="Times New Roman"/>
          <w:b/>
          <w:bCs/>
          <w:noProof/>
          <w:sz w:val="24"/>
          <w:szCs w:val="24"/>
          <w:lang w:val="en-GB"/>
        </w:rPr>
        <w:t>authorities’</w:t>
      </w:r>
      <w:r w:rsidR="2FC771EF"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b/>
          <w:noProof/>
          <w:sz w:val="24"/>
          <w:szCs w:val="24"/>
          <w:lang w:val="en-GB"/>
        </w:rPr>
        <w:t xml:space="preserve">macroeconomic scenario </w:t>
      </w:r>
      <w:r w:rsidR="2FC771EF" w:rsidRPr="00E76013">
        <w:rPr>
          <w:rFonts w:ascii="Times New Roman" w:eastAsia="Times New Roman" w:hAnsi="Times New Roman" w:cs="Times New Roman"/>
          <w:b/>
          <w:bCs/>
          <w:noProof/>
          <w:sz w:val="24"/>
          <w:szCs w:val="24"/>
          <w:lang w:val="en-GB"/>
        </w:rPr>
        <w:t>in</w:t>
      </w:r>
      <w:r w:rsidRPr="00E76013">
        <w:rPr>
          <w:rFonts w:ascii="Times New Roman" w:eastAsia="Times New Roman" w:hAnsi="Times New Roman" w:cs="Times New Roman"/>
          <w:b/>
          <w:noProof/>
          <w:sz w:val="24"/>
          <w:szCs w:val="24"/>
          <w:lang w:val="en-GB"/>
        </w:rPr>
        <w:t xml:space="preserve"> the Medium-term fiscal framework (MFF) is more favourable</w:t>
      </w:r>
      <w:r w:rsidR="2FC771EF" w:rsidRPr="00E76013">
        <w:rPr>
          <w:rFonts w:ascii="Times New Roman" w:eastAsia="Times New Roman" w:hAnsi="Times New Roman" w:cs="Times New Roman"/>
          <w:b/>
          <w:bCs/>
          <w:noProof/>
          <w:sz w:val="24"/>
          <w:szCs w:val="24"/>
          <w:lang w:val="en-GB"/>
        </w:rPr>
        <w:t xml:space="preserve"> than the Commission’s projections.</w:t>
      </w:r>
      <w:r w:rsidRPr="00E76013">
        <w:rPr>
          <w:rFonts w:ascii="Times New Roman" w:eastAsia="Times New Roman" w:hAnsi="Times New Roman" w:cs="Times New Roman"/>
          <w:noProof/>
          <w:sz w:val="24"/>
          <w:szCs w:val="24"/>
          <w:lang w:val="en-GB"/>
        </w:rPr>
        <w:t xml:space="preserve"> The difference in growth rates for 2022 stems from the more favourable assumptions on private consumption and investment activity. </w:t>
      </w:r>
      <w:r w:rsidR="00FB3BBF" w:rsidRPr="00E76013">
        <w:rPr>
          <w:rFonts w:ascii="Times New Roman" w:eastAsia="Times New Roman" w:hAnsi="Times New Roman" w:cs="Times New Roman"/>
          <w:noProof/>
          <w:sz w:val="24"/>
          <w:szCs w:val="24"/>
          <w:lang w:val="en-GB"/>
        </w:rPr>
        <w:t xml:space="preserve">In the Ministry of Finance forecast, </w:t>
      </w:r>
      <w:r w:rsidRPr="00E76013">
        <w:rPr>
          <w:rFonts w:ascii="Times New Roman" w:eastAsia="Times New Roman" w:hAnsi="Times New Roman" w:cs="Times New Roman"/>
          <w:noProof/>
          <w:sz w:val="24"/>
          <w:szCs w:val="24"/>
          <w:lang w:val="en-GB"/>
        </w:rPr>
        <w:t xml:space="preserve">GDP is set to grow more rapidly, at 4.8% in 2022. The difference in expected GDP growth comes from both </w:t>
      </w:r>
      <w:r w:rsidR="009C7B5E">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higher private consumption and higher investment. The MFF forecast projects lower consumer price inflation at 5.6% in 2022 and 2.7% in 2023, which may partially account for the more buoyant private consumption. The high investment rate in the MMF forecast stems from the assumed full additionality of privately co-financed investment under the </w:t>
      </w:r>
      <w:r w:rsidR="00EB3F2A"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xml:space="preserve">. </w:t>
      </w:r>
    </w:p>
    <w:p w14:paraId="1D032668" w14:textId="6FB7FF81" w:rsidR="004F6C6A" w:rsidRPr="00E76013" w:rsidRDefault="004F6C6A" w:rsidP="00C21B94">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The expected labour marke</w:t>
      </w:r>
      <w:r w:rsidR="00FB3BBF" w:rsidRPr="00E76013">
        <w:rPr>
          <w:rFonts w:ascii="Times New Roman" w:eastAsia="Times New Roman" w:hAnsi="Times New Roman" w:cs="Times New Roman"/>
          <w:b/>
          <w:noProof/>
          <w:sz w:val="24"/>
          <w:szCs w:val="24"/>
          <w:lang w:val="en-GB"/>
        </w:rPr>
        <w:t>t</w:t>
      </w:r>
      <w:r w:rsidRPr="00E76013">
        <w:rPr>
          <w:rFonts w:ascii="Times New Roman" w:eastAsia="Times New Roman" w:hAnsi="Times New Roman" w:cs="Times New Roman"/>
          <w:b/>
          <w:noProof/>
          <w:sz w:val="24"/>
          <w:szCs w:val="24"/>
          <w:lang w:val="en-GB"/>
        </w:rPr>
        <w:t xml:space="preserve"> developments in the MFF are more favourable than the Commission expectations. </w:t>
      </w:r>
      <w:r w:rsidR="00FB3BBF" w:rsidRPr="00E76013">
        <w:rPr>
          <w:rFonts w:ascii="Times New Roman" w:eastAsia="Times New Roman" w:hAnsi="Times New Roman" w:cs="Times New Roman"/>
          <w:noProof/>
          <w:sz w:val="24"/>
          <w:szCs w:val="24"/>
          <w:lang w:val="en-GB"/>
        </w:rPr>
        <w:t>According to the forecast by the Ministry of Finance,</w:t>
      </w:r>
      <w:r w:rsidR="00FB3BBF" w:rsidRPr="00E76013">
        <w:rPr>
          <w:rFonts w:ascii="Times New Roman" w:eastAsia="Times New Roman" w:hAnsi="Times New Roman" w:cs="Times New Roman"/>
          <w:b/>
          <w:noProof/>
          <w:sz w:val="24"/>
          <w:szCs w:val="24"/>
          <w:lang w:val="en-GB"/>
        </w:rPr>
        <w:t xml:space="preserve"> </w:t>
      </w:r>
      <w:r w:rsidR="00FB3BBF" w:rsidRPr="00E76013">
        <w:rPr>
          <w:rFonts w:ascii="Times New Roman" w:eastAsia="Times New Roman" w:hAnsi="Times New Roman" w:cs="Times New Roman"/>
          <w:noProof/>
          <w:sz w:val="24"/>
          <w:szCs w:val="24"/>
          <w:lang w:val="en-GB"/>
        </w:rPr>
        <w:t>t</w:t>
      </w:r>
      <w:r w:rsidRPr="00E76013">
        <w:rPr>
          <w:rFonts w:ascii="Times New Roman" w:eastAsia="Times New Roman" w:hAnsi="Times New Roman" w:cs="Times New Roman"/>
          <w:noProof/>
          <w:sz w:val="24"/>
          <w:szCs w:val="24"/>
          <w:lang w:val="en-GB"/>
        </w:rPr>
        <w:t>he number of employed is set to increase on average by around 1% in the period 2022-2024 and unemployment rate to decline from 5% in 2022 to 4.</w:t>
      </w:r>
      <w:r w:rsidR="00FB5250" w:rsidRPr="00E76013">
        <w:rPr>
          <w:rFonts w:ascii="Times New Roman" w:eastAsia="Times New Roman" w:hAnsi="Times New Roman" w:cs="Times New Roman"/>
          <w:noProof/>
          <w:sz w:val="24"/>
          <w:szCs w:val="24"/>
          <w:lang w:val="en-GB"/>
        </w:rPr>
        <w:t>6</w:t>
      </w:r>
      <w:r w:rsidRPr="00E76013">
        <w:rPr>
          <w:rFonts w:ascii="Times New Roman" w:eastAsia="Times New Roman" w:hAnsi="Times New Roman" w:cs="Times New Roman"/>
          <w:noProof/>
          <w:sz w:val="24"/>
          <w:szCs w:val="24"/>
          <w:lang w:val="en-GB"/>
        </w:rPr>
        <w:t>% in 202</w:t>
      </w:r>
      <w:r w:rsidR="00FB5250" w:rsidRPr="00E76013">
        <w:rPr>
          <w:rFonts w:ascii="Times New Roman" w:eastAsia="Times New Roman" w:hAnsi="Times New Roman" w:cs="Times New Roman"/>
          <w:noProof/>
          <w:sz w:val="24"/>
          <w:szCs w:val="24"/>
          <w:lang w:val="en-GB"/>
        </w:rPr>
        <w:t>3</w:t>
      </w:r>
      <w:r w:rsidRPr="00E76013">
        <w:rPr>
          <w:rFonts w:ascii="Times New Roman" w:eastAsia="Times New Roman" w:hAnsi="Times New Roman" w:cs="Times New Roman"/>
          <w:noProof/>
          <w:sz w:val="24"/>
          <w:szCs w:val="24"/>
          <w:lang w:val="en-GB"/>
        </w:rPr>
        <w:t xml:space="preserve">. The expected employment growth is above </w:t>
      </w:r>
      <w:r w:rsidR="009C7B5E">
        <w:rPr>
          <w:rFonts w:ascii="Times New Roman" w:eastAsia="Times New Roman" w:hAnsi="Times New Roman" w:cs="Times New Roman"/>
          <w:noProof/>
          <w:sz w:val="24"/>
          <w:szCs w:val="24"/>
          <w:lang w:val="en-GB"/>
        </w:rPr>
        <w:t>the</w:t>
      </w:r>
      <w:r w:rsidRPr="00E76013">
        <w:rPr>
          <w:rFonts w:ascii="Times New Roman" w:eastAsia="Times New Roman" w:hAnsi="Times New Roman" w:cs="Times New Roman"/>
          <w:noProof/>
          <w:sz w:val="24"/>
          <w:szCs w:val="24"/>
          <w:lang w:val="en-GB"/>
        </w:rPr>
        <w:t xml:space="preserve"> Commission forecast, while the reduction in unemployment is broadly in line with that of the Commission. This suggests more favourable labour supply developments in the MFF forecast. The Commission projection acknowledges that the employment growth is limited in the medium term by the negative demographic trends. Another factor that constrains higher employment rates according to the Commission is the shortage of skilled labour, skill mismatches and comparatively low participation rates, combined with stark regional disparities. The MFF macroeconomic scenario envisages </w:t>
      </w:r>
      <w:r w:rsidR="009C7B5E">
        <w:rPr>
          <w:rFonts w:ascii="Times New Roman" w:eastAsia="Times New Roman" w:hAnsi="Times New Roman" w:cs="Times New Roman"/>
          <w:noProof/>
          <w:sz w:val="24"/>
          <w:szCs w:val="24"/>
          <w:lang w:val="en-GB"/>
        </w:rPr>
        <w:t>a</w:t>
      </w:r>
      <w:r w:rsidRPr="00E76013">
        <w:rPr>
          <w:rFonts w:ascii="Times New Roman" w:eastAsia="Times New Roman" w:hAnsi="Times New Roman" w:cs="Times New Roman"/>
          <w:noProof/>
          <w:sz w:val="24"/>
          <w:szCs w:val="24"/>
          <w:lang w:val="en-GB"/>
        </w:rPr>
        <w:t xml:space="preserve"> continued wage growth at 8.1% in 2022, 7.4% in 2023 and 7% in 2024, somewhat below the Commission projections. </w:t>
      </w:r>
    </w:p>
    <w:p w14:paraId="689536C4" w14:textId="2AB069F7" w:rsidR="00B7416E" w:rsidRPr="00E76013" w:rsidRDefault="00B7416E" w:rsidP="00C84127">
      <w:pPr>
        <w:pStyle w:val="Caption"/>
        <w:keepNext/>
        <w:ind w:firstLine="720"/>
        <w:rPr>
          <w:rFonts w:ascii="Times New Roman" w:hAnsi="Times New Roman" w:cs="Times New Roman"/>
          <w:b/>
          <w:i w:val="0"/>
          <w:noProof/>
          <w:color w:val="auto"/>
          <w:sz w:val="22"/>
          <w:szCs w:val="22"/>
        </w:rPr>
      </w:pPr>
      <w:r w:rsidRPr="00E76013">
        <w:rPr>
          <w:rFonts w:ascii="Times New Roman" w:hAnsi="Times New Roman" w:cs="Times New Roman"/>
          <w:b/>
          <w:i w:val="0"/>
          <w:noProof/>
          <w:color w:val="auto"/>
          <w:sz w:val="22"/>
          <w:szCs w:val="22"/>
        </w:rPr>
        <w:t xml:space="preserve">Table </w:t>
      </w:r>
      <w:r w:rsidRPr="00E76013">
        <w:rPr>
          <w:rFonts w:ascii="Times New Roman" w:hAnsi="Times New Roman" w:cs="Times New Roman"/>
          <w:b/>
          <w:i w:val="0"/>
          <w:noProof/>
          <w:color w:val="auto"/>
          <w:sz w:val="22"/>
          <w:szCs w:val="22"/>
        </w:rPr>
        <w:fldChar w:fldCharType="begin"/>
      </w:r>
      <w:r w:rsidRPr="00E76013">
        <w:rPr>
          <w:rFonts w:ascii="Times New Roman" w:hAnsi="Times New Roman" w:cs="Times New Roman"/>
          <w:b/>
          <w:i w:val="0"/>
          <w:noProof/>
          <w:color w:val="auto"/>
          <w:sz w:val="22"/>
          <w:szCs w:val="22"/>
        </w:rPr>
        <w:instrText xml:space="preserve"> SEQ Table \* ARABIC </w:instrText>
      </w:r>
      <w:r w:rsidRPr="00E76013">
        <w:rPr>
          <w:rFonts w:ascii="Times New Roman" w:hAnsi="Times New Roman" w:cs="Times New Roman"/>
          <w:b/>
          <w:i w:val="0"/>
          <w:noProof/>
          <w:color w:val="auto"/>
          <w:sz w:val="22"/>
          <w:szCs w:val="22"/>
        </w:rPr>
        <w:fldChar w:fldCharType="separate"/>
      </w:r>
      <w:r w:rsidR="00C84127" w:rsidRPr="00E76013">
        <w:rPr>
          <w:rFonts w:ascii="Times New Roman" w:hAnsi="Times New Roman" w:cs="Times New Roman"/>
          <w:b/>
          <w:i w:val="0"/>
          <w:noProof/>
          <w:color w:val="auto"/>
          <w:sz w:val="22"/>
          <w:szCs w:val="22"/>
        </w:rPr>
        <w:t>2</w:t>
      </w:r>
      <w:r w:rsidRPr="00E76013">
        <w:rPr>
          <w:rFonts w:ascii="Times New Roman" w:hAnsi="Times New Roman" w:cs="Times New Roman"/>
          <w:b/>
          <w:i w:val="0"/>
          <w:noProof/>
          <w:color w:val="auto"/>
          <w:sz w:val="22"/>
          <w:szCs w:val="22"/>
        </w:rPr>
        <w:fldChar w:fldCharType="end"/>
      </w:r>
      <w:r w:rsidRPr="00E76013">
        <w:rPr>
          <w:rFonts w:ascii="Times New Roman" w:hAnsi="Times New Roman" w:cs="Times New Roman"/>
          <w:b/>
          <w:i w:val="0"/>
          <w:noProof/>
          <w:color w:val="auto"/>
          <w:sz w:val="22"/>
          <w:szCs w:val="22"/>
        </w:rPr>
        <w:t>: Comparison of macroeconomic developments and forecasts</w:t>
      </w:r>
    </w:p>
    <w:p w14:paraId="4D96DB9C" w14:textId="167676DE" w:rsidR="00992C1C" w:rsidRPr="00E76013" w:rsidRDefault="002152C3" w:rsidP="00823794">
      <w:pPr>
        <w:jc w:val="center"/>
        <w:rPr>
          <w:rFonts w:ascii="Times New Roman" w:hAnsi="Times New Roman" w:cs="Times New Roman"/>
          <w:noProof/>
          <w:lang w:val="en-GB"/>
        </w:rPr>
      </w:pPr>
      <w:r w:rsidRPr="002152C3">
        <w:rPr>
          <w:noProof/>
          <w:lang w:val="en-GB" w:eastAsia="en-GB"/>
        </w:rPr>
        <w:drawing>
          <wp:inline distT="0" distB="0" distL="0" distR="0" wp14:anchorId="729A44CC" wp14:editId="50D6FABB">
            <wp:extent cx="5075644" cy="26115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1029" cy="2624643"/>
                    </a:xfrm>
                    <a:prstGeom prst="rect">
                      <a:avLst/>
                    </a:prstGeom>
                    <a:noFill/>
                    <a:ln>
                      <a:noFill/>
                    </a:ln>
                  </pic:spPr>
                </pic:pic>
              </a:graphicData>
            </a:graphic>
          </wp:inline>
        </w:drawing>
      </w:r>
    </w:p>
    <w:p w14:paraId="04402CB6" w14:textId="71668C05" w:rsidR="00C21B94" w:rsidRPr="00EB1A71" w:rsidRDefault="00C21B94" w:rsidP="00E01A1F">
      <w:pPr>
        <w:pStyle w:val="Heading2"/>
        <w:numPr>
          <w:ilvl w:val="1"/>
          <w:numId w:val="7"/>
        </w:numPr>
        <w:spacing w:after="160" w:line="276" w:lineRule="auto"/>
        <w:rPr>
          <w:rFonts w:eastAsiaTheme="minorEastAsia"/>
          <w:noProof/>
        </w:rPr>
      </w:pPr>
      <w:bookmarkStart w:id="59" w:name="_Toc66388694"/>
      <w:bookmarkStart w:id="60" w:name="_Toc66388696"/>
      <w:bookmarkStart w:id="61" w:name="_Toc99399060"/>
      <w:bookmarkStart w:id="62" w:name="_Toc99399993"/>
      <w:bookmarkStart w:id="63" w:name="_Toc99400421"/>
      <w:bookmarkStart w:id="64" w:name="_Toc99719436"/>
      <w:bookmarkStart w:id="65" w:name="_Toc99728649"/>
      <w:bookmarkStart w:id="66" w:name="_Toc99729643"/>
      <w:bookmarkStart w:id="67" w:name="_Toc99730620"/>
      <w:bookmarkStart w:id="68" w:name="_Toc99731344"/>
      <w:bookmarkStart w:id="69" w:name="_Toc99756883"/>
      <w:bookmarkStart w:id="70" w:name="_Toc99909913"/>
      <w:bookmarkStart w:id="71" w:name="_Toc62455195"/>
      <w:bookmarkStart w:id="72" w:name="_Toc62818210"/>
      <w:bookmarkStart w:id="73" w:name="_Toc62818757"/>
      <w:bookmarkStart w:id="74" w:name="_Toc63417212"/>
      <w:bookmarkStart w:id="75" w:name="_Toc63418902"/>
      <w:bookmarkStart w:id="76" w:name="_Toc63418927"/>
      <w:bookmarkStart w:id="77" w:name="_Toc64281613"/>
      <w:bookmarkStart w:id="78" w:name="_Toc98952817"/>
      <w:bookmarkStart w:id="79" w:name="_Toc98953988"/>
      <w:bookmarkEnd w:id="59"/>
      <w:bookmarkEnd w:id="60"/>
      <w:r w:rsidRPr="00EB1A71">
        <w:rPr>
          <w:rFonts w:eastAsiaTheme="minorEastAsia"/>
          <w:noProof/>
        </w:rPr>
        <w:t>Challenges related to sustainable growth, cohesion, resilience and policies for the next generation</w:t>
      </w:r>
      <w:bookmarkEnd w:id="61"/>
      <w:bookmarkEnd w:id="62"/>
      <w:bookmarkEnd w:id="63"/>
      <w:bookmarkEnd w:id="64"/>
      <w:bookmarkEnd w:id="65"/>
      <w:bookmarkEnd w:id="66"/>
      <w:bookmarkEnd w:id="67"/>
      <w:bookmarkEnd w:id="68"/>
      <w:bookmarkEnd w:id="69"/>
      <w:bookmarkEnd w:id="70"/>
    </w:p>
    <w:p w14:paraId="54341731" w14:textId="39F1B5C4" w:rsidR="00C21B94" w:rsidRPr="00E76013" w:rsidRDefault="00C21B94" w:rsidP="00EB1A71">
      <w:pPr>
        <w:pStyle w:val="Heading2"/>
        <w:tabs>
          <w:tab w:val="clear" w:pos="1202"/>
        </w:tabs>
        <w:spacing w:after="160" w:line="276" w:lineRule="auto"/>
        <w:ind w:left="0" w:firstLine="0"/>
        <w:rPr>
          <w:rFonts w:eastAsiaTheme="minorEastAsia"/>
          <w:i/>
          <w:noProof/>
        </w:rPr>
      </w:pPr>
      <w:bookmarkStart w:id="80" w:name="_Toc99399061"/>
      <w:bookmarkStart w:id="81" w:name="_Toc99399994"/>
      <w:bookmarkStart w:id="82" w:name="_Toc99400422"/>
      <w:bookmarkStart w:id="83" w:name="_Toc99719437"/>
      <w:bookmarkStart w:id="84" w:name="_Toc99728650"/>
      <w:bookmarkStart w:id="85" w:name="_Toc99729644"/>
      <w:bookmarkStart w:id="86" w:name="_Toc99730621"/>
      <w:bookmarkStart w:id="87" w:name="_Toc99731345"/>
      <w:bookmarkStart w:id="88" w:name="_Toc99756884"/>
      <w:bookmarkStart w:id="89" w:name="_Toc99909914"/>
      <w:r w:rsidRPr="76744A63">
        <w:rPr>
          <w:rFonts w:eastAsiaTheme="minorEastAsia"/>
          <w:b w:val="0"/>
          <w:i/>
          <w:noProof/>
        </w:rPr>
        <w:t>Smart, sustainable and inclusive growth</w:t>
      </w:r>
      <w:bookmarkEnd w:id="80"/>
      <w:bookmarkEnd w:id="81"/>
      <w:bookmarkEnd w:id="82"/>
      <w:bookmarkEnd w:id="83"/>
      <w:bookmarkEnd w:id="84"/>
      <w:bookmarkEnd w:id="85"/>
      <w:bookmarkEnd w:id="86"/>
      <w:bookmarkEnd w:id="87"/>
      <w:bookmarkEnd w:id="88"/>
      <w:bookmarkEnd w:id="89"/>
      <w:r w:rsidRPr="76744A63">
        <w:rPr>
          <w:rFonts w:eastAsiaTheme="minorEastAsia"/>
          <w:b w:val="0"/>
          <w:i/>
          <w:noProof/>
        </w:rPr>
        <w:t xml:space="preserve"> </w:t>
      </w:r>
    </w:p>
    <w:p w14:paraId="6D6AA49D" w14:textId="0BBE4982"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Despite significant increase in recent years, labour productivity remains below half of the EU average.</w:t>
      </w:r>
      <w:r w:rsidRPr="00E76013">
        <w:rPr>
          <w:rFonts w:ascii="Times New Roman" w:eastAsiaTheme="minorEastAsia" w:hAnsi="Times New Roman" w:cs="Times New Roman"/>
          <w:noProof/>
          <w:sz w:val="24"/>
          <w:szCs w:val="20"/>
          <w:lang w:val="en-GB" w:eastAsia="en-GB"/>
        </w:rPr>
        <w:t xml:space="preserve"> In 2020, labour productivity per hour worked increased by 0.3% and reached 48.8% of the EU average. Total factor productivity is also picking up, outperforming the EU average growth. Broad-based structural reforms and additional investments are needed to boost productivity and achieve sustainable and inclusive growth, especially in the context of adverse demographics, considerable skill shortages and rising regional disparities. The Next Generation EU funds and Bulgaria’s path towards euro adoption provide unique opportunities for modernisation of the economy. Investments in the recovery and transformation and commitments to key reforms are expected to boost potential growth. </w:t>
      </w:r>
    </w:p>
    <w:p w14:paraId="2F3A17DE" w14:textId="1E16B5CD"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 xml:space="preserve">The business environment is not supportive of investment and institutional quality is low. </w:t>
      </w:r>
      <w:r w:rsidRPr="00E76013">
        <w:rPr>
          <w:rFonts w:ascii="Times New Roman" w:eastAsiaTheme="minorEastAsia" w:hAnsi="Times New Roman" w:cs="Times New Roman"/>
          <w:noProof/>
          <w:sz w:val="24"/>
          <w:szCs w:val="20"/>
          <w:lang w:val="en-GB" w:eastAsia="en-GB"/>
        </w:rPr>
        <w:t xml:space="preserve">Bulgaria ranks low in the World Bank’s Worldwide Governance Indicators and the European Quality of Government Index. In addition, institutions remain among the least performing areas in the Global Competitiveness Index. Despite the progress </w:t>
      </w:r>
      <w:r w:rsidR="00D2056D">
        <w:rPr>
          <w:rFonts w:ascii="Times New Roman" w:eastAsiaTheme="minorEastAsia" w:hAnsi="Times New Roman" w:cs="Times New Roman"/>
          <w:noProof/>
          <w:sz w:val="24"/>
          <w:szCs w:val="20"/>
          <w:lang w:val="en-GB" w:eastAsia="en-GB"/>
        </w:rPr>
        <w:t>in</w:t>
      </w:r>
      <w:r w:rsidRPr="00E76013">
        <w:rPr>
          <w:rFonts w:ascii="Times New Roman" w:eastAsiaTheme="minorEastAsia" w:hAnsi="Times New Roman" w:cs="Times New Roman"/>
          <w:noProof/>
          <w:sz w:val="24"/>
          <w:szCs w:val="20"/>
          <w:lang w:val="en-GB" w:eastAsia="en-GB"/>
        </w:rPr>
        <w:t xml:space="preserve"> past years, Bulgaria still has to address issues related to effective criminal investigation and independence of the judiciary</w:t>
      </w:r>
      <w:r w:rsidR="008B3B0C">
        <w:rPr>
          <w:rFonts w:ascii="Times New Roman" w:eastAsiaTheme="minorEastAsia" w:hAnsi="Times New Roman" w:cs="Times New Roman"/>
          <w:noProof/>
          <w:sz w:val="24"/>
          <w:szCs w:val="20"/>
          <w:lang w:val="en-GB" w:eastAsia="en-GB"/>
        </w:rPr>
        <w:t>, and there are some weaknesses in</w:t>
      </w:r>
      <w:r w:rsidRPr="00E76013">
        <w:rPr>
          <w:rFonts w:ascii="Times New Roman" w:eastAsiaTheme="minorEastAsia" w:hAnsi="Times New Roman" w:cs="Times New Roman"/>
          <w:noProof/>
          <w:sz w:val="24"/>
          <w:szCs w:val="20"/>
          <w:lang w:val="en-GB" w:eastAsia="en-GB"/>
        </w:rPr>
        <w:t xml:space="preserve"> public procurement. In the Single Market Scoreboard, Bulgaria keeps ranking low compared to other Member States on the account of underperformance in transparency, competition and efficiency dimensions of public procurement. </w:t>
      </w:r>
      <w:r w:rsidR="006B4EED">
        <w:rPr>
          <w:rFonts w:ascii="Times New Roman" w:eastAsiaTheme="minorEastAsia" w:hAnsi="Times New Roman" w:cs="Times New Roman"/>
          <w:noProof/>
          <w:sz w:val="24"/>
          <w:szCs w:val="20"/>
          <w:lang w:val="en-GB" w:eastAsia="en-GB"/>
        </w:rPr>
        <w:t xml:space="preserve">The country’s performance with regards to the transposition deficit of the </w:t>
      </w:r>
      <w:r w:rsidR="005D6782">
        <w:rPr>
          <w:rFonts w:ascii="Times New Roman" w:eastAsiaTheme="minorEastAsia" w:hAnsi="Times New Roman" w:cs="Times New Roman"/>
          <w:noProof/>
          <w:sz w:val="24"/>
          <w:szCs w:val="20"/>
          <w:lang w:val="en-GB" w:eastAsia="en-GB"/>
        </w:rPr>
        <w:t>Single Market directives</w:t>
      </w:r>
      <w:r w:rsidR="006B4EED">
        <w:rPr>
          <w:rFonts w:ascii="Times New Roman" w:eastAsiaTheme="minorEastAsia" w:hAnsi="Times New Roman" w:cs="Times New Roman"/>
          <w:noProof/>
          <w:sz w:val="24"/>
          <w:szCs w:val="20"/>
          <w:lang w:val="en-GB" w:eastAsia="en-GB"/>
        </w:rPr>
        <w:t xml:space="preserve"> and on infringements is worsening. Furthermore, restrictiveness of some regulated professions is higher than the EU average.</w:t>
      </w:r>
    </w:p>
    <w:p w14:paraId="62B26ACD" w14:textId="77777777"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 xml:space="preserve">There are longstanding challenges in the fight against corruption. </w:t>
      </w:r>
      <w:r w:rsidRPr="00E76013">
        <w:rPr>
          <w:rFonts w:ascii="Times New Roman" w:eastAsiaTheme="minorEastAsia" w:hAnsi="Times New Roman" w:cs="Times New Roman"/>
          <w:noProof/>
          <w:sz w:val="24"/>
          <w:szCs w:val="20"/>
          <w:lang w:val="en-GB" w:eastAsia="en-GB"/>
        </w:rPr>
        <w:t xml:space="preserve">In 2017 and 2018, Bulgaria carried out a comprehensive reform of its legal and institutional anti-corruption frameworks. The reforms are starting to bear fruit and have led to improved cooperation between the relevant authorities. Nonetheless, corruption remains a problem, and the protests that had erupted in summer 2020 revealed a widespread discontent in the society. The corruption perception surveys also show a very low level of public trust in the anti-corruption institutions, which should establish a solid reputation of impartiality, objectivity and independence in the exercise of their responsibilities. A solid track-record of final convictions in high-level corruption cases remains to be established, and sufficient resources should be provided to fight corruption effectively. Finally, the country does not yet have legislation on lobbying and protection of whistle blowers. </w:t>
      </w:r>
    </w:p>
    <w:p w14:paraId="71B81B6D" w14:textId="77777777"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 xml:space="preserve">The areas of efficiency and quality of justice also need further improvement. </w:t>
      </w:r>
      <w:r w:rsidRPr="00E76013">
        <w:rPr>
          <w:rFonts w:ascii="Times New Roman" w:eastAsiaTheme="minorEastAsia" w:hAnsi="Times New Roman" w:cs="Times New Roman"/>
          <w:noProof/>
          <w:sz w:val="24"/>
          <w:szCs w:val="20"/>
          <w:lang w:val="en-GB" w:eastAsia="en-GB"/>
        </w:rPr>
        <w:t>The persisting data gaps, which can be solved through better electronic tools, prevent from assessing the efficiency of the justice system in a comprehensive manner. The COVID-19 pandemic has further highlighted the need for effective justice systems that can continue to function amidst a crisis. The resilience of the national justice system could be strengthened by deploying secure electronic communication channels, by enabling proceedings to take place via videoconferencing, and ensuring uninterrupted access to services provided by the judiciary via electronic means.</w:t>
      </w:r>
    </w:p>
    <w:p w14:paraId="3F012673" w14:textId="0B5F4C22" w:rsidR="00C21B94" w:rsidRPr="00E76013" w:rsidRDefault="24141829" w:rsidP="36F18C84">
      <w:pPr>
        <w:spacing w:line="276" w:lineRule="auto"/>
        <w:jc w:val="both"/>
        <w:rPr>
          <w:rFonts w:ascii="Times New Roman" w:eastAsiaTheme="minorEastAsia" w:hAnsi="Times New Roman" w:cs="Times New Roman"/>
          <w:noProof/>
          <w:sz w:val="24"/>
          <w:szCs w:val="24"/>
          <w:lang w:val="en-GB" w:eastAsia="en-GB"/>
        </w:rPr>
      </w:pPr>
      <w:r w:rsidRPr="36F18C84">
        <w:rPr>
          <w:rFonts w:ascii="Times New Roman" w:eastAsiaTheme="minorEastAsia" w:hAnsi="Times New Roman" w:cs="Times New Roman"/>
          <w:b/>
          <w:bCs/>
          <w:noProof/>
          <w:sz w:val="24"/>
          <w:szCs w:val="24"/>
          <w:lang w:val="en-GB" w:eastAsia="en-GB"/>
        </w:rPr>
        <w:t>The Bulgarian research and innovation performance is among the weakest in the EU.</w:t>
      </w:r>
      <w:r w:rsidRPr="36F18C84">
        <w:rPr>
          <w:rFonts w:ascii="Times New Roman" w:eastAsiaTheme="minorEastAsia" w:hAnsi="Times New Roman" w:cs="Times New Roman"/>
          <w:noProof/>
          <w:sz w:val="24"/>
          <w:szCs w:val="24"/>
          <w:lang w:val="en-GB" w:eastAsia="en-GB"/>
        </w:rPr>
        <w:t xml:space="preserve"> This represents a significant barrier for the country’s transition towards a knowledge-based economy. The weak performance of the public science base is a major bottleneck. The public research system continues to be characterized by a high level of institutional fragmentation, whilst public R&amp;D funding remains critically low. </w:t>
      </w:r>
      <w:r w:rsidR="1614BC08" w:rsidRPr="36F18C84">
        <w:rPr>
          <w:rFonts w:ascii="Times New Roman" w:eastAsiaTheme="minorEastAsia" w:hAnsi="Times New Roman" w:cs="Times New Roman"/>
          <w:noProof/>
          <w:sz w:val="24"/>
          <w:szCs w:val="24"/>
          <w:lang w:val="en-GB" w:eastAsia="en-GB"/>
        </w:rPr>
        <w:t>The o</w:t>
      </w:r>
      <w:r w:rsidRPr="36F18C84">
        <w:rPr>
          <w:rFonts w:ascii="Times New Roman" w:eastAsiaTheme="minorEastAsia" w:hAnsi="Times New Roman" w:cs="Times New Roman"/>
          <w:noProof/>
          <w:sz w:val="24"/>
          <w:szCs w:val="24"/>
          <w:lang w:val="en-GB" w:eastAsia="en-GB"/>
        </w:rPr>
        <w:t xml:space="preserve">utdated research </w:t>
      </w:r>
      <w:r w:rsidR="4829D081" w:rsidRPr="36F18C84">
        <w:rPr>
          <w:rFonts w:ascii="Times New Roman" w:eastAsiaTheme="minorEastAsia" w:hAnsi="Times New Roman" w:cs="Times New Roman"/>
          <w:noProof/>
          <w:sz w:val="24"/>
          <w:szCs w:val="24"/>
          <w:lang w:val="en-GB" w:eastAsia="en-GB"/>
        </w:rPr>
        <w:t>infrastructure</w:t>
      </w:r>
      <w:r w:rsidRPr="36F18C84">
        <w:rPr>
          <w:rFonts w:ascii="Times New Roman" w:eastAsiaTheme="minorEastAsia" w:hAnsi="Times New Roman" w:cs="Times New Roman"/>
          <w:noProof/>
          <w:sz w:val="24"/>
          <w:szCs w:val="24"/>
          <w:lang w:val="en-GB" w:eastAsia="en-GB"/>
        </w:rPr>
        <w:t xml:space="preserve"> and a dwindling number of researchers, </w:t>
      </w:r>
      <w:r w:rsidR="1614BC08" w:rsidRPr="36F18C84">
        <w:rPr>
          <w:rFonts w:ascii="Times New Roman" w:eastAsiaTheme="minorEastAsia" w:hAnsi="Times New Roman" w:cs="Times New Roman"/>
          <w:noProof/>
          <w:sz w:val="24"/>
          <w:szCs w:val="24"/>
          <w:lang w:val="en-GB" w:eastAsia="en-GB"/>
        </w:rPr>
        <w:t xml:space="preserve">alongside </w:t>
      </w:r>
      <w:r w:rsidRPr="36F18C84">
        <w:rPr>
          <w:rFonts w:ascii="Times New Roman" w:eastAsiaTheme="minorEastAsia" w:hAnsi="Times New Roman" w:cs="Times New Roman"/>
          <w:noProof/>
          <w:sz w:val="24"/>
          <w:szCs w:val="24"/>
          <w:lang w:val="en-GB" w:eastAsia="en-GB"/>
        </w:rPr>
        <w:t xml:space="preserve">unattractive research careers and an ineffective </w:t>
      </w:r>
      <w:r w:rsidR="1614BC08" w:rsidRPr="36F18C84">
        <w:rPr>
          <w:rFonts w:ascii="Times New Roman" w:eastAsiaTheme="minorEastAsia" w:hAnsi="Times New Roman" w:cs="Times New Roman"/>
          <w:noProof/>
          <w:sz w:val="24"/>
          <w:szCs w:val="24"/>
          <w:lang w:val="en-GB" w:eastAsia="en-GB"/>
        </w:rPr>
        <w:t>R&amp;I</w:t>
      </w:r>
      <w:r w:rsidRPr="36F18C84">
        <w:rPr>
          <w:rFonts w:ascii="Times New Roman" w:eastAsiaTheme="minorEastAsia" w:hAnsi="Times New Roman" w:cs="Times New Roman"/>
          <w:noProof/>
          <w:sz w:val="24"/>
          <w:szCs w:val="24"/>
          <w:lang w:val="en-GB" w:eastAsia="en-GB"/>
        </w:rPr>
        <w:t xml:space="preserve"> policy governance constitute major challenges. </w:t>
      </w:r>
      <w:r w:rsidR="1614BC08" w:rsidRPr="36F18C84">
        <w:rPr>
          <w:rFonts w:ascii="Times New Roman" w:eastAsiaTheme="minorEastAsia" w:hAnsi="Times New Roman" w:cs="Times New Roman"/>
          <w:noProof/>
          <w:sz w:val="24"/>
          <w:szCs w:val="24"/>
          <w:lang w:val="en-GB" w:eastAsia="en-GB"/>
        </w:rPr>
        <w:t>The w</w:t>
      </w:r>
      <w:r w:rsidRPr="36F18C84">
        <w:rPr>
          <w:rFonts w:ascii="Times New Roman" w:eastAsiaTheme="minorEastAsia" w:hAnsi="Times New Roman" w:cs="Times New Roman"/>
          <w:noProof/>
          <w:sz w:val="24"/>
          <w:szCs w:val="24"/>
          <w:lang w:val="en-GB" w:eastAsia="en-GB"/>
        </w:rPr>
        <w:t xml:space="preserve">eak </w:t>
      </w:r>
      <w:r w:rsidR="1614BC08" w:rsidRPr="36F18C84">
        <w:rPr>
          <w:rFonts w:ascii="Times New Roman" w:eastAsiaTheme="minorEastAsia" w:hAnsi="Times New Roman" w:cs="Times New Roman"/>
          <w:noProof/>
          <w:sz w:val="24"/>
          <w:szCs w:val="24"/>
          <w:lang w:val="en-GB" w:eastAsia="en-GB"/>
        </w:rPr>
        <w:t xml:space="preserve">links between </w:t>
      </w:r>
      <w:r w:rsidRPr="36F18C84">
        <w:rPr>
          <w:rFonts w:ascii="Times New Roman" w:eastAsiaTheme="minorEastAsia" w:hAnsi="Times New Roman" w:cs="Times New Roman"/>
          <w:noProof/>
          <w:sz w:val="24"/>
          <w:szCs w:val="24"/>
          <w:lang w:val="en-GB" w:eastAsia="en-GB"/>
        </w:rPr>
        <w:t>academia</w:t>
      </w:r>
      <w:r w:rsidR="1614BC08" w:rsidRPr="36F18C84">
        <w:rPr>
          <w:rFonts w:ascii="Times New Roman" w:eastAsiaTheme="minorEastAsia" w:hAnsi="Times New Roman" w:cs="Times New Roman"/>
          <w:noProof/>
          <w:sz w:val="24"/>
          <w:szCs w:val="24"/>
          <w:lang w:val="en-GB" w:eastAsia="en-GB"/>
        </w:rPr>
        <w:t xml:space="preserve"> and </w:t>
      </w:r>
      <w:r w:rsidRPr="36F18C84">
        <w:rPr>
          <w:rFonts w:ascii="Times New Roman" w:eastAsiaTheme="minorEastAsia" w:hAnsi="Times New Roman" w:cs="Times New Roman"/>
          <w:noProof/>
          <w:sz w:val="24"/>
          <w:szCs w:val="24"/>
          <w:lang w:val="en-GB" w:eastAsia="en-GB"/>
        </w:rPr>
        <w:t xml:space="preserve">business hamper knowledge and technology </w:t>
      </w:r>
      <w:r w:rsidR="4829D081" w:rsidRPr="36F18C84">
        <w:rPr>
          <w:rFonts w:ascii="Times New Roman" w:eastAsiaTheme="minorEastAsia" w:hAnsi="Times New Roman" w:cs="Times New Roman"/>
          <w:noProof/>
          <w:sz w:val="24"/>
          <w:szCs w:val="24"/>
          <w:lang w:val="en-GB" w:eastAsia="en-GB"/>
        </w:rPr>
        <w:t>transfer.</w:t>
      </w:r>
      <w:r w:rsidRPr="36F18C84">
        <w:rPr>
          <w:rFonts w:ascii="Times New Roman" w:eastAsiaTheme="minorEastAsia" w:hAnsi="Times New Roman" w:cs="Times New Roman"/>
          <w:noProof/>
          <w:sz w:val="24"/>
          <w:szCs w:val="24"/>
          <w:lang w:val="en-GB" w:eastAsia="en-GB"/>
        </w:rPr>
        <w:t xml:space="preserve"> </w:t>
      </w:r>
      <w:r w:rsidR="1614BC08" w:rsidRPr="36F18C84">
        <w:rPr>
          <w:rFonts w:ascii="Times New Roman" w:eastAsiaTheme="minorEastAsia" w:hAnsi="Times New Roman" w:cs="Times New Roman"/>
          <w:noProof/>
          <w:sz w:val="24"/>
          <w:szCs w:val="24"/>
          <w:lang w:val="en-GB" w:eastAsia="en-GB"/>
        </w:rPr>
        <w:t xml:space="preserve">Moreover, </w:t>
      </w:r>
      <w:r w:rsidRPr="36F18C84">
        <w:rPr>
          <w:rFonts w:ascii="Times New Roman" w:eastAsiaTheme="minorEastAsia" w:hAnsi="Times New Roman" w:cs="Times New Roman"/>
          <w:noProof/>
          <w:sz w:val="24"/>
          <w:szCs w:val="24"/>
          <w:lang w:val="en-GB" w:eastAsia="en-GB"/>
        </w:rPr>
        <w:t xml:space="preserve">insufficient incentives to commercialize research results and a misalignment of research policy with industry needs create barriers for public-private linkages. </w:t>
      </w:r>
      <w:r w:rsidR="00C21B94" w:rsidRPr="36F18C84">
        <w:rPr>
          <w:rFonts w:ascii="Times New Roman" w:eastAsiaTheme="minorEastAsia" w:hAnsi="Times New Roman" w:cs="Times New Roman"/>
          <w:noProof/>
          <w:sz w:val="24"/>
          <w:szCs w:val="24"/>
          <w:lang w:val="en-GB" w:eastAsia="en-GB"/>
        </w:rPr>
        <w:t xml:space="preserve">Finally, the uptake of digital technologies is slow in both public and private sectors. </w:t>
      </w:r>
      <w:r w:rsidR="75577AD1" w:rsidRPr="36F18C84">
        <w:rPr>
          <w:rFonts w:ascii="Times New Roman" w:eastAsiaTheme="minorEastAsia" w:hAnsi="Times New Roman" w:cs="Times New Roman"/>
          <w:noProof/>
          <w:sz w:val="24"/>
          <w:szCs w:val="24"/>
          <w:lang w:val="en-GB" w:eastAsia="en-GB"/>
        </w:rPr>
        <w:t>The uptake of digital technologies is slow in both public and private sectors.</w:t>
      </w:r>
    </w:p>
    <w:p w14:paraId="2A2CDB60" w14:textId="57760623" w:rsidR="00C21B94" w:rsidRPr="00E76013" w:rsidRDefault="00C21B94" w:rsidP="00C21B94">
      <w:pPr>
        <w:spacing w:line="276" w:lineRule="auto"/>
        <w:jc w:val="both"/>
        <w:rPr>
          <w:rFonts w:ascii="Times New Roman" w:eastAsiaTheme="minorEastAsia" w:hAnsi="Times New Roman" w:cs="Times New Roman"/>
          <w:noProof/>
          <w:sz w:val="24"/>
          <w:szCs w:val="24"/>
          <w:lang w:val="en-GB" w:eastAsia="en-GB"/>
        </w:rPr>
      </w:pPr>
      <w:r w:rsidRPr="7E645C5F">
        <w:rPr>
          <w:rFonts w:ascii="Times New Roman" w:eastAsiaTheme="minorEastAsia" w:hAnsi="Times New Roman" w:cs="Times New Roman"/>
          <w:b/>
          <w:noProof/>
          <w:sz w:val="24"/>
          <w:szCs w:val="24"/>
          <w:lang w:val="en-GB" w:eastAsia="en-GB"/>
        </w:rPr>
        <w:t>The stock and quality of physical infrastructure remains inadequate.</w:t>
      </w:r>
      <w:r w:rsidRPr="7E645C5F">
        <w:rPr>
          <w:rFonts w:ascii="Times New Roman" w:eastAsiaTheme="minorEastAsia" w:hAnsi="Times New Roman" w:cs="Times New Roman"/>
          <w:noProof/>
          <w:sz w:val="24"/>
          <w:szCs w:val="24"/>
          <w:lang w:val="en-GB" w:eastAsia="en-GB"/>
        </w:rPr>
        <w:t xml:space="preserve"> This pertains to both the energy and water infrastructure, as well as to the weak transport connections (especially in the north of the country and some cross-border connections). Robust transport and energy networks would help companies to connect with global markets and suppliers</w:t>
      </w:r>
      <w:r w:rsidR="00F04F98" w:rsidRPr="1EBB4396">
        <w:rPr>
          <w:rFonts w:ascii="Times New Roman" w:eastAsiaTheme="minorEastAsia" w:hAnsi="Times New Roman" w:cs="Times New Roman"/>
          <w:noProof/>
          <w:sz w:val="24"/>
          <w:szCs w:val="24"/>
          <w:lang w:val="en-GB" w:eastAsia="en-GB"/>
        </w:rPr>
        <w:t>, also</w:t>
      </w:r>
      <w:r w:rsidRPr="1EBB4396">
        <w:rPr>
          <w:rFonts w:ascii="Times New Roman" w:eastAsiaTheme="minorEastAsia" w:hAnsi="Times New Roman" w:cs="Times New Roman"/>
          <w:noProof/>
          <w:sz w:val="24"/>
          <w:szCs w:val="24"/>
          <w:lang w:val="en-GB" w:eastAsia="en-GB"/>
        </w:rPr>
        <w:t xml:space="preserve"> boost</w:t>
      </w:r>
      <w:r w:rsidR="00F04F98" w:rsidRPr="1EBB4396">
        <w:rPr>
          <w:rFonts w:ascii="Times New Roman" w:eastAsiaTheme="minorEastAsia" w:hAnsi="Times New Roman" w:cs="Times New Roman"/>
          <w:noProof/>
          <w:sz w:val="24"/>
          <w:szCs w:val="24"/>
          <w:lang w:val="en-GB" w:eastAsia="en-GB"/>
        </w:rPr>
        <w:t>ing</w:t>
      </w:r>
      <w:r w:rsidRPr="7E645C5F">
        <w:rPr>
          <w:rFonts w:ascii="Times New Roman" w:eastAsiaTheme="minorEastAsia" w:hAnsi="Times New Roman" w:cs="Times New Roman"/>
          <w:noProof/>
          <w:sz w:val="24"/>
          <w:szCs w:val="24"/>
          <w:lang w:val="en-GB" w:eastAsia="en-GB"/>
        </w:rPr>
        <w:t xml:space="preserve"> their productivity. A well-developed and sustainable infrastructure would also help to attract more foreign direct investment, which can support </w:t>
      </w:r>
      <w:r w:rsidR="00F04F98" w:rsidRPr="1EBB4396">
        <w:rPr>
          <w:rFonts w:ascii="Times New Roman" w:eastAsiaTheme="minorEastAsia" w:hAnsi="Times New Roman" w:cs="Times New Roman"/>
          <w:noProof/>
          <w:sz w:val="24"/>
          <w:szCs w:val="24"/>
          <w:lang w:val="en-GB" w:eastAsia="en-GB"/>
        </w:rPr>
        <w:t xml:space="preserve">the </w:t>
      </w:r>
      <w:r w:rsidRPr="7E645C5F">
        <w:rPr>
          <w:rFonts w:ascii="Times New Roman" w:eastAsiaTheme="minorEastAsia" w:hAnsi="Times New Roman" w:cs="Times New Roman"/>
          <w:noProof/>
          <w:sz w:val="24"/>
          <w:szCs w:val="24"/>
          <w:lang w:val="en-GB" w:eastAsia="en-GB"/>
        </w:rPr>
        <w:t xml:space="preserve">economy’s shift to </w:t>
      </w:r>
      <w:r w:rsidR="00F04F98" w:rsidRPr="1EBB4396">
        <w:rPr>
          <w:rFonts w:ascii="Times New Roman" w:eastAsiaTheme="minorEastAsia" w:hAnsi="Times New Roman" w:cs="Times New Roman"/>
          <w:noProof/>
          <w:sz w:val="24"/>
          <w:szCs w:val="24"/>
          <w:lang w:val="en-GB" w:eastAsia="en-GB"/>
        </w:rPr>
        <w:t xml:space="preserve">a </w:t>
      </w:r>
      <w:r w:rsidRPr="7E645C5F">
        <w:rPr>
          <w:rFonts w:ascii="Times New Roman" w:eastAsiaTheme="minorEastAsia" w:hAnsi="Times New Roman" w:cs="Times New Roman"/>
          <w:noProof/>
          <w:sz w:val="24"/>
          <w:szCs w:val="24"/>
          <w:lang w:val="en-GB" w:eastAsia="en-GB"/>
        </w:rPr>
        <w:t xml:space="preserve">production of higher value-added goods. </w:t>
      </w:r>
    </w:p>
    <w:p w14:paraId="15E8C44D" w14:textId="61F87BC2" w:rsidR="00C21B94" w:rsidRDefault="00C21B94" w:rsidP="00C21B94">
      <w:pPr>
        <w:spacing w:line="276" w:lineRule="auto"/>
        <w:jc w:val="both"/>
        <w:rPr>
          <w:rFonts w:ascii="Times New Roman" w:eastAsiaTheme="minorEastAsia" w:hAnsi="Times New Roman" w:cs="Times New Roman"/>
          <w:noProof/>
          <w:sz w:val="24"/>
          <w:szCs w:val="24"/>
          <w:lang w:val="en-GB" w:eastAsia="en-GB"/>
        </w:rPr>
      </w:pPr>
      <w:r w:rsidRPr="7BC5FE33">
        <w:rPr>
          <w:rFonts w:ascii="Times New Roman" w:eastAsiaTheme="minorEastAsia" w:hAnsi="Times New Roman" w:cs="Times New Roman"/>
          <w:b/>
          <w:noProof/>
          <w:sz w:val="24"/>
          <w:szCs w:val="24"/>
          <w:lang w:val="en-GB" w:eastAsia="en-GB"/>
        </w:rPr>
        <w:t>Small and medium-sized enterprises (SMEs) continue to face many difficulties.</w:t>
      </w:r>
      <w:r w:rsidRPr="7BC5FE33">
        <w:rPr>
          <w:rFonts w:ascii="Times New Roman" w:eastAsiaTheme="minorEastAsia" w:hAnsi="Times New Roman" w:cs="Times New Roman"/>
          <w:noProof/>
          <w:sz w:val="24"/>
          <w:szCs w:val="24"/>
          <w:lang w:val="en-GB" w:eastAsia="en-GB"/>
        </w:rPr>
        <w:t xml:space="preserve"> Bulgaria underperforms with regards to the SME environment, particularly in the areas of entrepreneurship, skills, innovation and digitalisation, where it has one of the weakest scores in the EU. So far, measures in support of SME policies have had only a limited effect. On the positive side, access to finance has been relatively good</w:t>
      </w:r>
      <w:r w:rsidR="006B4EED">
        <w:rPr>
          <w:rFonts w:ascii="Times New Roman" w:eastAsiaTheme="minorEastAsia" w:hAnsi="Times New Roman" w:cs="Times New Roman"/>
          <w:noProof/>
          <w:sz w:val="24"/>
          <w:szCs w:val="24"/>
          <w:lang w:val="en-GB" w:eastAsia="en-GB"/>
        </w:rPr>
        <w:t>, although it has worsened during the pandemic</w:t>
      </w:r>
      <w:r w:rsidRPr="7BC5FE33">
        <w:rPr>
          <w:rFonts w:ascii="Times New Roman" w:eastAsiaTheme="minorEastAsia" w:hAnsi="Times New Roman" w:cs="Times New Roman"/>
          <w:noProof/>
          <w:sz w:val="24"/>
          <w:szCs w:val="24"/>
          <w:lang w:val="en-GB" w:eastAsia="en-GB"/>
        </w:rPr>
        <w:t xml:space="preserve">. Access to equity financing has been improving in recent years as well, but further </w:t>
      </w:r>
      <w:r w:rsidR="452CE13B" w:rsidRPr="7BC5FE33">
        <w:rPr>
          <w:rFonts w:ascii="Times New Roman" w:eastAsiaTheme="minorEastAsia" w:hAnsi="Times New Roman" w:cs="Times New Roman"/>
          <w:noProof/>
          <w:sz w:val="24"/>
          <w:szCs w:val="24"/>
          <w:lang w:val="en-GB" w:eastAsia="en-GB"/>
        </w:rPr>
        <w:t>improvements</w:t>
      </w:r>
      <w:r w:rsidRPr="7BC5FE33">
        <w:rPr>
          <w:rFonts w:ascii="Times New Roman" w:eastAsiaTheme="minorEastAsia" w:hAnsi="Times New Roman" w:cs="Times New Roman"/>
          <w:noProof/>
          <w:sz w:val="24"/>
          <w:szCs w:val="24"/>
          <w:lang w:val="en-GB" w:eastAsia="en-GB"/>
        </w:rPr>
        <w:t xml:space="preserve"> could foster the creation and development of innovative and high-growth companies. With the COVID-19 crisis, liquidity support was provided by the government in the form of grants, loans and guarantees. </w:t>
      </w:r>
    </w:p>
    <w:p w14:paraId="2CC1FAF3" w14:textId="7BF30D93" w:rsidR="002D2A43" w:rsidRPr="00E76013" w:rsidRDefault="00FC117B" w:rsidP="00C21B94">
      <w:pPr>
        <w:spacing w:line="276" w:lineRule="auto"/>
        <w:jc w:val="both"/>
        <w:rPr>
          <w:rFonts w:ascii="Times New Roman" w:eastAsiaTheme="minorEastAsia" w:hAnsi="Times New Roman" w:cs="Times New Roman"/>
          <w:noProof/>
          <w:sz w:val="24"/>
          <w:szCs w:val="20"/>
          <w:lang w:val="en-GB" w:eastAsia="en-GB"/>
        </w:rPr>
      </w:pPr>
      <w:r w:rsidRPr="002A0BDC">
        <w:rPr>
          <w:rFonts w:ascii="Times New Roman" w:eastAsiaTheme="minorEastAsia" w:hAnsi="Times New Roman" w:cs="Times New Roman"/>
          <w:b/>
          <w:noProof/>
          <w:sz w:val="24"/>
          <w:szCs w:val="20"/>
          <w:lang w:val="en-GB" w:eastAsia="en-GB"/>
        </w:rPr>
        <w:t>The performance of state-owned enterprises (SOEs) remains a source of concern.</w:t>
      </w:r>
      <w:r w:rsidRPr="00FC117B">
        <w:rPr>
          <w:rFonts w:ascii="Times New Roman" w:eastAsiaTheme="minorEastAsia" w:hAnsi="Times New Roman" w:cs="Times New Roman"/>
          <w:noProof/>
          <w:sz w:val="24"/>
          <w:szCs w:val="20"/>
          <w:lang w:val="en-GB" w:eastAsia="en-GB"/>
        </w:rPr>
        <w:t xml:space="preserve"> </w:t>
      </w:r>
      <w:r>
        <w:rPr>
          <w:rFonts w:ascii="Times New Roman" w:eastAsiaTheme="minorEastAsia" w:hAnsi="Times New Roman" w:cs="Times New Roman"/>
          <w:noProof/>
          <w:sz w:val="24"/>
          <w:szCs w:val="20"/>
          <w:lang w:val="en-GB" w:eastAsia="en-GB"/>
        </w:rPr>
        <w:t xml:space="preserve">There </w:t>
      </w:r>
      <w:r w:rsidR="00297CEA">
        <w:rPr>
          <w:rFonts w:ascii="Times New Roman" w:eastAsiaTheme="minorEastAsia" w:hAnsi="Times New Roman" w:cs="Times New Roman"/>
          <w:noProof/>
          <w:sz w:val="24"/>
          <w:szCs w:val="20"/>
          <w:lang w:val="en-GB" w:eastAsia="en-GB"/>
        </w:rPr>
        <w:t>are</w:t>
      </w:r>
      <w:r>
        <w:rPr>
          <w:rFonts w:ascii="Times New Roman" w:eastAsiaTheme="minorEastAsia" w:hAnsi="Times New Roman" w:cs="Times New Roman"/>
          <w:noProof/>
          <w:sz w:val="24"/>
          <w:szCs w:val="20"/>
          <w:lang w:val="en-GB" w:eastAsia="en-GB"/>
        </w:rPr>
        <w:t xml:space="preserve"> around 221 SOEs in Bulgaria, spread across many </w:t>
      </w:r>
      <w:r w:rsidRPr="00FC117B">
        <w:rPr>
          <w:rFonts w:ascii="Times New Roman" w:eastAsiaTheme="minorEastAsia" w:hAnsi="Times New Roman" w:cs="Times New Roman"/>
          <w:noProof/>
          <w:sz w:val="24"/>
          <w:szCs w:val="20"/>
          <w:lang w:val="en-GB" w:eastAsia="en-GB"/>
        </w:rPr>
        <w:t xml:space="preserve">important sectors such as energy, transport, water and health. </w:t>
      </w:r>
      <w:r w:rsidR="002D2A43">
        <w:rPr>
          <w:rFonts w:ascii="Times New Roman" w:eastAsiaTheme="minorEastAsia" w:hAnsi="Times New Roman" w:cs="Times New Roman"/>
          <w:noProof/>
          <w:sz w:val="24"/>
          <w:szCs w:val="20"/>
          <w:lang w:val="en-GB" w:eastAsia="en-GB"/>
        </w:rPr>
        <w:t xml:space="preserve">The </w:t>
      </w:r>
      <w:r w:rsidR="00297CEA" w:rsidRPr="00297CEA">
        <w:rPr>
          <w:rFonts w:ascii="Times New Roman" w:eastAsiaTheme="minorEastAsia" w:hAnsi="Times New Roman" w:cs="Times New Roman"/>
          <w:noProof/>
          <w:sz w:val="24"/>
          <w:szCs w:val="20"/>
          <w:lang w:val="en-GB" w:eastAsia="en-GB"/>
        </w:rPr>
        <w:t xml:space="preserve">financial and operational </w:t>
      </w:r>
      <w:r w:rsidR="002D2A43" w:rsidRPr="002D2A43">
        <w:rPr>
          <w:rFonts w:ascii="Times New Roman" w:eastAsiaTheme="minorEastAsia" w:hAnsi="Times New Roman" w:cs="Times New Roman"/>
          <w:noProof/>
          <w:sz w:val="24"/>
          <w:szCs w:val="20"/>
          <w:lang w:val="en-GB" w:eastAsia="en-GB"/>
        </w:rPr>
        <w:t>performance</w:t>
      </w:r>
      <w:r w:rsidR="0075275A">
        <w:rPr>
          <w:rFonts w:ascii="Times New Roman" w:eastAsiaTheme="minorEastAsia" w:hAnsi="Times New Roman" w:cs="Times New Roman"/>
          <w:noProof/>
          <w:sz w:val="24"/>
          <w:szCs w:val="20"/>
          <w:lang w:val="en-GB" w:eastAsia="en-GB"/>
        </w:rPr>
        <w:t xml:space="preserve"> of </w:t>
      </w:r>
      <w:r>
        <w:rPr>
          <w:rFonts w:ascii="Times New Roman" w:eastAsiaTheme="minorEastAsia" w:hAnsi="Times New Roman" w:cs="Times New Roman"/>
          <w:noProof/>
          <w:sz w:val="24"/>
          <w:szCs w:val="20"/>
          <w:lang w:val="en-GB" w:eastAsia="en-GB"/>
        </w:rPr>
        <w:t>SOEs</w:t>
      </w:r>
      <w:r w:rsidR="0075275A">
        <w:rPr>
          <w:rFonts w:ascii="Times New Roman" w:eastAsiaTheme="minorEastAsia" w:hAnsi="Times New Roman" w:cs="Times New Roman"/>
          <w:noProof/>
          <w:sz w:val="24"/>
          <w:szCs w:val="20"/>
          <w:lang w:val="en-GB" w:eastAsia="en-GB"/>
        </w:rPr>
        <w:t xml:space="preserve"> is</w:t>
      </w:r>
      <w:r w:rsidR="002D2A43" w:rsidRPr="002D2A43">
        <w:rPr>
          <w:rFonts w:ascii="Times New Roman" w:eastAsiaTheme="minorEastAsia" w:hAnsi="Times New Roman" w:cs="Times New Roman"/>
          <w:noProof/>
          <w:sz w:val="24"/>
          <w:szCs w:val="20"/>
          <w:lang w:val="en-GB" w:eastAsia="en-GB"/>
        </w:rPr>
        <w:t xml:space="preserve"> a source of risk for the </w:t>
      </w:r>
      <w:r w:rsidR="00831F13">
        <w:rPr>
          <w:rFonts w:ascii="Times New Roman" w:eastAsiaTheme="minorEastAsia" w:hAnsi="Times New Roman" w:cs="Times New Roman"/>
          <w:noProof/>
          <w:sz w:val="24"/>
          <w:szCs w:val="20"/>
          <w:lang w:val="en-GB" w:eastAsia="en-GB"/>
        </w:rPr>
        <w:t>national</w:t>
      </w:r>
      <w:r w:rsidR="0075275A">
        <w:rPr>
          <w:rFonts w:ascii="Times New Roman" w:eastAsiaTheme="minorEastAsia" w:hAnsi="Times New Roman" w:cs="Times New Roman"/>
          <w:noProof/>
          <w:sz w:val="24"/>
          <w:szCs w:val="20"/>
          <w:lang w:val="en-GB" w:eastAsia="en-GB"/>
        </w:rPr>
        <w:t xml:space="preserve"> </w:t>
      </w:r>
      <w:r w:rsidR="002D2A43" w:rsidRPr="002D2A43">
        <w:rPr>
          <w:rFonts w:ascii="Times New Roman" w:eastAsiaTheme="minorEastAsia" w:hAnsi="Times New Roman" w:cs="Times New Roman"/>
          <w:noProof/>
          <w:sz w:val="24"/>
          <w:szCs w:val="20"/>
          <w:lang w:val="en-GB" w:eastAsia="en-GB"/>
        </w:rPr>
        <w:t xml:space="preserve">budget, while their inefficient and non-transparent operation </w:t>
      </w:r>
      <w:r w:rsidR="00831F13">
        <w:rPr>
          <w:rFonts w:ascii="Times New Roman" w:eastAsiaTheme="minorEastAsia" w:hAnsi="Times New Roman" w:cs="Times New Roman"/>
          <w:noProof/>
          <w:sz w:val="24"/>
          <w:szCs w:val="20"/>
          <w:lang w:val="en-GB" w:eastAsia="en-GB"/>
        </w:rPr>
        <w:t xml:space="preserve">can </w:t>
      </w:r>
      <w:r w:rsidR="00297CEA">
        <w:rPr>
          <w:rFonts w:ascii="Times New Roman" w:eastAsiaTheme="minorEastAsia" w:hAnsi="Times New Roman" w:cs="Times New Roman"/>
          <w:noProof/>
          <w:sz w:val="24"/>
          <w:szCs w:val="20"/>
          <w:lang w:val="en-GB" w:eastAsia="en-GB"/>
        </w:rPr>
        <w:t>lead to</w:t>
      </w:r>
      <w:r w:rsidR="0075275A">
        <w:rPr>
          <w:rFonts w:ascii="Times New Roman" w:eastAsiaTheme="minorEastAsia" w:hAnsi="Times New Roman" w:cs="Times New Roman"/>
          <w:noProof/>
          <w:sz w:val="24"/>
          <w:szCs w:val="20"/>
          <w:lang w:val="en-GB" w:eastAsia="en-GB"/>
        </w:rPr>
        <w:t xml:space="preserve"> distortions in </w:t>
      </w:r>
      <w:r w:rsidR="002D2A43" w:rsidRPr="002D2A43">
        <w:rPr>
          <w:rFonts w:ascii="Times New Roman" w:eastAsiaTheme="minorEastAsia" w:hAnsi="Times New Roman" w:cs="Times New Roman"/>
          <w:noProof/>
          <w:sz w:val="24"/>
          <w:szCs w:val="20"/>
          <w:lang w:val="en-GB" w:eastAsia="en-GB"/>
        </w:rPr>
        <w:t xml:space="preserve">the market and </w:t>
      </w:r>
      <w:r w:rsidR="0075275A">
        <w:rPr>
          <w:rFonts w:ascii="Times New Roman" w:eastAsiaTheme="minorEastAsia" w:hAnsi="Times New Roman" w:cs="Times New Roman"/>
          <w:noProof/>
          <w:sz w:val="24"/>
          <w:szCs w:val="20"/>
          <w:lang w:val="en-GB" w:eastAsia="en-GB"/>
        </w:rPr>
        <w:t>act as an</w:t>
      </w:r>
      <w:r w:rsidR="002D2A43" w:rsidRPr="002D2A43">
        <w:rPr>
          <w:rFonts w:ascii="Times New Roman" w:eastAsiaTheme="minorEastAsia" w:hAnsi="Times New Roman" w:cs="Times New Roman"/>
          <w:noProof/>
          <w:sz w:val="24"/>
          <w:szCs w:val="20"/>
          <w:lang w:val="en-GB" w:eastAsia="en-GB"/>
        </w:rPr>
        <w:t xml:space="preserve"> obstacle to</w:t>
      </w:r>
      <w:r w:rsidR="0075275A">
        <w:rPr>
          <w:rFonts w:ascii="Times New Roman" w:eastAsiaTheme="minorEastAsia" w:hAnsi="Times New Roman" w:cs="Times New Roman"/>
          <w:noProof/>
          <w:sz w:val="24"/>
          <w:szCs w:val="20"/>
          <w:lang w:val="en-GB" w:eastAsia="en-GB"/>
        </w:rPr>
        <w:t xml:space="preserve"> private</w:t>
      </w:r>
      <w:r w:rsidR="002D2A43" w:rsidRPr="002D2A43">
        <w:rPr>
          <w:rFonts w:ascii="Times New Roman" w:eastAsiaTheme="minorEastAsia" w:hAnsi="Times New Roman" w:cs="Times New Roman"/>
          <w:noProof/>
          <w:sz w:val="24"/>
          <w:szCs w:val="20"/>
          <w:lang w:val="en-GB" w:eastAsia="en-GB"/>
        </w:rPr>
        <w:t xml:space="preserve"> investment. Improving </w:t>
      </w:r>
      <w:r w:rsidR="0075275A">
        <w:rPr>
          <w:rFonts w:ascii="Times New Roman" w:eastAsiaTheme="minorEastAsia" w:hAnsi="Times New Roman" w:cs="Times New Roman"/>
          <w:noProof/>
          <w:sz w:val="24"/>
          <w:szCs w:val="20"/>
          <w:lang w:val="en-GB" w:eastAsia="en-GB"/>
        </w:rPr>
        <w:t xml:space="preserve">the </w:t>
      </w:r>
      <w:r w:rsidR="002D2A43" w:rsidRPr="002D2A43">
        <w:rPr>
          <w:rFonts w:ascii="Times New Roman" w:eastAsiaTheme="minorEastAsia" w:hAnsi="Times New Roman" w:cs="Times New Roman"/>
          <w:noProof/>
          <w:sz w:val="24"/>
          <w:szCs w:val="20"/>
          <w:lang w:val="en-GB" w:eastAsia="en-GB"/>
        </w:rPr>
        <w:t>transparency and governance of SOEs w</w:t>
      </w:r>
      <w:r w:rsidR="0075275A">
        <w:rPr>
          <w:rFonts w:ascii="Times New Roman" w:eastAsiaTheme="minorEastAsia" w:hAnsi="Times New Roman" w:cs="Times New Roman"/>
          <w:noProof/>
          <w:sz w:val="24"/>
          <w:szCs w:val="20"/>
          <w:lang w:val="en-GB" w:eastAsia="en-GB"/>
        </w:rPr>
        <w:t>ould</w:t>
      </w:r>
      <w:r w:rsidR="002D2A43" w:rsidRPr="002D2A43">
        <w:rPr>
          <w:rFonts w:ascii="Times New Roman" w:eastAsiaTheme="minorEastAsia" w:hAnsi="Times New Roman" w:cs="Times New Roman"/>
          <w:noProof/>
          <w:sz w:val="24"/>
          <w:szCs w:val="20"/>
          <w:lang w:val="en-GB" w:eastAsia="en-GB"/>
        </w:rPr>
        <w:t xml:space="preserve"> </w:t>
      </w:r>
      <w:r w:rsidR="0075275A">
        <w:rPr>
          <w:rFonts w:ascii="Times New Roman" w:eastAsiaTheme="minorEastAsia" w:hAnsi="Times New Roman" w:cs="Times New Roman"/>
          <w:noProof/>
          <w:sz w:val="24"/>
          <w:szCs w:val="20"/>
          <w:lang w:val="en-GB" w:eastAsia="en-GB"/>
        </w:rPr>
        <w:t>free up</w:t>
      </w:r>
      <w:r w:rsidR="002D2A43" w:rsidRPr="002D2A43">
        <w:rPr>
          <w:rFonts w:ascii="Times New Roman" w:eastAsiaTheme="minorEastAsia" w:hAnsi="Times New Roman" w:cs="Times New Roman"/>
          <w:noProof/>
          <w:sz w:val="24"/>
          <w:szCs w:val="20"/>
          <w:lang w:val="en-GB" w:eastAsia="en-GB"/>
        </w:rPr>
        <w:t xml:space="preserve"> reso</w:t>
      </w:r>
      <w:r w:rsidR="002D2A43">
        <w:rPr>
          <w:rFonts w:ascii="Times New Roman" w:eastAsiaTheme="minorEastAsia" w:hAnsi="Times New Roman" w:cs="Times New Roman"/>
          <w:noProof/>
          <w:sz w:val="24"/>
          <w:szCs w:val="20"/>
          <w:lang w:val="en-GB" w:eastAsia="en-GB"/>
        </w:rPr>
        <w:t xml:space="preserve">urces and </w:t>
      </w:r>
      <w:r w:rsidR="0075275A">
        <w:rPr>
          <w:rFonts w:ascii="Times New Roman" w:eastAsiaTheme="minorEastAsia" w:hAnsi="Times New Roman" w:cs="Times New Roman"/>
          <w:noProof/>
          <w:sz w:val="24"/>
          <w:szCs w:val="20"/>
          <w:lang w:val="en-GB" w:eastAsia="en-GB"/>
        </w:rPr>
        <w:t xml:space="preserve">increase the </w:t>
      </w:r>
      <w:r w:rsidR="002D2A43">
        <w:rPr>
          <w:rFonts w:ascii="Times New Roman" w:eastAsiaTheme="minorEastAsia" w:hAnsi="Times New Roman" w:cs="Times New Roman"/>
          <w:noProof/>
          <w:sz w:val="24"/>
          <w:szCs w:val="20"/>
          <w:lang w:val="en-GB" w:eastAsia="en-GB"/>
        </w:rPr>
        <w:t>investment potential. Putting in place r</w:t>
      </w:r>
      <w:r w:rsidR="002D2A43" w:rsidRPr="002D2A43">
        <w:rPr>
          <w:rFonts w:ascii="Times New Roman" w:eastAsiaTheme="minorEastAsia" w:hAnsi="Times New Roman" w:cs="Times New Roman"/>
          <w:noProof/>
          <w:sz w:val="24"/>
          <w:szCs w:val="20"/>
          <w:lang w:val="en-GB" w:eastAsia="en-GB"/>
        </w:rPr>
        <w:t xml:space="preserve">eforms of the overall regulatory framework and market environment in which </w:t>
      </w:r>
      <w:r w:rsidR="002D2A43">
        <w:rPr>
          <w:rFonts w:ascii="Times New Roman" w:eastAsiaTheme="minorEastAsia" w:hAnsi="Times New Roman" w:cs="Times New Roman"/>
          <w:noProof/>
          <w:sz w:val="24"/>
          <w:szCs w:val="20"/>
          <w:lang w:val="en-GB" w:eastAsia="en-GB"/>
        </w:rPr>
        <w:t xml:space="preserve">these </w:t>
      </w:r>
      <w:r w:rsidR="002D2A43" w:rsidRPr="002D2A43">
        <w:rPr>
          <w:rFonts w:ascii="Times New Roman" w:eastAsiaTheme="minorEastAsia" w:hAnsi="Times New Roman" w:cs="Times New Roman"/>
          <w:noProof/>
          <w:sz w:val="24"/>
          <w:szCs w:val="20"/>
          <w:lang w:val="en-GB" w:eastAsia="en-GB"/>
        </w:rPr>
        <w:t xml:space="preserve">SOEs operate </w:t>
      </w:r>
      <w:r w:rsidR="002D2A43">
        <w:rPr>
          <w:rFonts w:ascii="Times New Roman" w:eastAsiaTheme="minorEastAsia" w:hAnsi="Times New Roman" w:cs="Times New Roman"/>
          <w:noProof/>
          <w:sz w:val="24"/>
          <w:szCs w:val="20"/>
          <w:lang w:val="en-GB" w:eastAsia="en-GB"/>
        </w:rPr>
        <w:t>is</w:t>
      </w:r>
      <w:r w:rsidR="002D2A43" w:rsidRPr="002D2A43">
        <w:rPr>
          <w:rFonts w:ascii="Times New Roman" w:eastAsiaTheme="minorEastAsia" w:hAnsi="Times New Roman" w:cs="Times New Roman"/>
          <w:noProof/>
          <w:sz w:val="24"/>
          <w:szCs w:val="20"/>
          <w:lang w:val="en-GB" w:eastAsia="en-GB"/>
        </w:rPr>
        <w:t xml:space="preserve"> crucial for</w:t>
      </w:r>
      <w:r w:rsidR="0075275A">
        <w:rPr>
          <w:rFonts w:ascii="Times New Roman" w:eastAsiaTheme="minorEastAsia" w:hAnsi="Times New Roman" w:cs="Times New Roman"/>
          <w:noProof/>
          <w:sz w:val="24"/>
          <w:szCs w:val="20"/>
          <w:lang w:val="en-GB" w:eastAsia="en-GB"/>
        </w:rPr>
        <w:t xml:space="preserve"> improving </w:t>
      </w:r>
      <w:r w:rsidR="002D2A43" w:rsidRPr="002D2A43">
        <w:rPr>
          <w:rFonts w:ascii="Times New Roman" w:eastAsiaTheme="minorEastAsia" w:hAnsi="Times New Roman" w:cs="Times New Roman"/>
          <w:noProof/>
          <w:sz w:val="24"/>
          <w:szCs w:val="20"/>
          <w:lang w:val="en-GB" w:eastAsia="en-GB"/>
        </w:rPr>
        <w:t>the</w:t>
      </w:r>
      <w:r w:rsidR="002D2A43">
        <w:rPr>
          <w:rFonts w:ascii="Times New Roman" w:eastAsiaTheme="minorEastAsia" w:hAnsi="Times New Roman" w:cs="Times New Roman"/>
          <w:noProof/>
          <w:sz w:val="24"/>
          <w:szCs w:val="20"/>
          <w:lang w:val="en-GB" w:eastAsia="en-GB"/>
        </w:rPr>
        <w:t xml:space="preserve">ir performance, </w:t>
      </w:r>
      <w:r w:rsidR="002D2A43" w:rsidRPr="002D2A43">
        <w:rPr>
          <w:rFonts w:ascii="Times New Roman" w:eastAsiaTheme="minorEastAsia" w:hAnsi="Times New Roman" w:cs="Times New Roman"/>
          <w:noProof/>
          <w:sz w:val="24"/>
          <w:szCs w:val="20"/>
          <w:lang w:val="en-GB" w:eastAsia="en-GB"/>
        </w:rPr>
        <w:t>particularly in the energy and transport sectors.</w:t>
      </w:r>
      <w:r w:rsidR="00297CEA">
        <w:rPr>
          <w:rFonts w:ascii="Times New Roman" w:eastAsiaTheme="minorEastAsia" w:hAnsi="Times New Roman" w:cs="Times New Roman"/>
          <w:noProof/>
          <w:sz w:val="24"/>
          <w:szCs w:val="20"/>
          <w:lang w:val="en-GB" w:eastAsia="en-GB"/>
        </w:rPr>
        <w:t xml:space="preserve"> </w:t>
      </w:r>
      <w:r w:rsidR="00297CEA" w:rsidRPr="00297CEA">
        <w:rPr>
          <w:rFonts w:ascii="Times New Roman" w:eastAsiaTheme="minorEastAsia" w:hAnsi="Times New Roman" w:cs="Times New Roman"/>
          <w:noProof/>
          <w:sz w:val="24"/>
          <w:szCs w:val="20"/>
          <w:lang w:val="en-GB" w:eastAsia="en-GB"/>
        </w:rPr>
        <w:t xml:space="preserve">Bulgaria is </w:t>
      </w:r>
      <w:r w:rsidR="00297CEA">
        <w:rPr>
          <w:rFonts w:ascii="Times New Roman" w:eastAsiaTheme="minorEastAsia" w:hAnsi="Times New Roman" w:cs="Times New Roman"/>
          <w:noProof/>
          <w:sz w:val="24"/>
          <w:szCs w:val="20"/>
          <w:lang w:val="en-GB" w:eastAsia="en-GB"/>
        </w:rPr>
        <w:t xml:space="preserve">currently </w:t>
      </w:r>
      <w:r w:rsidR="00297CEA" w:rsidRPr="00297CEA">
        <w:rPr>
          <w:rFonts w:ascii="Times New Roman" w:eastAsiaTheme="minorEastAsia" w:hAnsi="Times New Roman" w:cs="Times New Roman"/>
          <w:noProof/>
          <w:sz w:val="24"/>
          <w:szCs w:val="20"/>
          <w:lang w:val="en-GB" w:eastAsia="en-GB"/>
        </w:rPr>
        <w:t>implementing a major reform of the corporate governance framework of SOEs. Th</w:t>
      </w:r>
      <w:r w:rsidR="00297CEA">
        <w:rPr>
          <w:rFonts w:ascii="Times New Roman" w:eastAsiaTheme="minorEastAsia" w:hAnsi="Times New Roman" w:cs="Times New Roman"/>
          <w:noProof/>
          <w:sz w:val="24"/>
          <w:szCs w:val="20"/>
          <w:lang w:val="en-GB" w:eastAsia="en-GB"/>
        </w:rPr>
        <w:t>is</w:t>
      </w:r>
      <w:r w:rsidR="00297CEA" w:rsidRPr="00297CEA">
        <w:rPr>
          <w:rFonts w:ascii="Times New Roman" w:eastAsiaTheme="minorEastAsia" w:hAnsi="Times New Roman" w:cs="Times New Roman"/>
          <w:noProof/>
          <w:sz w:val="24"/>
          <w:szCs w:val="20"/>
          <w:lang w:val="en-GB" w:eastAsia="en-GB"/>
        </w:rPr>
        <w:t xml:space="preserve"> initiative was part of the government’s action plan to prepare for applying to the Exchange Rate Mechanism II (ERM II)</w:t>
      </w:r>
      <w:r w:rsidR="00297CEA">
        <w:rPr>
          <w:rFonts w:ascii="Times New Roman" w:eastAsiaTheme="minorEastAsia" w:hAnsi="Times New Roman" w:cs="Times New Roman"/>
          <w:noProof/>
          <w:sz w:val="24"/>
          <w:szCs w:val="20"/>
          <w:lang w:val="en-GB" w:eastAsia="en-GB"/>
        </w:rPr>
        <w:t xml:space="preserve"> and it is also included in the Plan</w:t>
      </w:r>
      <w:r w:rsidR="00297CEA" w:rsidRPr="00297CEA">
        <w:rPr>
          <w:rFonts w:ascii="Times New Roman" w:eastAsiaTheme="minorEastAsia" w:hAnsi="Times New Roman" w:cs="Times New Roman"/>
          <w:noProof/>
          <w:sz w:val="24"/>
          <w:szCs w:val="20"/>
          <w:lang w:val="en-GB" w:eastAsia="en-GB"/>
        </w:rPr>
        <w:t>.</w:t>
      </w:r>
    </w:p>
    <w:p w14:paraId="1DBF69F5" w14:textId="4739E4FF" w:rsidR="00C21B94" w:rsidRPr="00E76013" w:rsidRDefault="00C21B94" w:rsidP="00C21B94">
      <w:pPr>
        <w:spacing w:line="276" w:lineRule="auto"/>
        <w:jc w:val="both"/>
        <w:rPr>
          <w:rFonts w:ascii="Times New Roman" w:eastAsiaTheme="minorEastAsia" w:hAnsi="Times New Roman" w:cs="Times New Roman"/>
          <w:noProof/>
          <w:sz w:val="24"/>
          <w:szCs w:val="24"/>
          <w:lang w:val="en-GB" w:eastAsia="en-GB"/>
        </w:rPr>
      </w:pPr>
      <w:r w:rsidRPr="002A0BDC">
        <w:rPr>
          <w:rFonts w:ascii="Times New Roman" w:eastAsiaTheme="minorEastAsia" w:hAnsi="Times New Roman" w:cs="Times New Roman"/>
          <w:b/>
          <w:noProof/>
          <w:sz w:val="24"/>
          <w:szCs w:val="24"/>
          <w:lang w:val="en-GB" w:eastAsia="en-GB"/>
        </w:rPr>
        <w:t xml:space="preserve">Bulgaria has been introducing measures to digitalise the tax administration and to improve </w:t>
      </w:r>
      <w:r w:rsidR="00A35C41">
        <w:rPr>
          <w:rFonts w:ascii="Times New Roman" w:eastAsiaTheme="minorEastAsia" w:hAnsi="Times New Roman" w:cs="Times New Roman"/>
          <w:b/>
          <w:noProof/>
          <w:sz w:val="24"/>
          <w:szCs w:val="24"/>
          <w:lang w:val="en-GB" w:eastAsia="en-GB"/>
        </w:rPr>
        <w:t xml:space="preserve">the </w:t>
      </w:r>
      <w:r w:rsidRPr="002A0BDC">
        <w:rPr>
          <w:rFonts w:ascii="Times New Roman" w:eastAsiaTheme="minorEastAsia" w:hAnsi="Times New Roman" w:cs="Times New Roman"/>
          <w:b/>
          <w:noProof/>
          <w:sz w:val="24"/>
          <w:szCs w:val="24"/>
          <w:lang w:val="en-GB" w:eastAsia="en-GB"/>
        </w:rPr>
        <w:t>tax collection.</w:t>
      </w:r>
      <w:r w:rsidRPr="6840B3A1">
        <w:rPr>
          <w:rFonts w:ascii="Times New Roman" w:eastAsiaTheme="minorEastAsia" w:hAnsi="Times New Roman" w:cs="Times New Roman"/>
          <w:noProof/>
          <w:sz w:val="24"/>
          <w:szCs w:val="24"/>
          <w:lang w:val="en-GB" w:eastAsia="en-GB"/>
        </w:rPr>
        <w:t xml:space="preserve"> In 2021, Bulgaria was amongst the countries with the most significant decreases in the VAT </w:t>
      </w:r>
      <w:r w:rsidR="0035160F" w:rsidRPr="6840B3A1">
        <w:rPr>
          <w:rFonts w:ascii="Times New Roman" w:eastAsiaTheme="minorEastAsia" w:hAnsi="Times New Roman" w:cs="Times New Roman"/>
          <w:noProof/>
          <w:sz w:val="24"/>
          <w:szCs w:val="24"/>
          <w:lang w:val="en-GB" w:eastAsia="en-GB"/>
        </w:rPr>
        <w:t>gap</w:t>
      </w:r>
      <w:r w:rsidR="007469F3" w:rsidRPr="6840B3A1">
        <w:rPr>
          <w:rFonts w:ascii="Times New Roman" w:eastAsiaTheme="minorEastAsia" w:hAnsi="Times New Roman" w:cs="Times New Roman"/>
          <w:noProof/>
          <w:sz w:val="24"/>
          <w:szCs w:val="24"/>
          <w:lang w:val="en-GB" w:eastAsia="en-GB"/>
        </w:rPr>
        <w:t xml:space="preserve"> and there has been some progress with the collection of labour and fuel taxes</w:t>
      </w:r>
      <w:r w:rsidR="00757F64" w:rsidRPr="6840B3A1">
        <w:rPr>
          <w:rFonts w:ascii="Times New Roman" w:eastAsiaTheme="minorEastAsia" w:hAnsi="Times New Roman" w:cs="Times New Roman"/>
          <w:noProof/>
          <w:sz w:val="24"/>
          <w:szCs w:val="24"/>
          <w:lang w:val="en-GB" w:eastAsia="en-GB"/>
        </w:rPr>
        <w:t xml:space="preserve"> as well</w:t>
      </w:r>
      <w:r w:rsidRPr="6840B3A1">
        <w:rPr>
          <w:rFonts w:ascii="Times New Roman" w:eastAsiaTheme="minorEastAsia" w:hAnsi="Times New Roman" w:cs="Times New Roman"/>
          <w:noProof/>
          <w:sz w:val="24"/>
          <w:szCs w:val="24"/>
          <w:lang w:val="en-GB" w:eastAsia="en-GB"/>
        </w:rPr>
        <w:t>. However,</w:t>
      </w:r>
      <w:r w:rsidR="00CE7E2F" w:rsidRPr="6840B3A1">
        <w:rPr>
          <w:rFonts w:ascii="Times New Roman" w:eastAsiaTheme="minorEastAsia" w:hAnsi="Times New Roman" w:cs="Times New Roman"/>
          <w:noProof/>
          <w:sz w:val="24"/>
          <w:szCs w:val="24"/>
          <w:lang w:val="en-GB" w:eastAsia="en-GB"/>
        </w:rPr>
        <w:t xml:space="preserve"> the</w:t>
      </w:r>
      <w:r w:rsidRPr="6840B3A1">
        <w:rPr>
          <w:rFonts w:ascii="Times New Roman" w:eastAsiaTheme="minorEastAsia" w:hAnsi="Times New Roman" w:cs="Times New Roman"/>
          <w:noProof/>
          <w:sz w:val="24"/>
          <w:szCs w:val="24"/>
          <w:lang w:val="en-GB" w:eastAsia="en-GB"/>
        </w:rPr>
        <w:t xml:space="preserve"> tax compliance burden remains high. </w:t>
      </w:r>
      <w:r w:rsidR="00F04F98" w:rsidRPr="6840B3A1">
        <w:rPr>
          <w:rFonts w:ascii="Times New Roman" w:eastAsiaTheme="minorEastAsia" w:hAnsi="Times New Roman" w:cs="Times New Roman"/>
          <w:noProof/>
          <w:sz w:val="24"/>
          <w:szCs w:val="24"/>
          <w:lang w:val="en-GB" w:eastAsia="en-GB"/>
        </w:rPr>
        <w:t>T</w:t>
      </w:r>
      <w:r w:rsidRPr="6840B3A1">
        <w:rPr>
          <w:rFonts w:ascii="Times New Roman" w:eastAsiaTheme="minorEastAsia" w:hAnsi="Times New Roman" w:cs="Times New Roman"/>
          <w:noProof/>
          <w:sz w:val="24"/>
          <w:szCs w:val="24"/>
          <w:lang w:val="en-GB" w:eastAsia="en-GB"/>
        </w:rPr>
        <w:t xml:space="preserve">he tax rate on energy is the second lowest in the EU and there are no specific environmental targets related to tax policy. </w:t>
      </w:r>
      <w:r w:rsidR="007469F3" w:rsidRPr="6840B3A1">
        <w:rPr>
          <w:rFonts w:ascii="Times New Roman" w:eastAsiaTheme="minorEastAsia" w:hAnsi="Times New Roman" w:cs="Times New Roman"/>
          <w:noProof/>
          <w:sz w:val="24"/>
          <w:szCs w:val="24"/>
          <w:lang w:val="en-GB" w:eastAsia="en-GB"/>
        </w:rPr>
        <w:t>The g</w:t>
      </w:r>
      <w:r w:rsidRPr="6840B3A1">
        <w:rPr>
          <w:rFonts w:ascii="Times New Roman" w:eastAsiaTheme="minorEastAsia" w:hAnsi="Times New Roman" w:cs="Times New Roman"/>
          <w:noProof/>
          <w:sz w:val="24"/>
          <w:szCs w:val="24"/>
          <w:lang w:val="en-GB" w:eastAsia="en-GB"/>
        </w:rPr>
        <w:t>reen taxation in transport</w:t>
      </w:r>
      <w:r w:rsidR="00254314" w:rsidRPr="6840B3A1">
        <w:rPr>
          <w:rFonts w:ascii="Times New Roman" w:eastAsiaTheme="minorEastAsia" w:hAnsi="Times New Roman" w:cs="Times New Roman"/>
          <w:noProof/>
          <w:sz w:val="24"/>
          <w:szCs w:val="24"/>
          <w:lang w:val="en-GB" w:eastAsia="en-GB"/>
        </w:rPr>
        <w:t xml:space="preserve"> </w:t>
      </w:r>
      <w:r w:rsidR="00D71CD7" w:rsidRPr="6840B3A1">
        <w:rPr>
          <w:rFonts w:ascii="Times New Roman" w:eastAsiaTheme="minorEastAsia" w:hAnsi="Times New Roman" w:cs="Times New Roman"/>
          <w:noProof/>
          <w:sz w:val="24"/>
          <w:szCs w:val="24"/>
          <w:lang w:val="en-GB" w:eastAsia="en-GB"/>
        </w:rPr>
        <w:t>is underdeveloped</w:t>
      </w:r>
      <w:r w:rsidR="01C13557" w:rsidRPr="6840B3A1">
        <w:rPr>
          <w:rFonts w:ascii="Times New Roman" w:eastAsiaTheme="minorEastAsia" w:hAnsi="Times New Roman" w:cs="Times New Roman"/>
          <w:noProof/>
          <w:sz w:val="24"/>
          <w:szCs w:val="24"/>
          <w:lang w:val="en-GB" w:eastAsia="en-GB"/>
        </w:rPr>
        <w:t xml:space="preserve"> and progress could be made in line with the </w:t>
      </w:r>
      <w:r w:rsidR="667999BC" w:rsidRPr="6840B3A1">
        <w:rPr>
          <w:rFonts w:ascii="Times New Roman" w:eastAsiaTheme="minorEastAsia" w:hAnsi="Times New Roman" w:cs="Times New Roman"/>
          <w:noProof/>
          <w:sz w:val="24"/>
          <w:szCs w:val="24"/>
          <w:lang w:val="en-GB" w:eastAsia="en-GB"/>
        </w:rPr>
        <w:t>‘polluter pays’</w:t>
      </w:r>
      <w:r w:rsidR="01C13557" w:rsidRPr="6840B3A1">
        <w:rPr>
          <w:rFonts w:ascii="Times New Roman" w:eastAsiaTheme="minorEastAsia" w:hAnsi="Times New Roman" w:cs="Times New Roman"/>
          <w:noProof/>
          <w:sz w:val="24"/>
          <w:szCs w:val="24"/>
          <w:lang w:val="en-GB" w:eastAsia="en-GB"/>
        </w:rPr>
        <w:t xml:space="preserve"> principle to stimulate the demand for clean vehicles and gradually phase out polluting vehicles</w:t>
      </w:r>
      <w:r w:rsidRPr="6840B3A1">
        <w:rPr>
          <w:rFonts w:ascii="Times New Roman" w:eastAsiaTheme="minorEastAsia" w:hAnsi="Times New Roman" w:cs="Times New Roman"/>
          <w:noProof/>
          <w:sz w:val="24"/>
          <w:szCs w:val="24"/>
          <w:lang w:val="en-GB" w:eastAsia="en-GB"/>
        </w:rPr>
        <w:t>.</w:t>
      </w:r>
    </w:p>
    <w:p w14:paraId="5350A762" w14:textId="77777777" w:rsidR="00C21B94" w:rsidRPr="00E76013" w:rsidRDefault="00C21B94" w:rsidP="00C21B94">
      <w:pPr>
        <w:spacing w:line="276" w:lineRule="auto"/>
        <w:jc w:val="both"/>
        <w:rPr>
          <w:rFonts w:ascii="Times New Roman" w:eastAsiaTheme="minorEastAsia" w:hAnsi="Times New Roman" w:cs="Times New Roman"/>
          <w:b/>
          <w:i/>
          <w:noProof/>
          <w:sz w:val="24"/>
          <w:szCs w:val="24"/>
          <w:lang w:val="en-GB" w:eastAsia="en-GB"/>
        </w:rPr>
      </w:pPr>
      <w:r w:rsidRPr="002A0BDC">
        <w:rPr>
          <w:rFonts w:ascii="Times New Roman" w:eastAsiaTheme="minorEastAsia" w:hAnsi="Times New Roman" w:cs="Times New Roman"/>
          <w:i/>
          <w:noProof/>
          <w:sz w:val="24"/>
          <w:szCs w:val="24"/>
          <w:lang w:val="en-GB" w:eastAsia="en-GB"/>
        </w:rPr>
        <w:t>Social resilience, healthcare and territorial cohesion</w:t>
      </w:r>
    </w:p>
    <w:p w14:paraId="58322A19" w14:textId="756F4838"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In the longer term, adverse demographic developments and high inactivity rates pose significant risks.</w:t>
      </w:r>
      <w:r w:rsidRPr="00E76013">
        <w:rPr>
          <w:rFonts w:ascii="Times New Roman" w:eastAsiaTheme="minorEastAsia" w:hAnsi="Times New Roman" w:cs="Times New Roman"/>
          <w:noProof/>
          <w:sz w:val="24"/>
          <w:szCs w:val="20"/>
          <w:lang w:val="en-GB" w:eastAsia="en-GB"/>
        </w:rPr>
        <w:t xml:space="preserve"> Bulgaria is facing a double-trend of an ageing and a rapidly shrinking population (decrease of around 10% over </w:t>
      </w:r>
      <w:r w:rsidR="0032512F">
        <w:rPr>
          <w:rFonts w:ascii="Times New Roman" w:eastAsiaTheme="minorEastAsia" w:hAnsi="Times New Roman" w:cs="Times New Roman"/>
          <w:noProof/>
          <w:sz w:val="24"/>
          <w:szCs w:val="20"/>
          <w:lang w:val="en-GB" w:eastAsia="en-GB"/>
        </w:rPr>
        <w:t xml:space="preserve">the last </w:t>
      </w:r>
      <w:r w:rsidR="000A0332">
        <w:rPr>
          <w:rFonts w:ascii="Times New Roman" w:eastAsiaTheme="minorEastAsia" w:hAnsi="Times New Roman" w:cs="Times New Roman"/>
          <w:noProof/>
          <w:sz w:val="24"/>
          <w:szCs w:val="20"/>
          <w:lang w:val="en-GB" w:eastAsia="en-GB"/>
        </w:rPr>
        <w:t>d</w:t>
      </w:r>
      <w:r w:rsidRPr="00E76013">
        <w:rPr>
          <w:rFonts w:ascii="Times New Roman" w:eastAsiaTheme="minorEastAsia" w:hAnsi="Times New Roman" w:cs="Times New Roman"/>
          <w:noProof/>
          <w:sz w:val="24"/>
          <w:szCs w:val="20"/>
          <w:lang w:val="en-GB" w:eastAsia="en-GB"/>
        </w:rPr>
        <w:t xml:space="preserve">ecade). Combined with high inactivity rates for some groups, notably those living in rural and underserved areas, this remains a key challenge for </w:t>
      </w:r>
      <w:r w:rsidR="007542CC">
        <w:rPr>
          <w:rFonts w:ascii="Times New Roman" w:eastAsiaTheme="minorEastAsia" w:hAnsi="Times New Roman" w:cs="Times New Roman"/>
          <w:noProof/>
          <w:sz w:val="24"/>
          <w:szCs w:val="20"/>
          <w:lang w:val="en-GB" w:eastAsia="en-GB"/>
        </w:rPr>
        <w:t xml:space="preserve">potential growth and for </w:t>
      </w:r>
      <w:r w:rsidRPr="00E76013">
        <w:rPr>
          <w:rFonts w:ascii="Times New Roman" w:eastAsiaTheme="minorEastAsia" w:hAnsi="Times New Roman" w:cs="Times New Roman"/>
          <w:noProof/>
          <w:sz w:val="24"/>
          <w:szCs w:val="20"/>
          <w:lang w:val="en-GB" w:eastAsia="en-GB"/>
        </w:rPr>
        <w:t>achieving a fair and an inclusive recovery.</w:t>
      </w:r>
    </w:p>
    <w:p w14:paraId="1785F693" w14:textId="14B09F4A" w:rsidR="00C21B94" w:rsidRPr="00E76013" w:rsidRDefault="24141829" w:rsidP="00C21B94">
      <w:pPr>
        <w:spacing w:line="276" w:lineRule="auto"/>
        <w:jc w:val="both"/>
        <w:rPr>
          <w:rFonts w:ascii="Times New Roman" w:eastAsiaTheme="minorEastAsia" w:hAnsi="Times New Roman" w:cs="Times New Roman"/>
          <w:noProof/>
          <w:sz w:val="24"/>
          <w:szCs w:val="20"/>
          <w:lang w:val="en-GB" w:eastAsia="en-GB"/>
        </w:rPr>
      </w:pPr>
      <w:r w:rsidRPr="36F18C84">
        <w:rPr>
          <w:rFonts w:ascii="Times New Roman" w:eastAsiaTheme="minorEastAsia" w:hAnsi="Times New Roman" w:cs="Times New Roman"/>
          <w:b/>
          <w:bCs/>
          <w:noProof/>
          <w:sz w:val="24"/>
          <w:szCs w:val="24"/>
          <w:lang w:val="en-GB" w:eastAsia="en-GB"/>
        </w:rPr>
        <w:t>In the context of labour shortages, it is key to focus on activation measures, reskilling and upskilling.</w:t>
      </w:r>
      <w:r w:rsidRPr="36F18C84">
        <w:rPr>
          <w:rFonts w:ascii="Times New Roman" w:eastAsiaTheme="minorEastAsia" w:hAnsi="Times New Roman" w:cs="Times New Roman"/>
          <w:noProof/>
          <w:sz w:val="24"/>
          <w:szCs w:val="24"/>
          <w:lang w:val="en-GB" w:eastAsia="en-GB"/>
        </w:rPr>
        <w:t xml:space="preserve"> Bulgaria’s spending on overall active labour market policies is among the lowest in the EU and skill mismatches relative to labour market needs are higher compared to the </w:t>
      </w:r>
      <w:r w:rsidR="338FE1B9" w:rsidRPr="36F18C84">
        <w:rPr>
          <w:rFonts w:ascii="Times New Roman" w:eastAsiaTheme="minorEastAsia" w:hAnsi="Times New Roman" w:cs="Times New Roman"/>
          <w:noProof/>
          <w:sz w:val="24"/>
          <w:szCs w:val="24"/>
          <w:lang w:val="en-GB" w:eastAsia="en-GB"/>
        </w:rPr>
        <w:t>other Central and Eastern European</w:t>
      </w:r>
      <w:r w:rsidRPr="36F18C84">
        <w:rPr>
          <w:rFonts w:ascii="Times New Roman" w:eastAsiaTheme="minorEastAsia" w:hAnsi="Times New Roman" w:cs="Times New Roman"/>
          <w:noProof/>
          <w:sz w:val="24"/>
          <w:szCs w:val="24"/>
          <w:lang w:val="en-GB" w:eastAsia="en-GB"/>
        </w:rPr>
        <w:t xml:space="preserve"> Member States as well as to the EU average. </w:t>
      </w:r>
      <w:r w:rsidR="5ECC670E" w:rsidRPr="36F18C84">
        <w:rPr>
          <w:rFonts w:ascii="Times New Roman" w:eastAsiaTheme="minorEastAsia" w:hAnsi="Times New Roman" w:cs="Times New Roman"/>
          <w:noProof/>
          <w:sz w:val="24"/>
          <w:szCs w:val="24"/>
          <w:lang w:val="en-GB" w:eastAsia="en-GB"/>
        </w:rPr>
        <w:t xml:space="preserve">Even the </w:t>
      </w:r>
      <w:r w:rsidR="0FE62630" w:rsidRPr="36F18C84">
        <w:rPr>
          <w:rFonts w:ascii="Times New Roman" w:eastAsiaTheme="minorEastAsia" w:hAnsi="Times New Roman" w:cs="Times New Roman"/>
          <w:noProof/>
          <w:sz w:val="24"/>
          <w:szCs w:val="24"/>
          <w:lang w:val="en-GB" w:eastAsia="en-GB"/>
        </w:rPr>
        <w:t>high-growth enterprises</w:t>
      </w:r>
      <w:r w:rsidR="5ECC670E" w:rsidRPr="36F18C84">
        <w:rPr>
          <w:rFonts w:ascii="Times New Roman" w:eastAsiaTheme="minorEastAsia" w:hAnsi="Times New Roman" w:cs="Times New Roman"/>
          <w:noProof/>
          <w:sz w:val="24"/>
          <w:szCs w:val="24"/>
          <w:lang w:val="en-GB" w:eastAsia="en-GB"/>
        </w:rPr>
        <w:t xml:space="preserve"> in Bulgaria exhibit shortages in human capital relative to the EU average</w:t>
      </w:r>
      <w:r w:rsidR="00D51D35" w:rsidRPr="36F18C84">
        <w:rPr>
          <w:rStyle w:val="FootnoteReference"/>
          <w:rFonts w:ascii="Times New Roman" w:eastAsiaTheme="minorEastAsia" w:hAnsi="Times New Roman" w:cs="Times New Roman"/>
          <w:noProof/>
          <w:sz w:val="24"/>
          <w:szCs w:val="24"/>
          <w:lang w:val="en-GB" w:eastAsia="en-GB"/>
        </w:rPr>
        <w:footnoteReference w:id="5"/>
      </w:r>
      <w:r w:rsidR="5ECC670E" w:rsidRPr="36F18C84">
        <w:rPr>
          <w:rFonts w:ascii="Times New Roman" w:eastAsiaTheme="minorEastAsia" w:hAnsi="Times New Roman" w:cs="Times New Roman"/>
          <w:noProof/>
          <w:sz w:val="24"/>
          <w:szCs w:val="24"/>
          <w:lang w:val="en-GB" w:eastAsia="en-GB"/>
        </w:rPr>
        <w:t xml:space="preserve">. </w:t>
      </w:r>
      <w:r w:rsidRPr="36F18C84">
        <w:rPr>
          <w:rFonts w:ascii="Times New Roman" w:eastAsiaTheme="minorEastAsia" w:hAnsi="Times New Roman" w:cs="Times New Roman"/>
          <w:noProof/>
          <w:sz w:val="24"/>
          <w:szCs w:val="24"/>
          <w:lang w:val="en-GB" w:eastAsia="en-GB"/>
        </w:rPr>
        <w:t xml:space="preserve">The already </w:t>
      </w:r>
      <w:r w:rsidR="0250FC67" w:rsidRPr="36F18C84">
        <w:rPr>
          <w:rFonts w:ascii="Times New Roman" w:eastAsiaTheme="minorEastAsia" w:hAnsi="Times New Roman" w:cs="Times New Roman"/>
          <w:noProof/>
          <w:sz w:val="24"/>
          <w:szCs w:val="24"/>
          <w:lang w:val="en-GB" w:eastAsia="en-GB"/>
        </w:rPr>
        <w:t xml:space="preserve">very </w:t>
      </w:r>
      <w:r w:rsidRPr="36F18C84">
        <w:rPr>
          <w:rFonts w:ascii="Times New Roman" w:eastAsiaTheme="minorEastAsia" w:hAnsi="Times New Roman" w:cs="Times New Roman"/>
          <w:noProof/>
          <w:sz w:val="24"/>
          <w:szCs w:val="24"/>
          <w:lang w:val="en-GB" w:eastAsia="en-GB"/>
        </w:rPr>
        <w:t>low rates of adult participation in learning and the lowest level of digital skills in the EU have worsened due to the pandemic. Participation in adult learning is particularly important considering that the low skilled account for 17.5% of the working-age population. Only 29% of the adult population has basic digital skills (</w:t>
      </w:r>
      <w:r w:rsidR="155D9311" w:rsidRPr="36F18C84">
        <w:rPr>
          <w:rFonts w:ascii="Times New Roman" w:eastAsiaTheme="minorEastAsia" w:hAnsi="Times New Roman" w:cs="Times New Roman"/>
          <w:noProof/>
          <w:sz w:val="24"/>
          <w:szCs w:val="24"/>
          <w:lang w:val="en-GB" w:eastAsia="en-GB"/>
        </w:rPr>
        <w:t xml:space="preserve">close to </w:t>
      </w:r>
      <w:r w:rsidRPr="36F18C84">
        <w:rPr>
          <w:rFonts w:ascii="Times New Roman" w:eastAsiaTheme="minorEastAsia" w:hAnsi="Times New Roman" w:cs="Times New Roman"/>
          <w:noProof/>
          <w:sz w:val="24"/>
          <w:szCs w:val="24"/>
          <w:lang w:val="en-GB" w:eastAsia="en-GB"/>
        </w:rPr>
        <w:t xml:space="preserve">half of the EU average). The population’s participation in vocational education and training (VET) is also low. The digital and green transitions will bring new challenges but also potential opportunities for the development of the labour force. </w:t>
      </w:r>
    </w:p>
    <w:p w14:paraId="095111B0" w14:textId="1CED4963"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Access to quality education and low educational outcomes are major issues.</w:t>
      </w:r>
      <w:r w:rsidRPr="00E76013">
        <w:rPr>
          <w:rFonts w:ascii="Times New Roman" w:eastAsiaTheme="minorEastAsia" w:hAnsi="Times New Roman" w:cs="Times New Roman"/>
          <w:noProof/>
          <w:sz w:val="24"/>
          <w:szCs w:val="20"/>
          <w:lang w:val="en-GB" w:eastAsia="en-GB"/>
        </w:rPr>
        <w:t xml:space="preserve"> Low participation in early childhood education and care also remains a major challenge. The rate of early school leaving is still high, particularly among disadvantaged groups, including Roma, and in rural areas, and influences the employability and labour markets outcomes. Although </w:t>
      </w:r>
      <w:r w:rsidR="002A0BDC" w:rsidRPr="002A0BDC">
        <w:rPr>
          <w:rFonts w:ascii="Times New Roman" w:eastAsiaTheme="minorEastAsia" w:hAnsi="Times New Roman" w:cs="Times New Roman"/>
          <w:noProof/>
          <w:sz w:val="24"/>
          <w:szCs w:val="20"/>
          <w:lang w:val="en-GB" w:eastAsia="en-GB"/>
        </w:rPr>
        <w:t>Bulgaria’s investment in education continued to increase in 2019 but was still one of the lowest in the EU. In 20</w:t>
      </w:r>
      <w:r w:rsidR="00E909F8">
        <w:rPr>
          <w:rFonts w:ascii="Times New Roman" w:eastAsiaTheme="minorEastAsia" w:hAnsi="Times New Roman" w:cs="Times New Roman"/>
          <w:noProof/>
          <w:sz w:val="24"/>
          <w:szCs w:val="20"/>
          <w:lang w:val="en-GB" w:eastAsia="en-GB"/>
        </w:rPr>
        <w:t>20</w:t>
      </w:r>
      <w:r w:rsidR="002A0BDC" w:rsidRPr="002A0BDC">
        <w:rPr>
          <w:rFonts w:ascii="Times New Roman" w:eastAsiaTheme="minorEastAsia" w:hAnsi="Times New Roman" w:cs="Times New Roman"/>
          <w:noProof/>
          <w:sz w:val="24"/>
          <w:szCs w:val="20"/>
          <w:lang w:val="en-GB" w:eastAsia="en-GB"/>
        </w:rPr>
        <w:t xml:space="preserve">, Bulgaria’s general government expenditure on education increased by </w:t>
      </w:r>
      <w:r w:rsidR="00E909F8" w:rsidRPr="5DAA0A48">
        <w:rPr>
          <w:rFonts w:ascii="Times New Roman" w:eastAsiaTheme="minorEastAsia" w:hAnsi="Times New Roman" w:cs="Times New Roman"/>
          <w:noProof/>
          <w:sz w:val="24"/>
          <w:szCs w:val="24"/>
          <w:lang w:val="en-GB" w:eastAsia="en-GB"/>
        </w:rPr>
        <w:t>5</w:t>
      </w:r>
      <w:r w:rsidR="002A0BDC" w:rsidRPr="002A0BDC">
        <w:rPr>
          <w:rFonts w:ascii="Times New Roman" w:eastAsiaTheme="minorEastAsia" w:hAnsi="Times New Roman" w:cs="Times New Roman"/>
          <w:noProof/>
          <w:sz w:val="24"/>
          <w:szCs w:val="20"/>
          <w:lang w:val="en-GB" w:eastAsia="en-GB"/>
        </w:rPr>
        <w:t>%, reachin</w:t>
      </w:r>
      <w:r w:rsidR="002A0BDC">
        <w:rPr>
          <w:rFonts w:ascii="Times New Roman" w:eastAsiaTheme="minorEastAsia" w:hAnsi="Times New Roman" w:cs="Times New Roman"/>
          <w:noProof/>
          <w:sz w:val="24"/>
          <w:szCs w:val="20"/>
          <w:lang w:val="en-GB" w:eastAsia="en-GB"/>
        </w:rPr>
        <w:t xml:space="preserve">g the equivalent of </w:t>
      </w:r>
      <w:r w:rsidR="00E909F8" w:rsidRPr="5DAA0A48">
        <w:rPr>
          <w:rFonts w:ascii="Times New Roman" w:eastAsiaTheme="minorEastAsia" w:hAnsi="Times New Roman" w:cs="Times New Roman"/>
          <w:noProof/>
          <w:sz w:val="24"/>
          <w:szCs w:val="24"/>
          <w:lang w:val="en-GB" w:eastAsia="en-GB"/>
        </w:rPr>
        <w:t>4.0</w:t>
      </w:r>
      <w:r w:rsidR="002A0BDC">
        <w:rPr>
          <w:rFonts w:ascii="Times New Roman" w:eastAsiaTheme="minorEastAsia" w:hAnsi="Times New Roman" w:cs="Times New Roman"/>
          <w:noProof/>
          <w:sz w:val="24"/>
          <w:szCs w:val="20"/>
          <w:lang w:val="en-GB" w:eastAsia="en-GB"/>
        </w:rPr>
        <w:t>% of GDP and</w:t>
      </w:r>
      <w:r w:rsidR="002A0BDC" w:rsidRPr="002A0BDC">
        <w:rPr>
          <w:rFonts w:ascii="Times New Roman" w:eastAsiaTheme="minorEastAsia" w:hAnsi="Times New Roman" w:cs="Times New Roman"/>
          <w:noProof/>
          <w:sz w:val="24"/>
          <w:szCs w:val="20"/>
          <w:lang w:val="en-GB" w:eastAsia="en-GB"/>
        </w:rPr>
        <w:t xml:space="preserve"> this was largely due to </w:t>
      </w:r>
      <w:r w:rsidR="002A0BDC">
        <w:rPr>
          <w:rFonts w:ascii="Times New Roman" w:eastAsiaTheme="minorEastAsia" w:hAnsi="Times New Roman" w:cs="Times New Roman"/>
          <w:noProof/>
          <w:sz w:val="24"/>
          <w:szCs w:val="20"/>
          <w:lang w:val="en-GB" w:eastAsia="en-GB"/>
        </w:rPr>
        <w:t xml:space="preserve">the </w:t>
      </w:r>
      <w:r w:rsidR="002A0BDC" w:rsidRPr="002A0BDC">
        <w:rPr>
          <w:rFonts w:ascii="Times New Roman" w:eastAsiaTheme="minorEastAsia" w:hAnsi="Times New Roman" w:cs="Times New Roman"/>
          <w:noProof/>
          <w:sz w:val="24"/>
          <w:szCs w:val="20"/>
          <w:lang w:val="en-GB" w:eastAsia="en-GB"/>
        </w:rPr>
        <w:t>increases in teachers’ salaries</w:t>
      </w:r>
      <w:r w:rsidRPr="00E76013">
        <w:rPr>
          <w:rFonts w:ascii="Times New Roman" w:eastAsiaTheme="minorEastAsia" w:hAnsi="Times New Roman" w:cs="Times New Roman"/>
          <w:noProof/>
          <w:sz w:val="24"/>
          <w:szCs w:val="20"/>
          <w:lang w:val="en-GB" w:eastAsia="en-GB"/>
        </w:rPr>
        <w:t xml:space="preserve">. At the same time, insufficient investments in pre-primary and primary education further widen inequalities among students from an early stage. Educational outcomes are low, with almost half of Bulgaria’s teenagers lacking basic skills (against one out of five in the EU). Key reforms on pre-school, school education, adult learning and higher education, complemented by the corresponding investments, </w:t>
      </w:r>
      <w:r w:rsidR="002A0BDC">
        <w:rPr>
          <w:rFonts w:ascii="Times New Roman" w:eastAsiaTheme="minorEastAsia" w:hAnsi="Times New Roman" w:cs="Times New Roman"/>
          <w:noProof/>
          <w:sz w:val="24"/>
          <w:szCs w:val="20"/>
          <w:lang w:val="en-GB" w:eastAsia="en-GB"/>
        </w:rPr>
        <w:t xml:space="preserve">including </w:t>
      </w:r>
      <w:r w:rsidR="002A0BDC" w:rsidRPr="00E76013">
        <w:rPr>
          <w:rFonts w:ascii="Times New Roman" w:eastAsiaTheme="minorEastAsia" w:hAnsi="Times New Roman" w:cs="Times New Roman"/>
          <w:noProof/>
          <w:sz w:val="24"/>
          <w:szCs w:val="20"/>
          <w:lang w:val="en-GB" w:eastAsia="en-GB"/>
        </w:rPr>
        <w:t>in</w:t>
      </w:r>
      <w:r w:rsidRPr="00E76013">
        <w:rPr>
          <w:rFonts w:ascii="Times New Roman" w:eastAsiaTheme="minorEastAsia" w:hAnsi="Times New Roman" w:cs="Times New Roman"/>
          <w:noProof/>
          <w:sz w:val="24"/>
          <w:szCs w:val="20"/>
          <w:lang w:val="en-GB" w:eastAsia="en-GB"/>
        </w:rPr>
        <w:t xml:space="preserve"> </w:t>
      </w:r>
      <w:r w:rsidR="002A0BDC">
        <w:rPr>
          <w:rFonts w:ascii="Times New Roman" w:eastAsiaTheme="minorEastAsia" w:hAnsi="Times New Roman" w:cs="Times New Roman"/>
          <w:noProof/>
          <w:sz w:val="24"/>
          <w:szCs w:val="20"/>
          <w:lang w:val="en-GB" w:eastAsia="en-GB"/>
        </w:rPr>
        <w:t xml:space="preserve">the </w:t>
      </w:r>
      <w:r w:rsidRPr="00E76013">
        <w:rPr>
          <w:rFonts w:ascii="Times New Roman" w:eastAsiaTheme="minorEastAsia" w:hAnsi="Times New Roman" w:cs="Times New Roman"/>
          <w:noProof/>
          <w:sz w:val="24"/>
          <w:szCs w:val="20"/>
          <w:lang w:val="en-GB" w:eastAsia="en-GB"/>
        </w:rPr>
        <w:t>IT infrastructure, would help to overcome gaps in the education area.</w:t>
      </w:r>
    </w:p>
    <w:p w14:paraId="06204DD4" w14:textId="3F6B5DD4"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 xml:space="preserve">Bulgaria is facing high income inequality accompanied by fragmented and relatively ineffective social benefits. </w:t>
      </w:r>
      <w:r w:rsidRPr="00E76013">
        <w:rPr>
          <w:rFonts w:ascii="Times New Roman" w:eastAsiaTheme="minorEastAsia" w:hAnsi="Times New Roman" w:cs="Times New Roman"/>
          <w:noProof/>
          <w:sz w:val="24"/>
          <w:szCs w:val="20"/>
          <w:lang w:val="en-GB" w:eastAsia="en-GB"/>
        </w:rPr>
        <w:t xml:space="preserve">The situation is particularly dire in terms of the risk of poverty and social exclusion, the poverty reduction impact of social benefits and inequality. The labour market impact of the </w:t>
      </w:r>
      <w:r w:rsidR="00BD2DAA">
        <w:rPr>
          <w:rFonts w:ascii="Times New Roman" w:eastAsiaTheme="minorEastAsia" w:hAnsi="Times New Roman" w:cs="Times New Roman"/>
          <w:noProof/>
          <w:sz w:val="24"/>
          <w:szCs w:val="20"/>
          <w:lang w:val="en-GB" w:eastAsia="en-GB"/>
        </w:rPr>
        <w:t>COVID-19</w:t>
      </w:r>
      <w:r w:rsidRPr="00E76013">
        <w:rPr>
          <w:rFonts w:ascii="Times New Roman" w:eastAsiaTheme="minorEastAsia" w:hAnsi="Times New Roman" w:cs="Times New Roman"/>
          <w:noProof/>
          <w:sz w:val="24"/>
          <w:szCs w:val="20"/>
          <w:lang w:val="en-GB" w:eastAsia="en-GB"/>
        </w:rPr>
        <w:t xml:space="preserve"> crisis is expected to further worsen the situation, with direct long term knock-on effects for educational outcomes of children from disadvantaged families. The limited capacity of the social services and public employment services and the lack of </w:t>
      </w:r>
      <w:r w:rsidR="000244D1">
        <w:rPr>
          <w:rFonts w:ascii="Times New Roman" w:eastAsiaTheme="minorEastAsia" w:hAnsi="Times New Roman" w:cs="Times New Roman"/>
          <w:noProof/>
          <w:sz w:val="24"/>
          <w:szCs w:val="20"/>
          <w:lang w:val="en-GB" w:eastAsia="en-GB"/>
        </w:rPr>
        <w:t>an</w:t>
      </w:r>
      <w:r w:rsidRPr="00E76013">
        <w:rPr>
          <w:rFonts w:ascii="Times New Roman" w:eastAsiaTheme="minorEastAsia" w:hAnsi="Times New Roman" w:cs="Times New Roman"/>
          <w:noProof/>
          <w:sz w:val="24"/>
          <w:szCs w:val="20"/>
          <w:lang w:val="en-GB" w:eastAsia="en-GB"/>
        </w:rPr>
        <w:t xml:space="preserve"> integrated approach affects their ability to improve the employability and social inclusion of the vulnerable groups. </w:t>
      </w:r>
    </w:p>
    <w:p w14:paraId="20567D08" w14:textId="7496C4BB" w:rsidR="00C21B94" w:rsidRPr="00E76013" w:rsidRDefault="00C21B94" w:rsidP="00C21B94">
      <w:pPr>
        <w:spacing w:line="276" w:lineRule="auto"/>
        <w:jc w:val="both"/>
        <w:rPr>
          <w:rFonts w:ascii="Times New Roman" w:eastAsiaTheme="minorEastAsia" w:hAnsi="Times New Roman" w:cs="Times New Roman"/>
          <w:noProof/>
          <w:sz w:val="24"/>
          <w:szCs w:val="20"/>
          <w:lang w:val="en-GB" w:eastAsia="en-GB"/>
        </w:rPr>
      </w:pPr>
      <w:r w:rsidRPr="00E76013">
        <w:rPr>
          <w:rFonts w:ascii="Times New Roman" w:eastAsiaTheme="minorEastAsia" w:hAnsi="Times New Roman" w:cs="Times New Roman"/>
          <w:b/>
          <w:noProof/>
          <w:sz w:val="24"/>
          <w:szCs w:val="20"/>
          <w:lang w:val="en-GB" w:eastAsia="en-GB"/>
        </w:rPr>
        <w:t xml:space="preserve">The pandemic has put under spotlight </w:t>
      </w:r>
      <w:r w:rsidRPr="002A0BDC">
        <w:rPr>
          <w:rFonts w:ascii="Times New Roman" w:hAnsi="Times New Roman"/>
          <w:b/>
          <w:noProof/>
          <w:sz w:val="24"/>
          <w:lang w:val="en-GB"/>
        </w:rPr>
        <w:t>the structural challenges related to the sustainability, accessibility and capacity of the healthcare system.</w:t>
      </w:r>
      <w:r w:rsidRPr="00E76013">
        <w:rPr>
          <w:rFonts w:ascii="Times New Roman" w:eastAsiaTheme="minorEastAsia" w:hAnsi="Times New Roman" w:cs="Times New Roman"/>
          <w:noProof/>
          <w:sz w:val="24"/>
          <w:szCs w:val="20"/>
          <w:lang w:val="en-GB" w:eastAsia="en-GB"/>
        </w:rPr>
        <w:t xml:space="preserve"> Total life expectancy in Bulgaria, at 73.6 years, is 7 years below the EU average. Limited access to health care, which is mainly a consequence of high out-of-pocket payments, gaps in health insurance coverage, as well as unequal regional distribution and low number of health professionals (primarily nurses), has been characteristic </w:t>
      </w:r>
      <w:r w:rsidR="00CB2EF2">
        <w:rPr>
          <w:rFonts w:ascii="Times New Roman" w:eastAsiaTheme="minorEastAsia" w:hAnsi="Times New Roman" w:cs="Times New Roman"/>
          <w:noProof/>
          <w:sz w:val="24"/>
          <w:szCs w:val="20"/>
          <w:lang w:val="en-GB" w:eastAsia="en-GB"/>
        </w:rPr>
        <w:t>of the</w:t>
      </w:r>
      <w:r w:rsidRPr="00E76013">
        <w:rPr>
          <w:rFonts w:ascii="Times New Roman" w:eastAsiaTheme="minorEastAsia" w:hAnsi="Times New Roman" w:cs="Times New Roman"/>
          <w:noProof/>
          <w:sz w:val="24"/>
          <w:szCs w:val="20"/>
          <w:lang w:val="en-GB" w:eastAsia="en-GB"/>
        </w:rPr>
        <w:t xml:space="preserve"> Bulgarian health system for many years.</w:t>
      </w:r>
      <w:r w:rsidR="004F2DAB">
        <w:rPr>
          <w:rFonts w:ascii="Times New Roman" w:eastAsiaTheme="minorEastAsia" w:hAnsi="Times New Roman" w:cs="Times New Roman"/>
          <w:noProof/>
          <w:sz w:val="24"/>
          <w:szCs w:val="20"/>
          <w:lang w:val="en-GB" w:eastAsia="en-GB"/>
        </w:rPr>
        <w:t xml:space="preserve"> </w:t>
      </w:r>
      <w:r w:rsidRPr="00E76013">
        <w:rPr>
          <w:rFonts w:ascii="Times New Roman" w:eastAsiaTheme="minorEastAsia" w:hAnsi="Times New Roman" w:cs="Times New Roman"/>
          <w:noProof/>
          <w:sz w:val="24"/>
          <w:szCs w:val="20"/>
          <w:lang w:val="en-GB" w:eastAsia="en-GB"/>
        </w:rPr>
        <w:t xml:space="preserve">The system is hospital-centred to the detriment of ambulatory care. This is a result of low public expenditure on healthcare and public health (5.9 % of GDP in 2020, 2.1 percentage points below the EU average), covering only around 60.6 % of total healthcare costs, against 79.5 % on average in the EU. The share of ‘out-of-pocket’ payments (formal and informal) is therefore the highest in the EU, bringing the burden of healthcare costs above the EU average. The effectiveness of the health care system in Bulgaria remains low in comparison to other Member States. Deaths from both preventable and treatable causes are well above the rates for the EU as a whole. </w:t>
      </w:r>
    </w:p>
    <w:p w14:paraId="31076C88" w14:textId="4D067A5D" w:rsidR="00C21B94" w:rsidRPr="00E76013" w:rsidRDefault="24141829" w:rsidP="00C21B94">
      <w:pPr>
        <w:spacing w:line="276" w:lineRule="auto"/>
        <w:jc w:val="both"/>
        <w:rPr>
          <w:rFonts w:ascii="Times New Roman" w:eastAsiaTheme="minorEastAsia" w:hAnsi="Times New Roman" w:cs="Times New Roman"/>
          <w:noProof/>
          <w:sz w:val="24"/>
          <w:szCs w:val="20"/>
          <w:lang w:val="en-GB" w:eastAsia="en-GB"/>
        </w:rPr>
      </w:pPr>
      <w:r w:rsidRPr="36F18C84">
        <w:rPr>
          <w:rFonts w:ascii="Times New Roman" w:eastAsiaTheme="minorEastAsia" w:hAnsi="Times New Roman" w:cs="Times New Roman"/>
          <w:b/>
          <w:bCs/>
          <w:noProof/>
          <w:sz w:val="24"/>
          <w:szCs w:val="24"/>
          <w:lang w:val="en-GB" w:eastAsia="en-GB"/>
        </w:rPr>
        <w:t xml:space="preserve">There </w:t>
      </w:r>
      <w:r w:rsidR="10791AE3" w:rsidRPr="36F18C84">
        <w:rPr>
          <w:rFonts w:ascii="Times New Roman" w:eastAsiaTheme="minorEastAsia" w:hAnsi="Times New Roman" w:cs="Times New Roman"/>
          <w:b/>
          <w:bCs/>
          <w:noProof/>
          <w:sz w:val="24"/>
          <w:szCs w:val="24"/>
          <w:lang w:val="en-GB" w:eastAsia="en-GB"/>
        </w:rPr>
        <w:t xml:space="preserve">remain </w:t>
      </w:r>
      <w:r w:rsidRPr="36F18C84">
        <w:rPr>
          <w:rFonts w:ascii="Times New Roman" w:eastAsiaTheme="minorEastAsia" w:hAnsi="Times New Roman" w:cs="Times New Roman"/>
          <w:b/>
          <w:bCs/>
          <w:noProof/>
          <w:sz w:val="24"/>
          <w:szCs w:val="24"/>
          <w:lang w:val="en-GB" w:eastAsia="en-GB"/>
        </w:rPr>
        <w:t xml:space="preserve">significant </w:t>
      </w:r>
      <w:r w:rsidR="10791AE3" w:rsidRPr="36F18C84">
        <w:rPr>
          <w:rFonts w:ascii="Times New Roman" w:eastAsiaTheme="minorEastAsia" w:hAnsi="Times New Roman" w:cs="Times New Roman"/>
          <w:b/>
          <w:bCs/>
          <w:noProof/>
          <w:sz w:val="24"/>
          <w:szCs w:val="24"/>
          <w:lang w:val="en-GB" w:eastAsia="en-GB"/>
        </w:rPr>
        <w:t>inter and intra-</w:t>
      </w:r>
      <w:r w:rsidRPr="36F18C84">
        <w:rPr>
          <w:rFonts w:ascii="Times New Roman" w:eastAsiaTheme="minorEastAsia" w:hAnsi="Times New Roman" w:cs="Times New Roman"/>
          <w:b/>
          <w:bCs/>
          <w:noProof/>
          <w:sz w:val="24"/>
          <w:szCs w:val="24"/>
          <w:lang w:val="en-GB" w:eastAsia="en-GB"/>
        </w:rPr>
        <w:t>regional disparities in Bulgaria.</w:t>
      </w:r>
      <w:r w:rsidRPr="36F18C84">
        <w:rPr>
          <w:rFonts w:ascii="Times New Roman" w:eastAsiaTheme="minorEastAsia" w:hAnsi="Times New Roman" w:cs="Times New Roman"/>
          <w:noProof/>
          <w:sz w:val="24"/>
          <w:szCs w:val="24"/>
          <w:lang w:val="en-GB" w:eastAsia="en-GB"/>
        </w:rPr>
        <w:t xml:space="preserve"> Regional disparities have been increasing considerably since 2000, reaching a peak in 2010 and stabilising afterwards. The main driver is the concentration of economic activity in the capital region of Sofia and its rapid development in 2000-2010. The capital region of Sofia (South-West) also attracts more than half of the foreign direct investment in the non-financial sector, which is mostly concentrated in the capital itself. The poorest performers are the North-Central and in particular the North-West region. Demographic developments also influence regional trends in GDP per capita. The NUTS2 regions that were most affected by demographic changes </w:t>
      </w:r>
      <w:r w:rsidR="20934777" w:rsidRPr="36F18C84">
        <w:rPr>
          <w:rFonts w:ascii="Times New Roman" w:eastAsiaTheme="minorEastAsia" w:hAnsi="Times New Roman" w:cs="Times New Roman"/>
          <w:noProof/>
          <w:sz w:val="24"/>
          <w:szCs w:val="24"/>
          <w:lang w:val="en-GB" w:eastAsia="en-GB"/>
        </w:rPr>
        <w:t xml:space="preserve">over the last decade </w:t>
      </w:r>
      <w:r w:rsidRPr="36F18C84">
        <w:rPr>
          <w:rFonts w:ascii="Times New Roman" w:eastAsiaTheme="minorEastAsia" w:hAnsi="Times New Roman" w:cs="Times New Roman"/>
          <w:noProof/>
          <w:sz w:val="24"/>
          <w:szCs w:val="24"/>
          <w:lang w:val="en-GB" w:eastAsia="en-GB"/>
        </w:rPr>
        <w:t xml:space="preserve">are </w:t>
      </w:r>
      <w:r w:rsidR="20934777" w:rsidRPr="36F18C84">
        <w:rPr>
          <w:rFonts w:ascii="Times New Roman" w:eastAsiaTheme="minorEastAsia" w:hAnsi="Times New Roman" w:cs="Times New Roman"/>
          <w:noProof/>
          <w:sz w:val="24"/>
          <w:szCs w:val="24"/>
          <w:lang w:val="en-GB" w:eastAsia="en-GB"/>
        </w:rPr>
        <w:t xml:space="preserve">the </w:t>
      </w:r>
      <w:r w:rsidRPr="36F18C84">
        <w:rPr>
          <w:rFonts w:ascii="Times New Roman" w:eastAsiaTheme="minorEastAsia" w:hAnsi="Times New Roman" w:cs="Times New Roman"/>
          <w:noProof/>
          <w:sz w:val="24"/>
          <w:szCs w:val="24"/>
          <w:lang w:val="en-GB" w:eastAsia="en-GB"/>
        </w:rPr>
        <w:t>North-West (-28.8%) and North-Central (-23.1%).</w:t>
      </w:r>
      <w:r w:rsidR="62379F29" w:rsidRPr="36F18C84">
        <w:rPr>
          <w:rFonts w:ascii="Times New Roman" w:eastAsiaTheme="minorEastAsia" w:hAnsi="Times New Roman" w:cs="Times New Roman"/>
          <w:noProof/>
          <w:sz w:val="24"/>
          <w:szCs w:val="24"/>
          <w:lang w:val="en-GB" w:eastAsia="en-GB"/>
        </w:rPr>
        <w:t xml:space="preserve"> </w:t>
      </w:r>
      <w:r w:rsidR="000B5405">
        <w:rPr>
          <w:rFonts w:ascii="Times New Roman" w:eastAsiaTheme="minorEastAsia" w:hAnsi="Times New Roman" w:cs="Times New Roman"/>
          <w:noProof/>
          <w:sz w:val="24"/>
          <w:szCs w:val="24"/>
          <w:lang w:val="en-GB" w:eastAsia="en-GB"/>
        </w:rPr>
        <w:t xml:space="preserve">A </w:t>
      </w:r>
      <w:r w:rsidR="62379F29" w:rsidRPr="36F18C84">
        <w:rPr>
          <w:rFonts w:ascii="Times New Roman" w:eastAsiaTheme="minorEastAsia" w:hAnsi="Times New Roman" w:cs="Times New Roman"/>
          <w:noProof/>
          <w:sz w:val="24"/>
          <w:szCs w:val="24"/>
          <w:lang w:val="en-GB" w:eastAsia="en-GB"/>
        </w:rPr>
        <w:t>balanced distribution of investments to the private sector, infrastructure and research and development may lead to a mitigation of regional disparities</w:t>
      </w:r>
      <w:r w:rsidR="00541C06" w:rsidRPr="36F18C84">
        <w:rPr>
          <w:rStyle w:val="FootnoteReference"/>
          <w:rFonts w:ascii="Times New Roman" w:eastAsiaTheme="minorEastAsia" w:hAnsi="Times New Roman" w:cs="Times New Roman"/>
          <w:noProof/>
          <w:sz w:val="24"/>
          <w:szCs w:val="24"/>
          <w:lang w:val="en-GB" w:eastAsia="en-GB"/>
        </w:rPr>
        <w:footnoteReference w:id="6"/>
      </w:r>
      <w:r w:rsidR="62379F29" w:rsidRPr="36F18C84">
        <w:rPr>
          <w:rFonts w:ascii="Times New Roman" w:eastAsiaTheme="minorEastAsia" w:hAnsi="Times New Roman" w:cs="Times New Roman"/>
          <w:noProof/>
          <w:sz w:val="24"/>
          <w:szCs w:val="24"/>
          <w:lang w:val="en-GB" w:eastAsia="en-GB"/>
        </w:rPr>
        <w:t>.</w:t>
      </w:r>
      <w:r w:rsidR="69D4C1DC" w:rsidRPr="36F18C84" w:rsidDel="0031670E">
        <w:rPr>
          <w:rStyle w:val="FootnoteReference"/>
          <w:rFonts w:ascii="Times New Roman" w:eastAsiaTheme="minorEastAsia" w:hAnsi="Times New Roman" w:cs="Times New Roman"/>
          <w:noProof/>
          <w:sz w:val="24"/>
          <w:szCs w:val="24"/>
          <w:lang w:val="en-GB" w:eastAsia="en-GB"/>
        </w:rPr>
        <w:t xml:space="preserve"> </w:t>
      </w:r>
    </w:p>
    <w:p w14:paraId="5DB5157D" w14:textId="45CCB3C5" w:rsidR="00D97A54" w:rsidRPr="00EB1A71" w:rsidRDefault="00D97A54" w:rsidP="00E01A1F">
      <w:pPr>
        <w:pStyle w:val="Heading2"/>
        <w:numPr>
          <w:ilvl w:val="1"/>
          <w:numId w:val="7"/>
        </w:numPr>
        <w:spacing w:after="160" w:line="276" w:lineRule="auto"/>
        <w:rPr>
          <w:rFonts w:eastAsiaTheme="minorEastAsia"/>
          <w:noProof/>
        </w:rPr>
      </w:pPr>
      <w:bookmarkStart w:id="90" w:name="_Toc99399062"/>
      <w:bookmarkStart w:id="91" w:name="_Toc99399995"/>
      <w:bookmarkStart w:id="92" w:name="_Toc99400423"/>
      <w:bookmarkStart w:id="93" w:name="_Toc99719438"/>
      <w:bookmarkStart w:id="94" w:name="_Toc99728651"/>
      <w:bookmarkStart w:id="95" w:name="_Toc99729645"/>
      <w:bookmarkStart w:id="96" w:name="_Toc99730622"/>
      <w:bookmarkStart w:id="97" w:name="_Toc99731346"/>
      <w:bookmarkStart w:id="98" w:name="_Toc99756885"/>
      <w:bookmarkStart w:id="99" w:name="_Toc99909915"/>
      <w:r w:rsidRPr="00EB1A71">
        <w:rPr>
          <w:rFonts w:eastAsiaTheme="minorEastAsia"/>
          <w:noProof/>
        </w:rPr>
        <w:t xml:space="preserve">Challenges related to the </w:t>
      </w:r>
      <w:r w:rsidR="00E20A62" w:rsidRPr="00EB1A71">
        <w:rPr>
          <w:rFonts w:eastAsiaTheme="minorEastAsia"/>
          <w:noProof/>
        </w:rPr>
        <w:t>green and digital</w:t>
      </w:r>
      <w:r w:rsidRPr="00EB1A71">
        <w:rPr>
          <w:rFonts w:eastAsiaTheme="minorEastAsia"/>
          <w:noProof/>
        </w:rPr>
        <w:t xml:space="preserve"> transition</w:t>
      </w:r>
      <w:bookmarkEnd w:id="90"/>
      <w:bookmarkEnd w:id="91"/>
      <w:bookmarkEnd w:id="92"/>
      <w:bookmarkEnd w:id="93"/>
      <w:bookmarkEnd w:id="94"/>
      <w:bookmarkEnd w:id="95"/>
      <w:bookmarkEnd w:id="96"/>
      <w:bookmarkEnd w:id="97"/>
      <w:bookmarkEnd w:id="98"/>
      <w:bookmarkEnd w:id="99"/>
      <w:r w:rsidR="00A02289" w:rsidRPr="00EB1A71">
        <w:rPr>
          <w:rFonts w:eastAsiaTheme="minorEastAsia"/>
          <w:noProof/>
        </w:rPr>
        <w:t xml:space="preserve"> </w:t>
      </w:r>
      <w:bookmarkEnd w:id="71"/>
      <w:bookmarkEnd w:id="72"/>
      <w:bookmarkEnd w:id="73"/>
      <w:bookmarkEnd w:id="74"/>
      <w:bookmarkEnd w:id="75"/>
      <w:bookmarkEnd w:id="76"/>
      <w:bookmarkEnd w:id="77"/>
      <w:bookmarkEnd w:id="78"/>
      <w:bookmarkEnd w:id="79"/>
    </w:p>
    <w:p w14:paraId="4640EDBF" w14:textId="3BA02FF1" w:rsidR="004B2E4B" w:rsidRPr="00E76013" w:rsidRDefault="004B2E4B" w:rsidP="002A0BDC">
      <w:pPr>
        <w:pStyle w:val="Heading3"/>
        <w:spacing w:after="160" w:line="276" w:lineRule="auto"/>
        <w:rPr>
          <w:b/>
          <w:noProof/>
        </w:rPr>
      </w:pPr>
      <w:bookmarkStart w:id="100" w:name="_Toc99399063"/>
      <w:bookmarkStart w:id="101" w:name="_Toc99399996"/>
      <w:bookmarkStart w:id="102" w:name="_Toc99400424"/>
      <w:bookmarkStart w:id="103" w:name="_Toc99719439"/>
      <w:bookmarkStart w:id="104" w:name="_Toc99728652"/>
      <w:bookmarkStart w:id="105" w:name="_Toc99729646"/>
      <w:bookmarkStart w:id="106" w:name="_Toc99730623"/>
      <w:bookmarkStart w:id="107" w:name="_Toc99731347"/>
      <w:bookmarkStart w:id="108" w:name="_Toc99756886"/>
      <w:bookmarkStart w:id="109" w:name="_Toc99909916"/>
      <w:bookmarkStart w:id="110" w:name="_Toc62455196"/>
      <w:bookmarkStart w:id="111" w:name="_Toc62818211"/>
      <w:bookmarkStart w:id="112" w:name="_Toc62818758"/>
      <w:bookmarkStart w:id="113" w:name="_Toc63417213"/>
      <w:bookmarkStart w:id="114" w:name="_Toc63418903"/>
      <w:bookmarkStart w:id="115" w:name="_Toc63418928"/>
      <w:bookmarkStart w:id="116" w:name="_Toc98952818"/>
      <w:bookmarkStart w:id="117" w:name="_Toc98953989"/>
      <w:r w:rsidRPr="002A0BDC">
        <w:rPr>
          <w:noProof/>
        </w:rPr>
        <w:t>Green dimension</w:t>
      </w:r>
      <w:bookmarkEnd w:id="100"/>
      <w:bookmarkEnd w:id="101"/>
      <w:bookmarkEnd w:id="102"/>
      <w:bookmarkEnd w:id="103"/>
      <w:bookmarkEnd w:id="104"/>
      <w:bookmarkEnd w:id="105"/>
      <w:bookmarkEnd w:id="106"/>
      <w:bookmarkEnd w:id="107"/>
      <w:bookmarkEnd w:id="108"/>
      <w:bookmarkEnd w:id="109"/>
      <w:r w:rsidRPr="002A0BDC">
        <w:rPr>
          <w:noProof/>
        </w:rPr>
        <w:t xml:space="preserve"> </w:t>
      </w:r>
      <w:bookmarkEnd w:id="110"/>
      <w:bookmarkEnd w:id="111"/>
      <w:bookmarkEnd w:id="112"/>
      <w:bookmarkEnd w:id="113"/>
      <w:bookmarkEnd w:id="114"/>
      <w:bookmarkEnd w:id="115"/>
      <w:bookmarkEnd w:id="116"/>
      <w:bookmarkEnd w:id="117"/>
    </w:p>
    <w:p w14:paraId="41036EC1" w14:textId="70B66660" w:rsidR="00D97A54" w:rsidRPr="00E76013" w:rsidRDefault="00A02DFA" w:rsidP="004F2DAB">
      <w:pPr>
        <w:spacing w:line="276" w:lineRule="auto"/>
        <w:jc w:val="both"/>
        <w:rPr>
          <w:rFonts w:ascii="Times New Roman" w:eastAsia="Times New Roman" w:hAnsi="Times New Roman" w:cs="Times New Roman"/>
          <w:noProof/>
          <w:sz w:val="24"/>
          <w:szCs w:val="24"/>
          <w:lang w:val="en-GB"/>
        </w:rPr>
      </w:pPr>
      <w:r w:rsidRPr="1BD26133">
        <w:rPr>
          <w:rFonts w:ascii="Times New Roman" w:eastAsia="Times New Roman" w:hAnsi="Times New Roman" w:cs="Times New Roman"/>
          <w:b/>
          <w:bCs/>
          <w:noProof/>
          <w:sz w:val="24"/>
          <w:szCs w:val="24"/>
          <w:lang w:val="en-GB"/>
        </w:rPr>
        <w:t>A</w:t>
      </w:r>
      <w:r w:rsidR="0034085D" w:rsidRPr="1BD26133">
        <w:rPr>
          <w:rFonts w:ascii="Times New Roman" w:eastAsia="Times New Roman" w:hAnsi="Times New Roman" w:cs="Times New Roman"/>
          <w:b/>
          <w:bCs/>
          <w:noProof/>
          <w:sz w:val="24"/>
          <w:szCs w:val="24"/>
          <w:lang w:val="en-GB"/>
        </w:rPr>
        <w:t xml:space="preserve">t least </w:t>
      </w:r>
      <w:r w:rsidR="00D97A54" w:rsidRPr="1BD26133">
        <w:rPr>
          <w:rFonts w:ascii="Times New Roman" w:eastAsia="Times New Roman" w:hAnsi="Times New Roman" w:cs="Times New Roman"/>
          <w:b/>
          <w:bCs/>
          <w:noProof/>
          <w:sz w:val="24"/>
          <w:szCs w:val="24"/>
          <w:lang w:val="en-GB"/>
        </w:rPr>
        <w:t xml:space="preserve">37% of </w:t>
      </w:r>
      <w:r w:rsidR="0034085D" w:rsidRPr="1BD26133">
        <w:rPr>
          <w:rFonts w:ascii="Times New Roman" w:eastAsia="Times New Roman" w:hAnsi="Times New Roman" w:cs="Times New Roman"/>
          <w:b/>
          <w:bCs/>
          <w:noProof/>
          <w:sz w:val="24"/>
          <w:szCs w:val="24"/>
          <w:lang w:val="en-GB"/>
        </w:rPr>
        <w:t xml:space="preserve">the </w:t>
      </w:r>
      <w:r w:rsidR="00841FCF" w:rsidRPr="1BD26133">
        <w:rPr>
          <w:rFonts w:ascii="Times New Roman" w:eastAsia="Times New Roman" w:hAnsi="Times New Roman" w:cs="Times New Roman"/>
          <w:b/>
          <w:bCs/>
          <w:noProof/>
          <w:sz w:val="24"/>
          <w:szCs w:val="24"/>
          <w:lang w:val="en-GB"/>
        </w:rPr>
        <w:t>financial allocation</w:t>
      </w:r>
      <w:r w:rsidR="00803D12" w:rsidRPr="1BD26133">
        <w:rPr>
          <w:rFonts w:ascii="Times New Roman" w:eastAsia="Times New Roman" w:hAnsi="Times New Roman" w:cs="Times New Roman"/>
          <w:b/>
          <w:bCs/>
          <w:noProof/>
          <w:sz w:val="24"/>
          <w:szCs w:val="24"/>
          <w:lang w:val="en-GB"/>
        </w:rPr>
        <w:t xml:space="preserve"> </w:t>
      </w:r>
      <w:r w:rsidRPr="1BD26133">
        <w:rPr>
          <w:rFonts w:ascii="Times New Roman" w:eastAsia="Times New Roman" w:hAnsi="Times New Roman" w:cs="Times New Roman"/>
          <w:b/>
          <w:bCs/>
          <w:noProof/>
          <w:sz w:val="24"/>
          <w:szCs w:val="24"/>
          <w:lang w:val="en-GB"/>
        </w:rPr>
        <w:t xml:space="preserve">in the recovery and resilience plans </w:t>
      </w:r>
      <w:r w:rsidR="00803D12" w:rsidRPr="1BD26133">
        <w:rPr>
          <w:rFonts w:ascii="Times New Roman" w:eastAsia="Times New Roman" w:hAnsi="Times New Roman" w:cs="Times New Roman"/>
          <w:b/>
          <w:bCs/>
          <w:noProof/>
          <w:sz w:val="24"/>
          <w:szCs w:val="24"/>
          <w:lang w:val="en-GB"/>
        </w:rPr>
        <w:t xml:space="preserve">needs to </w:t>
      </w:r>
      <w:r w:rsidR="00AF40DC" w:rsidRPr="1BD26133">
        <w:rPr>
          <w:rFonts w:ascii="Times New Roman" w:eastAsia="Times New Roman" w:hAnsi="Times New Roman" w:cs="Times New Roman"/>
          <w:b/>
          <w:bCs/>
          <w:noProof/>
          <w:sz w:val="24"/>
          <w:szCs w:val="24"/>
          <w:lang w:val="en-GB"/>
        </w:rPr>
        <w:t xml:space="preserve">contribute to </w:t>
      </w:r>
      <w:r w:rsidR="00EF54FF" w:rsidRPr="1BD26133">
        <w:rPr>
          <w:rFonts w:ascii="Times New Roman" w:eastAsia="Times New Roman" w:hAnsi="Times New Roman" w:cs="Times New Roman"/>
          <w:b/>
          <w:bCs/>
          <w:noProof/>
          <w:sz w:val="24"/>
          <w:szCs w:val="24"/>
          <w:lang w:val="en-GB"/>
        </w:rPr>
        <w:t>the green transition</w:t>
      </w:r>
      <w:r w:rsidR="00D97A54" w:rsidRPr="004F2DAB">
        <w:rPr>
          <w:rFonts w:ascii="Times New Roman" w:hAnsi="Times New Roman" w:cs="Times New Roman"/>
          <w:b/>
          <w:bCs/>
          <w:noProof/>
          <w:sz w:val="24"/>
          <w:szCs w:val="24"/>
          <w:lang w:val="en-GB"/>
        </w:rPr>
        <w:t>.</w:t>
      </w:r>
      <w:r w:rsidR="00D97A54" w:rsidRPr="1BD26133">
        <w:rPr>
          <w:rFonts w:ascii="Times New Roman" w:eastAsia="Times New Roman" w:hAnsi="Times New Roman" w:cs="Times New Roman"/>
          <w:noProof/>
          <w:sz w:val="24"/>
          <w:szCs w:val="24"/>
          <w:lang w:val="en-GB"/>
        </w:rPr>
        <w:t xml:space="preserve"> The measures in the </w:t>
      </w:r>
      <w:r w:rsidR="00A11882" w:rsidRPr="1BD26133">
        <w:rPr>
          <w:rFonts w:ascii="Times New Roman" w:eastAsia="Times New Roman" w:hAnsi="Times New Roman" w:cs="Times New Roman"/>
          <w:noProof/>
          <w:sz w:val="24"/>
          <w:szCs w:val="24"/>
          <w:lang w:val="en-GB"/>
        </w:rPr>
        <w:t>P</w:t>
      </w:r>
      <w:r w:rsidR="00D97A54" w:rsidRPr="1BD26133">
        <w:rPr>
          <w:rFonts w:ascii="Times New Roman" w:eastAsia="Times New Roman" w:hAnsi="Times New Roman" w:cs="Times New Roman"/>
          <w:noProof/>
          <w:sz w:val="24"/>
          <w:szCs w:val="24"/>
          <w:lang w:val="en-GB"/>
        </w:rPr>
        <w:t xml:space="preserve">lan </w:t>
      </w:r>
      <w:r w:rsidR="00B31D40" w:rsidRPr="1BD26133">
        <w:rPr>
          <w:rFonts w:ascii="Times New Roman" w:eastAsia="Times New Roman" w:hAnsi="Times New Roman" w:cs="Times New Roman"/>
          <w:noProof/>
          <w:sz w:val="24"/>
          <w:szCs w:val="24"/>
          <w:lang w:val="en-GB"/>
        </w:rPr>
        <w:t>are expected to</w:t>
      </w:r>
      <w:r w:rsidR="00D97A54" w:rsidRPr="1BD26133">
        <w:rPr>
          <w:rFonts w:ascii="Times New Roman" w:eastAsia="Times New Roman" w:hAnsi="Times New Roman" w:cs="Times New Roman"/>
          <w:noProof/>
          <w:sz w:val="24"/>
          <w:szCs w:val="24"/>
          <w:lang w:val="en-GB"/>
        </w:rPr>
        <w:t xml:space="preserve"> contribute to achieving the </w:t>
      </w:r>
      <w:r w:rsidR="00B81B7C" w:rsidRPr="1BD26133">
        <w:rPr>
          <w:rFonts w:ascii="Times New Roman" w:eastAsia="Times New Roman" w:hAnsi="Times New Roman" w:cs="Times New Roman"/>
          <w:noProof/>
          <w:sz w:val="24"/>
          <w:szCs w:val="24"/>
          <w:lang w:val="en-GB"/>
        </w:rPr>
        <w:t xml:space="preserve">2050 </w:t>
      </w:r>
      <w:r w:rsidR="00D97A54" w:rsidRPr="1BD26133">
        <w:rPr>
          <w:rFonts w:ascii="Times New Roman" w:eastAsia="Times New Roman" w:hAnsi="Times New Roman" w:cs="Times New Roman"/>
          <w:noProof/>
          <w:sz w:val="24"/>
          <w:szCs w:val="24"/>
          <w:lang w:val="en-GB"/>
        </w:rPr>
        <w:t>climate neutrality</w:t>
      </w:r>
      <w:r w:rsidR="00B81B7C" w:rsidRPr="1BD26133">
        <w:rPr>
          <w:rFonts w:ascii="Times New Roman" w:eastAsia="Times New Roman" w:hAnsi="Times New Roman" w:cs="Times New Roman"/>
          <w:noProof/>
          <w:sz w:val="24"/>
          <w:szCs w:val="24"/>
          <w:lang w:val="en-GB"/>
        </w:rPr>
        <w:t xml:space="preserve"> objective,</w:t>
      </w:r>
      <w:r w:rsidR="00D97A54" w:rsidRPr="1BD26133">
        <w:rPr>
          <w:rFonts w:ascii="Times New Roman" w:eastAsia="Times New Roman" w:hAnsi="Times New Roman" w:cs="Times New Roman"/>
          <w:noProof/>
          <w:sz w:val="24"/>
          <w:szCs w:val="24"/>
          <w:lang w:val="en-GB"/>
        </w:rPr>
        <w:t xml:space="preserve"> and the 2030 energy and climate targets</w:t>
      </w:r>
      <w:r w:rsidR="00B81B7C" w:rsidRPr="1BD26133">
        <w:rPr>
          <w:rFonts w:ascii="Times New Roman" w:eastAsia="Times New Roman" w:hAnsi="Times New Roman" w:cs="Times New Roman"/>
          <w:noProof/>
          <w:sz w:val="24"/>
          <w:szCs w:val="24"/>
          <w:lang w:val="en-GB"/>
        </w:rPr>
        <w:t>, taking into account Member States’</w:t>
      </w:r>
      <w:r w:rsidR="00D97A54" w:rsidRPr="1BD26133">
        <w:rPr>
          <w:rFonts w:ascii="Times New Roman" w:eastAsia="Times New Roman" w:hAnsi="Times New Roman" w:cs="Times New Roman"/>
          <w:noProof/>
          <w:sz w:val="24"/>
          <w:szCs w:val="24"/>
          <w:lang w:val="en-GB"/>
        </w:rPr>
        <w:t xml:space="preserve"> </w:t>
      </w:r>
      <w:r w:rsidR="00DF4595" w:rsidRPr="1BD26133">
        <w:rPr>
          <w:rFonts w:ascii="Times New Roman" w:eastAsia="Times New Roman" w:hAnsi="Times New Roman" w:cs="Times New Roman"/>
          <w:noProof/>
          <w:sz w:val="24"/>
          <w:szCs w:val="24"/>
          <w:lang w:val="en-GB"/>
        </w:rPr>
        <w:t>national energy</w:t>
      </w:r>
      <w:r w:rsidR="00D97A54" w:rsidRPr="1BD26133">
        <w:rPr>
          <w:rFonts w:ascii="Times New Roman" w:eastAsia="Times New Roman" w:hAnsi="Times New Roman" w:cs="Times New Roman"/>
          <w:noProof/>
          <w:sz w:val="24"/>
          <w:szCs w:val="24"/>
          <w:lang w:val="en-GB"/>
        </w:rPr>
        <w:t xml:space="preserve"> and </w:t>
      </w:r>
      <w:r w:rsidR="00DF4595" w:rsidRPr="1BD26133">
        <w:rPr>
          <w:rFonts w:ascii="Times New Roman" w:eastAsia="Times New Roman" w:hAnsi="Times New Roman" w:cs="Times New Roman"/>
          <w:noProof/>
          <w:sz w:val="24"/>
          <w:szCs w:val="24"/>
          <w:lang w:val="en-GB"/>
        </w:rPr>
        <w:t>climate</w:t>
      </w:r>
      <w:r w:rsidR="00D97A54" w:rsidRPr="1BD26133">
        <w:rPr>
          <w:rFonts w:ascii="Times New Roman" w:eastAsia="Times New Roman" w:hAnsi="Times New Roman" w:cs="Times New Roman"/>
          <w:noProof/>
          <w:sz w:val="24"/>
          <w:szCs w:val="24"/>
          <w:lang w:val="en-GB"/>
        </w:rPr>
        <w:t xml:space="preserve"> </w:t>
      </w:r>
      <w:r w:rsidR="00766047" w:rsidRPr="1BD26133">
        <w:rPr>
          <w:rFonts w:ascii="Times New Roman" w:eastAsia="Times New Roman" w:hAnsi="Times New Roman" w:cs="Times New Roman"/>
          <w:noProof/>
          <w:sz w:val="24"/>
          <w:szCs w:val="24"/>
          <w:lang w:val="en-GB"/>
        </w:rPr>
        <w:t>plan</w:t>
      </w:r>
      <w:r w:rsidR="00D97A54" w:rsidRPr="1BD26133">
        <w:rPr>
          <w:rFonts w:ascii="Times New Roman" w:eastAsia="Times New Roman" w:hAnsi="Times New Roman" w:cs="Times New Roman"/>
          <w:noProof/>
          <w:sz w:val="24"/>
          <w:szCs w:val="24"/>
          <w:lang w:val="en-GB"/>
        </w:rPr>
        <w:t xml:space="preserve">s. They should also contribute to meeting </w:t>
      </w:r>
      <w:r w:rsidRPr="1BD26133">
        <w:rPr>
          <w:rFonts w:ascii="Times New Roman" w:eastAsia="Times New Roman" w:hAnsi="Times New Roman" w:cs="Times New Roman"/>
          <w:noProof/>
          <w:sz w:val="24"/>
          <w:szCs w:val="24"/>
          <w:lang w:val="en-GB"/>
        </w:rPr>
        <w:t xml:space="preserve">the </w:t>
      </w:r>
      <w:r w:rsidR="00D97A54" w:rsidRPr="1BD26133">
        <w:rPr>
          <w:rFonts w:ascii="Times New Roman" w:eastAsia="Times New Roman" w:hAnsi="Times New Roman" w:cs="Times New Roman"/>
          <w:noProof/>
          <w:sz w:val="24"/>
          <w:szCs w:val="24"/>
          <w:lang w:val="en-GB"/>
        </w:rPr>
        <w:t xml:space="preserve">environmental targets for waste, water, pollution control, sustainable mobility, biodiversity protection and restoration, marine and water resources, and support the transition to sustainable food systems as well as to a circular economy, while ensuring that nobody is left behind. </w:t>
      </w:r>
      <w:r w:rsidR="1BD26133" w:rsidRPr="1BD26133">
        <w:rPr>
          <w:rFonts w:ascii="Times New Roman" w:eastAsia="Times New Roman" w:hAnsi="Times New Roman" w:cs="Times New Roman"/>
          <w:noProof/>
          <w:sz w:val="24"/>
          <w:szCs w:val="24"/>
          <w:lang w:val="en-GB"/>
        </w:rPr>
        <w:t xml:space="preserve"> It will be essential that local and regional stakeholders from the coal regions are closely involved in the implementation of the measures in the RRP and in the co-designing of further measures for the transition to climate neutrality.</w:t>
      </w:r>
    </w:p>
    <w:p w14:paraId="3DD53436" w14:textId="77777777" w:rsidR="00766563" w:rsidRPr="00E76013" w:rsidRDefault="002C581A" w:rsidP="002A0BDC">
      <w:pPr>
        <w:spacing w:line="276" w:lineRule="auto"/>
        <w:jc w:val="both"/>
        <w:rPr>
          <w:rFonts w:ascii="Times New Roman" w:eastAsia="Times New Roman" w:hAnsi="Times New Roman" w:cs="Times New Roman"/>
          <w:i/>
          <w:iCs/>
          <w:noProof/>
          <w:sz w:val="24"/>
          <w:szCs w:val="24"/>
        </w:rPr>
      </w:pPr>
      <w:r w:rsidRPr="00E76013">
        <w:rPr>
          <w:rFonts w:ascii="Times New Roman" w:eastAsia="Times New Roman" w:hAnsi="Times New Roman" w:cs="Times New Roman"/>
          <w:i/>
          <w:iCs/>
          <w:noProof/>
          <w:sz w:val="24"/>
          <w:szCs w:val="24"/>
        </w:rPr>
        <w:t xml:space="preserve">Renewable </w:t>
      </w:r>
      <w:r w:rsidR="5E0E5BE1" w:rsidRPr="00E76013">
        <w:rPr>
          <w:rFonts w:ascii="Times New Roman" w:eastAsia="Times New Roman" w:hAnsi="Times New Roman" w:cs="Times New Roman"/>
          <w:i/>
          <w:iCs/>
          <w:noProof/>
          <w:sz w:val="24"/>
          <w:szCs w:val="24"/>
        </w:rPr>
        <w:t xml:space="preserve">energy </w:t>
      </w:r>
    </w:p>
    <w:p w14:paraId="39A96A9B" w14:textId="69260C53" w:rsidR="002C581A" w:rsidRPr="00E76013" w:rsidRDefault="002C581A" w:rsidP="002A0BDC">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rPr>
        <w:t>Bulgaria’s 2020 target on renewable energy of 16% is already achieved</w:t>
      </w:r>
      <w:r w:rsidR="00A02DFA">
        <w:rPr>
          <w:rFonts w:ascii="Times New Roman" w:eastAsia="Times New Roman" w:hAnsi="Times New Roman" w:cs="Times New Roman"/>
          <w:b/>
          <w:bCs/>
          <w:noProof/>
          <w:sz w:val="24"/>
          <w:szCs w:val="24"/>
        </w:rPr>
        <w:t>.</w:t>
      </w:r>
      <w:r w:rsidR="004F2DAB">
        <w:rPr>
          <w:rFonts w:ascii="Times New Roman" w:eastAsia="Times New Roman" w:hAnsi="Times New Roman" w:cs="Times New Roman"/>
          <w:b/>
          <w:bCs/>
          <w:noProof/>
          <w:sz w:val="24"/>
          <w:szCs w:val="24"/>
        </w:rPr>
        <w:t xml:space="preserve"> </w:t>
      </w:r>
      <w:r w:rsidR="00A02DFA">
        <w:rPr>
          <w:rFonts w:ascii="Times New Roman" w:eastAsia="Times New Roman" w:hAnsi="Times New Roman" w:cs="Times New Roman"/>
          <w:noProof/>
          <w:sz w:val="24"/>
          <w:szCs w:val="24"/>
        </w:rPr>
        <w:t>I</w:t>
      </w:r>
      <w:r w:rsidRPr="00E76013">
        <w:rPr>
          <w:rFonts w:ascii="Times New Roman" w:eastAsia="Times New Roman" w:hAnsi="Times New Roman" w:cs="Times New Roman"/>
          <w:noProof/>
          <w:sz w:val="24"/>
          <w:szCs w:val="24"/>
        </w:rPr>
        <w:t>n 2019 the share of consumption was 20.</w:t>
      </w:r>
      <w:r w:rsidR="000B5405">
        <w:rPr>
          <w:rFonts w:ascii="Times New Roman" w:eastAsia="Times New Roman" w:hAnsi="Times New Roman" w:cs="Times New Roman"/>
          <w:noProof/>
          <w:sz w:val="24"/>
          <w:szCs w:val="24"/>
        </w:rPr>
        <w:t>5</w:t>
      </w:r>
      <w:r w:rsidRPr="00E76013">
        <w:rPr>
          <w:rFonts w:ascii="Times New Roman" w:eastAsia="Times New Roman" w:hAnsi="Times New Roman" w:cs="Times New Roman"/>
          <w:noProof/>
          <w:sz w:val="24"/>
          <w:szCs w:val="24"/>
        </w:rPr>
        <w:t xml:space="preserve">%. The main source of renewable electricity is hydro, which accounted for more than half of renewable electricity production in 2018. In the heating sector, the source of renewable energy is heavily concentrated (96%) in solid biomass and biogas only accounts for 4%. This puts a challenge on Bulgaria to further decarbonize the sector, while maintaining the environmental requirements for biomass and air quality. Another challenge for a stronger penetration of renewables is the need for </w:t>
      </w:r>
      <w:r w:rsidR="002B1210">
        <w:rPr>
          <w:rFonts w:ascii="Times New Roman" w:eastAsia="Times New Roman" w:hAnsi="Times New Roman" w:cs="Times New Roman"/>
          <w:noProof/>
          <w:sz w:val="24"/>
          <w:szCs w:val="24"/>
        </w:rPr>
        <w:t xml:space="preserve">a </w:t>
      </w:r>
      <w:r w:rsidRPr="00E76013">
        <w:rPr>
          <w:rFonts w:ascii="Times New Roman" w:eastAsia="Times New Roman" w:hAnsi="Times New Roman" w:cs="Times New Roman"/>
          <w:noProof/>
          <w:sz w:val="24"/>
          <w:szCs w:val="24"/>
        </w:rPr>
        <w:t>more flexible and smarter electricity network.</w:t>
      </w:r>
    </w:p>
    <w:p w14:paraId="336B812B" w14:textId="77777777" w:rsidR="002C581A" w:rsidRPr="00E76013" w:rsidRDefault="002C581A" w:rsidP="002A0BDC">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rPr>
        <w:t>Bulgaria aims to contribute to the EU’s 2030 target for renewable energy</w:t>
      </w:r>
      <w:r w:rsidRPr="002A0BDC">
        <w:rPr>
          <w:rFonts w:ascii="Times New Roman" w:hAnsi="Times New Roman"/>
          <w:b/>
          <w:noProof/>
          <w:sz w:val="24"/>
          <w:szCs w:val="24"/>
        </w:rPr>
        <w:t xml:space="preserve"> by reaching 27.09% of renewable energy</w:t>
      </w:r>
      <w:r w:rsidRPr="00E76013">
        <w:rPr>
          <w:rFonts w:ascii="Times New Roman" w:eastAsia="Times New Roman" w:hAnsi="Times New Roman" w:cs="Times New Roman"/>
          <w:noProof/>
          <w:sz w:val="24"/>
          <w:szCs w:val="24"/>
        </w:rPr>
        <w:t>. This contribution is just above the 27% share calculated using the formula in Annex II to Regulation (EU) 2018/1999 on the Governance of the Energy Union and Climate Action (the ‘Governance Regulation’) setting out the national contributions for the share of energy from renewable sources. Additional policies and measures will be needed to achieve Bulgaria’s 2030 target.</w:t>
      </w:r>
    </w:p>
    <w:p w14:paraId="3E4725B0" w14:textId="77777777" w:rsidR="002C581A" w:rsidRPr="00E76013" w:rsidRDefault="002C581A" w:rsidP="002A0BDC">
      <w:pPr>
        <w:spacing w:line="276" w:lineRule="auto"/>
        <w:jc w:val="both"/>
        <w:rPr>
          <w:rFonts w:ascii="Times New Roman" w:eastAsia="Times New Roman" w:hAnsi="Times New Roman" w:cs="Times New Roman"/>
          <w:i/>
          <w:iCs/>
          <w:noProof/>
          <w:sz w:val="24"/>
          <w:szCs w:val="24"/>
        </w:rPr>
      </w:pPr>
      <w:r w:rsidRPr="00E76013">
        <w:rPr>
          <w:rFonts w:ascii="Times New Roman" w:eastAsia="Times New Roman" w:hAnsi="Times New Roman" w:cs="Times New Roman"/>
          <w:i/>
          <w:iCs/>
          <w:noProof/>
          <w:sz w:val="24"/>
          <w:szCs w:val="24"/>
        </w:rPr>
        <w:t>Energy efficiency</w:t>
      </w:r>
    </w:p>
    <w:p w14:paraId="526F2191" w14:textId="59F2A284" w:rsidR="002C581A" w:rsidRPr="00E76013" w:rsidRDefault="002C581A" w:rsidP="002A0BDC">
      <w:pPr>
        <w:spacing w:line="276" w:lineRule="auto"/>
        <w:jc w:val="both"/>
        <w:rPr>
          <w:rFonts w:ascii="Times New Roman" w:eastAsia="Times New Roman" w:hAnsi="Times New Roman" w:cs="Times New Roman"/>
          <w:noProof/>
          <w:sz w:val="24"/>
          <w:szCs w:val="24"/>
        </w:rPr>
      </w:pPr>
      <w:r w:rsidRPr="1BD26133">
        <w:rPr>
          <w:rFonts w:ascii="Times New Roman" w:eastAsia="Times New Roman" w:hAnsi="Times New Roman" w:cs="Times New Roman"/>
          <w:b/>
          <w:bCs/>
          <w:noProof/>
          <w:sz w:val="24"/>
          <w:szCs w:val="24"/>
        </w:rPr>
        <w:t>Bulgaria has the most energy-intensive economy in the EU</w:t>
      </w:r>
      <w:r w:rsidR="0019358A" w:rsidRPr="1BD26133">
        <w:rPr>
          <w:rFonts w:ascii="Times New Roman" w:eastAsia="Times New Roman" w:hAnsi="Times New Roman" w:cs="Times New Roman"/>
          <w:noProof/>
          <w:sz w:val="24"/>
          <w:szCs w:val="24"/>
        </w:rPr>
        <w:t>. E</w:t>
      </w:r>
      <w:r w:rsidRPr="1BD26133">
        <w:rPr>
          <w:rFonts w:ascii="Times New Roman" w:eastAsia="Times New Roman" w:hAnsi="Times New Roman" w:cs="Times New Roman"/>
          <w:noProof/>
          <w:sz w:val="24"/>
          <w:szCs w:val="24"/>
        </w:rPr>
        <w:t>nergy efficiency will become more import</w:t>
      </w:r>
      <w:r w:rsidR="006B46D3" w:rsidRPr="1BD26133">
        <w:rPr>
          <w:rFonts w:ascii="Times New Roman" w:eastAsia="Times New Roman" w:hAnsi="Times New Roman" w:cs="Times New Roman"/>
          <w:noProof/>
          <w:sz w:val="24"/>
          <w:szCs w:val="24"/>
        </w:rPr>
        <w:t>ant in the process of decarbonis</w:t>
      </w:r>
      <w:r w:rsidRPr="1BD26133">
        <w:rPr>
          <w:rFonts w:ascii="Times New Roman" w:eastAsia="Times New Roman" w:hAnsi="Times New Roman" w:cs="Times New Roman"/>
          <w:noProof/>
          <w:sz w:val="24"/>
          <w:szCs w:val="24"/>
        </w:rPr>
        <w:t xml:space="preserve">ation. Energy efficiency measures complement renewable energy deployment in reducing the carbon emissions and in increasing Bulgarian competitiveness. </w:t>
      </w:r>
      <w:r w:rsidRPr="004F2DAB">
        <w:rPr>
          <w:rFonts w:ascii="Times New Roman" w:eastAsia="Times New Roman" w:hAnsi="Times New Roman" w:cs="Times New Roman"/>
          <w:noProof/>
          <w:sz w:val="24"/>
          <w:szCs w:val="24"/>
        </w:rPr>
        <w:t>Bulgaria’s aims to contribute to the EU 2030 energy efficiency target by reducing primary energy consumption by 27.9% and final energy consumption by 31.7%</w:t>
      </w:r>
      <w:r w:rsidRPr="1BD26133">
        <w:rPr>
          <w:rFonts w:ascii="Times New Roman" w:eastAsia="Times New Roman" w:hAnsi="Times New Roman" w:cs="Times New Roman"/>
          <w:b/>
          <w:bCs/>
          <w:noProof/>
          <w:sz w:val="24"/>
          <w:szCs w:val="24"/>
        </w:rPr>
        <w:t xml:space="preserve"> </w:t>
      </w:r>
      <w:r w:rsidRPr="1BD26133">
        <w:rPr>
          <w:rFonts w:ascii="Times New Roman" w:eastAsia="Times New Roman" w:hAnsi="Times New Roman" w:cs="Times New Roman"/>
          <w:noProof/>
          <w:sz w:val="24"/>
          <w:szCs w:val="24"/>
        </w:rPr>
        <w:t xml:space="preserve">compared to the 2007 reference scenario projections for 2030. Based on the underlying assumptions of the NECP, this translates into a contribution of 17.5 million tonnes of oil equivalent (Mtoe) for primary energy consumption and 10.3 Mtoe for final energy consumption. These energy efficiency contributions are considered to represent low ambition in terms of </w:t>
      </w:r>
      <w:r w:rsidR="004E4BC9" w:rsidRPr="1BD26133">
        <w:rPr>
          <w:rFonts w:ascii="Times New Roman" w:eastAsia="Times New Roman" w:hAnsi="Times New Roman" w:cs="Times New Roman"/>
          <w:noProof/>
          <w:sz w:val="24"/>
          <w:szCs w:val="24"/>
        </w:rPr>
        <w:t xml:space="preserve">the </w:t>
      </w:r>
      <w:r w:rsidRPr="1BD26133">
        <w:rPr>
          <w:rFonts w:ascii="Times New Roman" w:eastAsia="Times New Roman" w:hAnsi="Times New Roman" w:cs="Times New Roman"/>
          <w:noProof/>
          <w:sz w:val="24"/>
          <w:szCs w:val="24"/>
        </w:rPr>
        <w:t xml:space="preserve">primary and very low ambition in terms of </w:t>
      </w:r>
      <w:r w:rsidR="004E4BC9" w:rsidRPr="1BD26133">
        <w:rPr>
          <w:rFonts w:ascii="Times New Roman" w:eastAsia="Times New Roman" w:hAnsi="Times New Roman" w:cs="Times New Roman"/>
          <w:noProof/>
          <w:sz w:val="24"/>
          <w:szCs w:val="24"/>
        </w:rPr>
        <w:t xml:space="preserve">the </w:t>
      </w:r>
      <w:r w:rsidRPr="1BD26133">
        <w:rPr>
          <w:rFonts w:ascii="Times New Roman" w:eastAsia="Times New Roman" w:hAnsi="Times New Roman" w:cs="Times New Roman"/>
          <w:noProof/>
          <w:sz w:val="24"/>
          <w:szCs w:val="24"/>
        </w:rPr>
        <w:t>final energy consumption.</w:t>
      </w:r>
    </w:p>
    <w:p w14:paraId="27AA6CD9" w14:textId="491C67BD" w:rsidR="002C581A" w:rsidRPr="00E76013" w:rsidRDefault="4A220FD4" w:rsidP="1BD26133">
      <w:pPr>
        <w:spacing w:line="276" w:lineRule="auto"/>
        <w:jc w:val="both"/>
        <w:rPr>
          <w:rFonts w:ascii="Times New Roman" w:eastAsia="Times New Roman" w:hAnsi="Times New Roman" w:cs="Times New Roman"/>
          <w:i/>
          <w:iCs/>
          <w:noProof/>
          <w:sz w:val="24"/>
          <w:szCs w:val="24"/>
        </w:rPr>
      </w:pPr>
      <w:r w:rsidRPr="00FF4258">
        <w:rPr>
          <w:rFonts w:ascii="Times New Roman" w:eastAsia="Times New Roman" w:hAnsi="Times New Roman" w:cs="Times New Roman"/>
          <w:b/>
          <w:noProof/>
          <w:sz w:val="24"/>
          <w:szCs w:val="24"/>
        </w:rPr>
        <w:t>Energy efficiency of the building stock remains a challenge.</w:t>
      </w:r>
      <w:r w:rsidRPr="1BD26133">
        <w:rPr>
          <w:rFonts w:ascii="Times New Roman" w:eastAsia="Times New Roman" w:hAnsi="Times New Roman" w:cs="Times New Roman"/>
          <w:noProof/>
          <w:sz w:val="24"/>
          <w:szCs w:val="24"/>
        </w:rPr>
        <w:t xml:space="preserve"> The NECP lists a number of key actions for building renovation with a quantitative objective of renovating a total of 22.2 million m2 by 2030, 49.6 million m2 by 2040 and 55.8 million m2 by 2050. </w:t>
      </w:r>
      <w:r w:rsidR="1BD26133" w:rsidRPr="1BD26133">
        <w:rPr>
          <w:rFonts w:ascii="Times New Roman" w:eastAsia="Times New Roman" w:hAnsi="Times New Roman" w:cs="Times New Roman"/>
          <w:noProof/>
          <w:sz w:val="24"/>
          <w:szCs w:val="24"/>
        </w:rPr>
        <w:t>According to Bulgaria’s Long-Term Renovation Strategy (LTRS), energy efficiency funding provided through Operational Programmes until 2020 covers 8% of total financing necessary for the non-domestic sector, and 9% in the residential sector. The estimated investment needed in the period 2021-2025 is €162m per year, rising to €314m per year in the period 2026-2030 – resulting in a total of €1.1 bn until 2026.</w:t>
      </w:r>
    </w:p>
    <w:p w14:paraId="0C679E68" w14:textId="30132289" w:rsidR="002C581A" w:rsidRPr="00E76013" w:rsidRDefault="002C581A" w:rsidP="1BD26133">
      <w:pPr>
        <w:spacing w:line="276" w:lineRule="auto"/>
        <w:jc w:val="both"/>
        <w:rPr>
          <w:rFonts w:ascii="Times New Roman" w:eastAsia="Times New Roman" w:hAnsi="Times New Roman" w:cs="Times New Roman"/>
          <w:i/>
          <w:iCs/>
          <w:noProof/>
          <w:sz w:val="24"/>
          <w:szCs w:val="24"/>
        </w:rPr>
      </w:pPr>
      <w:r w:rsidRPr="1BD26133">
        <w:rPr>
          <w:rFonts w:ascii="Times New Roman" w:eastAsia="Times New Roman" w:hAnsi="Times New Roman" w:cs="Times New Roman"/>
          <w:i/>
          <w:iCs/>
          <w:noProof/>
          <w:sz w:val="24"/>
          <w:szCs w:val="24"/>
        </w:rPr>
        <w:t xml:space="preserve">Energy poverty </w:t>
      </w:r>
    </w:p>
    <w:p w14:paraId="7E34B061" w14:textId="111813F2" w:rsidR="002C581A" w:rsidRPr="00E76013" w:rsidRDefault="002C581A" w:rsidP="002A0BDC">
      <w:pPr>
        <w:spacing w:line="276" w:lineRule="auto"/>
        <w:jc w:val="both"/>
        <w:rPr>
          <w:rFonts w:ascii="Times New Roman" w:eastAsia="Times New Roman" w:hAnsi="Times New Roman" w:cs="Times New Roman"/>
          <w:noProof/>
          <w:sz w:val="24"/>
          <w:szCs w:val="24"/>
        </w:rPr>
      </w:pPr>
      <w:r w:rsidRPr="70948663">
        <w:rPr>
          <w:rFonts w:ascii="Times New Roman" w:eastAsia="Times New Roman" w:hAnsi="Times New Roman" w:cs="Times New Roman"/>
          <w:b/>
          <w:bCs/>
          <w:noProof/>
          <w:sz w:val="24"/>
          <w:szCs w:val="24"/>
        </w:rPr>
        <w:t>Energy poverty continues to be a widespread issue in Bulgaria.</w:t>
      </w:r>
      <w:r w:rsidR="70948663" w:rsidRPr="70948663">
        <w:rPr>
          <w:rFonts w:ascii="Times New Roman" w:eastAsia="Calibri" w:hAnsi="Times New Roman" w:cs="Times New Roman"/>
          <w:noProof/>
        </w:rPr>
        <w:t xml:space="preserve"> </w:t>
      </w:r>
      <w:r w:rsidRPr="761004F4">
        <w:rPr>
          <w:rFonts w:ascii="Times New Roman" w:eastAsia="Times New Roman" w:hAnsi="Times New Roman" w:cs="Times New Roman"/>
          <w:noProof/>
          <w:sz w:val="24"/>
          <w:szCs w:val="24"/>
        </w:rPr>
        <w:t>In 20</w:t>
      </w:r>
      <w:r w:rsidR="00636B52">
        <w:rPr>
          <w:rFonts w:ascii="Times New Roman" w:eastAsia="Times New Roman" w:hAnsi="Times New Roman" w:cs="Times New Roman"/>
          <w:noProof/>
          <w:sz w:val="24"/>
          <w:szCs w:val="24"/>
        </w:rPr>
        <w:t>20</w:t>
      </w:r>
      <w:r w:rsidRPr="761004F4">
        <w:rPr>
          <w:rFonts w:ascii="Times New Roman" w:eastAsia="Times New Roman" w:hAnsi="Times New Roman" w:cs="Times New Roman"/>
          <w:noProof/>
          <w:sz w:val="24"/>
          <w:szCs w:val="24"/>
        </w:rPr>
        <w:t>,</w:t>
      </w:r>
      <w:r w:rsidRPr="00E76013">
        <w:rPr>
          <w:rFonts w:ascii="Times New Roman" w:eastAsia="Times New Roman" w:hAnsi="Times New Roman" w:cs="Times New Roman"/>
          <w:noProof/>
          <w:sz w:val="24"/>
          <w:szCs w:val="24"/>
        </w:rPr>
        <w:t xml:space="preserve"> </w:t>
      </w:r>
      <w:r w:rsidR="00636B52" w:rsidRPr="5DAA0A48">
        <w:rPr>
          <w:rFonts w:ascii="Times New Roman" w:eastAsia="Times New Roman" w:hAnsi="Times New Roman" w:cs="Times New Roman"/>
          <w:noProof/>
          <w:sz w:val="24"/>
          <w:szCs w:val="24"/>
        </w:rPr>
        <w:t>27.5</w:t>
      </w:r>
      <w:r w:rsidRPr="00E76013">
        <w:rPr>
          <w:rFonts w:ascii="Times New Roman" w:eastAsia="Times New Roman" w:hAnsi="Times New Roman" w:cs="Times New Roman"/>
          <w:noProof/>
          <w:sz w:val="24"/>
          <w:szCs w:val="24"/>
        </w:rPr>
        <w:t xml:space="preserve">% of the Bulgarian people reported they were unable to keep their homes adequately warm and </w:t>
      </w:r>
      <w:r w:rsidR="00636B52" w:rsidRPr="5DAA0A48">
        <w:rPr>
          <w:rFonts w:ascii="Times New Roman" w:eastAsia="Times New Roman" w:hAnsi="Times New Roman" w:cs="Times New Roman"/>
          <w:noProof/>
          <w:sz w:val="24"/>
          <w:szCs w:val="24"/>
        </w:rPr>
        <w:t>22.2</w:t>
      </w:r>
      <w:r w:rsidRPr="00E76013">
        <w:rPr>
          <w:rFonts w:ascii="Times New Roman" w:eastAsia="Times New Roman" w:hAnsi="Times New Roman" w:cs="Times New Roman"/>
          <w:noProof/>
          <w:sz w:val="24"/>
          <w:szCs w:val="24"/>
        </w:rPr>
        <w:t>% of the population was unable to pay their utility bills on time due to financial difficulties</w:t>
      </w:r>
      <w:r w:rsidRPr="761004F4">
        <w:rPr>
          <w:rFonts w:ascii="Times New Roman" w:eastAsia="Times New Roman" w:hAnsi="Times New Roman" w:cs="Times New Roman"/>
          <w:noProof/>
          <w:sz w:val="24"/>
          <w:szCs w:val="24"/>
        </w:rPr>
        <w:t>.</w:t>
      </w:r>
      <w:r w:rsidR="00323501">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noProof/>
          <w:sz w:val="24"/>
          <w:szCs w:val="24"/>
        </w:rPr>
        <w:t xml:space="preserve">In particular people living in rural areas, which account for 32% of the population, have the lowest performance for the ability to keep the house adequately warm and having arrears on utility bills. </w:t>
      </w:r>
    </w:p>
    <w:p w14:paraId="465F66B5" w14:textId="77777777" w:rsidR="002C581A" w:rsidRPr="00E76013" w:rsidRDefault="002C581A" w:rsidP="00C863E2">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Socio-economic impact of coal phase-out</w:t>
      </w:r>
    </w:p>
    <w:p w14:paraId="54F41621" w14:textId="31E96DE4" w:rsidR="002C581A" w:rsidRPr="00E76013" w:rsidRDefault="000858E0" w:rsidP="00C863E2">
      <w:pPr>
        <w:spacing w:line="276" w:lineRule="auto"/>
        <w:jc w:val="both"/>
        <w:rPr>
          <w:rFonts w:ascii="Times New Roman" w:hAnsi="Times New Roman" w:cs="Times New Roman"/>
          <w:noProof/>
        </w:rPr>
      </w:pPr>
      <w:r w:rsidRPr="004F2DAB">
        <w:rPr>
          <w:rFonts w:ascii="Times New Roman" w:eastAsia="Times New Roman" w:hAnsi="Times New Roman" w:cs="Times New Roman"/>
          <w:b/>
          <w:noProof/>
          <w:sz w:val="24"/>
          <w:szCs w:val="24"/>
        </w:rPr>
        <w:t xml:space="preserve">The </w:t>
      </w:r>
      <w:r w:rsidR="65F58A40" w:rsidRPr="004F2DAB">
        <w:rPr>
          <w:rFonts w:ascii="Times New Roman" w:eastAsia="Times New Roman" w:hAnsi="Times New Roman" w:cs="Times New Roman"/>
          <w:b/>
          <w:bCs/>
          <w:noProof/>
          <w:sz w:val="24"/>
          <w:szCs w:val="24"/>
        </w:rPr>
        <w:t>soci</w:t>
      </w:r>
      <w:r w:rsidR="65F58A40" w:rsidRPr="4154BA23">
        <w:rPr>
          <w:rFonts w:ascii="Times New Roman" w:eastAsia="Times New Roman" w:hAnsi="Times New Roman" w:cs="Times New Roman"/>
          <w:b/>
          <w:bCs/>
          <w:noProof/>
          <w:sz w:val="24"/>
          <w:szCs w:val="24"/>
        </w:rPr>
        <w:t>o-economic</w:t>
      </w:r>
      <w:r w:rsidR="004F2DAB">
        <w:rPr>
          <w:rFonts w:ascii="Times New Roman" w:eastAsia="Times New Roman" w:hAnsi="Times New Roman" w:cs="Times New Roman"/>
          <w:b/>
          <w:bCs/>
          <w:noProof/>
          <w:sz w:val="24"/>
          <w:szCs w:val="24"/>
        </w:rPr>
        <w:t xml:space="preserve"> </w:t>
      </w:r>
      <w:r w:rsidR="65F58A40" w:rsidRPr="4154BA23">
        <w:rPr>
          <w:rFonts w:ascii="Times New Roman" w:eastAsia="Times New Roman" w:hAnsi="Times New Roman" w:cs="Times New Roman"/>
          <w:b/>
          <w:bCs/>
          <w:noProof/>
          <w:sz w:val="24"/>
          <w:szCs w:val="24"/>
        </w:rPr>
        <w:t>impacts</w:t>
      </w:r>
      <w:r w:rsidRPr="004F2DAB">
        <w:rPr>
          <w:rFonts w:ascii="Times New Roman" w:eastAsia="Times New Roman" w:hAnsi="Times New Roman" w:cs="Times New Roman"/>
          <w:b/>
          <w:noProof/>
          <w:sz w:val="24"/>
          <w:szCs w:val="24"/>
        </w:rPr>
        <w:t xml:space="preserve"> of coal phase out </w:t>
      </w:r>
      <w:r>
        <w:rPr>
          <w:rFonts w:ascii="Times New Roman" w:eastAsia="Times New Roman" w:hAnsi="Times New Roman" w:cs="Times New Roman"/>
          <w:b/>
          <w:noProof/>
          <w:sz w:val="24"/>
          <w:szCs w:val="24"/>
        </w:rPr>
        <w:t>are expected to</w:t>
      </w:r>
      <w:r w:rsidRPr="004F2DAB">
        <w:rPr>
          <w:rFonts w:ascii="Times New Roman" w:eastAsia="Times New Roman" w:hAnsi="Times New Roman" w:cs="Times New Roman"/>
          <w:b/>
          <w:noProof/>
          <w:sz w:val="24"/>
          <w:szCs w:val="24"/>
        </w:rPr>
        <w:t xml:space="preserve"> be high</w:t>
      </w:r>
      <w:r w:rsidR="65F58A40" w:rsidRPr="4154BA23">
        <w:rPr>
          <w:rFonts w:ascii="Times New Roman" w:eastAsia="Times New Roman" w:hAnsi="Times New Roman" w:cs="Times New Roman"/>
          <w:b/>
          <w:bCs/>
          <w:noProof/>
          <w:sz w:val="24"/>
          <w:szCs w:val="24"/>
        </w:rPr>
        <w:t xml:space="preserve"> for </w:t>
      </w:r>
      <w:r w:rsidR="65F58A40" w:rsidRPr="156F6AC1">
        <w:rPr>
          <w:rFonts w:ascii="Times New Roman" w:eastAsia="Times New Roman" w:hAnsi="Times New Roman" w:cs="Times New Roman"/>
          <w:b/>
          <w:bCs/>
          <w:noProof/>
          <w:sz w:val="24"/>
          <w:szCs w:val="24"/>
        </w:rPr>
        <w:t xml:space="preserve">affected </w:t>
      </w:r>
      <w:r w:rsidR="65F58A40" w:rsidRPr="4154BA23">
        <w:rPr>
          <w:rFonts w:ascii="Times New Roman" w:eastAsia="Times New Roman" w:hAnsi="Times New Roman" w:cs="Times New Roman"/>
          <w:b/>
          <w:bCs/>
          <w:noProof/>
          <w:sz w:val="24"/>
          <w:szCs w:val="24"/>
        </w:rPr>
        <w:t xml:space="preserve">local </w:t>
      </w:r>
      <w:r w:rsidR="65F58A40" w:rsidRPr="156F6AC1">
        <w:rPr>
          <w:rFonts w:ascii="Times New Roman" w:eastAsia="Times New Roman" w:hAnsi="Times New Roman" w:cs="Times New Roman"/>
          <w:b/>
          <w:bCs/>
          <w:noProof/>
          <w:sz w:val="24"/>
          <w:szCs w:val="24"/>
        </w:rPr>
        <w:t>communities</w:t>
      </w:r>
      <w:r w:rsidR="65F58A40" w:rsidRPr="004F2DAB">
        <w:rPr>
          <w:rFonts w:ascii="Times New Roman" w:eastAsia="Times New Roman" w:hAnsi="Times New Roman" w:cs="Times New Roman"/>
          <w:b/>
          <w:bCs/>
          <w:noProof/>
          <w:sz w:val="24"/>
          <w:szCs w:val="24"/>
        </w:rPr>
        <w:t>.</w:t>
      </w:r>
      <w:r>
        <w:rPr>
          <w:rFonts w:ascii="Times New Roman" w:eastAsia="Times New Roman" w:hAnsi="Times New Roman" w:cs="Times New Roman"/>
          <w:noProof/>
          <w:sz w:val="24"/>
          <w:szCs w:val="24"/>
        </w:rPr>
        <w:t xml:space="preserve"> </w:t>
      </w:r>
      <w:r w:rsidR="002C581A" w:rsidRPr="004F2DAB">
        <w:rPr>
          <w:rFonts w:ascii="Times New Roman" w:eastAsia="Times New Roman" w:hAnsi="Times New Roman" w:cs="Times New Roman"/>
          <w:noProof/>
          <w:sz w:val="24"/>
          <w:szCs w:val="24"/>
        </w:rPr>
        <w:t xml:space="preserve">With about 43.1% of electricity produced by indigenous lignite and brown coal-fired power plants, a significant number of workers </w:t>
      </w:r>
      <w:r w:rsidR="008C6F26" w:rsidRPr="004F2DAB">
        <w:rPr>
          <w:rFonts w:ascii="Times New Roman" w:eastAsia="Times New Roman" w:hAnsi="Times New Roman" w:cs="Times New Roman"/>
          <w:noProof/>
          <w:sz w:val="24"/>
          <w:szCs w:val="24"/>
        </w:rPr>
        <w:t xml:space="preserve">will be affected </w:t>
      </w:r>
      <w:r w:rsidR="002C581A" w:rsidRPr="004F2DAB">
        <w:rPr>
          <w:rFonts w:ascii="Times New Roman" w:eastAsia="Times New Roman" w:hAnsi="Times New Roman" w:cs="Times New Roman"/>
          <w:noProof/>
          <w:sz w:val="24"/>
          <w:szCs w:val="24"/>
        </w:rPr>
        <w:t xml:space="preserve">by </w:t>
      </w:r>
      <w:r w:rsidR="00490FD1" w:rsidRPr="004F2DAB">
        <w:rPr>
          <w:rFonts w:ascii="Times New Roman" w:eastAsia="Times New Roman" w:hAnsi="Times New Roman" w:cs="Times New Roman"/>
          <w:noProof/>
          <w:sz w:val="24"/>
          <w:szCs w:val="24"/>
        </w:rPr>
        <w:t>the necessary</w:t>
      </w:r>
      <w:r w:rsidR="002C581A" w:rsidRPr="004F2DAB">
        <w:rPr>
          <w:rFonts w:ascii="Times New Roman" w:eastAsia="Times New Roman" w:hAnsi="Times New Roman" w:cs="Times New Roman"/>
          <w:noProof/>
          <w:sz w:val="24"/>
          <w:szCs w:val="24"/>
        </w:rPr>
        <w:t xml:space="preserve"> gradual coal phase out</w:t>
      </w:r>
      <w:r w:rsidR="002C581A" w:rsidRPr="00E76013">
        <w:rPr>
          <w:rFonts w:ascii="Times New Roman" w:eastAsia="Times New Roman" w:hAnsi="Times New Roman" w:cs="Times New Roman"/>
          <w:noProof/>
          <w:sz w:val="24"/>
          <w:szCs w:val="24"/>
        </w:rPr>
        <w:t>, giving rise to needs for reskilling and the creation of jobs. These socio-economic effects are especially expected to affect people living in coal regions, such Maritza, Pernik and Kyustendil. This calls for measures and programmes that aim to reskill the affected workforce, provide sectoral and geographic mobility support, and repurpose coal mining areas and coal-fired power plants in a way that creates new economic and employment opportunities.</w:t>
      </w:r>
      <w:r w:rsidR="00923245">
        <w:rPr>
          <w:rFonts w:ascii="Times New Roman" w:eastAsia="Times New Roman" w:hAnsi="Times New Roman" w:cs="Times New Roman"/>
          <w:noProof/>
          <w:sz w:val="24"/>
          <w:szCs w:val="24"/>
        </w:rPr>
        <w:t xml:space="preserve"> </w:t>
      </w:r>
      <w:r w:rsidR="00923245" w:rsidRPr="007D4451">
        <w:rPr>
          <w:rFonts w:ascii="Times New Roman" w:eastAsia="Times New Roman" w:hAnsi="Times New Roman" w:cs="Times New Roman"/>
          <w:noProof/>
          <w:sz w:val="24"/>
          <w:szCs w:val="24"/>
          <w:lang w:val="en-GB"/>
        </w:rPr>
        <w:t>When defining the vision and steps for the transition to climate-neutrality in particular, it will be essential that local and regional stakeholders from the coal regions are closely involved in co-design and implementation.</w:t>
      </w:r>
    </w:p>
    <w:p w14:paraId="47525651" w14:textId="77777777" w:rsidR="009113BC" w:rsidRPr="00E76013" w:rsidRDefault="009113BC" w:rsidP="00C863E2">
      <w:pPr>
        <w:spacing w:line="276" w:lineRule="auto"/>
        <w:jc w:val="both"/>
        <w:rPr>
          <w:rFonts w:ascii="Times New Roman" w:eastAsia="Times New Roman" w:hAnsi="Times New Roman" w:cs="Times New Roman"/>
          <w:b/>
          <w:bCs/>
          <w:noProof/>
          <w:sz w:val="24"/>
          <w:szCs w:val="24"/>
          <w:lang w:val="en-GB"/>
        </w:rPr>
      </w:pPr>
      <w:r w:rsidRPr="00E76013">
        <w:rPr>
          <w:rFonts w:ascii="Times New Roman" w:eastAsia="Times New Roman" w:hAnsi="Times New Roman" w:cs="Times New Roman"/>
          <w:bCs/>
          <w:i/>
          <w:noProof/>
          <w:sz w:val="24"/>
          <w:szCs w:val="24"/>
          <w:lang w:val="en-GB"/>
        </w:rPr>
        <w:t>Air quality</w:t>
      </w:r>
    </w:p>
    <w:p w14:paraId="3CC62DDA" w14:textId="734526EA" w:rsidR="009113BC" w:rsidRDefault="009113BC" w:rsidP="00C863E2">
      <w:pPr>
        <w:spacing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bCs/>
          <w:noProof/>
          <w:color w:val="000000" w:themeColor="text1"/>
          <w:sz w:val="24"/>
          <w:szCs w:val="24"/>
          <w:lang w:val="en-GB"/>
        </w:rPr>
        <w:t xml:space="preserve">Air quality in Bulgaria is still a cause for severe concern. </w:t>
      </w:r>
      <w:r w:rsidRPr="002A0BDC">
        <w:rPr>
          <w:rFonts w:ascii="Times New Roman" w:hAnsi="Times New Roman"/>
          <w:noProof/>
          <w:color w:val="000000" w:themeColor="text1"/>
          <w:sz w:val="24"/>
          <w:lang w:val="en-GB"/>
        </w:rPr>
        <w:t>Bulgaria continues bearing significant health burden due to poor air quality.</w:t>
      </w:r>
      <w:r w:rsidRPr="00E76013">
        <w:rPr>
          <w:rFonts w:ascii="Times New Roman" w:eastAsia="Times New Roman" w:hAnsi="Times New Roman" w:cs="Times New Roman"/>
          <w:noProof/>
          <w:color w:val="000000" w:themeColor="text1"/>
          <w:sz w:val="24"/>
          <w:szCs w:val="24"/>
          <w:lang w:val="en-GB"/>
        </w:rPr>
        <w:t xml:space="preserve"> The Commission has referred the country to the Court of Justice of the EU (CJEU) for a second time because of its continued failure to comply with the PM10 limit values and to keep the period of exceedance as short as possible. The zones with systematic and continuous PM10 exceedances since 2007 at least until 2019 cover a territory where approximately 95% of the population of Bulgaria lives. The main </w:t>
      </w:r>
      <w:r w:rsidR="00721D24">
        <w:rPr>
          <w:rFonts w:ascii="Times New Roman" w:eastAsia="Times New Roman" w:hAnsi="Times New Roman" w:cs="Times New Roman"/>
          <w:noProof/>
          <w:color w:val="000000" w:themeColor="text1"/>
          <w:sz w:val="24"/>
          <w:szCs w:val="24"/>
          <w:lang w:val="en-GB"/>
        </w:rPr>
        <w:t>sources</w:t>
      </w:r>
      <w:r w:rsidRPr="00E76013">
        <w:rPr>
          <w:rFonts w:ascii="Times New Roman" w:eastAsia="Times New Roman" w:hAnsi="Times New Roman" w:cs="Times New Roman"/>
          <w:noProof/>
          <w:color w:val="000000" w:themeColor="text1"/>
          <w:sz w:val="24"/>
          <w:szCs w:val="24"/>
          <w:lang w:val="en-GB"/>
        </w:rPr>
        <w:t xml:space="preserve"> of pollution with particular matter (PM, dust) remain domestic heating sector using solid fuels and transport. The lignite-fired power plants are the cause of excessive sulphur dioxide pollution, which is subject to a litigation before the CJEU. The heavy reliance on biomass for renewable energy production in Bulgaria does not provide a suitable alternative to fossil fuels in this respect.</w:t>
      </w:r>
      <w:r w:rsidR="004F2DAB">
        <w:rPr>
          <w:rFonts w:ascii="Times New Roman" w:eastAsia="Times New Roman" w:hAnsi="Times New Roman" w:cs="Times New Roman"/>
          <w:noProof/>
          <w:color w:val="000000" w:themeColor="text1"/>
          <w:sz w:val="24"/>
          <w:szCs w:val="24"/>
          <w:lang w:val="en-GB"/>
        </w:rPr>
        <w:t xml:space="preserve"> </w:t>
      </w:r>
    </w:p>
    <w:p w14:paraId="3EF2E5BB" w14:textId="30E31F72" w:rsidR="00F84D18" w:rsidRPr="00F84D18" w:rsidRDefault="00F84D18" w:rsidP="00C863E2">
      <w:pPr>
        <w:spacing w:line="276" w:lineRule="auto"/>
        <w:jc w:val="both"/>
        <w:rPr>
          <w:rFonts w:ascii="Times New Roman" w:eastAsia="Times New Roman" w:hAnsi="Times New Roman" w:cs="Times New Roman"/>
          <w:bCs/>
          <w:i/>
          <w:noProof/>
          <w:sz w:val="24"/>
          <w:szCs w:val="24"/>
          <w:lang w:val="en-GB"/>
        </w:rPr>
      </w:pPr>
      <w:r w:rsidRPr="00F84D18">
        <w:rPr>
          <w:rFonts w:ascii="Times New Roman" w:eastAsia="Times New Roman" w:hAnsi="Times New Roman" w:cs="Times New Roman"/>
          <w:bCs/>
          <w:i/>
          <w:noProof/>
          <w:sz w:val="24"/>
          <w:szCs w:val="24"/>
          <w:lang w:val="en-GB"/>
        </w:rPr>
        <w:t>Circular economy</w:t>
      </w:r>
    </w:p>
    <w:p w14:paraId="1B4F6CDA" w14:textId="02379572" w:rsidR="00B53F93" w:rsidRDefault="2481DAF8" w:rsidP="00B53F93">
      <w:pPr>
        <w:spacing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bCs/>
          <w:noProof/>
          <w:color w:val="000000" w:themeColor="text1"/>
          <w:sz w:val="24"/>
          <w:szCs w:val="24"/>
          <w:lang w:val="en-GB"/>
        </w:rPr>
        <w:t>Bulgaria has not yet adopted a strategic circular economy view.</w:t>
      </w:r>
      <w:r w:rsidRPr="00E76013">
        <w:rPr>
          <w:rFonts w:ascii="Times New Roman" w:eastAsia="Times New Roman" w:hAnsi="Times New Roman" w:cs="Times New Roman"/>
          <w:noProof/>
          <w:color w:val="000000" w:themeColor="text1"/>
          <w:sz w:val="24"/>
          <w:szCs w:val="24"/>
          <w:lang w:val="en-GB"/>
        </w:rPr>
        <w:t xml:space="preserve"> With 2.4% circular (secondary) use of material, Bulgaria scores significantly lower level than the EU average of 11</w:t>
      </w:r>
      <w:r w:rsidR="3A85A445">
        <w:rPr>
          <w:rFonts w:ascii="Times New Roman" w:eastAsia="Times New Roman" w:hAnsi="Times New Roman" w:cs="Times New Roman"/>
          <w:noProof/>
          <w:color w:val="000000" w:themeColor="text1"/>
          <w:sz w:val="24"/>
          <w:szCs w:val="24"/>
          <w:lang w:val="en-GB"/>
        </w:rPr>
        <w:t>.</w:t>
      </w:r>
      <w:r w:rsidRPr="00E76013">
        <w:rPr>
          <w:rFonts w:ascii="Times New Roman" w:eastAsia="Times New Roman" w:hAnsi="Times New Roman" w:cs="Times New Roman"/>
          <w:noProof/>
          <w:color w:val="000000" w:themeColor="text1"/>
          <w:sz w:val="24"/>
          <w:szCs w:val="24"/>
          <w:lang w:val="en-GB"/>
        </w:rPr>
        <w:t>9%</w:t>
      </w:r>
      <w:r w:rsidR="000858E0">
        <w:rPr>
          <w:rStyle w:val="FootnoteReference"/>
          <w:rFonts w:ascii="Times New Roman" w:eastAsia="Times New Roman" w:hAnsi="Times New Roman" w:cs="Times New Roman"/>
          <w:noProof/>
          <w:color w:val="000000" w:themeColor="text1"/>
          <w:sz w:val="24"/>
          <w:szCs w:val="24"/>
          <w:lang w:val="en-GB"/>
        </w:rPr>
        <w:footnoteReference w:id="7"/>
      </w:r>
      <w:r w:rsidRPr="00E76013">
        <w:rPr>
          <w:rFonts w:ascii="Times New Roman" w:eastAsia="Times New Roman" w:hAnsi="Times New Roman" w:cs="Times New Roman"/>
          <w:noProof/>
          <w:color w:val="000000" w:themeColor="text1"/>
          <w:sz w:val="24"/>
          <w:szCs w:val="24"/>
          <w:lang w:val="en-GB"/>
        </w:rPr>
        <w:t>. Bulgaria also has the EU’s lowest rate of</w:t>
      </w:r>
      <w:r w:rsidR="534E5F03">
        <w:rPr>
          <w:rFonts w:ascii="Times New Roman" w:eastAsia="Times New Roman" w:hAnsi="Times New Roman" w:cs="Times New Roman"/>
          <w:noProof/>
          <w:color w:val="000000" w:themeColor="text1"/>
          <w:sz w:val="24"/>
          <w:szCs w:val="24"/>
          <w:lang w:val="en-GB"/>
        </w:rPr>
        <w:t xml:space="preserve"> resource productivity</w:t>
      </w:r>
      <w:r w:rsidRPr="00E76013">
        <w:rPr>
          <w:rFonts w:ascii="Times New Roman" w:eastAsia="Times New Roman" w:hAnsi="Times New Roman" w:cs="Times New Roman"/>
          <w:noProof/>
          <w:color w:val="000000" w:themeColor="text1"/>
          <w:sz w:val="24"/>
          <w:szCs w:val="24"/>
          <w:lang w:val="en-GB"/>
        </w:rPr>
        <w:t xml:space="preserve">. Waste management, including separate collection, remains a challenge. While there was some progress in closure and rehabilitation of non-compliant landfills, the process is still not completed and illegal landfilling remains an issue. The recycling rate of municipal waste is considerably lower than the EU average and Bulgaria remains at risk of not meeting the EU recycling targets. </w:t>
      </w:r>
      <w:bookmarkStart w:id="118" w:name="_Hlk99550179"/>
      <w:r w:rsidR="54FDA30C" w:rsidRPr="006B09FD">
        <w:rPr>
          <w:rFonts w:ascii="Times New Roman" w:eastAsia="Times New Roman" w:hAnsi="Times New Roman" w:cs="Times New Roman"/>
          <w:noProof/>
          <w:color w:val="000000" w:themeColor="text1"/>
          <w:sz w:val="24"/>
          <w:szCs w:val="24"/>
          <w:lang w:val="en-GB"/>
        </w:rPr>
        <w:t xml:space="preserve">The ‘pay-as-you-throw’ principle will only be enforced as of </w:t>
      </w:r>
      <w:r w:rsidR="54FDA30C" w:rsidRPr="36F18C84">
        <w:rPr>
          <w:rFonts w:ascii="Times New Roman" w:eastAsia="Times New Roman" w:hAnsi="Times New Roman" w:cs="Times New Roman"/>
          <w:noProof/>
          <w:color w:val="000000" w:themeColor="text1"/>
          <w:sz w:val="24"/>
          <w:szCs w:val="24"/>
          <w:lang w:val="en-GB"/>
        </w:rPr>
        <w:t xml:space="preserve">1 January of the second year following the publication of the results of the 2021 </w:t>
      </w:r>
      <w:r w:rsidR="00966BE6" w:rsidRPr="36F18C84">
        <w:rPr>
          <w:rFonts w:ascii="Times New Roman" w:eastAsia="Times New Roman" w:hAnsi="Times New Roman" w:cs="Times New Roman"/>
          <w:noProof/>
          <w:color w:val="000000" w:themeColor="text1"/>
          <w:sz w:val="24"/>
          <w:szCs w:val="24"/>
          <w:lang w:val="en-GB"/>
        </w:rPr>
        <w:t>census,</w:t>
      </w:r>
      <w:r w:rsidR="54FDA30C" w:rsidRPr="006B09FD">
        <w:rPr>
          <w:rFonts w:ascii="Times New Roman" w:eastAsia="Times New Roman" w:hAnsi="Times New Roman" w:cs="Times New Roman"/>
          <w:noProof/>
          <w:color w:val="000000" w:themeColor="text1"/>
          <w:sz w:val="24"/>
          <w:szCs w:val="24"/>
          <w:lang w:val="en-GB"/>
        </w:rPr>
        <w:t xml:space="preserve"> and the unfair practice of not calculating waste collection fees on the basis of waste generation will continue</w:t>
      </w:r>
      <w:r w:rsidR="54FDA30C" w:rsidRPr="36F18C84">
        <w:rPr>
          <w:rFonts w:ascii="Times New Roman" w:eastAsia="Times New Roman" w:hAnsi="Times New Roman" w:cs="Times New Roman"/>
          <w:noProof/>
          <w:color w:val="000000" w:themeColor="text1"/>
          <w:sz w:val="24"/>
          <w:szCs w:val="24"/>
          <w:lang w:val="en-GB"/>
        </w:rPr>
        <w:t xml:space="preserve"> beyond 2023</w:t>
      </w:r>
      <w:r w:rsidR="54FDA30C" w:rsidRPr="006B09FD">
        <w:rPr>
          <w:rFonts w:ascii="Times New Roman" w:eastAsia="Times New Roman" w:hAnsi="Times New Roman" w:cs="Times New Roman"/>
          <w:noProof/>
          <w:color w:val="000000" w:themeColor="text1"/>
          <w:sz w:val="24"/>
          <w:szCs w:val="24"/>
          <w:lang w:val="en-GB"/>
        </w:rPr>
        <w:t xml:space="preserve">. </w:t>
      </w:r>
      <w:bookmarkEnd w:id="118"/>
      <w:r w:rsidR="54FDA30C" w:rsidRPr="006B09FD">
        <w:rPr>
          <w:rFonts w:ascii="Times New Roman" w:eastAsia="Times New Roman" w:hAnsi="Times New Roman" w:cs="Times New Roman"/>
          <w:noProof/>
          <w:color w:val="000000" w:themeColor="text1"/>
          <w:sz w:val="24"/>
          <w:szCs w:val="24"/>
          <w:lang w:val="en-GB"/>
        </w:rPr>
        <w:t xml:space="preserve">There is no national waste management registry in Bulgaria at present. Such a registry would increase </w:t>
      </w:r>
      <w:r w:rsidR="1F49D585" w:rsidRPr="36F18C84">
        <w:rPr>
          <w:rFonts w:ascii="Times New Roman" w:eastAsia="Times New Roman" w:hAnsi="Times New Roman" w:cs="Times New Roman"/>
          <w:noProof/>
          <w:color w:val="000000" w:themeColor="text1"/>
          <w:sz w:val="24"/>
          <w:szCs w:val="24"/>
          <w:lang w:val="en-GB"/>
        </w:rPr>
        <w:t>the</w:t>
      </w:r>
      <w:r w:rsidR="54FDA30C" w:rsidRPr="36F18C84">
        <w:rPr>
          <w:rFonts w:ascii="Times New Roman" w:eastAsia="Times New Roman" w:hAnsi="Times New Roman" w:cs="Times New Roman"/>
          <w:noProof/>
          <w:color w:val="000000" w:themeColor="text1"/>
          <w:sz w:val="24"/>
          <w:szCs w:val="24"/>
          <w:lang w:val="en-GB"/>
        </w:rPr>
        <w:t xml:space="preserve"> </w:t>
      </w:r>
      <w:r w:rsidR="54FDA30C" w:rsidRPr="006B09FD">
        <w:rPr>
          <w:rFonts w:ascii="Times New Roman" w:eastAsia="Times New Roman" w:hAnsi="Times New Roman" w:cs="Times New Roman"/>
          <w:noProof/>
          <w:color w:val="000000" w:themeColor="text1"/>
          <w:sz w:val="24"/>
          <w:szCs w:val="24"/>
          <w:lang w:val="en-GB"/>
        </w:rPr>
        <w:t>waste management standards</w:t>
      </w:r>
      <w:r w:rsidR="54FDA30C" w:rsidRPr="36F18C84">
        <w:rPr>
          <w:rFonts w:ascii="Times New Roman" w:eastAsia="Times New Roman" w:hAnsi="Times New Roman" w:cs="Times New Roman"/>
          <w:noProof/>
          <w:color w:val="000000" w:themeColor="text1"/>
          <w:sz w:val="24"/>
          <w:szCs w:val="24"/>
          <w:lang w:val="en-GB"/>
        </w:rPr>
        <w:t xml:space="preserve"> </w:t>
      </w:r>
      <w:r w:rsidR="1F49D585" w:rsidRPr="36F18C84">
        <w:rPr>
          <w:rFonts w:ascii="Times New Roman" w:eastAsia="Times New Roman" w:hAnsi="Times New Roman" w:cs="Times New Roman"/>
          <w:noProof/>
          <w:color w:val="000000" w:themeColor="text1"/>
          <w:sz w:val="24"/>
          <w:szCs w:val="24"/>
          <w:lang w:val="en-GB"/>
        </w:rPr>
        <w:t>and</w:t>
      </w:r>
      <w:r w:rsidR="54FDA30C" w:rsidRPr="006B09FD">
        <w:rPr>
          <w:rFonts w:ascii="Times New Roman" w:eastAsia="Times New Roman" w:hAnsi="Times New Roman" w:cs="Times New Roman"/>
          <w:noProof/>
          <w:color w:val="000000" w:themeColor="text1"/>
          <w:sz w:val="24"/>
          <w:szCs w:val="24"/>
          <w:lang w:val="en-GB"/>
        </w:rPr>
        <w:t xml:space="preserve"> transparency in waste management – a sector prone to fraud and corruption.</w:t>
      </w:r>
      <w:r w:rsidR="004F2DAB">
        <w:rPr>
          <w:rFonts w:ascii="Times New Roman" w:eastAsia="Times New Roman" w:hAnsi="Times New Roman" w:cs="Times New Roman"/>
          <w:noProof/>
          <w:color w:val="000000" w:themeColor="text1"/>
          <w:sz w:val="24"/>
          <w:szCs w:val="24"/>
          <w:lang w:val="en-GB"/>
        </w:rPr>
        <w:t xml:space="preserve"> </w:t>
      </w:r>
    </w:p>
    <w:p w14:paraId="5676538F" w14:textId="337F21E8" w:rsidR="00F84D18" w:rsidRPr="00F84D18" w:rsidRDefault="00F84D18" w:rsidP="00B53F93">
      <w:pPr>
        <w:spacing w:line="276" w:lineRule="auto"/>
        <w:jc w:val="both"/>
        <w:rPr>
          <w:rFonts w:ascii="Times New Roman" w:eastAsia="Times New Roman" w:hAnsi="Times New Roman" w:cs="Times New Roman"/>
          <w:i/>
          <w:noProof/>
          <w:color w:val="000000" w:themeColor="text1"/>
          <w:sz w:val="24"/>
          <w:szCs w:val="24"/>
        </w:rPr>
      </w:pPr>
      <w:r w:rsidRPr="00F84D18">
        <w:rPr>
          <w:rFonts w:ascii="Times New Roman" w:eastAsia="Times New Roman" w:hAnsi="Times New Roman" w:cs="Times New Roman"/>
          <w:i/>
          <w:noProof/>
          <w:color w:val="000000" w:themeColor="text1"/>
          <w:sz w:val="24"/>
          <w:szCs w:val="24"/>
        </w:rPr>
        <w:t>Water</w:t>
      </w:r>
    </w:p>
    <w:p w14:paraId="57BA3ED6" w14:textId="038AB595" w:rsidR="009113BC" w:rsidRDefault="009113BC" w:rsidP="00C863E2">
      <w:pPr>
        <w:spacing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bCs/>
          <w:noProof/>
          <w:color w:val="000000" w:themeColor="text1"/>
          <w:sz w:val="24"/>
          <w:szCs w:val="24"/>
          <w:lang w:val="en-GB"/>
        </w:rPr>
        <w:t>Little progress has been observed in achieving compliance with the drinking water and urban wastewater treatment directives.</w:t>
      </w:r>
      <w:r w:rsidRPr="00E76013">
        <w:rPr>
          <w:rFonts w:ascii="Times New Roman" w:eastAsia="Times New Roman" w:hAnsi="Times New Roman" w:cs="Times New Roman"/>
          <w:noProof/>
          <w:color w:val="000000" w:themeColor="text1"/>
          <w:sz w:val="24"/>
          <w:szCs w:val="24"/>
          <w:lang w:val="en-GB"/>
        </w:rPr>
        <w:t xml:space="preserve"> Following the start of a reform of the sector by Bulgaria, significant investments have been made through the Cohesion Policy. These have led to positive results such as the conclusion of 16 regional feasibility studies for water/wastewater investments, which are now forming the basis for infrastructure investments across the country. However, implementation is slow and needs are huge with large investments still required to achieve compliance with the EU Directives, and to reduce the high level of water leakage due to old and poorly managed infrastructure. The water management reform is still to be completed in six of the 28 NUTS3 regions. The consolidation aims to build the resilience of the sector, however, operators are in weak financial position and no reform </w:t>
      </w:r>
      <w:r w:rsidR="00A00F53">
        <w:rPr>
          <w:rFonts w:ascii="Times New Roman" w:eastAsia="Times New Roman" w:hAnsi="Times New Roman" w:cs="Times New Roman"/>
          <w:noProof/>
          <w:color w:val="000000" w:themeColor="text1"/>
          <w:sz w:val="24"/>
          <w:szCs w:val="24"/>
          <w:lang w:val="en-GB"/>
        </w:rPr>
        <w:t>has been</w:t>
      </w:r>
      <w:r w:rsidRPr="00E76013">
        <w:rPr>
          <w:rFonts w:ascii="Times New Roman" w:eastAsia="Times New Roman" w:hAnsi="Times New Roman" w:cs="Times New Roman"/>
          <w:noProof/>
          <w:color w:val="000000" w:themeColor="text1"/>
          <w:sz w:val="24"/>
          <w:szCs w:val="24"/>
          <w:lang w:val="en-GB"/>
        </w:rPr>
        <w:t xml:space="preserve"> put in place yet to ensure their viability and long-term sustainability and that of the network. The quality of ground water in Bulgaria is also deteriorating. Significant delays in updating Bulgaria’s marine strategy due in 2018 have led to Bulgaria being referred to the Court of Justice of the EU. </w:t>
      </w:r>
    </w:p>
    <w:p w14:paraId="7B64B785" w14:textId="121DBBE5" w:rsidR="00F84D18" w:rsidRPr="00F84D18" w:rsidRDefault="00F84D18" w:rsidP="00C863E2">
      <w:pPr>
        <w:spacing w:line="276" w:lineRule="auto"/>
        <w:jc w:val="both"/>
        <w:rPr>
          <w:rFonts w:ascii="Times New Roman" w:eastAsia="Times New Roman" w:hAnsi="Times New Roman" w:cs="Times New Roman"/>
          <w:i/>
          <w:noProof/>
          <w:color w:val="000000" w:themeColor="text1"/>
          <w:sz w:val="24"/>
          <w:szCs w:val="24"/>
        </w:rPr>
      </w:pPr>
      <w:r w:rsidRPr="00F84D18">
        <w:rPr>
          <w:rFonts w:ascii="Times New Roman" w:eastAsia="Times New Roman" w:hAnsi="Times New Roman" w:cs="Times New Roman"/>
          <w:i/>
          <w:noProof/>
          <w:color w:val="000000" w:themeColor="text1"/>
          <w:sz w:val="24"/>
          <w:szCs w:val="24"/>
          <w:lang w:val="en-GB"/>
        </w:rPr>
        <w:t>Biodiversity</w:t>
      </w:r>
    </w:p>
    <w:p w14:paraId="1F096FA3" w14:textId="095B44BF" w:rsidR="009113BC" w:rsidRPr="00E76013" w:rsidRDefault="660EB29D" w:rsidP="00C863E2">
      <w:pPr>
        <w:spacing w:line="276" w:lineRule="auto"/>
        <w:jc w:val="both"/>
        <w:rPr>
          <w:rFonts w:ascii="Times New Roman" w:eastAsia="Times New Roman" w:hAnsi="Times New Roman" w:cs="Times New Roman"/>
          <w:noProof/>
          <w:color w:val="000000" w:themeColor="text1"/>
          <w:sz w:val="24"/>
          <w:szCs w:val="24"/>
        </w:rPr>
      </w:pPr>
      <w:r w:rsidRPr="7CB28202">
        <w:rPr>
          <w:rFonts w:ascii="Times New Roman" w:eastAsia="Times New Roman" w:hAnsi="Times New Roman" w:cs="Times New Roman"/>
          <w:b/>
          <w:bCs/>
          <w:noProof/>
          <w:color w:val="000000" w:themeColor="text1"/>
          <w:sz w:val="24"/>
          <w:szCs w:val="24"/>
          <w:lang w:val="en-GB"/>
        </w:rPr>
        <w:t>T</w:t>
      </w:r>
      <w:r w:rsidR="00BE2CEE" w:rsidRPr="004F2DAB">
        <w:rPr>
          <w:rFonts w:ascii="Times New Roman" w:eastAsia="Times New Roman" w:hAnsi="Times New Roman" w:cs="Times New Roman"/>
          <w:b/>
          <w:noProof/>
          <w:color w:val="000000" w:themeColor="text1"/>
          <w:sz w:val="24"/>
          <w:szCs w:val="24"/>
          <w:lang w:val="en-GB"/>
        </w:rPr>
        <w:t>hreats to nature and biodiversity remain.</w:t>
      </w:r>
      <w:r w:rsidR="00BE2CEE" w:rsidRPr="00E76013">
        <w:rPr>
          <w:rFonts w:ascii="Times New Roman" w:eastAsia="Times New Roman" w:hAnsi="Times New Roman" w:cs="Times New Roman"/>
          <w:noProof/>
          <w:color w:val="000000" w:themeColor="text1"/>
          <w:sz w:val="24"/>
          <w:szCs w:val="24"/>
          <w:lang w:val="en-GB"/>
        </w:rPr>
        <w:t xml:space="preserve"> </w:t>
      </w:r>
      <w:r w:rsidR="009113BC" w:rsidRPr="004F2DAB">
        <w:rPr>
          <w:rFonts w:ascii="Times New Roman" w:eastAsia="Times New Roman" w:hAnsi="Times New Roman" w:cs="Times New Roman"/>
          <w:noProof/>
          <w:color w:val="000000" w:themeColor="text1"/>
          <w:sz w:val="24"/>
          <w:szCs w:val="24"/>
          <w:lang w:val="en-GB"/>
        </w:rPr>
        <w:t>While Bulgaria has a vast and diverse natural protected areas (including over 34% of the territory covered by Natura 2000) and a high potential for a green economy, it has not shown much commitment to exploiting this potential in a sustainable way.</w:t>
      </w:r>
      <w:r w:rsidR="009113BC" w:rsidRPr="00E76013">
        <w:rPr>
          <w:rFonts w:ascii="Times New Roman" w:eastAsia="Calibri" w:hAnsi="Times New Roman" w:cs="Times New Roman"/>
          <w:noProof/>
          <w:color w:val="000000" w:themeColor="text1"/>
          <w:sz w:val="24"/>
          <w:szCs w:val="24"/>
          <w:lang w:val="en-GB"/>
        </w:rPr>
        <w:t xml:space="preserve"> </w:t>
      </w:r>
      <w:r w:rsidR="009113BC" w:rsidRPr="00E76013">
        <w:rPr>
          <w:rFonts w:ascii="Times New Roman" w:eastAsia="Times New Roman" w:hAnsi="Times New Roman" w:cs="Times New Roman"/>
          <w:noProof/>
          <w:color w:val="000000" w:themeColor="text1"/>
          <w:sz w:val="24"/>
          <w:szCs w:val="24"/>
          <w:lang w:val="en-GB"/>
        </w:rPr>
        <w:t>Bulgaria has not yet implemented its obligation to establish site-specific conservation objectives and measures for a majority of its sites. In addition, the appropriate assessment of the impacts of projects and plans on the Natura 2000 sites is not made according to standards. Cumulative impacts are systematically not taken into account, nor is the impact on the integrity of the sites. Many developments representing a major threat to Natura 2000 sites, protected habitats and species have still been authorised, while at the same time Bulgaria reported that in the period 2013-2018, only 12.23% of its habitat types and 38.06% of its species of Community interest were in favourable conservation status. These factors continue to present an untapped potential for economic growth based on the development of sustainable and niche tourism and the recreational sector. A higher use of green infrastructure and ecosystem-based solutions would also bring significant benefits to the country in support of biodiversity while also addressing some impacts of climate change and contributing to improvements to air quality.</w:t>
      </w:r>
    </w:p>
    <w:p w14:paraId="480C762A" w14:textId="5D6061DA" w:rsidR="009113BC" w:rsidRPr="00E76013" w:rsidRDefault="2481DAF8" w:rsidP="00C863E2">
      <w:pPr>
        <w:spacing w:line="276" w:lineRule="auto"/>
        <w:jc w:val="both"/>
        <w:rPr>
          <w:rFonts w:ascii="Times New Roman" w:eastAsia="Times New Roman" w:hAnsi="Times New Roman" w:cs="Times New Roman"/>
          <w:noProof/>
          <w:color w:val="000000" w:themeColor="text1"/>
          <w:sz w:val="24"/>
          <w:szCs w:val="24"/>
        </w:rPr>
      </w:pPr>
      <w:r w:rsidRPr="00E76013">
        <w:rPr>
          <w:rFonts w:ascii="Times New Roman" w:eastAsia="Times New Roman" w:hAnsi="Times New Roman" w:cs="Times New Roman"/>
          <w:b/>
          <w:bCs/>
          <w:noProof/>
          <w:color w:val="000000" w:themeColor="text1"/>
          <w:sz w:val="24"/>
          <w:szCs w:val="24"/>
          <w:lang w:val="en-GB"/>
        </w:rPr>
        <w:t xml:space="preserve">Bulgaria was the worst performing Member State in the </w:t>
      </w:r>
      <w:r w:rsidR="5B5DA45E" w:rsidRPr="00E8466B">
        <w:rPr>
          <w:rFonts w:ascii="Times New Roman" w:eastAsia="Times New Roman" w:hAnsi="Times New Roman" w:cs="Times New Roman"/>
          <w:b/>
          <w:bCs/>
          <w:noProof/>
          <w:sz w:val="24"/>
          <w:szCs w:val="24"/>
          <w:lang w:val="en-GB"/>
        </w:rPr>
        <w:t>2019 Eco-innovation index</w:t>
      </w:r>
      <w:r w:rsidR="00E8466B">
        <w:rPr>
          <w:rStyle w:val="FootnoteReference"/>
          <w:rFonts w:ascii="Times New Roman" w:eastAsia="Times New Roman" w:hAnsi="Times New Roman" w:cs="Times New Roman"/>
          <w:b/>
          <w:bCs/>
          <w:noProof/>
          <w:sz w:val="24"/>
          <w:szCs w:val="24"/>
          <w:lang w:val="en-GB"/>
        </w:rPr>
        <w:footnoteReference w:id="8"/>
      </w:r>
      <w:r w:rsidRPr="00E76013">
        <w:rPr>
          <w:rFonts w:ascii="Times New Roman" w:eastAsia="Times New Roman" w:hAnsi="Times New Roman" w:cs="Times New Roman"/>
          <w:b/>
          <w:bCs/>
          <w:noProof/>
          <w:color w:val="000000" w:themeColor="text1"/>
          <w:sz w:val="24"/>
          <w:szCs w:val="24"/>
          <w:lang w:val="en-GB"/>
        </w:rPr>
        <w:t xml:space="preserve"> by a large margin.</w:t>
      </w:r>
      <w:r w:rsidRPr="00E76013">
        <w:rPr>
          <w:rFonts w:ascii="Times New Roman" w:eastAsia="Times New Roman" w:hAnsi="Times New Roman" w:cs="Times New Roman"/>
          <w:noProof/>
          <w:color w:val="000000" w:themeColor="text1"/>
          <w:sz w:val="24"/>
          <w:szCs w:val="24"/>
          <w:lang w:val="en-GB"/>
        </w:rPr>
        <w:t xml:space="preserve"> Certifying a number of companies with environmental management systems has not led to </w:t>
      </w:r>
      <w:r w:rsidR="5B5DA45E" w:rsidRPr="36F18C84">
        <w:rPr>
          <w:rFonts w:ascii="Times New Roman" w:eastAsia="Times New Roman" w:hAnsi="Times New Roman" w:cs="Times New Roman"/>
          <w:noProof/>
          <w:color w:val="000000" w:themeColor="text1"/>
          <w:sz w:val="24"/>
          <w:szCs w:val="24"/>
          <w:lang w:val="en-GB"/>
        </w:rPr>
        <w:t xml:space="preserve">a </w:t>
      </w:r>
      <w:r w:rsidRPr="00E76013">
        <w:rPr>
          <w:rFonts w:ascii="Times New Roman" w:eastAsia="Times New Roman" w:hAnsi="Times New Roman" w:cs="Times New Roman"/>
          <w:noProof/>
          <w:color w:val="000000" w:themeColor="text1"/>
          <w:sz w:val="24"/>
          <w:szCs w:val="24"/>
          <w:lang w:val="en-GB"/>
        </w:rPr>
        <w:t>significant uptake in terms of green product</w:t>
      </w:r>
      <w:r w:rsidR="5B5DA45E" w:rsidRPr="36F18C84">
        <w:rPr>
          <w:rFonts w:ascii="Times New Roman" w:eastAsia="Times New Roman" w:hAnsi="Times New Roman" w:cs="Times New Roman"/>
          <w:noProof/>
          <w:color w:val="000000" w:themeColor="text1"/>
          <w:sz w:val="24"/>
          <w:szCs w:val="24"/>
          <w:lang w:val="en-GB"/>
        </w:rPr>
        <w:t>s</w:t>
      </w:r>
      <w:r w:rsidRPr="00E76013">
        <w:rPr>
          <w:rFonts w:ascii="Times New Roman" w:eastAsia="Times New Roman" w:hAnsi="Times New Roman" w:cs="Times New Roman"/>
          <w:noProof/>
          <w:color w:val="000000" w:themeColor="text1"/>
          <w:sz w:val="24"/>
          <w:szCs w:val="24"/>
          <w:lang w:val="en-GB"/>
        </w:rPr>
        <w:t xml:space="preserve"> offer</w:t>
      </w:r>
      <w:r w:rsidR="5B5DA45E" w:rsidRPr="36F18C84">
        <w:rPr>
          <w:rFonts w:ascii="Times New Roman" w:eastAsia="Times New Roman" w:hAnsi="Times New Roman" w:cs="Times New Roman"/>
          <w:noProof/>
          <w:color w:val="000000" w:themeColor="text1"/>
          <w:sz w:val="24"/>
          <w:szCs w:val="24"/>
          <w:lang w:val="en-GB"/>
        </w:rPr>
        <w:t>ed</w:t>
      </w:r>
      <w:r w:rsidRPr="00E76013">
        <w:rPr>
          <w:rFonts w:ascii="Times New Roman" w:eastAsia="Times New Roman" w:hAnsi="Times New Roman" w:cs="Times New Roman"/>
          <w:noProof/>
          <w:color w:val="000000" w:themeColor="text1"/>
          <w:sz w:val="24"/>
          <w:szCs w:val="24"/>
          <w:lang w:val="en-GB"/>
        </w:rPr>
        <w:t xml:space="preserve"> </w:t>
      </w:r>
      <w:r w:rsidR="5B5DA45E" w:rsidRPr="36F18C84">
        <w:rPr>
          <w:rFonts w:ascii="Times New Roman" w:eastAsia="Times New Roman" w:hAnsi="Times New Roman" w:cs="Times New Roman"/>
          <w:noProof/>
          <w:color w:val="000000" w:themeColor="text1"/>
          <w:sz w:val="24"/>
          <w:szCs w:val="24"/>
          <w:lang w:val="en-GB"/>
        </w:rPr>
        <w:t xml:space="preserve">nor </w:t>
      </w:r>
      <w:r w:rsidRPr="00E76013">
        <w:rPr>
          <w:rFonts w:ascii="Times New Roman" w:eastAsia="Times New Roman" w:hAnsi="Times New Roman" w:cs="Times New Roman"/>
          <w:noProof/>
          <w:color w:val="000000" w:themeColor="text1"/>
          <w:sz w:val="24"/>
          <w:szCs w:val="24"/>
          <w:lang w:val="en-GB"/>
        </w:rPr>
        <w:t xml:space="preserve">eco-innovation. Despite certain success with some waste streams (plastics and waste from electric and electronic equipment), the potential of </w:t>
      </w:r>
      <w:r w:rsidR="5B5DA45E" w:rsidRPr="36F18C84">
        <w:rPr>
          <w:rFonts w:ascii="Times New Roman" w:eastAsia="Times New Roman" w:hAnsi="Times New Roman" w:cs="Times New Roman"/>
          <w:noProof/>
          <w:color w:val="000000" w:themeColor="text1"/>
          <w:sz w:val="24"/>
          <w:szCs w:val="24"/>
          <w:lang w:val="en-GB"/>
        </w:rPr>
        <w:t xml:space="preserve">a </w:t>
      </w:r>
      <w:r w:rsidRPr="00E76013">
        <w:rPr>
          <w:rFonts w:ascii="Times New Roman" w:eastAsia="Times New Roman" w:hAnsi="Times New Roman" w:cs="Times New Roman"/>
          <w:noProof/>
          <w:color w:val="000000" w:themeColor="text1"/>
          <w:sz w:val="24"/>
          <w:szCs w:val="24"/>
          <w:lang w:val="en-GB"/>
        </w:rPr>
        <w:t xml:space="preserve">new circular business models is still to be explored. No progress </w:t>
      </w:r>
      <w:r w:rsidR="5B5DA45E" w:rsidRPr="36F18C84">
        <w:rPr>
          <w:rFonts w:ascii="Times New Roman" w:eastAsia="Times New Roman" w:hAnsi="Times New Roman" w:cs="Times New Roman"/>
          <w:noProof/>
          <w:color w:val="000000" w:themeColor="text1"/>
          <w:sz w:val="24"/>
          <w:szCs w:val="24"/>
          <w:lang w:val="en-GB"/>
        </w:rPr>
        <w:t>has been</w:t>
      </w:r>
      <w:r w:rsidRPr="00E76013">
        <w:rPr>
          <w:rFonts w:ascii="Times New Roman" w:eastAsia="Times New Roman" w:hAnsi="Times New Roman" w:cs="Times New Roman"/>
          <w:noProof/>
          <w:color w:val="000000" w:themeColor="text1"/>
          <w:sz w:val="24"/>
          <w:szCs w:val="24"/>
          <w:lang w:val="en-GB"/>
        </w:rPr>
        <w:t xml:space="preserve"> made in terms of water savings and water reuse.</w:t>
      </w:r>
    </w:p>
    <w:p w14:paraId="211DFAB5" w14:textId="521F1395" w:rsidR="009113BC" w:rsidRPr="00E76013" w:rsidRDefault="009113BC" w:rsidP="002A0BDC">
      <w:pPr>
        <w:spacing w:line="276" w:lineRule="auto"/>
        <w:jc w:val="both"/>
        <w:rPr>
          <w:rFonts w:ascii="Times New Roman" w:eastAsia="Times New Roman" w:hAnsi="Times New Roman" w:cs="Times New Roman"/>
          <w:b/>
          <w:noProof/>
          <w:sz w:val="24"/>
          <w:szCs w:val="24"/>
          <w:lang w:val="en-GB"/>
        </w:rPr>
      </w:pPr>
      <w:r w:rsidRPr="00E76013">
        <w:rPr>
          <w:rFonts w:ascii="Times New Roman" w:eastAsia="Times New Roman" w:hAnsi="Times New Roman" w:cs="Times New Roman"/>
          <w:i/>
          <w:noProof/>
          <w:sz w:val="24"/>
          <w:szCs w:val="24"/>
          <w:lang w:val="en-GB"/>
        </w:rPr>
        <w:t>Sustainable transport</w:t>
      </w:r>
    </w:p>
    <w:p w14:paraId="1627B63E" w14:textId="2215CC05" w:rsidR="009113BC" w:rsidRPr="00E76013" w:rsidRDefault="009113B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w:t>
      </w:r>
      <w:r w:rsidR="08D0C19A" w:rsidRPr="00E76013">
        <w:rPr>
          <w:rFonts w:ascii="Times New Roman" w:eastAsia="Times New Roman" w:hAnsi="Times New Roman" w:cs="Times New Roman"/>
          <w:b/>
          <w:noProof/>
          <w:sz w:val="24"/>
          <w:szCs w:val="24"/>
          <w:lang w:val="en-GB"/>
        </w:rPr>
        <w:t xml:space="preserve">limited development </w:t>
      </w:r>
      <w:r w:rsidRPr="00E76013">
        <w:rPr>
          <w:rFonts w:ascii="Times New Roman" w:eastAsia="Times New Roman" w:hAnsi="Times New Roman" w:cs="Times New Roman"/>
          <w:b/>
          <w:noProof/>
          <w:sz w:val="24"/>
          <w:szCs w:val="24"/>
          <w:lang w:val="en-GB"/>
        </w:rPr>
        <w:t xml:space="preserve">of the transport infrastructure and the </w:t>
      </w:r>
      <w:r w:rsidR="08D0C19A" w:rsidRPr="00E76013">
        <w:rPr>
          <w:rFonts w:ascii="Times New Roman" w:eastAsia="Times New Roman" w:hAnsi="Times New Roman" w:cs="Times New Roman"/>
          <w:b/>
          <w:noProof/>
          <w:sz w:val="24"/>
          <w:szCs w:val="24"/>
          <w:lang w:val="en-GB"/>
        </w:rPr>
        <w:t xml:space="preserve">slow progress on the </w:t>
      </w:r>
      <w:r w:rsidRPr="00E76013">
        <w:rPr>
          <w:rFonts w:ascii="Times New Roman" w:eastAsia="Times New Roman" w:hAnsi="Times New Roman" w:cs="Times New Roman"/>
          <w:b/>
          <w:noProof/>
          <w:sz w:val="24"/>
          <w:szCs w:val="24"/>
          <w:lang w:val="en-GB"/>
        </w:rPr>
        <w:t xml:space="preserve">Trans-European Transport Network </w:t>
      </w:r>
      <w:r w:rsidR="08D0C19A" w:rsidRPr="00E76013">
        <w:rPr>
          <w:rFonts w:ascii="Times New Roman" w:eastAsia="Times New Roman" w:hAnsi="Times New Roman" w:cs="Times New Roman"/>
          <w:b/>
          <w:noProof/>
          <w:sz w:val="24"/>
          <w:szCs w:val="24"/>
          <w:lang w:val="en-GB"/>
        </w:rPr>
        <w:t xml:space="preserve">(TEN-T) </w:t>
      </w:r>
      <w:r w:rsidR="08D0C19A" w:rsidRPr="004F2DAB">
        <w:rPr>
          <w:rFonts w:ascii="Times New Roman" w:eastAsia="Times New Roman" w:hAnsi="Times New Roman" w:cs="Times New Roman"/>
          <w:b/>
          <w:noProof/>
          <w:sz w:val="24"/>
          <w:szCs w:val="24"/>
          <w:lang w:val="en-GB"/>
        </w:rPr>
        <w:t xml:space="preserve">affects </w:t>
      </w:r>
      <w:r w:rsidRPr="004F2DAB">
        <w:rPr>
          <w:rFonts w:ascii="Times New Roman" w:eastAsia="Times New Roman" w:hAnsi="Times New Roman" w:cs="Times New Roman"/>
          <w:b/>
          <w:noProof/>
          <w:sz w:val="24"/>
          <w:szCs w:val="24"/>
          <w:lang w:val="en-GB"/>
        </w:rPr>
        <w:t>the economic and social development of Bulgaria</w:t>
      </w:r>
      <w:r w:rsidR="00BE7527" w:rsidRPr="004F2DAB">
        <w:rPr>
          <w:rFonts w:ascii="Times New Roman" w:eastAsia="Times New Roman" w:hAnsi="Times New Roman" w:cs="Times New Roman"/>
          <w:b/>
          <w:noProof/>
          <w:sz w:val="24"/>
          <w:szCs w:val="24"/>
          <w:lang w:val="en-GB"/>
        </w:rPr>
        <w:t>.</w:t>
      </w:r>
      <w:r w:rsidRPr="004F2DAB">
        <w:rPr>
          <w:rFonts w:ascii="Times New Roman" w:eastAsia="Times New Roman" w:hAnsi="Times New Roman" w:cs="Times New Roman"/>
          <w:b/>
          <w:noProof/>
          <w:sz w:val="24"/>
          <w:szCs w:val="24"/>
          <w:lang w:val="en-GB"/>
        </w:rPr>
        <w:t xml:space="preserve"> </w:t>
      </w:r>
      <w:r w:rsidR="00BE7527">
        <w:rPr>
          <w:rFonts w:ascii="Times New Roman" w:eastAsia="Times New Roman" w:hAnsi="Times New Roman" w:cs="Times New Roman"/>
          <w:noProof/>
          <w:sz w:val="24"/>
          <w:szCs w:val="24"/>
          <w:lang w:val="en-GB"/>
        </w:rPr>
        <w:t>This</w:t>
      </w:r>
      <w:r w:rsidR="00BE7527"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contributes to </w:t>
      </w:r>
      <w:r w:rsidR="00BE7527">
        <w:rPr>
          <w:rFonts w:ascii="Times New Roman" w:eastAsia="Times New Roman" w:hAnsi="Times New Roman" w:cs="Times New Roman"/>
          <w:noProof/>
          <w:sz w:val="24"/>
          <w:szCs w:val="24"/>
          <w:lang w:val="en-GB"/>
        </w:rPr>
        <w:t>significant</w:t>
      </w:r>
      <w:r w:rsidRPr="00E76013">
        <w:rPr>
          <w:rFonts w:ascii="Times New Roman" w:eastAsia="Times New Roman" w:hAnsi="Times New Roman" w:cs="Times New Roman"/>
          <w:noProof/>
          <w:sz w:val="24"/>
          <w:szCs w:val="24"/>
          <w:lang w:val="en-GB"/>
        </w:rPr>
        <w:t xml:space="preserve"> disparities between the different regions and a North-South divide. The TEN-T investments are crucial for a balanced socio-economic development and for connectivity with neighbouring countries. An important regional asset for transport, </w:t>
      </w:r>
      <w:r w:rsidR="08D0C19A" w:rsidRPr="00E76013">
        <w:rPr>
          <w:rFonts w:ascii="Times New Roman" w:eastAsia="Times New Roman" w:hAnsi="Times New Roman" w:cs="Times New Roman"/>
          <w:noProof/>
          <w:sz w:val="24"/>
          <w:szCs w:val="24"/>
          <w:lang w:val="en-GB"/>
        </w:rPr>
        <w:t>t</w:t>
      </w:r>
      <w:r w:rsidRPr="00E76013">
        <w:rPr>
          <w:rFonts w:ascii="Times New Roman" w:eastAsia="Times New Roman" w:hAnsi="Times New Roman" w:cs="Times New Roman"/>
          <w:noProof/>
          <w:sz w:val="24"/>
          <w:szCs w:val="24"/>
          <w:lang w:val="en-GB"/>
        </w:rPr>
        <w:t>he Danube River and the Black Sea</w:t>
      </w:r>
      <w:r w:rsidR="00BE7527">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would </w:t>
      </w:r>
      <w:r w:rsidR="00BE7527">
        <w:rPr>
          <w:rFonts w:ascii="Times New Roman" w:eastAsia="Times New Roman" w:hAnsi="Times New Roman" w:cs="Times New Roman"/>
          <w:noProof/>
          <w:sz w:val="24"/>
          <w:szCs w:val="24"/>
          <w:lang w:val="en-GB"/>
        </w:rPr>
        <w:t xml:space="preserve">both </w:t>
      </w:r>
      <w:r w:rsidRPr="00E76013">
        <w:rPr>
          <w:rFonts w:ascii="Times New Roman" w:eastAsia="Times New Roman" w:hAnsi="Times New Roman" w:cs="Times New Roman"/>
          <w:noProof/>
          <w:sz w:val="24"/>
          <w:szCs w:val="24"/>
          <w:lang w:val="en-GB"/>
        </w:rPr>
        <w:t xml:space="preserve">benefit from improved navigability and safety. The progress in completion of </w:t>
      </w:r>
      <w:r w:rsidR="00BE7527">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TEN-T core network is very limited so far (12% completion at </w:t>
      </w:r>
      <w:r w:rsidR="00BE7527">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end </w:t>
      </w:r>
      <w:r w:rsidR="00BE7527">
        <w:rPr>
          <w:rFonts w:ascii="Times New Roman" w:eastAsia="Times New Roman" w:hAnsi="Times New Roman" w:cs="Times New Roman"/>
          <w:noProof/>
          <w:sz w:val="24"/>
          <w:szCs w:val="24"/>
          <w:lang w:val="en-GB"/>
        </w:rPr>
        <w:t>of</w:t>
      </w:r>
      <w:r w:rsidRPr="00E76013">
        <w:rPr>
          <w:rFonts w:ascii="Times New Roman" w:eastAsia="Times New Roman" w:hAnsi="Times New Roman" w:cs="Times New Roman"/>
          <w:noProof/>
          <w:sz w:val="24"/>
          <w:szCs w:val="24"/>
          <w:lang w:val="en-GB"/>
        </w:rPr>
        <w:t xml:space="preserve"> 2021) and Bulgaria risks not meet</w:t>
      </w:r>
      <w:r w:rsidR="00BE7527">
        <w:rPr>
          <w:rFonts w:ascii="Times New Roman" w:eastAsia="Times New Roman" w:hAnsi="Times New Roman" w:cs="Times New Roman"/>
          <w:noProof/>
          <w:sz w:val="24"/>
          <w:szCs w:val="24"/>
          <w:lang w:val="en-GB"/>
        </w:rPr>
        <w:t>ing</w:t>
      </w:r>
      <w:r w:rsidRPr="00E76013">
        <w:rPr>
          <w:rFonts w:ascii="Times New Roman" w:eastAsia="Times New Roman" w:hAnsi="Times New Roman" w:cs="Times New Roman"/>
          <w:noProof/>
          <w:sz w:val="24"/>
          <w:szCs w:val="24"/>
          <w:lang w:val="en-GB"/>
        </w:rPr>
        <w:t xml:space="preserve"> the target to complete the </w:t>
      </w:r>
      <w:r w:rsidR="08D0C19A" w:rsidRPr="00E76013">
        <w:rPr>
          <w:rFonts w:ascii="Times New Roman" w:eastAsia="Times New Roman" w:hAnsi="Times New Roman" w:cs="Times New Roman"/>
          <w:noProof/>
          <w:sz w:val="24"/>
          <w:szCs w:val="24"/>
          <w:lang w:val="en-GB"/>
        </w:rPr>
        <w:t xml:space="preserve">TEN-T </w:t>
      </w:r>
      <w:r w:rsidRPr="00E76013">
        <w:rPr>
          <w:rFonts w:ascii="Times New Roman" w:eastAsia="Times New Roman" w:hAnsi="Times New Roman" w:cs="Times New Roman"/>
          <w:noProof/>
          <w:sz w:val="24"/>
          <w:szCs w:val="24"/>
          <w:lang w:val="en-GB"/>
        </w:rPr>
        <w:t xml:space="preserve">core network by 2030. Decisive action is needed to step up </w:t>
      </w:r>
      <w:r w:rsidR="00BE7527">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capacity and resources to adequately prepare and implement TEN-T projects in line with related EU standards.</w:t>
      </w:r>
    </w:p>
    <w:p w14:paraId="49E0955C" w14:textId="394095F6" w:rsidR="10316E96" w:rsidRPr="00E76013" w:rsidRDefault="7877156B"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Greenhouse gas emissions from road transport </w:t>
      </w:r>
      <w:r w:rsidR="008F42DF">
        <w:rPr>
          <w:rFonts w:ascii="Times New Roman" w:eastAsia="Times New Roman" w:hAnsi="Times New Roman" w:cs="Times New Roman"/>
          <w:b/>
          <w:noProof/>
          <w:sz w:val="24"/>
          <w:szCs w:val="24"/>
          <w:lang w:val="en-GB"/>
        </w:rPr>
        <w:t xml:space="preserve">have </w:t>
      </w:r>
      <w:r w:rsidRPr="00E76013">
        <w:rPr>
          <w:rFonts w:ascii="Times New Roman" w:eastAsia="Times New Roman" w:hAnsi="Times New Roman" w:cs="Times New Roman"/>
          <w:b/>
          <w:noProof/>
          <w:sz w:val="24"/>
          <w:szCs w:val="24"/>
          <w:lang w:val="en-GB"/>
        </w:rPr>
        <w:t>increased over the last five years</w:t>
      </w:r>
      <w:r w:rsidRPr="00E76013">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noProof/>
          <w:sz w:val="24"/>
          <w:szCs w:val="24"/>
          <w:lang w:val="en-GB"/>
        </w:rPr>
        <w:t xml:space="preserve"> </w:t>
      </w:r>
      <w:r w:rsidR="008F42DF">
        <w:rPr>
          <w:rFonts w:ascii="Times New Roman" w:eastAsia="Times New Roman" w:hAnsi="Times New Roman" w:cs="Times New Roman"/>
          <w:b/>
          <w:noProof/>
          <w:sz w:val="24"/>
          <w:szCs w:val="24"/>
          <w:lang w:val="en-GB"/>
        </w:rPr>
        <w:t>raising</w:t>
      </w:r>
      <w:r w:rsidRPr="00E76013">
        <w:rPr>
          <w:rFonts w:ascii="Times New Roman" w:eastAsia="Times New Roman" w:hAnsi="Times New Roman" w:cs="Times New Roman"/>
          <w:b/>
          <w:noProof/>
          <w:sz w:val="24"/>
          <w:szCs w:val="24"/>
          <w:lang w:val="en-GB"/>
        </w:rPr>
        <w:t xml:space="preserve"> concerns on the sustainability of transport.</w:t>
      </w:r>
      <w:r w:rsidRPr="00E76013">
        <w:rPr>
          <w:rFonts w:ascii="Times New Roman" w:eastAsia="Times New Roman" w:hAnsi="Times New Roman" w:cs="Times New Roman"/>
          <w:noProof/>
          <w:sz w:val="24"/>
          <w:szCs w:val="24"/>
          <w:lang w:val="en-GB"/>
        </w:rPr>
        <w:t xml:space="preserve"> The GHG emissions from transport in Bulgaria have increased by 52% from 1990 to 2019. The European rail traffic management systems (ERTMS) and intelligent transport systems (ITS) remain underdeveloped.</w:t>
      </w:r>
      <w:r w:rsidRPr="00E76013">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The railways rolling stock is</w:t>
      </w:r>
      <w:r w:rsidR="6E2255C9" w:rsidRPr="00E76013">
        <w:rPr>
          <w:rFonts w:ascii="Times New Roman" w:eastAsia="Times New Roman" w:hAnsi="Times New Roman" w:cs="Times New Roman"/>
          <w:noProof/>
          <w:sz w:val="24"/>
          <w:szCs w:val="24"/>
          <w:lang w:val="en-GB"/>
        </w:rPr>
        <w:t xml:space="preserve"> relatively</w:t>
      </w:r>
      <w:r w:rsidRPr="00E76013">
        <w:rPr>
          <w:rFonts w:ascii="Times New Roman" w:eastAsia="Times New Roman" w:hAnsi="Times New Roman" w:cs="Times New Roman"/>
          <w:noProof/>
          <w:sz w:val="24"/>
          <w:szCs w:val="24"/>
          <w:lang w:val="en-GB"/>
        </w:rPr>
        <w:t xml:space="preserve"> old, and its modernisation would increase railway usage and speed</w:t>
      </w:r>
      <w:r w:rsidR="6E2255C9" w:rsidRPr="00E76013">
        <w:rPr>
          <w:rFonts w:ascii="Times New Roman" w:eastAsia="Times New Roman" w:hAnsi="Times New Roman" w:cs="Times New Roman"/>
          <w:noProof/>
          <w:sz w:val="24"/>
          <w:szCs w:val="24"/>
          <w:lang w:val="en-GB"/>
        </w:rPr>
        <w:t xml:space="preserve"> and promote modal shift from roads.</w:t>
      </w:r>
      <w:r w:rsidRPr="00E76013">
        <w:rPr>
          <w:rFonts w:ascii="Times New Roman" w:eastAsia="Times New Roman" w:hAnsi="Times New Roman" w:cs="Times New Roman"/>
          <w:noProof/>
          <w:sz w:val="24"/>
          <w:szCs w:val="24"/>
          <w:lang w:val="en-GB"/>
        </w:rPr>
        <w:t xml:space="preserve"> </w:t>
      </w:r>
      <w:r w:rsidR="6E2255C9" w:rsidRPr="00E76013">
        <w:rPr>
          <w:rFonts w:ascii="Times New Roman" w:eastAsia="Times New Roman" w:hAnsi="Times New Roman" w:cs="Times New Roman"/>
          <w:noProof/>
          <w:sz w:val="24"/>
          <w:szCs w:val="24"/>
          <w:lang w:val="en-GB"/>
        </w:rPr>
        <w:t>Sustainable</w:t>
      </w:r>
      <w:r w:rsidRPr="00E76013">
        <w:rPr>
          <w:rFonts w:ascii="Times New Roman" w:eastAsia="Times New Roman" w:hAnsi="Times New Roman" w:cs="Times New Roman"/>
          <w:noProof/>
          <w:sz w:val="24"/>
          <w:szCs w:val="24"/>
          <w:lang w:val="en-GB"/>
        </w:rPr>
        <w:t xml:space="preserve"> mobility measures (e.g. electrification of public transport, </w:t>
      </w:r>
      <w:r w:rsidR="6E2255C9" w:rsidRPr="00E76013">
        <w:rPr>
          <w:rFonts w:ascii="Times New Roman" w:eastAsia="Times New Roman" w:hAnsi="Times New Roman" w:cs="Times New Roman"/>
          <w:noProof/>
          <w:sz w:val="24"/>
          <w:szCs w:val="24"/>
          <w:lang w:val="en-GB"/>
        </w:rPr>
        <w:t xml:space="preserve">promotion of </w:t>
      </w:r>
      <w:r w:rsidRPr="00E76013">
        <w:rPr>
          <w:rFonts w:ascii="Times New Roman" w:eastAsia="Times New Roman" w:hAnsi="Times New Roman" w:cs="Times New Roman"/>
          <w:noProof/>
          <w:sz w:val="24"/>
          <w:szCs w:val="24"/>
          <w:lang w:val="en-GB"/>
        </w:rPr>
        <w:t xml:space="preserve">electric and hybrid cars, deployment of charging infrastructure, low-emissions zones in </w:t>
      </w:r>
      <w:r w:rsidR="6E2255C9" w:rsidRPr="00E76013">
        <w:rPr>
          <w:rFonts w:ascii="Times New Roman" w:eastAsia="Times New Roman" w:hAnsi="Times New Roman" w:cs="Times New Roman"/>
          <w:noProof/>
          <w:sz w:val="24"/>
          <w:szCs w:val="24"/>
          <w:lang w:val="en-GB"/>
        </w:rPr>
        <w:t>large cities, clean public transport</w:t>
      </w:r>
      <w:r w:rsidRPr="00E76013">
        <w:rPr>
          <w:rFonts w:ascii="Times New Roman" w:eastAsia="Times New Roman" w:hAnsi="Times New Roman" w:cs="Times New Roman"/>
          <w:noProof/>
          <w:sz w:val="24"/>
          <w:szCs w:val="24"/>
          <w:lang w:val="en-GB"/>
        </w:rPr>
        <w:t>) would bring economic, health, and environmental benefits.</w:t>
      </w:r>
      <w:r w:rsidR="6F8D6B8B" w:rsidRPr="00E76013">
        <w:rPr>
          <w:rFonts w:ascii="Times New Roman" w:eastAsia="Times New Roman" w:hAnsi="Times New Roman" w:cs="Times New Roman"/>
          <w:noProof/>
          <w:sz w:val="24"/>
          <w:szCs w:val="24"/>
        </w:rPr>
        <w:t xml:space="preserve"> B</w:t>
      </w:r>
      <w:r w:rsidR="6F8D6B8B" w:rsidRPr="00E76013">
        <w:rPr>
          <w:rFonts w:ascii="Times New Roman" w:eastAsia="Times New Roman" w:hAnsi="Times New Roman" w:cs="Times New Roman"/>
          <w:noProof/>
          <w:sz w:val="24"/>
          <w:szCs w:val="24"/>
          <w:lang w:val="en-GB"/>
        </w:rPr>
        <w:t xml:space="preserve">ulgaria is among </w:t>
      </w:r>
      <w:r w:rsidR="00306DF3">
        <w:rPr>
          <w:rFonts w:ascii="Times New Roman" w:eastAsia="Times New Roman" w:hAnsi="Times New Roman" w:cs="Times New Roman"/>
          <w:noProof/>
          <w:sz w:val="24"/>
          <w:szCs w:val="24"/>
          <w:lang w:val="en-GB"/>
        </w:rPr>
        <w:t>the</w:t>
      </w:r>
      <w:r w:rsidR="6F8D6B8B" w:rsidRPr="00E76013">
        <w:rPr>
          <w:rFonts w:ascii="Times New Roman" w:eastAsia="Times New Roman" w:hAnsi="Times New Roman" w:cs="Times New Roman"/>
          <w:noProof/>
          <w:sz w:val="24"/>
          <w:szCs w:val="24"/>
          <w:lang w:val="en-GB"/>
        </w:rPr>
        <w:t xml:space="preserve"> 10 Member States with the lowest number of newly-registered electric vehicles in the EU, and more effort is needed to develop the alternative fuels infrastructure and stimulate the demand for zero-emission vehicles, while reducing the number of most polluting vehicles in circulation. </w:t>
      </w:r>
    </w:p>
    <w:p w14:paraId="3D2CFD47" w14:textId="4A3BF07B" w:rsidR="22799EDB" w:rsidRPr="00E76013" w:rsidRDefault="22799EDB"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Road safety</w:t>
      </w:r>
      <w:r w:rsidRPr="002A0BDC">
        <w:rPr>
          <w:rFonts w:ascii="Times New Roman" w:hAnsi="Times New Roman"/>
          <w:b/>
          <w:noProof/>
          <w:sz w:val="24"/>
          <w:lang w:val="en-GB"/>
        </w:rPr>
        <w:t xml:space="preserve"> is a major issue</w:t>
      </w:r>
      <w:r w:rsidR="00387B8C">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Bulgaria</w:t>
      </w:r>
      <w:r w:rsidR="002A0BDC">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has one of the worst track records in the EU. In 2019, there were 90 deaths per million inhabitants in Bulgaria, vs an EU average of 51. Reforms improving the enforcement of rules, increasing vehicles’ inspections, promoting awareness and investments in infrastructure/vehicles safety and in the removal of blackspots are crucial to improve road safety, to reach the target of 50% reduction of victims by 2030 in line with the EU Road Safety framework.</w:t>
      </w:r>
      <w:r w:rsidR="072DE871" w:rsidRPr="00E76013">
        <w:rPr>
          <w:rFonts w:ascii="Times New Roman" w:eastAsia="Times New Roman" w:hAnsi="Times New Roman" w:cs="Times New Roman"/>
          <w:noProof/>
          <w:sz w:val="24"/>
          <w:szCs w:val="24"/>
          <w:lang w:val="en-GB"/>
        </w:rPr>
        <w:t xml:space="preserve"> </w:t>
      </w:r>
      <w:r w:rsidR="10316E96" w:rsidRPr="00E76013">
        <w:rPr>
          <w:rFonts w:ascii="Times New Roman" w:eastAsia="Times New Roman" w:hAnsi="Times New Roman" w:cs="Times New Roman"/>
          <w:noProof/>
          <w:sz w:val="24"/>
          <w:szCs w:val="24"/>
          <w:lang w:val="en-GB"/>
        </w:rPr>
        <w:t>There is an urgent need to invest in safety upgrades of road tunnels, 4 of which are currently not compliant with the EU Tunnel Safety Directive and are subject to infringement proceedings.</w:t>
      </w:r>
    </w:p>
    <w:p w14:paraId="39D4AA2C" w14:textId="67439291" w:rsidR="007F0B01" w:rsidRDefault="009113B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There are significant needs for sustainable urban transport projects</w:t>
      </w:r>
      <w:r w:rsidR="00740AD5">
        <w:rPr>
          <w:rFonts w:ascii="Times New Roman" w:eastAsia="Times New Roman" w:hAnsi="Times New Roman" w:cs="Times New Roman"/>
          <w:b/>
          <w:noProof/>
          <w:sz w:val="24"/>
          <w:szCs w:val="24"/>
          <w:lang w:val="en-GB"/>
        </w:rPr>
        <w:t>,</w:t>
      </w:r>
      <w:r w:rsidRPr="00E76013">
        <w:rPr>
          <w:rFonts w:ascii="Times New Roman" w:eastAsia="Times New Roman" w:hAnsi="Times New Roman" w:cs="Times New Roman"/>
          <w:b/>
          <w:noProof/>
          <w:sz w:val="24"/>
          <w:szCs w:val="24"/>
          <w:lang w:val="en-GB"/>
        </w:rPr>
        <w:t xml:space="preserve"> also outside the capital</w:t>
      </w:r>
      <w:r w:rsidRPr="00E76013">
        <w:rPr>
          <w:rFonts w:ascii="Times New Roman" w:eastAsia="Times New Roman" w:hAnsi="Times New Roman" w:cs="Times New Roman"/>
          <w:noProof/>
          <w:sz w:val="24"/>
          <w:szCs w:val="24"/>
          <w:lang w:val="en-GB"/>
        </w:rPr>
        <w:t xml:space="preserve">. The integration of </w:t>
      </w:r>
      <w:r w:rsidR="4AC0C2F8" w:rsidRPr="1C5DE562">
        <w:rPr>
          <w:rFonts w:ascii="Times New Roman" w:eastAsia="Times New Roman" w:hAnsi="Times New Roman" w:cs="Times New Roman"/>
          <w:noProof/>
          <w:sz w:val="24"/>
          <w:szCs w:val="24"/>
          <w:lang w:val="en-GB"/>
        </w:rPr>
        <w:t xml:space="preserve">different modes of </w:t>
      </w:r>
      <w:r w:rsidRPr="00E76013">
        <w:rPr>
          <w:rFonts w:ascii="Times New Roman" w:eastAsia="Times New Roman" w:hAnsi="Times New Roman" w:cs="Times New Roman"/>
          <w:noProof/>
          <w:sz w:val="24"/>
          <w:szCs w:val="24"/>
          <w:lang w:val="en-GB"/>
        </w:rPr>
        <w:t>transport</w:t>
      </w:r>
      <w:r w:rsidR="002A0BDC">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w:t>
      </w:r>
      <w:r w:rsidR="00740AD5">
        <w:rPr>
          <w:rFonts w:ascii="Times New Roman" w:eastAsia="Times New Roman" w:hAnsi="Times New Roman" w:cs="Times New Roman"/>
          <w:noProof/>
          <w:sz w:val="24"/>
          <w:szCs w:val="24"/>
          <w:lang w:val="en-GB"/>
        </w:rPr>
        <w:t>including</w:t>
      </w:r>
      <w:r w:rsidRPr="00E76013">
        <w:rPr>
          <w:rFonts w:ascii="Times New Roman" w:eastAsia="Times New Roman" w:hAnsi="Times New Roman" w:cs="Times New Roman"/>
          <w:noProof/>
          <w:sz w:val="24"/>
          <w:szCs w:val="24"/>
          <w:lang w:val="en-GB"/>
        </w:rPr>
        <w:t xml:space="preserve"> sustainable public transport</w:t>
      </w:r>
      <w:r w:rsidR="00740AD5">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would be beneficial. It is crucial to </w:t>
      </w:r>
      <w:r w:rsidR="4AC0C2F8" w:rsidRPr="1C5DE562">
        <w:rPr>
          <w:rFonts w:ascii="Times New Roman" w:eastAsia="Times New Roman" w:hAnsi="Times New Roman" w:cs="Times New Roman"/>
          <w:noProof/>
          <w:sz w:val="24"/>
          <w:szCs w:val="24"/>
          <w:lang w:val="en-GB"/>
        </w:rPr>
        <w:t>reflect</w:t>
      </w:r>
      <w:r w:rsidR="00337591">
        <w:rPr>
          <w:rFonts w:ascii="Times New Roman" w:eastAsia="Times New Roman" w:hAnsi="Times New Roman" w:cs="Times New Roman"/>
          <w:noProof/>
          <w:sz w:val="24"/>
          <w:szCs w:val="24"/>
          <w:lang w:val="en-GB"/>
        </w:rPr>
        <w:t xml:space="preserve"> </w:t>
      </w:r>
      <w:r w:rsidR="003145B0">
        <w:rPr>
          <w:rFonts w:ascii="Times New Roman" w:eastAsia="Times New Roman" w:hAnsi="Times New Roman" w:cs="Times New Roman"/>
          <w:noProof/>
          <w:sz w:val="24"/>
          <w:szCs w:val="24"/>
          <w:lang w:val="en-GB"/>
        </w:rPr>
        <w:t>the</w:t>
      </w:r>
      <w:r w:rsidR="003145B0" w:rsidRPr="1C5DE562">
        <w:rPr>
          <w:rFonts w:ascii="Times New Roman" w:eastAsia="Times New Roman" w:hAnsi="Times New Roman" w:cs="Times New Roman"/>
          <w:noProof/>
          <w:sz w:val="24"/>
          <w:szCs w:val="24"/>
          <w:lang w:val="en-GB"/>
        </w:rPr>
        <w:t xml:space="preserve"> </w:t>
      </w:r>
      <w:r w:rsidR="4AC0C2F8" w:rsidRPr="1C5DE562">
        <w:rPr>
          <w:rFonts w:ascii="Times New Roman" w:eastAsia="Times New Roman" w:hAnsi="Times New Roman" w:cs="Times New Roman"/>
          <w:noProof/>
          <w:sz w:val="24"/>
          <w:szCs w:val="24"/>
          <w:lang w:val="en-GB"/>
        </w:rPr>
        <w:t xml:space="preserve">needs </w:t>
      </w:r>
      <w:r w:rsidR="00337591">
        <w:rPr>
          <w:rFonts w:ascii="Times New Roman" w:eastAsia="Times New Roman" w:hAnsi="Times New Roman" w:cs="Times New Roman"/>
          <w:noProof/>
          <w:sz w:val="24"/>
          <w:szCs w:val="24"/>
          <w:lang w:val="en-GB"/>
        </w:rPr>
        <w:t>of population</w:t>
      </w:r>
      <w:r w:rsidR="4AC0C2F8" w:rsidRPr="1C5DE562">
        <w:rPr>
          <w:rFonts w:ascii="Times New Roman" w:eastAsia="Times New Roman" w:hAnsi="Times New Roman" w:cs="Times New Roman"/>
          <w:noProof/>
          <w:sz w:val="24"/>
          <w:szCs w:val="24"/>
          <w:lang w:val="en-GB"/>
        </w:rPr>
        <w:t xml:space="preserve"> to travel for education and work</w:t>
      </w:r>
      <w:r w:rsidR="00323501">
        <w:rPr>
          <w:rFonts w:ascii="Times New Roman" w:eastAsia="Times New Roman" w:hAnsi="Times New Roman" w:cs="Times New Roman"/>
          <w:noProof/>
          <w:sz w:val="24"/>
          <w:szCs w:val="24"/>
          <w:lang w:val="en-GB"/>
        </w:rPr>
        <w:t xml:space="preserve"> </w:t>
      </w:r>
      <w:r w:rsidR="4AC0C2F8" w:rsidRPr="1C5DE562">
        <w:rPr>
          <w:rFonts w:ascii="Times New Roman" w:eastAsia="Times New Roman" w:hAnsi="Times New Roman" w:cs="Times New Roman"/>
          <w:noProof/>
          <w:sz w:val="24"/>
          <w:szCs w:val="24"/>
          <w:lang w:val="en-GB"/>
        </w:rPr>
        <w:t xml:space="preserve">in the </w:t>
      </w:r>
      <w:r w:rsidRPr="00E76013">
        <w:rPr>
          <w:rFonts w:ascii="Times New Roman" w:eastAsia="Times New Roman" w:hAnsi="Times New Roman" w:cs="Times New Roman"/>
          <w:noProof/>
          <w:sz w:val="24"/>
          <w:szCs w:val="24"/>
          <w:lang w:val="en-GB"/>
        </w:rPr>
        <w:t xml:space="preserve">local and regional road </w:t>
      </w:r>
      <w:r w:rsidR="4AC0C2F8" w:rsidRPr="1C5DE562">
        <w:rPr>
          <w:rFonts w:ascii="Times New Roman" w:eastAsia="Times New Roman" w:hAnsi="Times New Roman" w:cs="Times New Roman"/>
          <w:noProof/>
          <w:sz w:val="24"/>
          <w:szCs w:val="24"/>
          <w:lang w:val="en-GB"/>
        </w:rPr>
        <w:t xml:space="preserve">infrastructure and in the network of public transports, which </w:t>
      </w:r>
      <w:r w:rsidR="00337591">
        <w:rPr>
          <w:rFonts w:ascii="Times New Roman" w:eastAsia="Times New Roman" w:hAnsi="Times New Roman" w:cs="Times New Roman"/>
          <w:noProof/>
          <w:sz w:val="24"/>
          <w:szCs w:val="24"/>
          <w:lang w:val="en-GB"/>
        </w:rPr>
        <w:t>would</w:t>
      </w:r>
      <w:r w:rsidR="00337591" w:rsidRPr="1C5DE562">
        <w:rPr>
          <w:rFonts w:ascii="Times New Roman" w:eastAsia="Times New Roman" w:hAnsi="Times New Roman" w:cs="Times New Roman"/>
          <w:noProof/>
          <w:sz w:val="24"/>
          <w:szCs w:val="24"/>
          <w:lang w:val="en-GB"/>
        </w:rPr>
        <w:t xml:space="preserve"> </w:t>
      </w:r>
      <w:r w:rsidR="4AC0C2F8" w:rsidRPr="1C5DE562">
        <w:rPr>
          <w:rFonts w:ascii="Times New Roman" w:eastAsia="Times New Roman" w:hAnsi="Times New Roman" w:cs="Times New Roman"/>
          <w:noProof/>
          <w:sz w:val="24"/>
          <w:szCs w:val="24"/>
          <w:lang w:val="en-GB"/>
        </w:rPr>
        <w:t>benefit from the development of</w:t>
      </w:r>
      <w:r w:rsidRPr="00E76013">
        <w:rPr>
          <w:rFonts w:ascii="Times New Roman" w:eastAsia="Times New Roman" w:hAnsi="Times New Roman" w:cs="Times New Roman"/>
          <w:noProof/>
          <w:sz w:val="24"/>
          <w:szCs w:val="24"/>
          <w:lang w:val="en-GB"/>
        </w:rPr>
        <w:t xml:space="preserve"> a single ticket</w:t>
      </w:r>
      <w:r w:rsidR="4AC0C2F8" w:rsidRPr="1C5DE562">
        <w:rPr>
          <w:rFonts w:ascii="Times New Roman" w:eastAsia="Times New Roman" w:hAnsi="Times New Roman" w:cs="Times New Roman"/>
          <w:noProof/>
          <w:sz w:val="24"/>
          <w:szCs w:val="24"/>
          <w:lang w:val="en-GB"/>
        </w:rPr>
        <w:t xml:space="preserve"> system </w:t>
      </w:r>
      <w:r w:rsidR="4AC0C2F8" w:rsidRPr="37BE1238">
        <w:rPr>
          <w:rFonts w:ascii="Times New Roman" w:eastAsia="Times New Roman" w:hAnsi="Times New Roman" w:cs="Times New Roman"/>
          <w:noProof/>
          <w:sz w:val="24"/>
          <w:szCs w:val="24"/>
          <w:lang w:val="en-GB"/>
        </w:rPr>
        <w:t>to increase interoperability and ease of access.</w:t>
      </w:r>
      <w:r w:rsidRPr="1C5DE562">
        <w:rPr>
          <w:rFonts w:ascii="Times New Roman" w:eastAsia="Times New Roman" w:hAnsi="Times New Roman" w:cs="Times New Roman"/>
          <w:noProof/>
          <w:sz w:val="24"/>
          <w:szCs w:val="24"/>
          <w:lang w:val="en-GB"/>
        </w:rPr>
        <w:t xml:space="preserve"> I</w:t>
      </w:r>
      <w:r w:rsidR="08D0C19A" w:rsidRPr="1C5DE562">
        <w:rPr>
          <w:rFonts w:ascii="Times New Roman" w:eastAsia="Times New Roman" w:hAnsi="Times New Roman" w:cs="Times New Roman"/>
          <w:noProof/>
          <w:sz w:val="24"/>
          <w:szCs w:val="24"/>
          <w:lang w:val="en-GB"/>
        </w:rPr>
        <w:t>n less developed regions outside the capital, the</w:t>
      </w:r>
      <w:r w:rsidR="08D0C19A" w:rsidRPr="00E76013">
        <w:rPr>
          <w:rFonts w:ascii="Times New Roman" w:eastAsia="Times New Roman" w:hAnsi="Times New Roman" w:cs="Times New Roman"/>
          <w:noProof/>
          <w:sz w:val="24"/>
          <w:szCs w:val="24"/>
          <w:lang w:val="en-GB"/>
        </w:rPr>
        <w:t xml:space="preserve"> promotion of sustainable public transport is important to enhance </w:t>
      </w:r>
      <w:r w:rsidR="08D0C19A" w:rsidRPr="1C5DE562">
        <w:rPr>
          <w:rFonts w:ascii="Times New Roman" w:eastAsia="Times New Roman" w:hAnsi="Times New Roman" w:cs="Times New Roman"/>
          <w:noProof/>
          <w:sz w:val="24"/>
          <w:szCs w:val="24"/>
          <w:lang w:val="en-GB"/>
        </w:rPr>
        <w:t xml:space="preserve">mobility and </w:t>
      </w:r>
      <w:r w:rsidR="08D0C19A" w:rsidRPr="00E76013">
        <w:rPr>
          <w:rFonts w:ascii="Times New Roman" w:eastAsia="Times New Roman" w:hAnsi="Times New Roman" w:cs="Times New Roman"/>
          <w:noProof/>
          <w:sz w:val="24"/>
          <w:szCs w:val="24"/>
          <w:lang w:val="en-GB"/>
        </w:rPr>
        <w:t>transport sustainability</w:t>
      </w:r>
      <w:r w:rsidR="08D0C19A" w:rsidRPr="1C5DE562">
        <w:rPr>
          <w:rFonts w:ascii="Times New Roman" w:eastAsia="Times New Roman" w:hAnsi="Times New Roman" w:cs="Times New Roman"/>
          <w:noProof/>
          <w:sz w:val="24"/>
          <w:szCs w:val="24"/>
          <w:lang w:val="en-GB"/>
        </w:rPr>
        <w:t>.</w:t>
      </w:r>
      <w:r w:rsidR="004F2DAB">
        <w:rPr>
          <w:rFonts w:ascii="Times New Roman" w:eastAsia="Times New Roman" w:hAnsi="Times New Roman" w:cs="Times New Roman"/>
          <w:noProof/>
          <w:sz w:val="24"/>
          <w:szCs w:val="24"/>
          <w:lang w:val="en-GB"/>
        </w:rPr>
        <w:t xml:space="preserve"> </w:t>
      </w:r>
    </w:p>
    <w:p w14:paraId="441ABB44" w14:textId="5CAFF96E" w:rsidR="00E33340" w:rsidRDefault="2481DAF8" w:rsidP="00C863E2">
      <w:pPr>
        <w:spacing w:line="276" w:lineRule="auto"/>
        <w:jc w:val="both"/>
        <w:rPr>
          <w:rFonts w:ascii="Times New Roman" w:eastAsia="Times New Roman" w:hAnsi="Times New Roman" w:cs="Times New Roman"/>
          <w:noProof/>
          <w:sz w:val="24"/>
          <w:szCs w:val="24"/>
          <w:lang w:val="en-GB"/>
        </w:rPr>
      </w:pPr>
      <w:r w:rsidRPr="36F18C84">
        <w:rPr>
          <w:rFonts w:ascii="Times New Roman" w:eastAsia="Times New Roman" w:hAnsi="Times New Roman" w:cs="Times New Roman"/>
          <w:b/>
          <w:bCs/>
          <w:noProof/>
          <w:sz w:val="24"/>
          <w:szCs w:val="24"/>
          <w:lang w:val="en-GB"/>
        </w:rPr>
        <w:t>Current taxes and charges linked to transport do not cover the generated costs</w:t>
      </w:r>
      <w:r w:rsidRPr="00E76013">
        <w:rPr>
          <w:rFonts w:ascii="Times New Roman" w:eastAsia="Times New Roman" w:hAnsi="Times New Roman" w:cs="Times New Roman"/>
          <w:noProof/>
          <w:sz w:val="24"/>
          <w:szCs w:val="24"/>
          <w:lang w:val="en-GB"/>
        </w:rPr>
        <w:t xml:space="preserve">. Costs of negative externalities in transport (accidents, congestion, air pollution, climate change, noise and habitat damage) are estimated to about </w:t>
      </w:r>
      <w:r w:rsidR="750997AB">
        <w:rPr>
          <w:rFonts w:ascii="Times New Roman" w:eastAsia="Times New Roman" w:hAnsi="Times New Roman" w:cs="Times New Roman"/>
          <w:noProof/>
          <w:sz w:val="24"/>
          <w:szCs w:val="24"/>
          <w:lang w:val="en-GB"/>
        </w:rPr>
        <w:t xml:space="preserve">EUR </w:t>
      </w:r>
      <w:r w:rsidRPr="00E76013">
        <w:rPr>
          <w:rFonts w:ascii="Times New Roman" w:eastAsia="Times New Roman" w:hAnsi="Times New Roman" w:cs="Times New Roman"/>
          <w:noProof/>
          <w:sz w:val="24"/>
          <w:szCs w:val="24"/>
          <w:lang w:val="en-GB"/>
        </w:rPr>
        <w:t>7 billion annually for road, rail and inland waterways </w:t>
      </w:r>
      <w:r w:rsidR="00690AD5" w:rsidRPr="00E76013">
        <w:rPr>
          <w:rStyle w:val="FootnoteReference"/>
          <w:rFonts w:ascii="Times New Roman" w:eastAsia="Times New Roman" w:hAnsi="Times New Roman" w:cs="Times New Roman"/>
          <w:noProof/>
          <w:sz w:val="24"/>
          <w:szCs w:val="24"/>
          <w:lang w:val="en-GB"/>
        </w:rPr>
        <w:footnoteReference w:id="9"/>
      </w:r>
      <w:r w:rsidRPr="00E76013">
        <w:rPr>
          <w:rFonts w:ascii="Times New Roman" w:eastAsia="Times New Roman" w:hAnsi="Times New Roman" w:cs="Times New Roman"/>
          <w:noProof/>
          <w:sz w:val="24"/>
          <w:szCs w:val="24"/>
          <w:lang w:val="en-GB"/>
        </w:rPr>
        <w:t xml:space="preserve">, while the total revenue from all land transport modes amounts to about </w:t>
      </w:r>
      <w:r w:rsidR="750997AB">
        <w:rPr>
          <w:rFonts w:ascii="Times New Roman" w:eastAsia="Times New Roman" w:hAnsi="Times New Roman" w:cs="Times New Roman"/>
          <w:noProof/>
          <w:sz w:val="24"/>
          <w:szCs w:val="24"/>
          <w:lang w:val="en-GB"/>
        </w:rPr>
        <w:t xml:space="preserve">EUR </w:t>
      </w:r>
      <w:r w:rsidRPr="00E76013">
        <w:rPr>
          <w:rFonts w:ascii="Times New Roman" w:eastAsia="Times New Roman" w:hAnsi="Times New Roman" w:cs="Times New Roman"/>
          <w:noProof/>
          <w:sz w:val="24"/>
          <w:szCs w:val="24"/>
          <w:lang w:val="en-GB"/>
        </w:rPr>
        <w:t>4 billion (respectively 66% and 46% of the costs for passengers and freight). An electronic tolling system for vehicles over 3.5t is in place in Bulgaria since March 2020. Every further effort on the implementation of the Directive 2019/520 (Electric Tolling System) would be beneficial in generating revenues.</w:t>
      </w:r>
      <w:r w:rsidR="00FF4258">
        <w:rPr>
          <w:rFonts w:ascii="Times New Roman" w:eastAsia="Times New Roman" w:hAnsi="Times New Roman" w:cs="Times New Roman"/>
          <w:noProof/>
          <w:sz w:val="24"/>
          <w:szCs w:val="24"/>
          <w:lang w:val="en-GB"/>
        </w:rPr>
        <w:t xml:space="preserve"> </w:t>
      </w:r>
      <w:r w:rsidR="00E33340" w:rsidRPr="00E76013">
        <w:rPr>
          <w:rFonts w:ascii="Times New Roman" w:eastAsia="Times New Roman" w:hAnsi="Times New Roman" w:cs="Times New Roman"/>
          <w:noProof/>
          <w:sz w:val="24"/>
          <w:szCs w:val="24"/>
          <w:lang w:val="en-GB"/>
        </w:rPr>
        <w:t xml:space="preserve">The table below gives an overview of </w:t>
      </w:r>
      <w:r w:rsidR="00CE332C" w:rsidRPr="00E76013">
        <w:rPr>
          <w:rFonts w:ascii="Times New Roman" w:eastAsia="Times New Roman" w:hAnsi="Times New Roman" w:cs="Times New Roman"/>
          <w:noProof/>
          <w:sz w:val="24"/>
          <w:szCs w:val="24"/>
          <w:lang w:val="en-GB"/>
        </w:rPr>
        <w:t>Bulgaria</w:t>
      </w:r>
      <w:r w:rsidR="00E33340" w:rsidRPr="00E76013">
        <w:rPr>
          <w:rFonts w:ascii="Times New Roman" w:eastAsia="Times New Roman" w:hAnsi="Times New Roman" w:cs="Times New Roman"/>
          <w:noProof/>
          <w:sz w:val="24"/>
          <w:szCs w:val="24"/>
          <w:lang w:val="en-GB"/>
        </w:rPr>
        <w:t xml:space="preserve"> objectives, targets and contributions under Regulation (EU) 2018/1999 of the European Parliament and of the Council of 11 December 2018 on the Governance of the Energy Union and Climate Action.</w:t>
      </w:r>
    </w:p>
    <w:p w14:paraId="6600C9F9" w14:textId="2390E142" w:rsidR="000733F2" w:rsidRDefault="000733F2">
      <w:pPr>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br w:type="page"/>
      </w:r>
    </w:p>
    <w:p w14:paraId="70C1BF76" w14:textId="43A8A091" w:rsidR="00766563" w:rsidRPr="00E76013" w:rsidRDefault="00C84127" w:rsidP="00C84127">
      <w:pPr>
        <w:pStyle w:val="Caption"/>
        <w:rPr>
          <w:rFonts w:ascii="Times New Roman" w:eastAsia="Times New Roman" w:hAnsi="Times New Roman" w:cs="Times New Roman"/>
          <w:b/>
          <w:i w:val="0"/>
          <w:noProof/>
          <w:color w:val="auto"/>
          <w:sz w:val="32"/>
          <w:szCs w:val="24"/>
          <w:lang w:val="en-GB"/>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Pr="00E76013">
        <w:rPr>
          <w:rFonts w:ascii="Times New Roman" w:hAnsi="Times New Roman" w:cs="Times New Roman"/>
          <w:b/>
          <w:i w:val="0"/>
          <w:noProof/>
          <w:color w:val="auto"/>
          <w:sz w:val="22"/>
        </w:rPr>
        <w:t>3</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National targets and contributions</w:t>
      </w:r>
    </w:p>
    <w:tbl>
      <w:tblPr>
        <w:tblStyle w:val="TableGrid"/>
        <w:tblW w:w="9227" w:type="dxa"/>
        <w:jc w:val="center"/>
        <w:tblLook w:val="04A0" w:firstRow="1" w:lastRow="0" w:firstColumn="1" w:lastColumn="0" w:noHBand="0" w:noVBand="1"/>
      </w:tblPr>
      <w:tblGrid>
        <w:gridCol w:w="1129"/>
        <w:gridCol w:w="3549"/>
        <w:gridCol w:w="1095"/>
        <w:gridCol w:w="825"/>
        <w:gridCol w:w="748"/>
        <w:gridCol w:w="1881"/>
      </w:tblGrid>
      <w:tr w:rsidR="00E33340" w:rsidRPr="00E76013" w14:paraId="7F7D3BA2" w14:textId="77777777" w:rsidTr="00303D59">
        <w:trPr>
          <w:trHeight w:val="466"/>
          <w:jc w:val="center"/>
        </w:trPr>
        <w:tc>
          <w:tcPr>
            <w:tcW w:w="1129" w:type="dxa"/>
            <w:shd w:val="clear" w:color="auto" w:fill="AEAAAA" w:themeFill="background2" w:themeFillShade="BF"/>
          </w:tcPr>
          <w:p w14:paraId="508EEC5B" w14:textId="77777777" w:rsidR="00E33340" w:rsidRPr="00E76013" w:rsidRDefault="00E33340" w:rsidP="00A65719">
            <w:pPr>
              <w:jc w:val="both"/>
              <w:rPr>
                <w:rFonts w:ascii="Times New Roman" w:eastAsia="Times New Roman" w:hAnsi="Times New Roman" w:cs="Times New Roman"/>
                <w:noProof/>
                <w:sz w:val="20"/>
                <w:szCs w:val="20"/>
                <w:lang w:val="en-GB"/>
              </w:rPr>
            </w:pPr>
          </w:p>
        </w:tc>
        <w:tc>
          <w:tcPr>
            <w:tcW w:w="3549" w:type="dxa"/>
            <w:shd w:val="clear" w:color="auto" w:fill="AEAAAA" w:themeFill="background2" w:themeFillShade="BF"/>
            <w:vAlign w:val="center"/>
          </w:tcPr>
          <w:p w14:paraId="160E31EF" w14:textId="77777777" w:rsidR="00E33340" w:rsidRPr="00E76013" w:rsidRDefault="00E33340" w:rsidP="00A65719">
            <w:pPr>
              <w:jc w:val="cente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 xml:space="preserve">National targets and contributions </w:t>
            </w:r>
          </w:p>
        </w:tc>
        <w:tc>
          <w:tcPr>
            <w:tcW w:w="1095" w:type="dxa"/>
            <w:shd w:val="clear" w:color="auto" w:fill="AEAAAA" w:themeFill="background2" w:themeFillShade="BF"/>
            <w:vAlign w:val="center"/>
          </w:tcPr>
          <w:p w14:paraId="399E4D41" w14:textId="77777777" w:rsidR="00E33340" w:rsidRPr="00E76013" w:rsidRDefault="00E33340" w:rsidP="00A65719">
            <w:pPr>
              <w:jc w:val="cente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Latest available data</w:t>
            </w:r>
          </w:p>
        </w:tc>
        <w:tc>
          <w:tcPr>
            <w:tcW w:w="825" w:type="dxa"/>
            <w:shd w:val="clear" w:color="auto" w:fill="AEAAAA" w:themeFill="background2" w:themeFillShade="BF"/>
            <w:vAlign w:val="center"/>
          </w:tcPr>
          <w:p w14:paraId="09068FA2" w14:textId="77777777" w:rsidR="00E33340" w:rsidRPr="00E76013" w:rsidRDefault="00E33340" w:rsidP="00A65719">
            <w:pPr>
              <w:jc w:val="cente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2020</w:t>
            </w:r>
          </w:p>
        </w:tc>
        <w:tc>
          <w:tcPr>
            <w:tcW w:w="748" w:type="dxa"/>
            <w:shd w:val="clear" w:color="auto" w:fill="AEAAAA" w:themeFill="background2" w:themeFillShade="BF"/>
            <w:vAlign w:val="center"/>
          </w:tcPr>
          <w:p w14:paraId="5BC0E53C" w14:textId="77777777" w:rsidR="00E33340" w:rsidRPr="00E76013" w:rsidRDefault="00E33340" w:rsidP="00A65719">
            <w:pPr>
              <w:jc w:val="cente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2030</w:t>
            </w:r>
          </w:p>
        </w:tc>
        <w:tc>
          <w:tcPr>
            <w:tcW w:w="1881" w:type="dxa"/>
            <w:shd w:val="clear" w:color="auto" w:fill="AEAAAA" w:themeFill="background2" w:themeFillShade="BF"/>
            <w:vAlign w:val="center"/>
          </w:tcPr>
          <w:p w14:paraId="12270F28" w14:textId="77777777" w:rsidR="00E33340" w:rsidRPr="00E76013" w:rsidRDefault="00E33340" w:rsidP="00A65719">
            <w:pPr>
              <w:jc w:val="cente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Assessment of 2030 ambition level</w:t>
            </w:r>
          </w:p>
        </w:tc>
      </w:tr>
      <w:tr w:rsidR="002C581A" w:rsidRPr="00E76013" w14:paraId="41A20199" w14:textId="77777777" w:rsidTr="00303D59">
        <w:trPr>
          <w:trHeight w:val="724"/>
          <w:jc w:val="center"/>
        </w:trPr>
        <w:tc>
          <w:tcPr>
            <w:tcW w:w="1129" w:type="dxa"/>
          </w:tcPr>
          <w:p w14:paraId="0265A859" w14:textId="77777777" w:rsidR="002C581A" w:rsidRPr="00E76013" w:rsidRDefault="002C581A" w:rsidP="002C581A">
            <w:pPr>
              <w:jc w:val="both"/>
              <w:rPr>
                <w:rFonts w:ascii="Times New Roman" w:eastAsia="Times New Roman" w:hAnsi="Times New Roman" w:cs="Times New Roman"/>
                <w:noProof/>
                <w:sz w:val="20"/>
                <w:szCs w:val="20"/>
                <w:lang w:val="en-GB"/>
              </w:rPr>
            </w:pPr>
            <w:r w:rsidRPr="00E76013">
              <w:rPr>
                <w:rFonts w:ascii="Times New Roman" w:hAnsi="Times New Roman" w:cs="Times New Roman"/>
                <w:noProof/>
                <w:color w:val="2B579A"/>
                <w:shd w:val="clear" w:color="auto" w:fill="E6E6E6"/>
                <w:lang w:val="en-GB" w:eastAsia="en-GB"/>
              </w:rPr>
              <w:drawing>
                <wp:anchor distT="0" distB="0" distL="114300" distR="114300" simplePos="0" relativeHeight="251658240" behindDoc="1" locked="0" layoutInCell="1" allowOverlap="1" wp14:anchorId="2BC752B0" wp14:editId="18BBE702">
                  <wp:simplePos x="0" y="0"/>
                  <wp:positionH relativeFrom="column">
                    <wp:posOffset>13335</wp:posOffset>
                  </wp:positionH>
                  <wp:positionV relativeFrom="paragraph">
                    <wp:posOffset>60297</wp:posOffset>
                  </wp:positionV>
                  <wp:extent cx="496570" cy="328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6570" cy="328930"/>
                          </a:xfrm>
                          <a:prstGeom prst="rect">
                            <a:avLst/>
                          </a:prstGeom>
                        </pic:spPr>
                      </pic:pic>
                    </a:graphicData>
                  </a:graphic>
                </wp:anchor>
              </w:drawing>
            </w:r>
          </w:p>
        </w:tc>
        <w:tc>
          <w:tcPr>
            <w:tcW w:w="3549" w:type="dxa"/>
            <w:vAlign w:val="center"/>
          </w:tcPr>
          <w:p w14:paraId="10F8006D" w14:textId="77777777"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Binding target for greenhouse gas emissions compared to 2005 under the Effort Sharing Regulation (%)</w:t>
            </w:r>
          </w:p>
        </w:tc>
        <w:tc>
          <w:tcPr>
            <w:tcW w:w="1095" w:type="dxa"/>
            <w:vAlign w:val="center"/>
          </w:tcPr>
          <w:p w14:paraId="153521E1" w14:textId="7B7CFB63"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21%</w:t>
            </w:r>
          </w:p>
        </w:tc>
        <w:tc>
          <w:tcPr>
            <w:tcW w:w="825" w:type="dxa"/>
            <w:vAlign w:val="center"/>
          </w:tcPr>
          <w:p w14:paraId="32617BC5" w14:textId="04C4F0DE"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20%</w:t>
            </w:r>
          </w:p>
        </w:tc>
        <w:tc>
          <w:tcPr>
            <w:tcW w:w="748" w:type="dxa"/>
            <w:vAlign w:val="center"/>
          </w:tcPr>
          <w:p w14:paraId="60D615E6" w14:textId="12591758"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0</w:t>
            </w:r>
          </w:p>
        </w:tc>
        <w:tc>
          <w:tcPr>
            <w:tcW w:w="1881" w:type="dxa"/>
            <w:vAlign w:val="center"/>
          </w:tcPr>
          <w:p w14:paraId="1012F086" w14:textId="7EE14243"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As in ESR</w:t>
            </w:r>
          </w:p>
        </w:tc>
      </w:tr>
      <w:tr w:rsidR="002C581A" w:rsidRPr="00E76013" w14:paraId="281A5E5C" w14:textId="77777777" w:rsidTr="00303D59">
        <w:trPr>
          <w:trHeight w:val="1273"/>
          <w:jc w:val="center"/>
        </w:trPr>
        <w:tc>
          <w:tcPr>
            <w:tcW w:w="1129" w:type="dxa"/>
          </w:tcPr>
          <w:p w14:paraId="7F2417E8" w14:textId="77777777" w:rsidR="002C581A" w:rsidRPr="00E76013" w:rsidRDefault="002C581A" w:rsidP="002C581A">
            <w:pPr>
              <w:jc w:val="both"/>
              <w:rPr>
                <w:rFonts w:ascii="Times New Roman" w:eastAsia="Times New Roman" w:hAnsi="Times New Roman" w:cs="Times New Roman"/>
                <w:noProof/>
                <w:sz w:val="20"/>
                <w:szCs w:val="20"/>
                <w:lang w:val="en-GB"/>
              </w:rPr>
            </w:pPr>
            <w:r w:rsidRPr="00E76013">
              <w:rPr>
                <w:rFonts w:ascii="Times New Roman" w:hAnsi="Times New Roman" w:cs="Times New Roman"/>
                <w:noProof/>
                <w:color w:val="2B579A"/>
                <w:shd w:val="clear" w:color="auto" w:fill="E6E6E6"/>
                <w:lang w:val="en-GB" w:eastAsia="en-GB"/>
              </w:rPr>
              <w:drawing>
                <wp:anchor distT="0" distB="0" distL="114300" distR="114300" simplePos="0" relativeHeight="251658241" behindDoc="1" locked="0" layoutInCell="1" allowOverlap="1" wp14:anchorId="7B99EC9F" wp14:editId="5B17991B">
                  <wp:simplePos x="0" y="0"/>
                  <wp:positionH relativeFrom="column">
                    <wp:posOffset>79486</wp:posOffset>
                  </wp:positionH>
                  <wp:positionV relativeFrom="paragraph">
                    <wp:posOffset>291714</wp:posOffset>
                  </wp:positionV>
                  <wp:extent cx="384541" cy="33793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4541" cy="337930"/>
                          </a:xfrm>
                          <a:prstGeom prst="rect">
                            <a:avLst/>
                          </a:prstGeom>
                        </pic:spPr>
                      </pic:pic>
                    </a:graphicData>
                  </a:graphic>
                  <wp14:sizeRelH relativeFrom="margin">
                    <wp14:pctWidth>0</wp14:pctWidth>
                  </wp14:sizeRelH>
                  <wp14:sizeRelV relativeFrom="margin">
                    <wp14:pctHeight>0</wp14:pctHeight>
                  </wp14:sizeRelV>
                </wp:anchor>
              </w:drawing>
            </w:r>
          </w:p>
        </w:tc>
        <w:tc>
          <w:tcPr>
            <w:tcW w:w="3549" w:type="dxa"/>
            <w:vAlign w:val="center"/>
          </w:tcPr>
          <w:p w14:paraId="26B60A81" w14:textId="77777777"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National target/contribution for</w:t>
            </w:r>
          </w:p>
          <w:p w14:paraId="7C94DFB7" w14:textId="2071169C" w:rsidR="002C581A" w:rsidRPr="00E76013" w:rsidRDefault="002C581A" w:rsidP="00D729DF">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renewable energy: Share of energy from renewable sources in gross final consumption of</w:t>
            </w:r>
            <w:r w:rsidR="00D729DF">
              <w:rPr>
                <w:rFonts w:ascii="Times New Roman" w:eastAsia="Times New Roman" w:hAnsi="Times New Roman" w:cs="Times New Roman"/>
                <w:noProof/>
                <w:sz w:val="20"/>
                <w:szCs w:val="20"/>
                <w:lang w:val="en-GB"/>
              </w:rPr>
              <w:t xml:space="preserve"> </w:t>
            </w:r>
            <w:r w:rsidRPr="00E76013">
              <w:rPr>
                <w:rFonts w:ascii="Times New Roman" w:eastAsia="Times New Roman" w:hAnsi="Times New Roman" w:cs="Times New Roman"/>
                <w:noProof/>
                <w:sz w:val="20"/>
                <w:szCs w:val="20"/>
                <w:lang w:val="en-GB"/>
              </w:rPr>
              <w:t>energy (%)</w:t>
            </w:r>
          </w:p>
        </w:tc>
        <w:tc>
          <w:tcPr>
            <w:tcW w:w="1095" w:type="dxa"/>
            <w:vAlign w:val="center"/>
          </w:tcPr>
          <w:p w14:paraId="76576A23" w14:textId="22B8067E"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20.5</w:t>
            </w:r>
          </w:p>
        </w:tc>
        <w:tc>
          <w:tcPr>
            <w:tcW w:w="825" w:type="dxa"/>
            <w:vAlign w:val="center"/>
          </w:tcPr>
          <w:p w14:paraId="128FA7E5" w14:textId="08DDD6E2"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21.4</w:t>
            </w:r>
          </w:p>
        </w:tc>
        <w:tc>
          <w:tcPr>
            <w:tcW w:w="748" w:type="dxa"/>
            <w:vAlign w:val="center"/>
          </w:tcPr>
          <w:p w14:paraId="2C28B450" w14:textId="41895E0A"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27.09</w:t>
            </w:r>
          </w:p>
        </w:tc>
        <w:tc>
          <w:tcPr>
            <w:tcW w:w="1881" w:type="dxa"/>
            <w:vAlign w:val="center"/>
          </w:tcPr>
          <w:p w14:paraId="4DE9797A" w14:textId="77777777" w:rsidR="002C581A" w:rsidRPr="00E76013" w:rsidRDefault="002C581A" w:rsidP="002C581A">
            <w:pPr>
              <w:spacing w:line="257" w:lineRule="auto"/>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Sufficiently ambitious</w:t>
            </w:r>
          </w:p>
          <w:p w14:paraId="309A3CC7" w14:textId="10E620FA"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(Above RES formula of 27%)</w:t>
            </w:r>
          </w:p>
        </w:tc>
      </w:tr>
      <w:tr w:rsidR="002C581A" w:rsidRPr="00E76013" w14:paraId="6DC83CBD" w14:textId="77777777" w:rsidTr="00194B37">
        <w:trPr>
          <w:trHeight w:val="291"/>
          <w:jc w:val="center"/>
        </w:trPr>
        <w:tc>
          <w:tcPr>
            <w:tcW w:w="1129" w:type="dxa"/>
            <w:vMerge w:val="restart"/>
          </w:tcPr>
          <w:p w14:paraId="7A065E82" w14:textId="6110C1ED" w:rsidR="002C581A" w:rsidRPr="00E76013" w:rsidRDefault="00A42EB5" w:rsidP="002C581A">
            <w:pPr>
              <w:jc w:val="both"/>
              <w:rPr>
                <w:rFonts w:ascii="Times New Roman" w:eastAsia="Times New Roman" w:hAnsi="Times New Roman" w:cs="Times New Roman"/>
                <w:noProof/>
                <w:sz w:val="20"/>
                <w:szCs w:val="20"/>
                <w:lang w:val="en-GB"/>
              </w:rPr>
            </w:pPr>
            <w:r w:rsidRPr="00E76013">
              <w:rPr>
                <w:rFonts w:ascii="Times New Roman" w:hAnsi="Times New Roman" w:cs="Times New Roman"/>
                <w:noProof/>
                <w:color w:val="2B579A"/>
                <w:shd w:val="clear" w:color="auto" w:fill="E6E6E6"/>
                <w:lang w:val="en-GB" w:eastAsia="en-GB"/>
              </w:rPr>
              <w:drawing>
                <wp:anchor distT="0" distB="0" distL="114300" distR="114300" simplePos="0" relativeHeight="251658242" behindDoc="1" locked="0" layoutInCell="1" allowOverlap="1" wp14:anchorId="335978B3" wp14:editId="3B184EBE">
                  <wp:simplePos x="0" y="0"/>
                  <wp:positionH relativeFrom="column">
                    <wp:posOffset>65139</wp:posOffset>
                  </wp:positionH>
                  <wp:positionV relativeFrom="paragraph">
                    <wp:posOffset>135220</wp:posOffset>
                  </wp:positionV>
                  <wp:extent cx="417443" cy="46623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17443" cy="466235"/>
                          </a:xfrm>
                          <a:prstGeom prst="rect">
                            <a:avLst/>
                          </a:prstGeom>
                        </pic:spPr>
                      </pic:pic>
                    </a:graphicData>
                  </a:graphic>
                  <wp14:sizeRelH relativeFrom="margin">
                    <wp14:pctWidth>0</wp14:pctWidth>
                  </wp14:sizeRelH>
                  <wp14:sizeRelV relativeFrom="margin">
                    <wp14:pctHeight>0</wp14:pctHeight>
                  </wp14:sizeRelV>
                </wp:anchor>
              </w:drawing>
            </w:r>
          </w:p>
        </w:tc>
        <w:tc>
          <w:tcPr>
            <w:tcW w:w="8098" w:type="dxa"/>
            <w:gridSpan w:val="5"/>
            <w:vAlign w:val="center"/>
          </w:tcPr>
          <w:p w14:paraId="6164A985" w14:textId="77777777" w:rsidR="002C581A" w:rsidRPr="00E76013" w:rsidRDefault="002C581A" w:rsidP="002C581A">
            <w:pPr>
              <w:rPr>
                <w:rFonts w:ascii="Times New Roman" w:eastAsia="Times New Roman" w:hAnsi="Times New Roman" w:cs="Times New Roman"/>
                <w:b/>
                <w:noProof/>
                <w:sz w:val="20"/>
                <w:szCs w:val="20"/>
                <w:lang w:val="en-GB"/>
              </w:rPr>
            </w:pPr>
            <w:r w:rsidRPr="00E76013">
              <w:rPr>
                <w:rFonts w:ascii="Times New Roman" w:eastAsia="Times New Roman" w:hAnsi="Times New Roman" w:cs="Times New Roman"/>
                <w:b/>
                <w:noProof/>
                <w:sz w:val="20"/>
                <w:szCs w:val="20"/>
                <w:lang w:val="en-GB"/>
              </w:rPr>
              <w:t>National contribution for energy efficiency:</w:t>
            </w:r>
          </w:p>
        </w:tc>
      </w:tr>
      <w:tr w:rsidR="002C581A" w:rsidRPr="00E76013" w14:paraId="2AD45683" w14:textId="77777777" w:rsidTr="00194B37">
        <w:trPr>
          <w:trHeight w:val="389"/>
          <w:jc w:val="center"/>
        </w:trPr>
        <w:tc>
          <w:tcPr>
            <w:tcW w:w="1129" w:type="dxa"/>
            <w:vMerge/>
          </w:tcPr>
          <w:p w14:paraId="35CF0E4E" w14:textId="77777777" w:rsidR="002C581A" w:rsidRPr="00E76013" w:rsidRDefault="002C581A" w:rsidP="002C581A">
            <w:pPr>
              <w:jc w:val="both"/>
              <w:rPr>
                <w:rFonts w:ascii="Times New Roman" w:eastAsia="Times New Roman" w:hAnsi="Times New Roman" w:cs="Times New Roman"/>
                <w:noProof/>
                <w:sz w:val="20"/>
                <w:szCs w:val="20"/>
                <w:lang w:val="en-GB"/>
              </w:rPr>
            </w:pPr>
          </w:p>
        </w:tc>
        <w:tc>
          <w:tcPr>
            <w:tcW w:w="3549" w:type="dxa"/>
            <w:vAlign w:val="center"/>
          </w:tcPr>
          <w:p w14:paraId="636492B0" w14:textId="77777777"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Primary energy consumption (Mtoe)</w:t>
            </w:r>
          </w:p>
        </w:tc>
        <w:tc>
          <w:tcPr>
            <w:tcW w:w="1095" w:type="dxa"/>
            <w:vAlign w:val="center"/>
          </w:tcPr>
          <w:p w14:paraId="245C474D" w14:textId="4F634AB0"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18.34</w:t>
            </w:r>
          </w:p>
        </w:tc>
        <w:tc>
          <w:tcPr>
            <w:tcW w:w="825" w:type="dxa"/>
            <w:vAlign w:val="center"/>
          </w:tcPr>
          <w:p w14:paraId="032814E4" w14:textId="2F35346E"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16.9</w:t>
            </w:r>
          </w:p>
        </w:tc>
        <w:tc>
          <w:tcPr>
            <w:tcW w:w="748" w:type="dxa"/>
            <w:vAlign w:val="center"/>
          </w:tcPr>
          <w:p w14:paraId="33B61FFB" w14:textId="2729286B"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17.5</w:t>
            </w:r>
          </w:p>
        </w:tc>
        <w:tc>
          <w:tcPr>
            <w:tcW w:w="1881" w:type="dxa"/>
            <w:vAlign w:val="center"/>
          </w:tcPr>
          <w:p w14:paraId="6CF5C004" w14:textId="71005D25"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Low ambition</w:t>
            </w:r>
          </w:p>
        </w:tc>
      </w:tr>
      <w:tr w:rsidR="002C581A" w:rsidRPr="00E76013" w14:paraId="4B88C192" w14:textId="77777777" w:rsidTr="00194B37">
        <w:trPr>
          <w:trHeight w:val="490"/>
          <w:jc w:val="center"/>
        </w:trPr>
        <w:tc>
          <w:tcPr>
            <w:tcW w:w="1129" w:type="dxa"/>
            <w:vMerge/>
          </w:tcPr>
          <w:p w14:paraId="2F079936" w14:textId="77777777" w:rsidR="002C581A" w:rsidRPr="00E76013" w:rsidRDefault="002C581A" w:rsidP="002C581A">
            <w:pPr>
              <w:jc w:val="both"/>
              <w:rPr>
                <w:rFonts w:ascii="Times New Roman" w:eastAsia="Times New Roman" w:hAnsi="Times New Roman" w:cs="Times New Roman"/>
                <w:noProof/>
                <w:sz w:val="20"/>
                <w:szCs w:val="20"/>
                <w:lang w:val="en-GB"/>
              </w:rPr>
            </w:pPr>
          </w:p>
        </w:tc>
        <w:tc>
          <w:tcPr>
            <w:tcW w:w="3549" w:type="dxa"/>
            <w:vAlign w:val="center"/>
          </w:tcPr>
          <w:p w14:paraId="518D7A3E" w14:textId="77777777"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Final energy consumption (Mtoe)</w:t>
            </w:r>
          </w:p>
        </w:tc>
        <w:tc>
          <w:tcPr>
            <w:tcW w:w="1095" w:type="dxa"/>
            <w:vAlign w:val="center"/>
          </w:tcPr>
          <w:p w14:paraId="3B977D42" w14:textId="36025133"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9.9</w:t>
            </w:r>
          </w:p>
        </w:tc>
        <w:tc>
          <w:tcPr>
            <w:tcW w:w="825" w:type="dxa"/>
            <w:vAlign w:val="center"/>
          </w:tcPr>
          <w:p w14:paraId="3DAD138F" w14:textId="11F1D5A4"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8.67</w:t>
            </w:r>
          </w:p>
        </w:tc>
        <w:tc>
          <w:tcPr>
            <w:tcW w:w="748" w:type="dxa"/>
            <w:vAlign w:val="center"/>
          </w:tcPr>
          <w:p w14:paraId="33D432D6" w14:textId="059DAC54"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10.3</w:t>
            </w:r>
          </w:p>
        </w:tc>
        <w:tc>
          <w:tcPr>
            <w:tcW w:w="1881" w:type="dxa"/>
            <w:vAlign w:val="center"/>
          </w:tcPr>
          <w:p w14:paraId="6EAF0612" w14:textId="0CE8CB64"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Very low ambition</w:t>
            </w:r>
          </w:p>
        </w:tc>
      </w:tr>
      <w:tr w:rsidR="002C581A" w:rsidRPr="00E76013" w14:paraId="2D3F817A" w14:textId="77777777" w:rsidTr="00303D59">
        <w:trPr>
          <w:trHeight w:val="782"/>
          <w:jc w:val="center"/>
        </w:trPr>
        <w:tc>
          <w:tcPr>
            <w:tcW w:w="1129" w:type="dxa"/>
          </w:tcPr>
          <w:p w14:paraId="5876E092" w14:textId="14A1D82B" w:rsidR="002C581A" w:rsidRPr="00E76013" w:rsidRDefault="002C581A" w:rsidP="002C581A">
            <w:pPr>
              <w:jc w:val="both"/>
              <w:rPr>
                <w:rFonts w:ascii="Times New Roman" w:eastAsia="Times New Roman" w:hAnsi="Times New Roman" w:cs="Times New Roman"/>
                <w:noProof/>
                <w:sz w:val="20"/>
                <w:szCs w:val="20"/>
                <w:lang w:val="en-GB"/>
              </w:rPr>
            </w:pPr>
            <w:r w:rsidRPr="00E76013">
              <w:rPr>
                <w:rFonts w:ascii="Times New Roman" w:hAnsi="Times New Roman" w:cs="Times New Roman"/>
                <w:noProof/>
                <w:color w:val="2B579A"/>
                <w:shd w:val="clear" w:color="auto" w:fill="E6E6E6"/>
                <w:lang w:val="en-GB" w:eastAsia="en-GB"/>
              </w:rPr>
              <w:drawing>
                <wp:anchor distT="0" distB="0" distL="114300" distR="114300" simplePos="0" relativeHeight="251658243" behindDoc="1" locked="0" layoutInCell="1" allowOverlap="1" wp14:anchorId="4355A60D" wp14:editId="47D02B92">
                  <wp:simplePos x="0" y="0"/>
                  <wp:positionH relativeFrom="column">
                    <wp:posOffset>78850</wp:posOffset>
                  </wp:positionH>
                  <wp:positionV relativeFrom="paragraph">
                    <wp:posOffset>26145</wp:posOffset>
                  </wp:positionV>
                  <wp:extent cx="384175" cy="441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4175" cy="441325"/>
                          </a:xfrm>
                          <a:prstGeom prst="rect">
                            <a:avLst/>
                          </a:prstGeom>
                        </pic:spPr>
                      </pic:pic>
                    </a:graphicData>
                  </a:graphic>
                </wp:anchor>
              </w:drawing>
            </w:r>
          </w:p>
        </w:tc>
        <w:tc>
          <w:tcPr>
            <w:tcW w:w="3549" w:type="dxa"/>
            <w:vAlign w:val="center"/>
          </w:tcPr>
          <w:p w14:paraId="63921568" w14:textId="77777777" w:rsidR="002C581A" w:rsidRPr="00E76013" w:rsidRDefault="002C581A" w:rsidP="002C581A">
            <w:pPr>
              <w:rPr>
                <w:rFonts w:ascii="Times New Roman" w:eastAsia="Times New Roman" w:hAnsi="Times New Roman" w:cs="Times New Roman"/>
                <w:noProof/>
                <w:sz w:val="20"/>
                <w:szCs w:val="20"/>
                <w:lang w:val="en-GB"/>
              </w:rPr>
            </w:pPr>
          </w:p>
          <w:p w14:paraId="764C24D9" w14:textId="77777777"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Level of electricity interconnectivity (%)</w:t>
            </w:r>
          </w:p>
          <w:p w14:paraId="622E9284" w14:textId="77777777" w:rsidR="002C581A" w:rsidRPr="00E76013" w:rsidRDefault="002C581A" w:rsidP="002C581A">
            <w:pPr>
              <w:rPr>
                <w:rFonts w:ascii="Times New Roman" w:eastAsia="Times New Roman" w:hAnsi="Times New Roman" w:cs="Times New Roman"/>
                <w:noProof/>
                <w:sz w:val="20"/>
                <w:szCs w:val="20"/>
                <w:lang w:val="en-GB"/>
              </w:rPr>
            </w:pPr>
          </w:p>
        </w:tc>
        <w:tc>
          <w:tcPr>
            <w:tcW w:w="1095" w:type="dxa"/>
            <w:vAlign w:val="center"/>
          </w:tcPr>
          <w:p w14:paraId="2FB7AB32" w14:textId="59CF69A2"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7.1</w:t>
            </w:r>
          </w:p>
        </w:tc>
        <w:tc>
          <w:tcPr>
            <w:tcW w:w="825" w:type="dxa"/>
            <w:vAlign w:val="center"/>
          </w:tcPr>
          <w:p w14:paraId="342F5D74" w14:textId="05144F6F"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11.3</w:t>
            </w:r>
          </w:p>
        </w:tc>
        <w:tc>
          <w:tcPr>
            <w:tcW w:w="748" w:type="dxa"/>
            <w:vAlign w:val="center"/>
          </w:tcPr>
          <w:p w14:paraId="1820FF23" w14:textId="77381828"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15</w:t>
            </w:r>
          </w:p>
        </w:tc>
        <w:tc>
          <w:tcPr>
            <w:tcW w:w="1881" w:type="dxa"/>
            <w:vAlign w:val="center"/>
          </w:tcPr>
          <w:p w14:paraId="44E8ACF1" w14:textId="3E03B7A2" w:rsidR="002C581A" w:rsidRPr="00E76013" w:rsidRDefault="002C581A" w:rsidP="002C581A">
            <w:pPr>
              <w:rPr>
                <w:rFonts w:ascii="Times New Roman" w:eastAsia="Times New Roman" w:hAnsi="Times New Roman" w:cs="Times New Roman"/>
                <w:noProof/>
                <w:sz w:val="20"/>
                <w:szCs w:val="20"/>
                <w:lang w:val="en-GB"/>
              </w:rPr>
            </w:pPr>
            <w:r w:rsidRPr="00E76013">
              <w:rPr>
                <w:rFonts w:ascii="Times New Roman" w:eastAsia="Times New Roman" w:hAnsi="Times New Roman" w:cs="Times New Roman"/>
                <w:noProof/>
                <w:sz w:val="20"/>
                <w:szCs w:val="20"/>
                <w:lang w:val="en-GB"/>
              </w:rPr>
              <w:t>N/A</w:t>
            </w:r>
          </w:p>
        </w:tc>
      </w:tr>
    </w:tbl>
    <w:p w14:paraId="3C28BDD6" w14:textId="5FB80D71" w:rsidR="00D97A54" w:rsidRPr="00E76013" w:rsidRDefault="00E33340" w:rsidP="007314B3">
      <w:pPr>
        <w:spacing w:before="120"/>
        <w:rPr>
          <w:rFonts w:ascii="Times New Roman" w:eastAsia="Times New Roman" w:hAnsi="Times New Roman" w:cs="Times New Roman"/>
          <w:i/>
          <w:noProof/>
          <w:sz w:val="20"/>
          <w:szCs w:val="24"/>
          <w:lang w:val="en-GB"/>
        </w:rPr>
      </w:pPr>
      <w:r w:rsidRPr="00E76013">
        <w:rPr>
          <w:rFonts w:ascii="Times New Roman" w:eastAsia="Times New Roman" w:hAnsi="Times New Roman" w:cs="Times New Roman"/>
          <w:i/>
          <w:noProof/>
          <w:sz w:val="20"/>
          <w:szCs w:val="24"/>
          <w:lang w:val="en-GB"/>
        </w:rPr>
        <w:t xml:space="preserve">Source: Assessment of the final national energy and climate plan of </w:t>
      </w:r>
      <w:r w:rsidR="007314B3" w:rsidRPr="00E76013">
        <w:rPr>
          <w:rFonts w:ascii="Times New Roman" w:eastAsia="Times New Roman" w:hAnsi="Times New Roman" w:cs="Times New Roman"/>
          <w:i/>
          <w:noProof/>
          <w:sz w:val="20"/>
          <w:szCs w:val="24"/>
          <w:lang w:val="en-GB"/>
        </w:rPr>
        <w:t>Bulgaria</w:t>
      </w:r>
    </w:p>
    <w:p w14:paraId="020782C1" w14:textId="2E43BC1B" w:rsidR="00110D5A" w:rsidRPr="00E76013" w:rsidRDefault="00AE1584" w:rsidP="76744A63">
      <w:pPr>
        <w:pStyle w:val="Heading3"/>
        <w:spacing w:after="160" w:line="276" w:lineRule="auto"/>
        <w:rPr>
          <w:b/>
          <w:noProof/>
          <w:lang w:val="en-IE"/>
        </w:rPr>
      </w:pPr>
      <w:bookmarkStart w:id="119" w:name="_Toc99399064"/>
      <w:bookmarkStart w:id="120" w:name="_Toc99399997"/>
      <w:bookmarkStart w:id="121" w:name="_Toc99400425"/>
      <w:bookmarkStart w:id="122" w:name="_Toc99719440"/>
      <w:bookmarkStart w:id="123" w:name="_Toc99728653"/>
      <w:bookmarkStart w:id="124" w:name="_Toc99729647"/>
      <w:bookmarkStart w:id="125" w:name="_Toc99730624"/>
      <w:bookmarkStart w:id="126" w:name="_Toc99731348"/>
      <w:bookmarkStart w:id="127" w:name="_Toc99756887"/>
      <w:bookmarkStart w:id="128" w:name="_Toc99909917"/>
      <w:bookmarkStart w:id="129" w:name="_Toc98952819"/>
      <w:bookmarkStart w:id="130" w:name="_Toc98953990"/>
      <w:bookmarkStart w:id="131" w:name="_Toc64281615"/>
      <w:bookmarkStart w:id="132" w:name="_Toc62455197"/>
      <w:bookmarkStart w:id="133" w:name="_Toc62818212"/>
      <w:bookmarkStart w:id="134" w:name="_Toc62818759"/>
      <w:bookmarkStart w:id="135" w:name="_Toc63417214"/>
      <w:bookmarkStart w:id="136" w:name="_Toc63418904"/>
      <w:bookmarkStart w:id="137" w:name="_Toc63418929"/>
      <w:r w:rsidRPr="002A0BDC">
        <w:rPr>
          <w:noProof/>
          <w:lang w:val="en-IE"/>
        </w:rPr>
        <w:t>Digital dimension</w:t>
      </w:r>
      <w:bookmarkEnd w:id="119"/>
      <w:bookmarkEnd w:id="120"/>
      <w:bookmarkEnd w:id="121"/>
      <w:bookmarkEnd w:id="122"/>
      <w:bookmarkEnd w:id="123"/>
      <w:bookmarkEnd w:id="124"/>
      <w:bookmarkEnd w:id="125"/>
      <w:bookmarkEnd w:id="126"/>
      <w:bookmarkEnd w:id="127"/>
      <w:bookmarkEnd w:id="128"/>
      <w:r w:rsidRPr="002A0BDC">
        <w:rPr>
          <w:noProof/>
          <w:lang w:val="en-IE"/>
        </w:rPr>
        <w:t xml:space="preserve"> </w:t>
      </w:r>
      <w:bookmarkEnd w:id="129"/>
      <w:bookmarkEnd w:id="130"/>
    </w:p>
    <w:bookmarkEnd w:id="131"/>
    <w:bookmarkEnd w:id="132"/>
    <w:bookmarkEnd w:id="133"/>
    <w:bookmarkEnd w:id="134"/>
    <w:bookmarkEnd w:id="135"/>
    <w:bookmarkEnd w:id="136"/>
    <w:bookmarkEnd w:id="137"/>
    <w:p w14:paraId="752FC894" w14:textId="1F33077B" w:rsidR="000620C2" w:rsidRPr="00E76013" w:rsidRDefault="00CE332C" w:rsidP="006855E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w:t>
      </w:r>
      <w:r w:rsidR="004F671F" w:rsidRPr="00E76013">
        <w:rPr>
          <w:rFonts w:ascii="Times New Roman" w:eastAsia="Times New Roman" w:hAnsi="Times New Roman" w:cs="Times New Roman"/>
          <w:b/>
          <w:bCs/>
          <w:noProof/>
          <w:sz w:val="24"/>
          <w:szCs w:val="24"/>
          <w:lang w:val="en-GB"/>
        </w:rPr>
        <w:t>Plan</w:t>
      </w:r>
      <w:r w:rsidRPr="00E76013">
        <w:rPr>
          <w:rFonts w:ascii="Times New Roman" w:eastAsia="Times New Roman" w:hAnsi="Times New Roman" w:cs="Times New Roman"/>
          <w:b/>
          <w:bCs/>
          <w:noProof/>
          <w:sz w:val="24"/>
          <w:szCs w:val="24"/>
          <w:lang w:val="en-GB"/>
        </w:rPr>
        <w:t xml:space="preserve"> should </w:t>
      </w:r>
      <w:r w:rsidR="00471CDD" w:rsidRPr="00E76013">
        <w:rPr>
          <w:rFonts w:ascii="Times New Roman" w:eastAsia="Times New Roman" w:hAnsi="Times New Roman" w:cs="Times New Roman"/>
          <w:b/>
          <w:bCs/>
          <w:noProof/>
          <w:sz w:val="24"/>
          <w:szCs w:val="24"/>
          <w:lang w:val="en-GB"/>
        </w:rPr>
        <w:t xml:space="preserve">contribute to the </w:t>
      </w:r>
      <w:r w:rsidR="00110D5A" w:rsidRPr="00E76013">
        <w:rPr>
          <w:rFonts w:ascii="Times New Roman" w:eastAsia="Times New Roman" w:hAnsi="Times New Roman" w:cs="Times New Roman"/>
          <w:b/>
          <w:bCs/>
          <w:noProof/>
          <w:sz w:val="24"/>
          <w:szCs w:val="24"/>
          <w:lang w:val="en-GB"/>
        </w:rPr>
        <w:t xml:space="preserve">digital </w:t>
      </w:r>
      <w:r w:rsidR="00471CDD" w:rsidRPr="00E76013">
        <w:rPr>
          <w:rFonts w:ascii="Times New Roman" w:eastAsia="Times New Roman" w:hAnsi="Times New Roman" w:cs="Times New Roman"/>
          <w:b/>
          <w:bCs/>
          <w:noProof/>
          <w:sz w:val="24"/>
          <w:szCs w:val="24"/>
          <w:lang w:val="en-GB"/>
        </w:rPr>
        <w:t>transition</w:t>
      </w:r>
      <w:r w:rsidR="00B72198" w:rsidRPr="00E76013">
        <w:rPr>
          <w:rFonts w:ascii="Times New Roman" w:eastAsia="Times New Roman" w:hAnsi="Times New Roman" w:cs="Times New Roman"/>
          <w:b/>
          <w:bCs/>
          <w:noProof/>
          <w:sz w:val="24"/>
          <w:szCs w:val="24"/>
          <w:lang w:val="en-GB"/>
        </w:rPr>
        <w:t xml:space="preserve"> and </w:t>
      </w:r>
      <w:r w:rsidR="00471CDD" w:rsidRPr="00E76013">
        <w:rPr>
          <w:rFonts w:ascii="Times New Roman" w:eastAsia="Times New Roman" w:hAnsi="Times New Roman" w:cs="Times New Roman"/>
          <w:b/>
          <w:bCs/>
          <w:noProof/>
          <w:sz w:val="24"/>
          <w:szCs w:val="24"/>
          <w:lang w:val="en-GB"/>
        </w:rPr>
        <w:t xml:space="preserve">at least </w:t>
      </w:r>
      <w:r w:rsidR="00110D5A" w:rsidRPr="00E76013">
        <w:rPr>
          <w:rFonts w:ascii="Times New Roman" w:eastAsia="Times New Roman" w:hAnsi="Times New Roman" w:cs="Times New Roman"/>
          <w:b/>
          <w:bCs/>
          <w:noProof/>
          <w:sz w:val="24"/>
          <w:szCs w:val="24"/>
          <w:lang w:val="en-GB"/>
        </w:rPr>
        <w:t>20</w:t>
      </w:r>
      <w:r w:rsidR="00471CDD" w:rsidRPr="00E76013">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bCs/>
          <w:noProof/>
          <w:sz w:val="24"/>
          <w:szCs w:val="24"/>
          <w:lang w:val="en-GB"/>
        </w:rPr>
        <w:t xml:space="preserve"> of </w:t>
      </w:r>
      <w:r w:rsidR="00471CDD" w:rsidRPr="00E76013">
        <w:rPr>
          <w:rFonts w:ascii="Times New Roman" w:eastAsia="Times New Roman" w:hAnsi="Times New Roman" w:cs="Times New Roman"/>
          <w:b/>
          <w:bCs/>
          <w:noProof/>
          <w:sz w:val="24"/>
          <w:szCs w:val="24"/>
          <w:lang w:val="en-GB"/>
        </w:rPr>
        <w:t xml:space="preserve">the </w:t>
      </w:r>
      <w:r w:rsidR="00841FCF" w:rsidRPr="00E76013">
        <w:rPr>
          <w:rFonts w:ascii="Times New Roman" w:eastAsia="Times New Roman" w:hAnsi="Times New Roman" w:cs="Times New Roman"/>
          <w:b/>
          <w:bCs/>
          <w:noProof/>
          <w:sz w:val="24"/>
          <w:szCs w:val="24"/>
          <w:lang w:val="en-GB"/>
        </w:rPr>
        <w:t>financial allocation</w:t>
      </w:r>
      <w:r w:rsidR="00B72198" w:rsidRPr="00E76013">
        <w:rPr>
          <w:rFonts w:ascii="Times New Roman" w:eastAsia="Times New Roman" w:hAnsi="Times New Roman" w:cs="Times New Roman"/>
          <w:b/>
          <w:bCs/>
          <w:noProof/>
          <w:sz w:val="24"/>
          <w:szCs w:val="24"/>
          <w:lang w:val="en-GB"/>
        </w:rPr>
        <w:t xml:space="preserve"> needs to </w:t>
      </w:r>
      <w:r w:rsidR="00D0655B" w:rsidRPr="00E76013">
        <w:rPr>
          <w:rFonts w:ascii="Times New Roman" w:eastAsia="Times New Roman" w:hAnsi="Times New Roman" w:cs="Times New Roman"/>
          <w:b/>
          <w:bCs/>
          <w:noProof/>
          <w:sz w:val="24"/>
          <w:szCs w:val="24"/>
          <w:lang w:val="en-GB"/>
        </w:rPr>
        <w:t>contribute to digital objectives</w:t>
      </w:r>
      <w:r w:rsidRPr="00E76013">
        <w:rPr>
          <w:rFonts w:ascii="Times New Roman" w:eastAsia="Times New Roman" w:hAnsi="Times New Roman" w:cs="Times New Roman"/>
          <w:b/>
          <w:bCs/>
          <w:noProof/>
          <w:sz w:val="24"/>
          <w:szCs w:val="24"/>
          <w:lang w:val="en-GB"/>
        </w:rPr>
        <w:t>.</w:t>
      </w:r>
      <w:r w:rsidRPr="00E76013">
        <w:rPr>
          <w:rFonts w:ascii="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 xml:space="preserve">The measures in the </w:t>
      </w:r>
      <w:r w:rsidR="005022CC"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should, inter alia, contribute to the digital transformation of the economic and social sector</w:t>
      </w:r>
      <w:r w:rsidR="00615F4E" w:rsidRPr="00E76013">
        <w:rPr>
          <w:rFonts w:ascii="Times New Roman" w:eastAsia="Times New Roman" w:hAnsi="Times New Roman" w:cs="Times New Roman"/>
          <w:noProof/>
          <w:sz w:val="24"/>
          <w:szCs w:val="24"/>
          <w:lang w:val="en-GB"/>
        </w:rPr>
        <w:t>s</w:t>
      </w:r>
      <w:r w:rsidRPr="00E76013">
        <w:rPr>
          <w:rFonts w:ascii="Times New Roman" w:eastAsia="Times New Roman" w:hAnsi="Times New Roman" w:cs="Times New Roman"/>
          <w:noProof/>
          <w:sz w:val="24"/>
          <w:szCs w:val="24"/>
          <w:lang w:val="en-GB"/>
        </w:rPr>
        <w:t xml:space="preserve"> (including public administration, public services, and the justice and health systems). The objective of the measures in the </w:t>
      </w:r>
      <w:r w:rsidR="005022CC"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should be to improve not only the competitiveness, but also the resilience, agility and security of companies and public actors, all while ensuring inclusiveness.</w:t>
      </w:r>
    </w:p>
    <w:p w14:paraId="0349AEF6" w14:textId="0B42BD0C" w:rsidR="00FF4258" w:rsidRDefault="0BA11FD0" w:rsidP="006855E0">
      <w:pPr>
        <w:spacing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bCs/>
          <w:noProof/>
          <w:sz w:val="24"/>
          <w:szCs w:val="24"/>
          <w:lang w:val="en-GB"/>
        </w:rPr>
        <w:t>Bulgaria ranks 26</w:t>
      </w:r>
      <w:r w:rsidRPr="00E76013">
        <w:rPr>
          <w:rFonts w:ascii="Times New Roman" w:eastAsia="Times New Roman" w:hAnsi="Times New Roman" w:cs="Times New Roman"/>
          <w:b/>
          <w:bCs/>
          <w:noProof/>
          <w:sz w:val="24"/>
          <w:szCs w:val="24"/>
          <w:vertAlign w:val="superscript"/>
          <w:lang w:val="en-GB"/>
        </w:rPr>
        <w:t>th</w:t>
      </w:r>
      <w:r w:rsidRPr="00E76013">
        <w:rPr>
          <w:rFonts w:ascii="Times New Roman" w:eastAsia="Times New Roman" w:hAnsi="Times New Roman" w:cs="Times New Roman"/>
          <w:b/>
          <w:bCs/>
          <w:noProof/>
          <w:sz w:val="24"/>
          <w:szCs w:val="24"/>
          <w:lang w:val="en-GB"/>
        </w:rPr>
        <w:t xml:space="preserve"> among the 27 EU Member States in the Digital Economy and Society Index (DESI) 2021</w:t>
      </w:r>
      <w:r w:rsidR="5E2A53AF" w:rsidRPr="36F18C84">
        <w:rPr>
          <w:rFonts w:ascii="Times New Roman" w:eastAsia="Times New Roman" w:hAnsi="Times New Roman" w:cs="Times New Roman"/>
          <w:b/>
          <w:bCs/>
          <w:noProof/>
          <w:sz w:val="24"/>
          <w:szCs w:val="24"/>
          <w:vertAlign w:val="superscript"/>
          <w:lang w:val="en-GB"/>
        </w:rPr>
        <w:footnoteReference w:id="10"/>
      </w:r>
      <w:r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Bulgaria lags</w:t>
      </w:r>
      <w:r w:rsidR="10F4BF85" w:rsidRPr="00E76013">
        <w:rPr>
          <w:rFonts w:ascii="Times New Roman" w:eastAsia="Times New Roman" w:hAnsi="Times New Roman" w:cs="Times New Roman"/>
          <w:noProof/>
          <w:sz w:val="24"/>
          <w:szCs w:val="24"/>
          <w:lang w:val="en-GB"/>
        </w:rPr>
        <w:t xml:space="preserve"> </w:t>
      </w:r>
      <w:r w:rsidR="6FE1EDCD" w:rsidRPr="00E76013">
        <w:rPr>
          <w:rFonts w:ascii="Times New Roman" w:eastAsia="Times New Roman" w:hAnsi="Times New Roman" w:cs="Times New Roman"/>
          <w:noProof/>
          <w:sz w:val="24"/>
          <w:szCs w:val="24"/>
          <w:lang w:val="en-GB"/>
        </w:rPr>
        <w:t xml:space="preserve">significantly </w:t>
      </w:r>
      <w:r w:rsidRPr="00E76013">
        <w:rPr>
          <w:rFonts w:ascii="Times New Roman" w:eastAsia="Times New Roman" w:hAnsi="Times New Roman" w:cs="Times New Roman"/>
          <w:noProof/>
          <w:sz w:val="24"/>
          <w:szCs w:val="24"/>
          <w:lang w:val="en-GB"/>
        </w:rPr>
        <w:t>behind in all digital areas compared with the EU average.</w:t>
      </w:r>
      <w:r w:rsidR="3951B112" w:rsidRPr="00E76013">
        <w:rPr>
          <w:rFonts w:ascii="Times New Roman" w:eastAsia="Times New Roman" w:hAnsi="Times New Roman" w:cs="Times New Roman"/>
          <w:noProof/>
          <w:sz w:val="24"/>
          <w:szCs w:val="24"/>
          <w:lang w:val="en-GB"/>
        </w:rPr>
        <w:t xml:space="preserve"> </w:t>
      </w:r>
      <w:r w:rsidR="6FE1EDCD" w:rsidRPr="00E76013">
        <w:rPr>
          <w:rFonts w:ascii="Times New Roman" w:eastAsia="Times New Roman" w:hAnsi="Times New Roman" w:cs="Times New Roman"/>
          <w:noProof/>
          <w:color w:val="000000" w:themeColor="text1"/>
          <w:sz w:val="24"/>
          <w:szCs w:val="24"/>
          <w:lang w:val="en-GB"/>
        </w:rPr>
        <w:t>Although its performance in absolute values has increased since 2019, it ranks lower than before due to the better performance of its peers. This situation reflects the need for a step change in digital policies.</w:t>
      </w:r>
    </w:p>
    <w:p w14:paraId="5B160E93" w14:textId="05DA1200" w:rsidR="00FF4258" w:rsidRDefault="00FF4258" w:rsidP="00FF4258">
      <w:pPr>
        <w:spacing w:line="276" w:lineRule="auto"/>
        <w:jc w:val="both"/>
        <w:rPr>
          <w:rFonts w:ascii="Times New Roman" w:eastAsia="Times New Roman" w:hAnsi="Times New Roman" w:cs="Times New Roman"/>
          <w:b/>
          <w:bCs/>
          <w:noProof/>
          <w:sz w:val="24"/>
          <w:szCs w:val="24"/>
        </w:rPr>
      </w:pPr>
      <w:r w:rsidRPr="00E76013">
        <w:rPr>
          <w:noProof/>
          <w:lang w:val="en-GB" w:eastAsia="en-GB"/>
        </w:rPr>
        <mc:AlternateContent>
          <mc:Choice Requires="wps">
            <w:drawing>
              <wp:anchor distT="0" distB="0" distL="114300" distR="114300" simplePos="0" relativeHeight="251660292" behindDoc="0" locked="0" layoutInCell="1" allowOverlap="1" wp14:anchorId="38A5015E" wp14:editId="10F177E5">
                <wp:simplePos x="0" y="0"/>
                <wp:positionH relativeFrom="margin">
                  <wp:posOffset>69850</wp:posOffset>
                </wp:positionH>
                <wp:positionV relativeFrom="paragraph">
                  <wp:posOffset>10160</wp:posOffset>
                </wp:positionV>
                <wp:extent cx="3155315" cy="457200"/>
                <wp:effectExtent l="0" t="0" r="6985" b="0"/>
                <wp:wrapSquare wrapText="bothSides"/>
                <wp:docPr id="7" name="Text Box 7"/>
                <wp:cNvGraphicFramePr/>
                <a:graphic xmlns:a="http://schemas.openxmlformats.org/drawingml/2006/main">
                  <a:graphicData uri="http://schemas.microsoft.com/office/word/2010/wordprocessingShape">
                    <wps:wsp>
                      <wps:cNvSpPr txBox="1"/>
                      <wps:spPr>
                        <a:xfrm>
                          <a:off x="0" y="0"/>
                          <a:ext cx="3155315" cy="457200"/>
                        </a:xfrm>
                        <a:prstGeom prst="rect">
                          <a:avLst/>
                        </a:prstGeom>
                        <a:solidFill>
                          <a:prstClr val="white"/>
                        </a:solidFill>
                        <a:ln>
                          <a:noFill/>
                        </a:ln>
                      </wps:spPr>
                      <wps:txbx>
                        <w:txbxContent>
                          <w:p w14:paraId="059225E8" w14:textId="77777777" w:rsidR="00FF4258" w:rsidRPr="00C84127" w:rsidRDefault="00FF4258" w:rsidP="00FF4258">
                            <w:pPr>
                              <w:pStyle w:val="Caption"/>
                              <w:rPr>
                                <w:rFonts w:ascii="Times New Roman" w:hAnsi="Times New Roman" w:cs="Times New Roman"/>
                                <w:b/>
                                <w:noProof/>
                                <w:color w:val="auto"/>
                                <w:shd w:val="clear" w:color="auto" w:fill="E6E6E6"/>
                              </w:rPr>
                            </w:pPr>
                            <w:r w:rsidRPr="00C84127">
                              <w:rPr>
                                <w:b/>
                                <w:color w:val="auto"/>
                              </w:rPr>
                              <w:t xml:space="preserve">Chart </w:t>
                            </w:r>
                            <w:r w:rsidRPr="00C84127">
                              <w:rPr>
                                <w:b/>
                                <w:color w:val="auto"/>
                              </w:rPr>
                              <w:fldChar w:fldCharType="begin"/>
                            </w:r>
                            <w:r w:rsidRPr="00C84127">
                              <w:rPr>
                                <w:b/>
                                <w:color w:val="auto"/>
                              </w:rPr>
                              <w:instrText xml:space="preserve"> SEQ Chart \* ARABIC </w:instrText>
                            </w:r>
                            <w:r w:rsidRPr="00C84127">
                              <w:rPr>
                                <w:b/>
                                <w:color w:val="auto"/>
                              </w:rPr>
                              <w:fldChar w:fldCharType="separate"/>
                            </w:r>
                            <w:r>
                              <w:rPr>
                                <w:b/>
                                <w:noProof/>
                                <w:color w:val="auto"/>
                              </w:rPr>
                              <w:t>1</w:t>
                            </w:r>
                            <w:r w:rsidRPr="00C84127">
                              <w:rPr>
                                <w:b/>
                                <w:color w:val="auto"/>
                              </w:rPr>
                              <w:fldChar w:fldCharType="end"/>
                            </w:r>
                            <w:r w:rsidRPr="00C84127">
                              <w:rPr>
                                <w:b/>
                                <w:color w:val="auto"/>
                              </w:rPr>
                              <w:t>: DESU Scoreboard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5015E" id="_x0000_t202" coordsize="21600,21600" o:spt="202" path="m,l,21600r21600,l21600,xe">
                <v:stroke joinstyle="miter"/>
                <v:path gradientshapeok="t" o:connecttype="rect"/>
              </v:shapetype>
              <v:shape id="Text Box 7" o:spid="_x0000_s1026" type="#_x0000_t202" style="position:absolute;left:0;text-align:left;margin-left:5.5pt;margin-top:.8pt;width:248.45pt;height:36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" stroked="f">
                <v:textbox inset="0,0,0,0">
                  <w:txbxContent>
                    <w:p w14:paraId="059225E8" w14:textId="77777777" w:rsidR="00FF4258" w:rsidRPr="00C84127" w:rsidRDefault="00FF4258" w:rsidP="00FF4258">
                      <w:pPr>
                        <w:pStyle w:val="Caption"/>
                        <w:rPr>
                          <w:rFonts w:ascii="Times New Roman" w:hAnsi="Times New Roman" w:cs="Times New Roman"/>
                          <w:b/>
                          <w:noProof/>
                          <w:color w:val="auto"/>
                          <w:shd w:val="clear" w:color="auto" w:fill="E6E6E6"/>
                        </w:rPr>
                      </w:pPr>
                      <w:r w:rsidRPr="00C84127">
                        <w:rPr>
                          <w:b/>
                          <w:color w:val="auto"/>
                        </w:rPr>
                        <w:t xml:space="preserve">Chart </w:t>
                      </w:r>
                      <w:r w:rsidRPr="00C84127">
                        <w:rPr>
                          <w:b/>
                          <w:color w:val="auto"/>
                        </w:rPr>
                        <w:fldChar w:fldCharType="begin"/>
                      </w:r>
                      <w:r w:rsidRPr="00C84127">
                        <w:rPr>
                          <w:b/>
                          <w:color w:val="auto"/>
                        </w:rPr>
                        <w:instrText xml:space="preserve"> SEQ Chart \* ARABIC </w:instrText>
                      </w:r>
                      <w:r w:rsidRPr="00C84127">
                        <w:rPr>
                          <w:b/>
                          <w:color w:val="auto"/>
                        </w:rPr>
                        <w:fldChar w:fldCharType="separate"/>
                      </w:r>
                      <w:r>
                        <w:rPr>
                          <w:b/>
                          <w:noProof/>
                          <w:color w:val="auto"/>
                        </w:rPr>
                        <w:t>1</w:t>
                      </w:r>
                      <w:r w:rsidRPr="00C84127">
                        <w:rPr>
                          <w:b/>
                          <w:color w:val="auto"/>
                        </w:rPr>
                        <w:fldChar w:fldCharType="end"/>
                      </w:r>
                      <w:r w:rsidRPr="00C84127">
                        <w:rPr>
                          <w:b/>
                          <w:color w:val="auto"/>
                        </w:rPr>
                        <w:t>: DESU Scoreboard 2021</w:t>
                      </w:r>
                    </w:p>
                  </w:txbxContent>
                </v:textbox>
                <w10:wrap type="square" anchorx="margin"/>
              </v:shape>
            </w:pict>
          </mc:Fallback>
        </mc:AlternateContent>
      </w:r>
      <w:r w:rsidRPr="00E76013">
        <w:rPr>
          <w:rFonts w:ascii="Times New Roman" w:hAnsi="Times New Roman" w:cs="Times New Roman"/>
          <w:noProof/>
          <w:color w:val="2B579A"/>
          <w:shd w:val="clear" w:color="auto" w:fill="E6E6E6"/>
          <w:lang w:val="en-GB" w:eastAsia="en-GB"/>
        </w:rPr>
        <w:drawing>
          <wp:anchor distT="0" distB="0" distL="114300" distR="114300" simplePos="0" relativeHeight="251661316" behindDoc="1" locked="0" layoutInCell="1" allowOverlap="1" wp14:anchorId="74C7FF2C" wp14:editId="70AA46B6">
            <wp:simplePos x="0" y="0"/>
            <wp:positionH relativeFrom="margin">
              <wp:align>left</wp:align>
            </wp:positionH>
            <wp:positionV relativeFrom="paragraph">
              <wp:posOffset>462280</wp:posOffset>
            </wp:positionV>
            <wp:extent cx="3225800" cy="1989455"/>
            <wp:effectExtent l="0" t="0" r="0" b="0"/>
            <wp:wrapTight wrapText="bothSides">
              <wp:wrapPolygon edited="0">
                <wp:start x="0" y="0"/>
                <wp:lineTo x="0" y="21304"/>
                <wp:lineTo x="21430" y="21304"/>
                <wp:lineTo x="21430" y="0"/>
                <wp:lineTo x="0" y="0"/>
              </wp:wrapPolygon>
            </wp:wrapTight>
            <wp:docPr id="487593355" name="Picture 48759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225800" cy="1989455"/>
                    </a:xfrm>
                    <a:prstGeom prst="rect">
                      <a:avLst/>
                    </a:prstGeom>
                  </pic:spPr>
                </pic:pic>
              </a:graphicData>
            </a:graphic>
            <wp14:sizeRelH relativeFrom="margin">
              <wp14:pctWidth>0</wp14:pctWidth>
            </wp14:sizeRelH>
            <wp14:sizeRelV relativeFrom="margin">
              <wp14:pctHeight>0</wp14:pctHeight>
            </wp14:sizeRelV>
          </wp:anchor>
        </w:drawing>
      </w:r>
      <w:r w:rsidR="4E1FF831" w:rsidRPr="00E76013">
        <w:rPr>
          <w:rFonts w:ascii="Times New Roman" w:eastAsia="Times New Roman" w:hAnsi="Times New Roman" w:cs="Times New Roman"/>
          <w:b/>
          <w:bCs/>
          <w:noProof/>
          <w:sz w:val="24"/>
          <w:szCs w:val="24"/>
        </w:rPr>
        <w:t>On connectivity,</w:t>
      </w:r>
      <w:r w:rsidR="0A1CE0E0" w:rsidRPr="00E76013">
        <w:rPr>
          <w:rFonts w:ascii="Times New Roman" w:eastAsia="Times New Roman" w:hAnsi="Times New Roman" w:cs="Times New Roman"/>
          <w:b/>
          <w:bCs/>
          <w:noProof/>
          <w:sz w:val="24"/>
          <w:szCs w:val="24"/>
        </w:rPr>
        <w:t xml:space="preserve"> </w:t>
      </w:r>
      <w:r w:rsidR="0AE584D2" w:rsidRPr="00E76013">
        <w:rPr>
          <w:rFonts w:ascii="Times New Roman" w:eastAsia="Times New Roman" w:hAnsi="Times New Roman" w:cs="Times New Roman"/>
          <w:b/>
          <w:bCs/>
          <w:noProof/>
          <w:sz w:val="24"/>
          <w:szCs w:val="24"/>
        </w:rPr>
        <w:t xml:space="preserve">Bulgaria scores particularly poorly. </w:t>
      </w:r>
      <w:r w:rsidR="0AE584D2" w:rsidRPr="00E76013">
        <w:rPr>
          <w:rFonts w:ascii="Times New Roman" w:eastAsia="Times New Roman" w:hAnsi="Times New Roman" w:cs="Times New Roman"/>
          <w:noProof/>
          <w:sz w:val="24"/>
          <w:szCs w:val="24"/>
        </w:rPr>
        <w:t>The</w:t>
      </w:r>
      <w:r w:rsidR="0A1CE0E0" w:rsidRPr="00E76013">
        <w:rPr>
          <w:rFonts w:ascii="Times New Roman" w:eastAsia="Times New Roman" w:hAnsi="Times New Roman" w:cs="Times New Roman"/>
          <w:noProof/>
          <w:sz w:val="24"/>
          <w:szCs w:val="24"/>
        </w:rPr>
        <w:t xml:space="preserve"> country ranks 26</w:t>
      </w:r>
      <w:r w:rsidR="0A1CE0E0" w:rsidRPr="00E76013">
        <w:rPr>
          <w:rFonts w:ascii="Times New Roman" w:eastAsia="Times New Roman" w:hAnsi="Times New Roman" w:cs="Times New Roman"/>
          <w:noProof/>
          <w:sz w:val="24"/>
          <w:szCs w:val="24"/>
          <w:vertAlign w:val="superscript"/>
        </w:rPr>
        <w:t>th</w:t>
      </w:r>
      <w:r w:rsidR="0A1CE0E0" w:rsidRPr="00E76013">
        <w:rPr>
          <w:rFonts w:ascii="Times New Roman" w:eastAsia="Times New Roman" w:hAnsi="Times New Roman" w:cs="Times New Roman"/>
          <w:noProof/>
          <w:sz w:val="24"/>
          <w:szCs w:val="24"/>
        </w:rPr>
        <w:t xml:space="preserve"> among EU countries with a score of 38 a</w:t>
      </w:r>
      <w:r w:rsidR="319FCD55" w:rsidRPr="00E76013">
        <w:rPr>
          <w:rFonts w:ascii="Times New Roman" w:eastAsia="Times New Roman" w:hAnsi="Times New Roman" w:cs="Times New Roman"/>
          <w:noProof/>
          <w:sz w:val="24"/>
          <w:szCs w:val="24"/>
        </w:rPr>
        <w:t>gainst the EU average of 50</w:t>
      </w:r>
      <w:r w:rsidR="319FCD55" w:rsidRPr="00E76013">
        <w:rPr>
          <w:rFonts w:ascii="Times New Roman" w:eastAsia="Times New Roman" w:hAnsi="Times New Roman" w:cs="Times New Roman"/>
          <w:b/>
          <w:bCs/>
          <w:noProof/>
          <w:sz w:val="24"/>
          <w:szCs w:val="24"/>
        </w:rPr>
        <w:t>.</w:t>
      </w:r>
      <w:r w:rsidR="4E1FF831" w:rsidRPr="00E76013">
        <w:rPr>
          <w:rFonts w:ascii="Times New Roman" w:eastAsia="Times New Roman" w:hAnsi="Times New Roman" w:cs="Times New Roman"/>
          <w:noProof/>
          <w:sz w:val="24"/>
          <w:szCs w:val="24"/>
        </w:rPr>
        <w:t xml:space="preserve"> Bulgaria scores only 59% in overall broadband take-up of households subscribing, which is below the EU average of 77% and is significantly below the EU average as regards the take-up of high-speed fixed broadband of at least 100 Mbps (15%, against an EU average of 34%). While there has been some increase in the very high capacity network (VHCN) coverage in recent years, Bulgaria (43%) still has a significant gap to overcome to reach the EU average (59%), while VHCN coverage in rural areas is only 1%. 5G coverage it is at 0% compared to 14% EU average.</w:t>
      </w:r>
      <w:r w:rsidR="55AFBC03" w:rsidRPr="00E76013">
        <w:rPr>
          <w:rFonts w:ascii="Times New Roman" w:eastAsia="Times New Roman" w:hAnsi="Times New Roman" w:cs="Times New Roman"/>
          <w:noProof/>
          <w:sz w:val="24"/>
          <w:szCs w:val="24"/>
        </w:rPr>
        <w:t xml:space="preserve"> Take-up of mobile broadband is still low at 63</w:t>
      </w:r>
      <w:r w:rsidR="0C2156B5" w:rsidRPr="00E76013">
        <w:rPr>
          <w:rFonts w:ascii="Times New Roman" w:eastAsia="Times New Roman" w:hAnsi="Times New Roman" w:cs="Times New Roman"/>
          <w:noProof/>
          <w:sz w:val="24"/>
          <w:szCs w:val="24"/>
        </w:rPr>
        <w:t xml:space="preserve">%, compared to an </w:t>
      </w:r>
      <w:r w:rsidR="55AFBC03" w:rsidRPr="00E76013">
        <w:rPr>
          <w:rFonts w:ascii="Times New Roman" w:eastAsia="Times New Roman" w:hAnsi="Times New Roman" w:cs="Times New Roman"/>
          <w:noProof/>
          <w:sz w:val="24"/>
          <w:szCs w:val="24"/>
        </w:rPr>
        <w:t>EU average</w:t>
      </w:r>
      <w:r w:rsidR="0C2156B5" w:rsidRPr="00E76013">
        <w:rPr>
          <w:rFonts w:ascii="Times New Roman" w:eastAsia="Times New Roman" w:hAnsi="Times New Roman" w:cs="Times New Roman"/>
          <w:noProof/>
          <w:sz w:val="24"/>
          <w:szCs w:val="24"/>
        </w:rPr>
        <w:t xml:space="preserve"> of</w:t>
      </w:r>
      <w:r w:rsidR="55AFBC03" w:rsidRPr="00E76013">
        <w:rPr>
          <w:rFonts w:ascii="Times New Roman" w:eastAsia="Times New Roman" w:hAnsi="Times New Roman" w:cs="Times New Roman"/>
          <w:noProof/>
          <w:sz w:val="24"/>
          <w:szCs w:val="24"/>
        </w:rPr>
        <w:t xml:space="preserve"> 71%.</w:t>
      </w:r>
      <w:r w:rsidR="4E1FF831" w:rsidRPr="00E76013">
        <w:rPr>
          <w:rFonts w:ascii="Times New Roman" w:eastAsia="Times New Roman" w:hAnsi="Times New Roman" w:cs="Times New Roman"/>
          <w:noProof/>
          <w:sz w:val="24"/>
          <w:szCs w:val="24"/>
        </w:rPr>
        <w:t xml:space="preserve"> As regards 5G readiness, Bulgaria has made significant progress with the completion of 5G auctions in some bands (20.55% compared to the EU average of 39%), although there is still </w:t>
      </w:r>
      <w:r w:rsidR="0048586B">
        <w:rPr>
          <w:rFonts w:ascii="Times New Roman" w:eastAsia="Times New Roman" w:hAnsi="Times New Roman" w:cs="Times New Roman"/>
          <w:noProof/>
          <w:sz w:val="24"/>
          <w:szCs w:val="24"/>
        </w:rPr>
        <w:t>a</w:t>
      </w:r>
      <w:r w:rsidR="4E1FF831" w:rsidRPr="00E76013">
        <w:rPr>
          <w:rFonts w:ascii="Times New Roman" w:eastAsia="Times New Roman" w:hAnsi="Times New Roman" w:cs="Times New Roman"/>
          <w:noProof/>
          <w:sz w:val="24"/>
          <w:szCs w:val="24"/>
        </w:rPr>
        <w:t xml:space="preserve"> lack of sufficient spectrum in certain bands. Other 5G pioneer bands should be assigned on a timely basis, under conditions conducive to investment.</w:t>
      </w:r>
    </w:p>
    <w:p w14:paraId="3FC755BE" w14:textId="623D0C84" w:rsidR="00690AD5" w:rsidRPr="00E76013" w:rsidRDefault="36966729" w:rsidP="006855E0">
      <w:pPr>
        <w:spacing w:line="276" w:lineRule="auto"/>
        <w:jc w:val="both"/>
        <w:rPr>
          <w:rFonts w:ascii="Times New Roman" w:hAnsi="Times New Roman" w:cs="Times New Roman"/>
          <w:noProof/>
        </w:rPr>
      </w:pPr>
      <w:r w:rsidRPr="00E76013">
        <w:rPr>
          <w:rFonts w:ascii="Times New Roman" w:eastAsia="Times New Roman" w:hAnsi="Times New Roman" w:cs="Times New Roman"/>
          <w:b/>
          <w:bCs/>
          <w:noProof/>
          <w:sz w:val="24"/>
          <w:szCs w:val="24"/>
        </w:rPr>
        <w:t>Bulgaria ranks 2</w:t>
      </w:r>
      <w:r w:rsidR="4ACE9D41" w:rsidRPr="00E76013">
        <w:rPr>
          <w:rFonts w:ascii="Times New Roman" w:eastAsia="Times New Roman" w:hAnsi="Times New Roman" w:cs="Times New Roman"/>
          <w:b/>
          <w:bCs/>
          <w:noProof/>
          <w:sz w:val="24"/>
          <w:szCs w:val="24"/>
        </w:rPr>
        <w:t>1</w:t>
      </w:r>
      <w:r w:rsidR="4ACE9D41" w:rsidRPr="00E76013">
        <w:rPr>
          <w:rFonts w:ascii="Times New Roman" w:eastAsia="Times New Roman" w:hAnsi="Times New Roman" w:cs="Times New Roman"/>
          <w:b/>
          <w:bCs/>
          <w:noProof/>
          <w:sz w:val="24"/>
          <w:szCs w:val="24"/>
          <w:vertAlign w:val="superscript"/>
        </w:rPr>
        <w:t>st</w:t>
      </w:r>
      <w:r w:rsidR="4ACE9D41" w:rsidRPr="00E76013">
        <w:rPr>
          <w:rFonts w:ascii="Times New Roman" w:eastAsia="Times New Roman" w:hAnsi="Times New Roman" w:cs="Times New Roman"/>
          <w:b/>
          <w:bCs/>
          <w:noProof/>
          <w:sz w:val="24"/>
          <w:szCs w:val="24"/>
        </w:rPr>
        <w:t xml:space="preserve"> </w:t>
      </w:r>
      <w:r w:rsidRPr="00E76013">
        <w:rPr>
          <w:rFonts w:ascii="Times New Roman" w:eastAsia="Times New Roman" w:hAnsi="Times New Roman" w:cs="Times New Roman"/>
          <w:b/>
          <w:bCs/>
          <w:noProof/>
          <w:sz w:val="24"/>
          <w:szCs w:val="24"/>
        </w:rPr>
        <w:t xml:space="preserve">in the EU in </w:t>
      </w:r>
      <w:r w:rsidR="00432D8A" w:rsidRPr="00E76013">
        <w:rPr>
          <w:rFonts w:ascii="Times New Roman" w:eastAsia="Times New Roman" w:hAnsi="Times New Roman" w:cs="Times New Roman"/>
          <w:b/>
          <w:bCs/>
          <w:noProof/>
          <w:sz w:val="24"/>
          <w:szCs w:val="24"/>
        </w:rPr>
        <w:t xml:space="preserve">digital </w:t>
      </w:r>
      <w:r w:rsidRPr="00E76013">
        <w:rPr>
          <w:rFonts w:ascii="Times New Roman" w:eastAsia="Times New Roman" w:hAnsi="Times New Roman" w:cs="Times New Roman"/>
          <w:b/>
          <w:bCs/>
          <w:noProof/>
          <w:sz w:val="24"/>
          <w:szCs w:val="24"/>
        </w:rPr>
        <w:t>public services</w:t>
      </w:r>
      <w:r w:rsidRPr="00E76013">
        <w:rPr>
          <w:rFonts w:ascii="Times New Roman" w:eastAsia="Times New Roman" w:hAnsi="Times New Roman" w:cs="Times New Roman"/>
          <w:noProof/>
          <w:sz w:val="24"/>
          <w:szCs w:val="24"/>
        </w:rPr>
        <w:t xml:space="preserve">. </w:t>
      </w:r>
      <w:r w:rsidR="00591207">
        <w:rPr>
          <w:rFonts w:ascii="Times New Roman" w:eastAsia="Times New Roman" w:hAnsi="Times New Roman" w:cs="Times New Roman"/>
          <w:noProof/>
          <w:sz w:val="24"/>
          <w:szCs w:val="24"/>
        </w:rPr>
        <w:t>Concerning</w:t>
      </w:r>
      <w:r w:rsidR="00B11650" w:rsidRPr="00E76013">
        <w:rPr>
          <w:rFonts w:ascii="Times New Roman" w:eastAsia="Times New Roman" w:hAnsi="Times New Roman" w:cs="Times New Roman"/>
          <w:noProof/>
          <w:sz w:val="24"/>
          <w:szCs w:val="24"/>
        </w:rPr>
        <w:t xml:space="preserve"> </w:t>
      </w:r>
      <w:r w:rsidR="00432D8A" w:rsidRPr="00E76013">
        <w:rPr>
          <w:rFonts w:ascii="Times New Roman" w:eastAsia="Times New Roman" w:hAnsi="Times New Roman" w:cs="Times New Roman"/>
          <w:noProof/>
          <w:sz w:val="24"/>
          <w:szCs w:val="24"/>
        </w:rPr>
        <w:t xml:space="preserve">digital </w:t>
      </w:r>
      <w:r w:rsidR="00B11650" w:rsidRPr="00E76013">
        <w:rPr>
          <w:rFonts w:ascii="Times New Roman" w:eastAsia="Times New Roman" w:hAnsi="Times New Roman" w:cs="Times New Roman"/>
          <w:noProof/>
          <w:sz w:val="24"/>
          <w:szCs w:val="24"/>
        </w:rPr>
        <w:t xml:space="preserve">public administration, the outdated legal framework remains a major obstacle. </w:t>
      </w:r>
      <w:r w:rsidRPr="00E76013">
        <w:rPr>
          <w:rFonts w:ascii="Times New Roman" w:eastAsia="Times New Roman" w:hAnsi="Times New Roman" w:cs="Times New Roman"/>
          <w:noProof/>
          <w:sz w:val="24"/>
          <w:szCs w:val="24"/>
        </w:rPr>
        <w:t>E-government users represent only 36% of internet users, well below the EU average of 64%. This is consistent with the score of 57 on the provision of digital public services for citizens, for which the EU average is 75. In contrast, digital public services for businesses have a score of 87, slightly above the EU average of 84. Bulgaria performs at the EU average level on open data.</w:t>
      </w:r>
      <w:r w:rsidR="00B11650" w:rsidRPr="00E76013">
        <w:rPr>
          <w:rFonts w:ascii="Times New Roman" w:hAnsi="Times New Roman" w:cs="Times New Roman"/>
          <w:noProof/>
        </w:rPr>
        <w:t xml:space="preserve"> </w:t>
      </w:r>
    </w:p>
    <w:p w14:paraId="1DDCAD08" w14:textId="0564BB07" w:rsidR="54F2073E" w:rsidRPr="00E76013" w:rsidRDefault="00B11650" w:rsidP="006855E0">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 xml:space="preserve">However, digital public services for enterprises and the use of open data by public administrations are </w:t>
      </w:r>
      <w:r w:rsidR="00591207">
        <w:rPr>
          <w:rFonts w:ascii="Times New Roman" w:eastAsia="Times New Roman" w:hAnsi="Times New Roman" w:cs="Times New Roman"/>
          <w:b/>
          <w:noProof/>
          <w:sz w:val="24"/>
          <w:szCs w:val="24"/>
        </w:rPr>
        <w:t>slightly</w:t>
      </w:r>
      <w:r w:rsidR="00591207" w:rsidRPr="00E76013">
        <w:rPr>
          <w:rFonts w:ascii="Times New Roman" w:eastAsia="Times New Roman" w:hAnsi="Times New Roman" w:cs="Times New Roman"/>
          <w:b/>
          <w:noProof/>
          <w:sz w:val="24"/>
          <w:szCs w:val="24"/>
        </w:rPr>
        <w:t xml:space="preserve"> </w:t>
      </w:r>
      <w:r w:rsidRPr="00E76013">
        <w:rPr>
          <w:rFonts w:ascii="Times New Roman" w:eastAsia="Times New Roman" w:hAnsi="Times New Roman" w:cs="Times New Roman"/>
          <w:b/>
          <w:noProof/>
          <w:sz w:val="24"/>
          <w:szCs w:val="24"/>
        </w:rPr>
        <w:t>above the EU average.</w:t>
      </w:r>
      <w:r w:rsidRPr="00E76013">
        <w:rPr>
          <w:rFonts w:ascii="Times New Roman" w:eastAsia="Times New Roman" w:hAnsi="Times New Roman" w:cs="Times New Roman"/>
          <w:noProof/>
          <w:sz w:val="24"/>
          <w:szCs w:val="24"/>
        </w:rPr>
        <w:t xml:space="preserve"> A national strategy in this domain and the activity of the national state e-government agency have delivered promising improvements. Several actions have been taken to engage with people to encourage take-up of e-government services (supported by EU funds). Electronic identification and electronic signatures are still facing delays, although there are other means of identification in place. Systems to support e health solutions were prioritised to support health administration processes and the COVID-19 vaccination campaign.</w:t>
      </w:r>
    </w:p>
    <w:p w14:paraId="48195126" w14:textId="531E9240" w:rsidR="54F2073E" w:rsidRPr="00E76013" w:rsidRDefault="54F2073E" w:rsidP="006855E0">
      <w:pPr>
        <w:spacing w:line="276" w:lineRule="auto"/>
        <w:jc w:val="both"/>
        <w:rPr>
          <w:rFonts w:ascii="Times New Roman" w:hAnsi="Times New Roman" w:cs="Times New Roman"/>
          <w:noProof/>
        </w:rPr>
      </w:pPr>
      <w:r w:rsidRPr="00E76013">
        <w:rPr>
          <w:rFonts w:ascii="Times New Roman" w:eastAsia="Times New Roman" w:hAnsi="Times New Roman" w:cs="Times New Roman"/>
          <w:b/>
          <w:bCs/>
          <w:noProof/>
          <w:sz w:val="24"/>
          <w:szCs w:val="24"/>
        </w:rPr>
        <w:t>On digital skills, Bulgaria ranks last in the 27 EU countries</w:t>
      </w:r>
      <w:r w:rsidR="00B11650" w:rsidRPr="00E76013">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noProof/>
          <w:sz w:val="24"/>
          <w:szCs w:val="24"/>
        </w:rPr>
        <w:t>The overall level of basic digital skills in Bulgaria is the lowest in the EU; people with at least basic digital skills account for 29% of the total Bulgarian population aged 16 to 74, against an EU average of 56%. Only 11% of people have above basic skills, slightly less than a third of the EU average. Furthermore, most businesses report difficulties filling vacancies for ICT specialists. ICT specialists account for 3.3% of total employment. This marks an increase compared to 2019, bringing it back to the levels of 2018, albeit a small one in proportion to the workforce given the labour market shortages and the faster increase of the EU average (which now stands at 4.3%). In contrast, women account for 28% of all ICT specialists, making Bulgaria a leader for this indicator within the EU.</w:t>
      </w:r>
    </w:p>
    <w:p w14:paraId="0CC2DCD3" w14:textId="437951BF" w:rsidR="5F456DA5" w:rsidRPr="00E76013" w:rsidRDefault="5F456DA5" w:rsidP="006855E0">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Overall, basic digital skills remain a significant challenge among the population</w:t>
      </w:r>
      <w:r w:rsidRPr="00E76013">
        <w:rPr>
          <w:rFonts w:ascii="Times New Roman" w:eastAsia="Times New Roman" w:hAnsi="Times New Roman" w:cs="Times New Roman"/>
          <w:noProof/>
          <w:sz w:val="24"/>
          <w:szCs w:val="24"/>
        </w:rPr>
        <w:t xml:space="preserve">. Enterprises still have difficulties in matching the skills they need to the available competences and skills of the workforce. Increasing the number of Bulgarian ICT specialists and reskilling the labour force are </w:t>
      </w:r>
      <w:r w:rsidR="0048586B">
        <w:rPr>
          <w:rFonts w:ascii="Times New Roman" w:eastAsia="Times New Roman" w:hAnsi="Times New Roman" w:cs="Times New Roman"/>
          <w:noProof/>
          <w:sz w:val="24"/>
          <w:szCs w:val="24"/>
        </w:rPr>
        <w:t xml:space="preserve">both </w:t>
      </w:r>
      <w:r w:rsidRPr="00E76013">
        <w:rPr>
          <w:rFonts w:ascii="Times New Roman" w:eastAsia="Times New Roman" w:hAnsi="Times New Roman" w:cs="Times New Roman"/>
          <w:noProof/>
          <w:sz w:val="24"/>
          <w:szCs w:val="24"/>
        </w:rPr>
        <w:t xml:space="preserve">of great importance for Bulgaria </w:t>
      </w:r>
      <w:r w:rsidR="0048586B">
        <w:rPr>
          <w:rFonts w:ascii="Times New Roman" w:eastAsia="Times New Roman" w:hAnsi="Times New Roman" w:cs="Times New Roman"/>
          <w:noProof/>
          <w:sz w:val="24"/>
          <w:szCs w:val="24"/>
        </w:rPr>
        <w:t>if it is</w:t>
      </w:r>
      <w:r w:rsidRPr="00E76013">
        <w:rPr>
          <w:rFonts w:ascii="Times New Roman" w:eastAsia="Times New Roman" w:hAnsi="Times New Roman" w:cs="Times New Roman"/>
          <w:noProof/>
          <w:sz w:val="24"/>
          <w:szCs w:val="24"/>
        </w:rPr>
        <w:t xml:space="preserve"> to</w:t>
      </w:r>
      <w:r w:rsidR="0048586B">
        <w:rPr>
          <w:rFonts w:ascii="Times New Roman" w:eastAsia="Times New Roman" w:hAnsi="Times New Roman" w:cs="Times New Roman"/>
          <w:noProof/>
          <w:sz w:val="24"/>
          <w:szCs w:val="24"/>
        </w:rPr>
        <w:t xml:space="preserve"> fully</w:t>
      </w:r>
      <w:r w:rsidRPr="00E76013">
        <w:rPr>
          <w:rFonts w:ascii="Times New Roman" w:eastAsia="Times New Roman" w:hAnsi="Times New Roman" w:cs="Times New Roman"/>
          <w:noProof/>
          <w:sz w:val="24"/>
          <w:szCs w:val="24"/>
        </w:rPr>
        <w:t xml:space="preserve"> take advantage of the digital transition.</w:t>
      </w:r>
    </w:p>
    <w:p w14:paraId="2226F393" w14:textId="1E1A1139" w:rsidR="00C863E2" w:rsidRDefault="54F2073E" w:rsidP="00C863E2">
      <w:pPr>
        <w:spacing w:line="276" w:lineRule="auto"/>
        <w:jc w:val="both"/>
        <w:rPr>
          <w:rFonts w:ascii="Times New Roman" w:eastAsia="Times New Roman" w:hAnsi="Times New Roman" w:cs="Times New Roman"/>
          <w:noProof/>
          <w:sz w:val="24"/>
          <w:szCs w:val="24"/>
        </w:rPr>
      </w:pPr>
      <w:r w:rsidRPr="761004F4">
        <w:rPr>
          <w:rFonts w:ascii="Times New Roman" w:eastAsia="Times New Roman" w:hAnsi="Times New Roman" w:cs="Times New Roman"/>
          <w:b/>
          <w:bCs/>
          <w:noProof/>
          <w:sz w:val="24"/>
          <w:szCs w:val="24"/>
        </w:rPr>
        <w:t xml:space="preserve">Bulgaria’s performance regarding </w:t>
      </w:r>
      <w:r w:rsidR="4000D412" w:rsidRPr="761004F4">
        <w:rPr>
          <w:rFonts w:ascii="Times New Roman" w:eastAsia="Times New Roman" w:hAnsi="Times New Roman" w:cs="Times New Roman"/>
          <w:b/>
          <w:bCs/>
          <w:noProof/>
          <w:sz w:val="24"/>
          <w:szCs w:val="24"/>
        </w:rPr>
        <w:t>the</w:t>
      </w:r>
      <w:r w:rsidR="4000D412" w:rsidRPr="00E76013">
        <w:rPr>
          <w:rFonts w:ascii="Times New Roman" w:eastAsia="Times New Roman" w:hAnsi="Times New Roman" w:cs="Times New Roman"/>
          <w:b/>
          <w:bCs/>
          <w:noProof/>
          <w:sz w:val="24"/>
          <w:szCs w:val="24"/>
        </w:rPr>
        <w:t xml:space="preserve"> integration of digital technology in enterprises</w:t>
      </w:r>
      <w:r w:rsidR="4000D412" w:rsidRPr="761004F4">
        <w:rPr>
          <w:rFonts w:ascii="Times New Roman" w:eastAsia="Times New Roman" w:hAnsi="Times New Roman" w:cs="Times New Roman"/>
          <w:b/>
          <w:bCs/>
          <w:noProof/>
          <w:sz w:val="24"/>
          <w:szCs w:val="24"/>
        </w:rPr>
        <w:t xml:space="preserve"> is mixed</w:t>
      </w:r>
      <w:r w:rsidR="002A0BDC">
        <w:rPr>
          <w:rFonts w:ascii="Times New Roman" w:eastAsia="Times New Roman" w:hAnsi="Times New Roman" w:cs="Times New Roman"/>
          <w:b/>
          <w:bCs/>
          <w:noProof/>
          <w:sz w:val="24"/>
          <w:szCs w:val="24"/>
        </w:rPr>
        <w:t xml:space="preserve"> </w:t>
      </w:r>
      <w:r w:rsidR="4000D412" w:rsidRPr="761004F4">
        <w:rPr>
          <w:rFonts w:ascii="Times New Roman" w:eastAsia="Times New Roman" w:hAnsi="Times New Roman" w:cs="Times New Roman"/>
          <w:b/>
          <w:bCs/>
          <w:noProof/>
          <w:sz w:val="24"/>
          <w:szCs w:val="24"/>
        </w:rPr>
        <w:t>and</w:t>
      </w:r>
      <w:r w:rsidR="4000D412" w:rsidRPr="00E76013">
        <w:rPr>
          <w:rFonts w:ascii="Times New Roman" w:eastAsia="Times New Roman" w:hAnsi="Times New Roman" w:cs="Times New Roman"/>
          <w:b/>
          <w:bCs/>
          <w:noProof/>
          <w:sz w:val="24"/>
          <w:szCs w:val="24"/>
        </w:rPr>
        <w:t xml:space="preserve"> it </w:t>
      </w:r>
      <w:r w:rsidRPr="00E76013">
        <w:rPr>
          <w:rFonts w:ascii="Times New Roman" w:eastAsia="Times New Roman" w:hAnsi="Times New Roman" w:cs="Times New Roman"/>
          <w:b/>
          <w:bCs/>
          <w:noProof/>
          <w:sz w:val="24"/>
          <w:szCs w:val="24"/>
        </w:rPr>
        <w:t>ranks last among EU countries</w:t>
      </w:r>
      <w:r w:rsidRPr="00E76013">
        <w:rPr>
          <w:rFonts w:ascii="Times New Roman" w:eastAsia="Times New Roman" w:hAnsi="Times New Roman" w:cs="Times New Roman"/>
          <w:noProof/>
          <w:sz w:val="24"/>
          <w:szCs w:val="24"/>
        </w:rPr>
        <w:t>.</w:t>
      </w:r>
      <w:r w:rsidRPr="00E76013">
        <w:rPr>
          <w:rFonts w:ascii="Times New Roman" w:eastAsia="Calibri" w:hAnsi="Times New Roman" w:cs="Times New Roman"/>
          <w:noProof/>
        </w:rPr>
        <w:t xml:space="preserve"> </w:t>
      </w:r>
      <w:r w:rsidR="5722CCCE" w:rsidRPr="00E76013">
        <w:rPr>
          <w:rFonts w:ascii="Times New Roman" w:eastAsia="Times New Roman" w:hAnsi="Times New Roman" w:cs="Times New Roman"/>
          <w:noProof/>
          <w:sz w:val="24"/>
          <w:szCs w:val="24"/>
        </w:rPr>
        <w:t>There is</w:t>
      </w:r>
      <w:r w:rsidR="0048586B">
        <w:rPr>
          <w:rFonts w:ascii="Times New Roman" w:eastAsia="Times New Roman" w:hAnsi="Times New Roman" w:cs="Times New Roman"/>
          <w:noProof/>
          <w:sz w:val="24"/>
          <w:szCs w:val="24"/>
        </w:rPr>
        <w:t xml:space="preserve"> a</w:t>
      </w:r>
      <w:r w:rsidR="5722CCCE" w:rsidRPr="00E76013">
        <w:rPr>
          <w:rFonts w:ascii="Times New Roman" w:eastAsia="Times New Roman" w:hAnsi="Times New Roman" w:cs="Times New Roman"/>
          <w:noProof/>
          <w:sz w:val="24"/>
          <w:szCs w:val="24"/>
        </w:rPr>
        <w:t xml:space="preserve"> relatively high uptake of artificial intelligence, used by 31% of enterprises, which is well above the 25% EU average. At the same time, o</w:t>
      </w:r>
      <w:r w:rsidRPr="00E76013">
        <w:rPr>
          <w:rFonts w:ascii="Times New Roman" w:eastAsia="Times New Roman" w:hAnsi="Times New Roman" w:cs="Times New Roman"/>
          <w:noProof/>
          <w:sz w:val="24"/>
          <w:szCs w:val="24"/>
        </w:rPr>
        <w:t>nly 33% of SMEs have at least a basic level of digital intensity (while 60% do so in the EU on average). Only 8% of Bulgarian SMEs sell online (below the EU average of 17 %), only 3% of SMEs are selling across borders (versus 8% in the EU) and only 3% of turnover comes from the online segment (against 12% in the EU). 6% of enterprises use big data</w:t>
      </w:r>
      <w:r w:rsidR="60315FB5" w:rsidRPr="00E76013">
        <w:rPr>
          <w:rFonts w:ascii="Times New Roman" w:eastAsia="Times New Roman" w:hAnsi="Times New Roman" w:cs="Times New Roman"/>
          <w:noProof/>
          <w:sz w:val="24"/>
          <w:szCs w:val="24"/>
        </w:rPr>
        <w:t xml:space="preserve"> compared to 14% on average in the EU.</w:t>
      </w:r>
      <w:r w:rsidR="0048586B">
        <w:rPr>
          <w:rFonts w:ascii="Times New Roman" w:eastAsia="Times New Roman" w:hAnsi="Times New Roman" w:cs="Times New Roman"/>
          <w:noProof/>
          <w:sz w:val="24"/>
          <w:szCs w:val="24"/>
        </w:rPr>
        <w:t xml:space="preserve"> </w:t>
      </w:r>
      <w:r w:rsidR="007879E1" w:rsidRPr="00E76013">
        <w:rPr>
          <w:rFonts w:ascii="Times New Roman" w:eastAsia="Times New Roman" w:hAnsi="Times New Roman" w:cs="Times New Roman"/>
          <w:noProof/>
          <w:sz w:val="24"/>
          <w:szCs w:val="24"/>
        </w:rPr>
        <w:t xml:space="preserve">Bulgaria launched several successful initiatives in several pioneering technologies, e.g. high-performance computing, quantum communication research and development. However, </w:t>
      </w:r>
      <w:r w:rsidR="0048586B">
        <w:rPr>
          <w:rFonts w:ascii="Times New Roman" w:eastAsia="Times New Roman" w:hAnsi="Times New Roman" w:cs="Times New Roman"/>
          <w:noProof/>
          <w:sz w:val="24"/>
          <w:szCs w:val="24"/>
        </w:rPr>
        <w:t xml:space="preserve">the </w:t>
      </w:r>
      <w:r w:rsidR="007879E1" w:rsidRPr="00E76013">
        <w:rPr>
          <w:rFonts w:ascii="Times New Roman" w:eastAsia="Times New Roman" w:hAnsi="Times New Roman" w:cs="Times New Roman"/>
          <w:noProof/>
          <w:sz w:val="24"/>
          <w:szCs w:val="24"/>
        </w:rPr>
        <w:t xml:space="preserve">integration of digital technologies is uneven across regions, and small enterprises show a significant delay in </w:t>
      </w:r>
      <w:r w:rsidR="0048586B">
        <w:rPr>
          <w:rFonts w:ascii="Times New Roman" w:eastAsia="Times New Roman" w:hAnsi="Times New Roman" w:cs="Times New Roman"/>
          <w:noProof/>
          <w:sz w:val="24"/>
          <w:szCs w:val="24"/>
        </w:rPr>
        <w:t>this respect</w:t>
      </w:r>
      <w:r w:rsidR="007879E1" w:rsidRPr="00E76013">
        <w:rPr>
          <w:rFonts w:ascii="Times New Roman" w:eastAsia="Times New Roman" w:hAnsi="Times New Roman" w:cs="Times New Roman"/>
          <w:noProof/>
          <w:sz w:val="24"/>
          <w:szCs w:val="24"/>
        </w:rPr>
        <w:t>. Policies for the digitalisation of enterprises that support regional balance and all SMEs are crucial and should be further pursued.</w:t>
      </w:r>
    </w:p>
    <w:p w14:paraId="69137166" w14:textId="53076ED9" w:rsidR="008064AF" w:rsidRDefault="008064AF" w:rsidP="00C863E2">
      <w:pPr>
        <w:spacing w:line="276" w:lineRule="auto"/>
        <w:jc w:val="both"/>
        <w:rPr>
          <w:rFonts w:ascii="Times New Roman" w:eastAsia="Times New Roman" w:hAnsi="Times New Roman" w:cs="Times New Roman"/>
          <w:noProof/>
          <w:sz w:val="24"/>
          <w:szCs w:val="24"/>
        </w:rPr>
      </w:pPr>
    </w:p>
    <w:p w14:paraId="5F346EE5" w14:textId="77777777" w:rsidR="008064AF" w:rsidRDefault="008064AF" w:rsidP="00C863E2">
      <w:pPr>
        <w:spacing w:line="276" w:lineRule="auto"/>
        <w:jc w:val="both"/>
        <w:rPr>
          <w:rFonts w:ascii="Times New Roman" w:eastAsia="Times New Roman" w:hAnsi="Times New Roman" w:cs="Times New Roman"/>
          <w:noProof/>
          <w:sz w:val="24"/>
          <w:szCs w:val="24"/>
        </w:rPr>
      </w:pPr>
    </w:p>
    <w:p w14:paraId="63A7318A" w14:textId="77777777" w:rsidR="00C863E2" w:rsidRPr="003873AD" w:rsidRDefault="00C84127" w:rsidP="002A0BDC">
      <w:pPr>
        <w:spacing w:after="200" w:line="240" w:lineRule="auto"/>
        <w:jc w:val="both"/>
        <w:rPr>
          <w:b/>
          <w:noProof/>
          <w:sz w:val="18"/>
          <w:szCs w:val="20"/>
        </w:rPr>
      </w:pPr>
      <w:r w:rsidRPr="003873AD">
        <w:rPr>
          <w:rFonts w:ascii="Times New Roman" w:eastAsia="Times New Roman" w:hAnsi="Times New Roman" w:cs="Times New Roman"/>
          <w:b/>
          <w:noProof/>
          <w:sz w:val="20"/>
        </w:rPr>
        <w:t xml:space="preserve">Chart </w:t>
      </w:r>
      <w:r w:rsidRPr="003873AD">
        <w:rPr>
          <w:b/>
          <w:noProof/>
          <w:sz w:val="18"/>
          <w:szCs w:val="20"/>
        </w:rPr>
        <w:fldChar w:fldCharType="begin"/>
      </w:r>
      <w:r w:rsidRPr="003873AD">
        <w:rPr>
          <w:b/>
          <w:noProof/>
          <w:sz w:val="18"/>
          <w:szCs w:val="20"/>
        </w:rPr>
        <w:instrText xml:space="preserve"> SEQ Chart \* ARABIC </w:instrText>
      </w:r>
      <w:r w:rsidRPr="003873AD">
        <w:rPr>
          <w:b/>
          <w:noProof/>
          <w:sz w:val="18"/>
          <w:szCs w:val="20"/>
        </w:rPr>
        <w:fldChar w:fldCharType="separate"/>
      </w:r>
      <w:r w:rsidRPr="003873AD">
        <w:rPr>
          <w:b/>
          <w:noProof/>
          <w:sz w:val="18"/>
          <w:szCs w:val="20"/>
        </w:rPr>
        <w:t>2</w:t>
      </w:r>
      <w:r w:rsidRPr="003873AD">
        <w:rPr>
          <w:b/>
          <w:noProof/>
          <w:sz w:val="18"/>
          <w:szCs w:val="20"/>
        </w:rPr>
        <w:fldChar w:fldCharType="end"/>
      </w:r>
      <w:r w:rsidRPr="003873AD">
        <w:rPr>
          <w:rFonts w:ascii="Times New Roman" w:eastAsia="Times New Roman" w:hAnsi="Times New Roman" w:cs="Times New Roman"/>
          <w:b/>
          <w:noProof/>
          <w:sz w:val="20"/>
        </w:rPr>
        <w:t>: DESI 2021 ranking</w:t>
      </w:r>
    </w:p>
    <w:p w14:paraId="3EB61E69" w14:textId="34BFCEE1" w:rsidR="00690AD5" w:rsidRPr="00C863E2" w:rsidRDefault="00716F81" w:rsidP="00C863E2">
      <w:pPr>
        <w:spacing w:line="276" w:lineRule="auto"/>
        <w:jc w:val="both"/>
        <w:rPr>
          <w:rFonts w:ascii="Times New Roman" w:eastAsia="Times New Roman" w:hAnsi="Times New Roman" w:cs="Times New Roman"/>
          <w:noProof/>
          <w:sz w:val="24"/>
          <w:szCs w:val="24"/>
        </w:rPr>
      </w:pPr>
      <w:r w:rsidRPr="00E76013">
        <w:rPr>
          <w:rFonts w:ascii="Times New Roman" w:hAnsi="Times New Roman" w:cs="Times New Roman"/>
          <w:noProof/>
          <w:color w:val="2B579A"/>
          <w:shd w:val="clear" w:color="auto" w:fill="E6E6E6"/>
          <w:lang w:val="en-GB" w:eastAsia="en-GB"/>
        </w:rPr>
        <w:drawing>
          <wp:inline distT="0" distB="0" distL="0" distR="0" wp14:anchorId="7E1B4E11" wp14:editId="2B8F5E8E">
            <wp:extent cx="5257800" cy="216090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8253" cy="2161091"/>
                    </a:xfrm>
                    <a:prstGeom prst="rect">
                      <a:avLst/>
                    </a:prstGeom>
                    <a:noFill/>
                  </pic:spPr>
                </pic:pic>
              </a:graphicData>
            </a:graphic>
          </wp:inline>
        </w:drawing>
      </w:r>
      <w:bookmarkStart w:id="138" w:name="_Toc58583490"/>
      <w:bookmarkStart w:id="139" w:name="_Toc58589715"/>
    </w:p>
    <w:p w14:paraId="0E335739" w14:textId="77777777" w:rsidR="000733F2" w:rsidRDefault="000733F2" w:rsidP="002A0BDC">
      <w:pPr>
        <w:rPr>
          <w:rFonts w:ascii="Times New Roman" w:hAnsi="Times New Roman" w:cs="Times New Roman"/>
          <w:b/>
          <w:noProof/>
          <w:sz w:val="24"/>
          <w:szCs w:val="24"/>
          <w:lang w:val="en-GB" w:eastAsia="en-GB"/>
        </w:rPr>
      </w:pPr>
    </w:p>
    <w:p w14:paraId="2F40503F" w14:textId="77777777" w:rsidR="000733F2" w:rsidRDefault="000733F2" w:rsidP="002A0BDC">
      <w:pPr>
        <w:rPr>
          <w:rFonts w:ascii="Times New Roman" w:hAnsi="Times New Roman" w:cs="Times New Roman"/>
          <w:b/>
          <w:noProof/>
          <w:sz w:val="24"/>
          <w:szCs w:val="24"/>
          <w:lang w:val="en-GB" w:eastAsia="en-GB"/>
        </w:rPr>
      </w:pPr>
    </w:p>
    <w:p w14:paraId="452EC4E3" w14:textId="7164488D" w:rsidR="00E80D8D" w:rsidRPr="00E76013" w:rsidRDefault="00E80D8D" w:rsidP="002A0BDC">
      <w:pPr>
        <w:rPr>
          <w:rFonts w:ascii="Times New Roman" w:hAnsi="Times New Roman" w:cs="Times New Roman"/>
          <w:b/>
          <w:noProof/>
          <w:sz w:val="24"/>
          <w:szCs w:val="24"/>
          <w:lang w:val="en-GB" w:eastAsia="en-GB"/>
        </w:rPr>
      </w:pPr>
      <w:r w:rsidRPr="00E76013">
        <w:rPr>
          <w:rFonts w:ascii="Times New Roman" w:hAnsi="Times New Roman" w:cs="Times New Roman"/>
          <w:b/>
          <w:noProof/>
          <w:sz w:val="24"/>
          <w:szCs w:val="24"/>
          <w:lang w:val="en-GB" w:eastAsia="en-GB"/>
        </w:rPr>
        <w:t>Box</w:t>
      </w:r>
      <w:r w:rsidR="007314B3" w:rsidRPr="00E76013">
        <w:rPr>
          <w:rFonts w:ascii="Times New Roman" w:hAnsi="Times New Roman" w:cs="Times New Roman"/>
          <w:b/>
          <w:noProof/>
          <w:sz w:val="24"/>
          <w:szCs w:val="24"/>
          <w:lang w:val="en-GB" w:eastAsia="en-GB"/>
        </w:rPr>
        <w:t xml:space="preserve"> 1</w:t>
      </w:r>
      <w:r w:rsidRPr="00E76013">
        <w:rPr>
          <w:rFonts w:ascii="Times New Roman" w:hAnsi="Times New Roman" w:cs="Times New Roman"/>
          <w:b/>
          <w:noProof/>
          <w:sz w:val="24"/>
          <w:szCs w:val="24"/>
          <w:lang w:val="en-GB" w:eastAsia="en-GB"/>
        </w:rPr>
        <w:t>: Progress towards the Sustainable Development Goals</w:t>
      </w:r>
      <w:bookmarkEnd w:id="138"/>
      <w:bookmarkEnd w:id="139"/>
    </w:p>
    <w:p w14:paraId="61E2C862" w14:textId="77777777" w:rsidR="008064AF" w:rsidRDefault="00E80D8D"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noProof/>
          <w:sz w:val="24"/>
          <w:szCs w:val="24"/>
          <w:lang w:val="en-GB"/>
        </w:rPr>
      </w:pPr>
      <w:r w:rsidRPr="002A0BDC">
        <w:rPr>
          <w:rFonts w:ascii="Times New Roman" w:hAnsi="Times New Roman" w:cs="Times New Roman"/>
          <w:i/>
          <w:noProof/>
          <w:sz w:val="24"/>
          <w:szCs w:val="24"/>
          <w:lang w:val="en-GB"/>
        </w:rPr>
        <w:t xml:space="preserve">Sustainable Development Goals and the four dimensions underpinning the </w:t>
      </w:r>
      <w:r w:rsidR="00FB2469" w:rsidRPr="002A0BDC">
        <w:rPr>
          <w:rFonts w:ascii="Times New Roman" w:hAnsi="Times New Roman" w:cs="Times New Roman"/>
          <w:i/>
          <w:noProof/>
          <w:sz w:val="24"/>
          <w:szCs w:val="24"/>
          <w:lang w:val="en-GB"/>
        </w:rPr>
        <w:t>Annual Sustainable Growth Strategy</w:t>
      </w:r>
    </w:p>
    <w:p w14:paraId="0456CDD3" w14:textId="289E745C" w:rsidR="006855E0" w:rsidRPr="00E76013" w:rsidRDefault="00E80D8D"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noProof/>
          <w:sz w:val="24"/>
          <w:szCs w:val="24"/>
          <w:lang w:val="en-GB"/>
        </w:rPr>
      </w:pPr>
      <w:r>
        <w:rPr>
          <w:noProof/>
          <w:lang w:val="en-GB" w:eastAsia="en-GB"/>
        </w:rPr>
        <w:drawing>
          <wp:inline distT="0" distB="0" distL="0" distR="0" wp14:anchorId="18245AA1" wp14:editId="6015F0D3">
            <wp:extent cx="5229225" cy="2971800"/>
            <wp:effectExtent l="0" t="0" r="9525" b="0"/>
            <wp:docPr id="14652423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29225" cy="2971800"/>
                    </a:xfrm>
                    <a:prstGeom prst="rect">
                      <a:avLst/>
                    </a:prstGeom>
                  </pic:spPr>
                </pic:pic>
              </a:graphicData>
            </a:graphic>
          </wp:inline>
        </w:drawing>
      </w:r>
      <w:bookmarkStart w:id="140" w:name="_Toc62455198"/>
      <w:bookmarkStart w:id="141" w:name="_Toc62818213"/>
      <w:bookmarkStart w:id="142" w:name="_Toc62818760"/>
      <w:bookmarkStart w:id="143" w:name="_Toc63417215"/>
      <w:bookmarkStart w:id="144" w:name="_Toc63418905"/>
      <w:bookmarkStart w:id="145" w:name="_Toc63418930"/>
      <w:bookmarkStart w:id="146" w:name="_Toc64281616"/>
    </w:p>
    <w:p w14:paraId="3A065B3A" w14:textId="4484A222" w:rsidR="006855E0" w:rsidRDefault="00696DE6"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shd w:val="clear" w:color="auto" w:fill="FFFFFF"/>
          <w:lang w:val="en-GB"/>
        </w:rPr>
      </w:pPr>
      <w:r w:rsidRPr="00E76013">
        <w:rPr>
          <w:rFonts w:ascii="Times New Roman" w:hAnsi="Times New Roman" w:cs="Times New Roman"/>
          <w:b/>
          <w:noProof/>
          <w:sz w:val="24"/>
          <w:szCs w:val="24"/>
          <w:lang w:val="en-GB"/>
        </w:rPr>
        <w:t>The objectives of the Sustainable Development Goals</w:t>
      </w:r>
      <w:r w:rsidRPr="761004F4">
        <w:rPr>
          <w:rFonts w:ascii="Times New Roman" w:hAnsi="Times New Roman" w:cs="Times New Roman"/>
          <w:b/>
          <w:bCs/>
          <w:noProof/>
          <w:sz w:val="24"/>
          <w:szCs w:val="24"/>
          <w:lang w:val="en-GB"/>
        </w:rPr>
        <w:t xml:space="preserve"> (SDGs)</w:t>
      </w:r>
      <w:r w:rsidRPr="00E76013">
        <w:rPr>
          <w:rFonts w:ascii="Times New Roman" w:hAnsi="Times New Roman" w:cs="Times New Roman"/>
          <w:b/>
          <w:noProof/>
          <w:sz w:val="24"/>
          <w:szCs w:val="24"/>
          <w:lang w:val="en-GB"/>
        </w:rPr>
        <w:t xml:space="preserve"> are integrated in the European Semester since the 2020 cycle.</w:t>
      </w:r>
      <w:r w:rsidRPr="00E76013">
        <w:rPr>
          <w:rFonts w:ascii="Times New Roman" w:hAnsi="Times New Roman" w:cs="Times New Roman"/>
          <w:noProof/>
          <w:sz w:val="24"/>
          <w:szCs w:val="24"/>
          <w:lang w:val="en-GB"/>
        </w:rPr>
        <w:t xml:space="preserve"> This provides a strong commitment towards sustainability in coordination of economic and employment policies in the EU. In that respect, t</w:t>
      </w:r>
      <w:r w:rsidRPr="00E76013">
        <w:rPr>
          <w:rFonts w:ascii="Times New Roman" w:hAnsi="Times New Roman" w:cs="Times New Roman"/>
          <w:noProof/>
          <w:sz w:val="24"/>
          <w:szCs w:val="24"/>
          <w:shd w:val="clear" w:color="auto" w:fill="FFFFFF"/>
          <w:lang w:val="en-GB"/>
        </w:rPr>
        <w:t xml:space="preserve">his section outlines </w:t>
      </w:r>
      <w:r w:rsidR="003F34B4" w:rsidRPr="00E76013">
        <w:rPr>
          <w:rFonts w:ascii="Times New Roman" w:hAnsi="Times New Roman" w:cs="Times New Roman"/>
          <w:noProof/>
          <w:sz w:val="24"/>
          <w:szCs w:val="24"/>
          <w:shd w:val="clear" w:color="auto" w:fill="FFFFFF"/>
          <w:lang w:val="en-GB"/>
        </w:rPr>
        <w:t>Bulgaria’s</w:t>
      </w:r>
      <w:r w:rsidRPr="00E76013" w:rsidDel="003F34B4">
        <w:rPr>
          <w:rFonts w:ascii="Times New Roman" w:hAnsi="Times New Roman" w:cs="Times New Roman"/>
          <w:noProof/>
          <w:sz w:val="24"/>
          <w:szCs w:val="24"/>
          <w:shd w:val="clear" w:color="auto" w:fill="FFFFFF"/>
          <w:lang w:val="en-GB"/>
        </w:rPr>
        <w:t xml:space="preserve"> </w:t>
      </w:r>
      <w:r w:rsidRPr="00E76013">
        <w:rPr>
          <w:rFonts w:ascii="Times New Roman" w:hAnsi="Times New Roman" w:cs="Times New Roman"/>
          <w:noProof/>
          <w:sz w:val="24"/>
          <w:szCs w:val="24"/>
          <w:lang w:val="en-GB"/>
        </w:rPr>
        <w:t>performance with respect to</w:t>
      </w:r>
      <w:r w:rsidRPr="00E76013">
        <w:rPr>
          <w:rFonts w:ascii="Times New Roman" w:hAnsi="Times New Roman" w:cs="Times New Roman"/>
          <w:noProof/>
          <w:sz w:val="24"/>
          <w:szCs w:val="24"/>
          <w:shd w:val="clear" w:color="auto" w:fill="FFFFFF"/>
          <w:lang w:val="en-GB"/>
        </w:rPr>
        <w:t xml:space="preserve"> SDGs with particular </w:t>
      </w:r>
      <w:r w:rsidRPr="00E76013">
        <w:rPr>
          <w:rFonts w:ascii="Times New Roman" w:hAnsi="Times New Roman" w:cs="Times New Roman"/>
          <w:noProof/>
          <w:sz w:val="24"/>
          <w:szCs w:val="24"/>
          <w:lang w:val="en-GB"/>
        </w:rPr>
        <w:t>relevance for</w:t>
      </w:r>
      <w:r w:rsidRPr="00E76013">
        <w:rPr>
          <w:rFonts w:ascii="Times New Roman" w:hAnsi="Times New Roman" w:cs="Times New Roman"/>
          <w:noProof/>
          <w:sz w:val="24"/>
          <w:szCs w:val="24"/>
          <w:shd w:val="clear" w:color="auto" w:fill="FFFFFF"/>
          <w:lang w:val="en-GB"/>
        </w:rPr>
        <w:t xml:space="preserve"> the four dimensions underpinning the 2021 </w:t>
      </w:r>
      <w:r w:rsidRPr="00E76013">
        <w:rPr>
          <w:rFonts w:ascii="Times New Roman" w:hAnsi="Times New Roman" w:cs="Times New Roman"/>
          <w:noProof/>
          <w:sz w:val="24"/>
          <w:szCs w:val="24"/>
          <w:lang w:val="en-GB"/>
        </w:rPr>
        <w:t xml:space="preserve">Annual Sustainable Growth Strategy and of relevance to </w:t>
      </w:r>
      <w:r w:rsidRPr="00E76013">
        <w:rPr>
          <w:rFonts w:ascii="Times New Roman" w:hAnsi="Times New Roman" w:cs="Times New Roman"/>
          <w:noProof/>
          <w:sz w:val="24"/>
          <w:szCs w:val="24"/>
          <w:shd w:val="clear" w:color="auto" w:fill="FFFFFF"/>
          <w:lang w:val="en-GB"/>
        </w:rPr>
        <w:t>the recovery and resilience plans</w:t>
      </w:r>
      <w:r w:rsidRPr="00E76013">
        <w:rPr>
          <w:rFonts w:ascii="Times New Roman" w:hAnsi="Times New Roman" w:cs="Times New Roman"/>
          <w:noProof/>
          <w:sz w:val="24"/>
          <w:szCs w:val="24"/>
          <w:lang w:val="en-GB"/>
        </w:rPr>
        <w:t xml:space="preserve"> (green transition, fairness, digital transition and productivity, and macroeconomic stability</w:t>
      </w:r>
      <w:r w:rsidR="07D6183E" w:rsidRPr="00E76013">
        <w:rPr>
          <w:rFonts w:ascii="Times New Roman" w:hAnsi="Times New Roman" w:cs="Times New Roman"/>
          <w:noProof/>
          <w:sz w:val="24"/>
          <w:szCs w:val="24"/>
          <w:lang w:val="en-GB"/>
        </w:rPr>
        <w:t>),</w:t>
      </w:r>
      <w:r w:rsidRPr="00E76013">
        <w:rPr>
          <w:rFonts w:ascii="Times New Roman" w:hAnsi="Times New Roman" w:cs="Times New Roman"/>
          <w:noProof/>
          <w:sz w:val="24"/>
          <w:szCs w:val="24"/>
          <w:lang w:val="en-GB"/>
        </w:rPr>
        <w:t xml:space="preserve"> indicating possible areas where investments and reforms in line with the objectives of the Facility could further accelerate the progress on the SDGs</w:t>
      </w:r>
      <w:r w:rsidRPr="00E76013">
        <w:rPr>
          <w:rFonts w:ascii="Times New Roman" w:hAnsi="Times New Roman" w:cs="Times New Roman"/>
          <w:noProof/>
          <w:sz w:val="24"/>
          <w:szCs w:val="24"/>
          <w:shd w:val="clear" w:color="auto" w:fill="FFFFFF"/>
          <w:lang w:val="en-GB"/>
        </w:rPr>
        <w:t>.</w:t>
      </w:r>
    </w:p>
    <w:p w14:paraId="2F4CD063" w14:textId="1EAC5289" w:rsidR="008064AF" w:rsidRPr="00E76013" w:rsidRDefault="008064AF"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shd w:val="clear" w:color="auto" w:fill="FFFFFF"/>
          <w:lang w:val="en-GB"/>
        </w:rPr>
      </w:pPr>
      <w:r>
        <w:rPr>
          <w:rFonts w:ascii="Times New Roman" w:hAnsi="Times New Roman" w:cs="Times New Roman"/>
          <w:noProof/>
          <w:sz w:val="24"/>
          <w:szCs w:val="24"/>
          <w:shd w:val="clear" w:color="auto" w:fill="FFFFFF"/>
          <w:lang w:val="en-GB"/>
        </w:rPr>
        <w:t>T</w:t>
      </w:r>
      <w:r w:rsidRPr="008064AF">
        <w:rPr>
          <w:rFonts w:ascii="Times New Roman" w:hAnsi="Times New Roman" w:cs="Times New Roman"/>
          <w:noProof/>
          <w:sz w:val="24"/>
          <w:szCs w:val="24"/>
          <w:shd w:val="clear" w:color="auto" w:fill="FFFFFF"/>
          <w:lang w:val="en-GB"/>
        </w:rPr>
        <w:t xml:space="preserve">he </w:t>
      </w:r>
      <w:r>
        <w:rPr>
          <w:rFonts w:ascii="Times New Roman" w:hAnsi="Times New Roman" w:cs="Times New Roman"/>
          <w:noProof/>
          <w:sz w:val="24"/>
          <w:szCs w:val="24"/>
          <w:shd w:val="clear" w:color="auto" w:fill="FFFFFF"/>
          <w:lang w:val="en-GB"/>
        </w:rPr>
        <w:t>SDGs</w:t>
      </w:r>
      <w:r w:rsidRPr="008064AF">
        <w:rPr>
          <w:rFonts w:ascii="Times New Roman" w:hAnsi="Times New Roman" w:cs="Times New Roman"/>
          <w:noProof/>
          <w:sz w:val="24"/>
          <w:szCs w:val="24"/>
          <w:shd w:val="clear" w:color="auto" w:fill="FFFFFF"/>
          <w:lang w:val="en-GB"/>
        </w:rPr>
        <w:t xml:space="preserve"> are represented under a specific Commission guiding principle for competitive sustainability from the 2021 Annual Sustainable Growth Strategy, to which they are strongly associated. It should be noted that most Sustainable Development Goals contribute, to varying degrees, to several guiding principles.</w:t>
      </w:r>
    </w:p>
    <w:p w14:paraId="196EC331" w14:textId="6BA9BE69" w:rsidR="006855E0" w:rsidRPr="00E76013" w:rsidRDefault="00444040"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rPr>
      </w:pPr>
      <w:r w:rsidRPr="00E76013">
        <w:rPr>
          <w:rFonts w:ascii="Times New Roman" w:hAnsi="Times New Roman" w:cs="Times New Roman"/>
          <w:b/>
          <w:noProof/>
          <w:sz w:val="24"/>
          <w:szCs w:val="24"/>
        </w:rPr>
        <w:t xml:space="preserve">Bulgaria is improving on most SDG indicators related to </w:t>
      </w:r>
      <w:r w:rsidR="00624E36" w:rsidRPr="00E76013">
        <w:rPr>
          <w:rFonts w:ascii="Times New Roman" w:hAnsi="Times New Roman" w:cs="Times New Roman"/>
          <w:b/>
          <w:i/>
          <w:noProof/>
          <w:sz w:val="24"/>
          <w:szCs w:val="24"/>
        </w:rPr>
        <w:t>green transition</w:t>
      </w:r>
      <w:r w:rsidR="00D9683C" w:rsidRPr="00E76013">
        <w:rPr>
          <w:rFonts w:ascii="Times New Roman" w:hAnsi="Times New Roman" w:cs="Times New Roman"/>
          <w:b/>
          <w:i/>
          <w:noProof/>
          <w:sz w:val="24"/>
          <w:szCs w:val="24"/>
        </w:rPr>
        <w:t>.</w:t>
      </w:r>
      <w:r w:rsidR="00D9683C" w:rsidRPr="00E76013">
        <w:rPr>
          <w:rFonts w:ascii="Times New Roman" w:hAnsi="Times New Roman" w:cs="Times New Roman"/>
          <w:i/>
          <w:noProof/>
          <w:sz w:val="24"/>
          <w:szCs w:val="24"/>
        </w:rPr>
        <w:t xml:space="preserve"> </w:t>
      </w:r>
      <w:r w:rsidR="00D9683C" w:rsidRPr="00E76013">
        <w:rPr>
          <w:rFonts w:ascii="Times New Roman" w:hAnsi="Times New Roman" w:cs="Times New Roman"/>
          <w:noProof/>
          <w:sz w:val="24"/>
          <w:szCs w:val="24"/>
        </w:rPr>
        <w:t>Even though there is improvement</w:t>
      </w:r>
      <w:r w:rsidR="00D9683C" w:rsidRPr="00E76013">
        <w:rPr>
          <w:rFonts w:ascii="Times New Roman" w:hAnsi="Times New Roman" w:cs="Times New Roman"/>
          <w:i/>
          <w:noProof/>
          <w:sz w:val="24"/>
          <w:szCs w:val="24"/>
        </w:rPr>
        <w:t xml:space="preserve"> </w:t>
      </w:r>
      <w:r w:rsidRPr="00E76013">
        <w:rPr>
          <w:rFonts w:ascii="Times New Roman" w:hAnsi="Times New Roman" w:cs="Times New Roman"/>
          <w:noProof/>
          <w:sz w:val="24"/>
          <w:szCs w:val="24"/>
        </w:rPr>
        <w:t xml:space="preserve">(SDG 2, 6, 7, 9, 11, 13), challenges remain in some areas (especially </w:t>
      </w:r>
      <w:r w:rsidR="000D175C" w:rsidRPr="00E76013">
        <w:rPr>
          <w:rFonts w:ascii="Times New Roman" w:hAnsi="Times New Roman" w:cs="Times New Roman"/>
          <w:noProof/>
          <w:sz w:val="24"/>
          <w:szCs w:val="24"/>
        </w:rPr>
        <w:t xml:space="preserve">in </w:t>
      </w:r>
      <w:r w:rsidRPr="00E76013">
        <w:rPr>
          <w:rFonts w:ascii="Times New Roman" w:hAnsi="Times New Roman" w:cs="Times New Roman"/>
          <w:noProof/>
          <w:sz w:val="24"/>
          <w:szCs w:val="24"/>
        </w:rPr>
        <w:t>SDG 12). On the other hand, the country performs well on SDGs 15 and 17. The ‘responsible consumption and production’ indicators (SDG 12) rate way below the EU average with the ‘circular material use rate’ shrinking from 3</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1% of the material input for domestic use in 2015 to 2</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6% in 2020 (compared to 12</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8% in the EU) or the ‘generation of waste excluding major mineral waste’ of 3097 kg per capita (1820 being the EU average). Also the ‘average CO2 emissions per km from new passenger cars’ exceeds the EU average of 108</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2 g CO2 per km by 24</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8 g. In addition, the ‘sanitation’ indicator (SDG 6), in spite of some improvement, remains below the EU average with 7% of population (in 2020) ‘having neither a bath, nor a shower, nor indoor flushing toilet in the household’ (compared to 11</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1% in 2015 and 1</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6% of the EU average in 2019) and 64</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5% of population (in 2020) ‘connected to at least secondary wastewater treatment’ (while the EU average was 80</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9% in the same year).</w:t>
      </w:r>
      <w:r w:rsidR="000D175C" w:rsidRPr="00E76013">
        <w:rPr>
          <w:rFonts w:ascii="Times New Roman" w:hAnsi="Times New Roman" w:cs="Times New Roman"/>
          <w:noProof/>
          <w:sz w:val="24"/>
          <w:szCs w:val="24"/>
        </w:rPr>
        <w:t xml:space="preserve"> </w:t>
      </w:r>
      <w:r w:rsidRPr="00E76013">
        <w:rPr>
          <w:rFonts w:ascii="Times New Roman" w:hAnsi="Times New Roman" w:cs="Times New Roman"/>
          <w:noProof/>
          <w:sz w:val="24"/>
          <w:szCs w:val="24"/>
        </w:rPr>
        <w:t>On ‘affordable and clean energy’ (SDG 7), Bulgaria has achieved some progress in regards to the share of renewable energy in total energy consumption (increase from 18</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3% in 2015 to 23</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3% in 2020) and is in line with the EU average in this indicator (22.09 % in 2020). While Bulgaria outruns the EU average on the ‘energy import dependency’ (BG 37</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9% of imports in gross available energy compared to 57</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5% in the EU), it shows challenges when it comes to ‘access to affordable energy’ with 27</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5% (2020) of the population ‘unable to keep home adequately warm’ (EU average: 8</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 xml:space="preserve">2% in 2020). </w:t>
      </w:r>
    </w:p>
    <w:p w14:paraId="6567468F" w14:textId="66F400C9" w:rsidR="006855E0" w:rsidRPr="00E76013" w:rsidRDefault="00D9683C"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rPr>
      </w:pPr>
      <w:r w:rsidRPr="00E76013">
        <w:rPr>
          <w:rFonts w:ascii="Times New Roman" w:hAnsi="Times New Roman" w:cs="Times New Roman"/>
          <w:b/>
          <w:noProof/>
          <w:sz w:val="24"/>
          <w:szCs w:val="24"/>
        </w:rPr>
        <w:t xml:space="preserve">Bulgaria underperforms in all indicators related to </w:t>
      </w:r>
      <w:r w:rsidRPr="002A0BDC">
        <w:rPr>
          <w:rFonts w:ascii="Times New Roman" w:hAnsi="Times New Roman" w:cs="Times New Roman"/>
          <w:b/>
          <w:i/>
          <w:noProof/>
          <w:sz w:val="24"/>
          <w:szCs w:val="24"/>
        </w:rPr>
        <w:t>no poverty</w:t>
      </w:r>
      <w:r w:rsidRPr="00E76013">
        <w:rPr>
          <w:rFonts w:ascii="Times New Roman" w:hAnsi="Times New Roman" w:cs="Times New Roman"/>
          <w:b/>
          <w:noProof/>
          <w:sz w:val="24"/>
          <w:szCs w:val="24"/>
        </w:rPr>
        <w:t xml:space="preserve"> (SDG 1). </w:t>
      </w:r>
      <w:r w:rsidRPr="00E76013">
        <w:rPr>
          <w:rFonts w:ascii="Times New Roman" w:hAnsi="Times New Roman" w:cs="Times New Roman"/>
          <w:noProof/>
          <w:sz w:val="24"/>
          <w:szCs w:val="24"/>
        </w:rPr>
        <w:t xml:space="preserve">Although </w:t>
      </w:r>
      <w:r w:rsidR="00444040" w:rsidRPr="00E76013">
        <w:rPr>
          <w:rFonts w:ascii="Times New Roman" w:hAnsi="Times New Roman" w:cs="Times New Roman"/>
          <w:noProof/>
          <w:sz w:val="24"/>
          <w:szCs w:val="24"/>
        </w:rPr>
        <w:t>Bulgaria is improving on some SDG indicators related to fairness (SDG 1, 2, 3, 8)</w:t>
      </w:r>
      <w:r w:rsidRPr="00E76013">
        <w:rPr>
          <w:rFonts w:ascii="Times New Roman" w:hAnsi="Times New Roman" w:cs="Times New Roman"/>
          <w:noProof/>
          <w:sz w:val="24"/>
          <w:szCs w:val="24"/>
        </w:rPr>
        <w:t xml:space="preserve">, this is often from a low level and it </w:t>
      </w:r>
      <w:r w:rsidR="00444040" w:rsidRPr="00E76013">
        <w:rPr>
          <w:rFonts w:ascii="Times New Roman" w:hAnsi="Times New Roman" w:cs="Times New Roman"/>
          <w:noProof/>
          <w:sz w:val="24"/>
          <w:szCs w:val="24"/>
        </w:rPr>
        <w:t>needs to catch up on others (SDG 4, 5, 10).</w:t>
      </w:r>
      <w:r w:rsidR="00444040" w:rsidRPr="00E76013">
        <w:rPr>
          <w:rFonts w:ascii="Times New Roman" w:hAnsi="Times New Roman" w:cs="Times New Roman"/>
          <w:b/>
          <w:noProof/>
          <w:sz w:val="24"/>
          <w:szCs w:val="24"/>
        </w:rPr>
        <w:t xml:space="preserve"> </w:t>
      </w:r>
      <w:r w:rsidR="00444040" w:rsidRPr="00E76013">
        <w:rPr>
          <w:rFonts w:ascii="Times New Roman" w:hAnsi="Times New Roman" w:cs="Times New Roman"/>
          <w:noProof/>
          <w:sz w:val="24"/>
          <w:szCs w:val="24"/>
        </w:rPr>
        <w:t>Despite progress made on the percentage of ‘people at risk of poverty or social exclusion’ (33</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6% of population in 2020 compared to 43</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4% in 2015; the EU average in 2020: 21</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9%) as well as on the percentage of ‘severely materially or socially deprived people’ (22</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5% in 2020 compared to 36</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8% in 2015 and the EU average in 2020: 6</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 xml:space="preserve">8%), there is still room for improvement to catch up with the </w:t>
      </w:r>
      <w:r w:rsidR="014D1739" w:rsidRPr="00E76013">
        <w:rPr>
          <w:rFonts w:ascii="Times New Roman" w:hAnsi="Times New Roman" w:cs="Times New Roman"/>
          <w:noProof/>
          <w:sz w:val="24"/>
          <w:szCs w:val="24"/>
        </w:rPr>
        <w:t>performance in the EU.</w:t>
      </w:r>
      <w:r w:rsidR="00444040" w:rsidRPr="00E76013">
        <w:rPr>
          <w:rFonts w:ascii="Times New Roman" w:hAnsi="Times New Roman" w:cs="Times New Roman"/>
          <w:noProof/>
          <w:sz w:val="24"/>
          <w:szCs w:val="24"/>
        </w:rPr>
        <w:t xml:space="preserve"> It is equally the case for the ‘in-work at-risk-of-poverty rate’, where </w:t>
      </w:r>
      <w:r w:rsidR="00F70915">
        <w:rPr>
          <w:rFonts w:ascii="Times New Roman" w:hAnsi="Times New Roman" w:cs="Times New Roman"/>
          <w:noProof/>
          <w:sz w:val="24"/>
          <w:szCs w:val="24"/>
        </w:rPr>
        <w:t>a</w:t>
      </w:r>
      <w:r w:rsidR="00444040" w:rsidRPr="00E76013">
        <w:rPr>
          <w:rFonts w:ascii="Times New Roman" w:hAnsi="Times New Roman" w:cs="Times New Roman"/>
          <w:noProof/>
          <w:sz w:val="24"/>
          <w:szCs w:val="24"/>
        </w:rPr>
        <w:t xml:space="preserve"> deterioration </w:t>
      </w:r>
      <w:r w:rsidR="00727E67">
        <w:rPr>
          <w:rFonts w:ascii="Times New Roman" w:hAnsi="Times New Roman" w:cs="Times New Roman"/>
          <w:noProof/>
          <w:sz w:val="24"/>
          <w:szCs w:val="24"/>
        </w:rPr>
        <w:t>is observed</w:t>
      </w:r>
      <w:r w:rsidR="00444040" w:rsidRPr="00E76013">
        <w:rPr>
          <w:rFonts w:ascii="Times New Roman" w:hAnsi="Times New Roman" w:cs="Times New Roman"/>
          <w:noProof/>
          <w:sz w:val="24"/>
          <w:szCs w:val="24"/>
        </w:rPr>
        <w:t xml:space="preserve"> (9</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6% of population aged 16 or over in 2020 compared to 7</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7% in 2015). While Bulgarians enjoy a longer ‘healthy life years at birth’ (SDG 3) (66</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3 years in 2020 compared to EU 64</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6), they are more often victims of ‘standardised avoidable mortality’ (2018: 414</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5 per 100 000 persons compared to EU 252</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1 in 2017) as well as ‘fatal accidents at work’ (2019: 3</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37 per 100 000 persons compared to EU 1</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74) or ‘road traffic deaths’ (rate of 9 in 2019 compared to 5</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1 in EU).</w:t>
      </w:r>
      <w:r w:rsidR="00D30C67" w:rsidRPr="00E76013">
        <w:rPr>
          <w:rFonts w:ascii="Times New Roman" w:hAnsi="Times New Roman" w:cs="Times New Roman"/>
          <w:noProof/>
          <w:sz w:val="24"/>
          <w:szCs w:val="24"/>
        </w:rPr>
        <w:t xml:space="preserve"> </w:t>
      </w:r>
      <w:r w:rsidR="00444040" w:rsidRPr="00E76013">
        <w:rPr>
          <w:rFonts w:ascii="Times New Roman" w:hAnsi="Times New Roman" w:cs="Times New Roman"/>
          <w:noProof/>
          <w:sz w:val="24"/>
          <w:szCs w:val="24"/>
        </w:rPr>
        <w:t>On ‘quality education’ (SDG 4), Bulgaria shows rather ‘low achievements in reading’ (47</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1% of 15-year-old students with low achievements in 2018 compared to EU average of 22</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 xml:space="preserve">5% in the same year) and </w:t>
      </w:r>
      <w:r w:rsidR="014D1739" w:rsidRPr="00E76013">
        <w:rPr>
          <w:rFonts w:ascii="Times New Roman" w:hAnsi="Times New Roman" w:cs="Times New Roman"/>
          <w:noProof/>
          <w:sz w:val="24"/>
          <w:szCs w:val="24"/>
        </w:rPr>
        <w:t>an above-</w:t>
      </w:r>
      <w:r w:rsidR="00444040" w:rsidRPr="00E76013">
        <w:rPr>
          <w:rFonts w:ascii="Times New Roman" w:hAnsi="Times New Roman" w:cs="Times New Roman"/>
          <w:noProof/>
          <w:sz w:val="24"/>
          <w:szCs w:val="24"/>
        </w:rPr>
        <w:t>average amount of ‘early leavers from education and training’ (in 2020: 12</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 xml:space="preserve">8% of population aged 18 </w:t>
      </w:r>
      <w:r w:rsidR="014D1739" w:rsidRPr="00E76013">
        <w:rPr>
          <w:rFonts w:ascii="Times New Roman" w:hAnsi="Times New Roman" w:cs="Times New Roman"/>
          <w:noProof/>
          <w:sz w:val="24"/>
          <w:szCs w:val="24"/>
        </w:rPr>
        <w:t>to</w:t>
      </w:r>
      <w:r w:rsidR="00444040" w:rsidRPr="00E76013">
        <w:rPr>
          <w:rFonts w:ascii="Times New Roman" w:hAnsi="Times New Roman" w:cs="Times New Roman"/>
          <w:noProof/>
          <w:sz w:val="24"/>
          <w:szCs w:val="24"/>
        </w:rPr>
        <w:t xml:space="preserve"> 24). There is room for improvement also when it comes to ‘gender equality’ (SDG 5), as only 12</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9% of board members (senior management) are female compared to 29</w:t>
      </w:r>
      <w:r w:rsidR="007C0657">
        <w:rPr>
          <w:rFonts w:ascii="Times New Roman" w:hAnsi="Times New Roman" w:cs="Times New Roman"/>
          <w:noProof/>
          <w:sz w:val="24"/>
          <w:szCs w:val="24"/>
        </w:rPr>
        <w:t>.</w:t>
      </w:r>
      <w:r w:rsidR="00444040" w:rsidRPr="00E76013">
        <w:rPr>
          <w:rFonts w:ascii="Times New Roman" w:hAnsi="Times New Roman" w:cs="Times New Roman"/>
          <w:noProof/>
          <w:sz w:val="24"/>
          <w:szCs w:val="24"/>
        </w:rPr>
        <w:t>5% in the EU (2020).</w:t>
      </w:r>
    </w:p>
    <w:p w14:paraId="54E8CB9F" w14:textId="39CF05D2" w:rsidR="006855E0" w:rsidRPr="00E76013" w:rsidRDefault="00624E36"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Concerning the</w:t>
      </w:r>
      <w:r w:rsidR="00D9683C" w:rsidRPr="00E76013">
        <w:rPr>
          <w:rFonts w:ascii="Times New Roman" w:eastAsia="Times New Roman" w:hAnsi="Times New Roman" w:cs="Times New Roman"/>
          <w:b/>
          <w:noProof/>
          <w:sz w:val="24"/>
          <w:szCs w:val="24"/>
          <w:lang w:val="en-GB"/>
        </w:rPr>
        <w:t xml:space="preserve"> productivity related SDGs, Bulgaria does not </w:t>
      </w:r>
      <w:r w:rsidR="00521555">
        <w:rPr>
          <w:rFonts w:ascii="Times New Roman" w:eastAsia="Times New Roman" w:hAnsi="Times New Roman" w:cs="Times New Roman"/>
          <w:b/>
          <w:noProof/>
          <w:sz w:val="24"/>
          <w:szCs w:val="24"/>
          <w:lang w:val="en-GB"/>
        </w:rPr>
        <w:t xml:space="preserve">perform </w:t>
      </w:r>
      <w:r w:rsidR="00B81146">
        <w:rPr>
          <w:rFonts w:ascii="Times New Roman" w:eastAsia="Times New Roman" w:hAnsi="Times New Roman" w:cs="Times New Roman"/>
          <w:b/>
          <w:noProof/>
          <w:sz w:val="24"/>
          <w:szCs w:val="24"/>
          <w:lang w:val="en-GB"/>
        </w:rPr>
        <w:t>well.</w:t>
      </w:r>
      <w:r w:rsidR="00D9683C" w:rsidRPr="00E76013">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 xml:space="preserve">On </w:t>
      </w:r>
      <w:r w:rsidR="0D4DD7F5" w:rsidRPr="00E76013">
        <w:rPr>
          <w:rFonts w:ascii="Times New Roman" w:eastAsia="Times New Roman" w:hAnsi="Times New Roman" w:cs="Times New Roman"/>
          <w:noProof/>
          <w:sz w:val="24"/>
          <w:szCs w:val="24"/>
          <w:lang w:val="en-GB"/>
        </w:rPr>
        <w:t>‘Industry, innovation, and infrastructure’ (SDG 9), Bulgaria performs below the EU average on the gross domestic expenditures on R&amp;D ranking, with 0.86% in 2020 compared to the EU average of 2.32%. The expenditure share has been increasing between 2016 and 2020, albeit at a very slow rate. The share of research personnel in Bulgaria is almost twice lower than in the EU in general. The country is seriously lagging behind in patent applications, with only 7.5 per million inhabitants sent to the European Patent Office in 2020, compared to an average of 147 at EU level. The performance on SDG 8 ‘Decent work and economic growth’ is also weak. In particular, ‘real GDP per capita’ is the lowest in the EU and ‘resource productivity’ is the second lowest in 2020. On digital skills (SDG 4</w:t>
      </w:r>
      <w:r w:rsidR="00D9683C" w:rsidRPr="00E76013">
        <w:rPr>
          <w:rFonts w:ascii="Times New Roman" w:eastAsia="Times New Roman" w:hAnsi="Times New Roman" w:cs="Times New Roman"/>
          <w:noProof/>
          <w:sz w:val="24"/>
          <w:szCs w:val="24"/>
          <w:lang w:val="en-GB"/>
        </w:rPr>
        <w:t>)</w:t>
      </w:r>
      <w:r w:rsidR="0D4DD7F5" w:rsidRPr="00E76013">
        <w:rPr>
          <w:rFonts w:ascii="Times New Roman" w:eastAsia="Times New Roman" w:hAnsi="Times New Roman" w:cs="Times New Roman"/>
          <w:noProof/>
          <w:sz w:val="24"/>
          <w:szCs w:val="24"/>
          <w:lang w:val="en-GB"/>
        </w:rPr>
        <w:t>, Bulgaria had the lowest share of adults having at least basic digital skills in the EU in 2019.</w:t>
      </w:r>
    </w:p>
    <w:p w14:paraId="62545301" w14:textId="2FB46853" w:rsidR="00444040" w:rsidRPr="00E76013" w:rsidRDefault="00444040" w:rsidP="002A0B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rPr>
      </w:pPr>
      <w:r w:rsidRPr="00E76013">
        <w:rPr>
          <w:rFonts w:ascii="Times New Roman" w:hAnsi="Times New Roman" w:cs="Times New Roman"/>
          <w:b/>
          <w:noProof/>
          <w:sz w:val="24"/>
          <w:szCs w:val="24"/>
        </w:rPr>
        <w:t xml:space="preserve">Bulgaria is improving on SDG indicators related to </w:t>
      </w:r>
      <w:r w:rsidRPr="00E76013">
        <w:rPr>
          <w:rFonts w:ascii="Times New Roman" w:hAnsi="Times New Roman" w:cs="Times New Roman"/>
          <w:b/>
          <w:i/>
          <w:noProof/>
          <w:sz w:val="24"/>
          <w:szCs w:val="24"/>
        </w:rPr>
        <w:t>macroeconomic stability (8, 16)</w:t>
      </w:r>
      <w:r w:rsidRPr="00E76013">
        <w:rPr>
          <w:rFonts w:ascii="Times New Roman" w:hAnsi="Times New Roman" w:cs="Times New Roman"/>
          <w:b/>
          <w:noProof/>
          <w:sz w:val="24"/>
          <w:szCs w:val="24"/>
        </w:rPr>
        <w:t xml:space="preserve"> and performs well on SDG 17.</w:t>
      </w:r>
      <w:bookmarkStart w:id="147" w:name="GUIDE06AB76ECF7444D7BCFCC17E7A801FEE"/>
      <w:r w:rsidR="00D30C67" w:rsidRPr="00E76013">
        <w:rPr>
          <w:rFonts w:ascii="Times New Roman" w:hAnsi="Times New Roman" w:cs="Times New Roman"/>
          <w:b/>
          <w:noProof/>
          <w:sz w:val="24"/>
          <w:szCs w:val="24"/>
        </w:rPr>
        <w:t xml:space="preserve"> </w:t>
      </w:r>
      <w:r w:rsidRPr="00E76013">
        <w:rPr>
          <w:rFonts w:ascii="Times New Roman" w:hAnsi="Times New Roman" w:cs="Times New Roman"/>
          <w:noProof/>
          <w:sz w:val="24"/>
          <w:szCs w:val="24"/>
        </w:rPr>
        <w:t xml:space="preserve">While Bulgaria is </w:t>
      </w:r>
      <w:r w:rsidR="00D30C67" w:rsidRPr="00E76013">
        <w:rPr>
          <w:rFonts w:ascii="Times New Roman" w:hAnsi="Times New Roman" w:cs="Times New Roman"/>
          <w:noProof/>
          <w:sz w:val="24"/>
          <w:szCs w:val="24"/>
        </w:rPr>
        <w:t>moving</w:t>
      </w:r>
      <w:r w:rsidRPr="00E76013">
        <w:rPr>
          <w:rFonts w:ascii="Times New Roman" w:hAnsi="Times New Roman" w:cs="Times New Roman"/>
          <w:noProof/>
          <w:sz w:val="24"/>
          <w:szCs w:val="24"/>
        </w:rPr>
        <w:t xml:space="preserve"> </w:t>
      </w:r>
      <w:r w:rsidR="00D30C67" w:rsidRPr="00E76013">
        <w:rPr>
          <w:rFonts w:ascii="Times New Roman" w:hAnsi="Times New Roman" w:cs="Times New Roman"/>
          <w:noProof/>
          <w:sz w:val="24"/>
          <w:szCs w:val="24"/>
        </w:rPr>
        <w:t>towards</w:t>
      </w:r>
      <w:r w:rsidRPr="00E76013">
        <w:rPr>
          <w:rFonts w:ascii="Times New Roman" w:hAnsi="Times New Roman" w:cs="Times New Roman"/>
          <w:noProof/>
          <w:sz w:val="24"/>
          <w:szCs w:val="24"/>
        </w:rPr>
        <w:t xml:space="preserve"> the EU average on indicators related to ‘decent work and economic growth’ (SDG 8), several challenges remain in this field. The real GDP per capita of EUR 6380 remains well below the EU average (EUR 26380). Also not only does the ‘investment share of GDP’ (last value given: 18</w:t>
      </w:r>
      <w:r w:rsidR="00976F41" w:rsidRPr="00976F41">
        <w:rPr>
          <w:rFonts w:ascii="Times New Roman" w:hAnsi="Times New Roman" w:cs="Times New Roman"/>
          <w:noProof/>
          <w:sz w:val="24"/>
          <w:szCs w:val="24"/>
        </w:rPr>
        <w:t xml:space="preserve"> </w:t>
      </w:r>
      <w:r w:rsidR="00976F41">
        <w:rPr>
          <w:rFonts w:ascii="Times New Roman" w:hAnsi="Times New Roman" w:cs="Times New Roman"/>
          <w:noProof/>
          <w:sz w:val="24"/>
          <w:szCs w:val="24"/>
        </w:rPr>
        <w:t>.</w:t>
      </w:r>
      <w:r w:rsidRPr="00E76013">
        <w:rPr>
          <w:rFonts w:ascii="Times New Roman" w:hAnsi="Times New Roman" w:cs="Times New Roman"/>
          <w:noProof/>
          <w:sz w:val="24"/>
          <w:szCs w:val="24"/>
        </w:rPr>
        <w:t>5% of GDP in 2017) rank below the EU average of 22</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 xml:space="preserve">3% but it </w:t>
      </w:r>
      <w:r w:rsidR="00D30C67" w:rsidRPr="00E76013">
        <w:rPr>
          <w:rFonts w:ascii="Times New Roman" w:hAnsi="Times New Roman" w:cs="Times New Roman"/>
          <w:noProof/>
          <w:sz w:val="24"/>
          <w:szCs w:val="24"/>
        </w:rPr>
        <w:t xml:space="preserve">has </w:t>
      </w:r>
      <w:r w:rsidRPr="00E76013">
        <w:rPr>
          <w:rFonts w:ascii="Times New Roman" w:hAnsi="Times New Roman" w:cs="Times New Roman"/>
          <w:noProof/>
          <w:sz w:val="24"/>
          <w:szCs w:val="24"/>
        </w:rPr>
        <w:t xml:space="preserve">even </w:t>
      </w:r>
      <w:r w:rsidR="00D30C67" w:rsidRPr="00E76013">
        <w:rPr>
          <w:rFonts w:ascii="Times New Roman" w:hAnsi="Times New Roman" w:cs="Times New Roman"/>
          <w:noProof/>
          <w:sz w:val="24"/>
          <w:szCs w:val="24"/>
        </w:rPr>
        <w:t>shrank</w:t>
      </w:r>
      <w:r w:rsidRPr="00E76013">
        <w:rPr>
          <w:rFonts w:ascii="Times New Roman" w:hAnsi="Times New Roman" w:cs="Times New Roman"/>
          <w:noProof/>
          <w:sz w:val="24"/>
          <w:szCs w:val="24"/>
        </w:rPr>
        <w:t xml:space="preserve"> compared to 2012 (21,3%). On the other side, Bulgaria is </w:t>
      </w:r>
      <w:r w:rsidR="00D30C67" w:rsidRPr="00E76013">
        <w:rPr>
          <w:rFonts w:ascii="Times New Roman" w:hAnsi="Times New Roman" w:cs="Times New Roman"/>
          <w:noProof/>
          <w:sz w:val="24"/>
          <w:szCs w:val="24"/>
        </w:rPr>
        <w:t>much</w:t>
      </w:r>
      <w:r w:rsidRPr="00E76013">
        <w:rPr>
          <w:rFonts w:ascii="Times New Roman" w:hAnsi="Times New Roman" w:cs="Times New Roman"/>
          <w:noProof/>
          <w:sz w:val="24"/>
          <w:szCs w:val="24"/>
        </w:rPr>
        <w:t xml:space="preserve"> less indebted other EU countries (average: 90</w:t>
      </w:r>
      <w:r w:rsidR="00976F41">
        <w:rPr>
          <w:rFonts w:ascii="Times New Roman" w:hAnsi="Times New Roman" w:cs="Times New Roman"/>
          <w:noProof/>
          <w:sz w:val="24"/>
          <w:szCs w:val="24"/>
        </w:rPr>
        <w:t>.</w:t>
      </w:r>
      <w:r w:rsidRPr="00E76013">
        <w:rPr>
          <w:rFonts w:ascii="Times New Roman" w:hAnsi="Times New Roman" w:cs="Times New Roman"/>
          <w:noProof/>
          <w:sz w:val="24"/>
          <w:szCs w:val="24"/>
        </w:rPr>
        <w:t xml:space="preserve">1 % of GDP). </w:t>
      </w:r>
      <w:bookmarkEnd w:id="147"/>
      <w:r w:rsidRPr="00E76013">
        <w:rPr>
          <w:rFonts w:ascii="Times New Roman" w:hAnsi="Times New Roman" w:cs="Times New Roman"/>
          <w:noProof/>
          <w:sz w:val="24"/>
          <w:szCs w:val="24"/>
        </w:rPr>
        <w:t xml:space="preserve">In addition, Bulgaria has shown some improvements on the ‘peace, justice and strong institutions’ indicators (SDG 16). While still below the EU average, the country has made some </w:t>
      </w:r>
      <w:r w:rsidR="00481EFE" w:rsidRPr="00E76013">
        <w:rPr>
          <w:rFonts w:ascii="Times New Roman" w:hAnsi="Times New Roman" w:cs="Times New Roman"/>
          <w:noProof/>
          <w:sz w:val="24"/>
          <w:szCs w:val="24"/>
        </w:rPr>
        <w:t>progress</w:t>
      </w:r>
      <w:r w:rsidRPr="00E76013">
        <w:rPr>
          <w:rFonts w:ascii="Times New Roman" w:hAnsi="Times New Roman" w:cs="Times New Roman"/>
          <w:noProof/>
          <w:sz w:val="24"/>
          <w:szCs w:val="24"/>
        </w:rPr>
        <w:t xml:space="preserve"> when it comes to </w:t>
      </w:r>
      <w:r w:rsidR="00481EFE" w:rsidRPr="00E76013">
        <w:rPr>
          <w:rFonts w:ascii="Times New Roman" w:hAnsi="Times New Roman" w:cs="Times New Roman"/>
          <w:noProof/>
          <w:sz w:val="24"/>
          <w:szCs w:val="24"/>
        </w:rPr>
        <w:t xml:space="preserve">the </w:t>
      </w:r>
      <w:r w:rsidRPr="00E76013">
        <w:rPr>
          <w:rFonts w:ascii="Times New Roman" w:hAnsi="Times New Roman" w:cs="Times New Roman"/>
          <w:noProof/>
          <w:sz w:val="24"/>
          <w:szCs w:val="24"/>
        </w:rPr>
        <w:t xml:space="preserve">‘peace and personal security’ with </w:t>
      </w:r>
      <w:r w:rsidR="00481EFE" w:rsidRPr="00E76013">
        <w:rPr>
          <w:rFonts w:ascii="Times New Roman" w:hAnsi="Times New Roman" w:cs="Times New Roman"/>
          <w:noProof/>
          <w:sz w:val="24"/>
          <w:szCs w:val="24"/>
        </w:rPr>
        <w:t>a decrease in the</w:t>
      </w:r>
      <w:r w:rsidRPr="00E76013">
        <w:rPr>
          <w:rFonts w:ascii="Times New Roman" w:hAnsi="Times New Roman" w:cs="Times New Roman"/>
          <w:noProof/>
          <w:sz w:val="24"/>
          <w:szCs w:val="24"/>
        </w:rPr>
        <w:t xml:space="preserve"> ‘population reporting crime, violence or vandalism in their area’ (from 26</w:t>
      </w:r>
      <w:r w:rsidR="00976F41">
        <w:rPr>
          <w:rFonts w:ascii="Times New Roman" w:hAnsi="Times New Roman" w:cs="Times New Roman"/>
          <w:noProof/>
          <w:sz w:val="24"/>
          <w:szCs w:val="24"/>
        </w:rPr>
        <w:t>.</w:t>
      </w:r>
      <w:r w:rsidRPr="00E76013">
        <w:rPr>
          <w:rFonts w:ascii="Times New Roman" w:hAnsi="Times New Roman" w:cs="Times New Roman"/>
          <w:noProof/>
          <w:sz w:val="24"/>
          <w:szCs w:val="24"/>
        </w:rPr>
        <w:t>3% in 2015 to 19</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1% in 2020 (EU average: 13</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 xml:space="preserve">2% in 2015 and 11% in 2019). On the other hand, there has been no change when it comes to </w:t>
      </w:r>
      <w:r w:rsidR="00481EFE" w:rsidRPr="00E76013">
        <w:rPr>
          <w:rFonts w:ascii="Times New Roman" w:hAnsi="Times New Roman" w:cs="Times New Roman"/>
          <w:noProof/>
          <w:sz w:val="24"/>
          <w:szCs w:val="24"/>
        </w:rPr>
        <w:t>the</w:t>
      </w:r>
      <w:r w:rsidRPr="00E76013">
        <w:rPr>
          <w:rFonts w:ascii="Times New Roman" w:hAnsi="Times New Roman" w:cs="Times New Roman"/>
          <w:noProof/>
          <w:sz w:val="24"/>
          <w:szCs w:val="24"/>
        </w:rPr>
        <w:t xml:space="preserve"> ‘</w:t>
      </w:r>
      <w:r w:rsidR="00481EFE" w:rsidRPr="00E76013">
        <w:rPr>
          <w:rFonts w:ascii="Times New Roman" w:hAnsi="Times New Roman" w:cs="Times New Roman"/>
          <w:noProof/>
          <w:sz w:val="24"/>
          <w:szCs w:val="24"/>
        </w:rPr>
        <w:t>standardized</w:t>
      </w:r>
      <w:r w:rsidRPr="00E76013">
        <w:rPr>
          <w:rFonts w:ascii="Times New Roman" w:hAnsi="Times New Roman" w:cs="Times New Roman"/>
          <w:noProof/>
          <w:sz w:val="24"/>
          <w:szCs w:val="24"/>
        </w:rPr>
        <w:t xml:space="preserve"> death rate due to homicide’ (1</w:t>
      </w:r>
      <w:r w:rsidR="00976F41">
        <w:rPr>
          <w:rFonts w:ascii="Times New Roman" w:hAnsi="Times New Roman" w:cs="Times New Roman"/>
          <w:noProof/>
          <w:sz w:val="24"/>
          <w:szCs w:val="24"/>
        </w:rPr>
        <w:t>.</w:t>
      </w:r>
      <w:r w:rsidRPr="00E76013">
        <w:rPr>
          <w:rFonts w:ascii="Times New Roman" w:hAnsi="Times New Roman" w:cs="Times New Roman"/>
          <w:noProof/>
          <w:sz w:val="24"/>
          <w:szCs w:val="24"/>
        </w:rPr>
        <w:t>2 per 100 000 persons both in 2013 and 2018 (EU average: 0</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9 in 2013 and 0</w:t>
      </w:r>
      <w:r w:rsidR="007C0657">
        <w:rPr>
          <w:rFonts w:ascii="Times New Roman" w:hAnsi="Times New Roman" w:cs="Times New Roman"/>
          <w:noProof/>
          <w:sz w:val="24"/>
          <w:szCs w:val="24"/>
        </w:rPr>
        <w:t>.</w:t>
      </w:r>
      <w:r w:rsidRPr="00E76013">
        <w:rPr>
          <w:rFonts w:ascii="Times New Roman" w:hAnsi="Times New Roman" w:cs="Times New Roman"/>
          <w:noProof/>
          <w:sz w:val="24"/>
          <w:szCs w:val="24"/>
        </w:rPr>
        <w:t xml:space="preserve">7 in 2017). </w:t>
      </w:r>
    </w:p>
    <w:p w14:paraId="58013729" w14:textId="6F6D7207" w:rsidR="002A0BDC" w:rsidRDefault="002A0BDC">
      <w:pPr>
        <w:rPr>
          <w:rFonts w:ascii="Times New Roman" w:hAnsi="Times New Roman" w:cs="Times New Roman"/>
          <w:noProof/>
        </w:rPr>
      </w:pPr>
      <w:r>
        <w:rPr>
          <w:rFonts w:ascii="Times New Roman" w:hAnsi="Times New Roman" w:cs="Times New Roman"/>
          <w:noProof/>
        </w:rPr>
        <w:br w:type="page"/>
      </w:r>
    </w:p>
    <w:p w14:paraId="1F96B4C6" w14:textId="2471D479" w:rsidR="00B42F88" w:rsidRPr="00E76013" w:rsidRDefault="00B42F88" w:rsidP="00E01A1F">
      <w:pPr>
        <w:pStyle w:val="Heading1"/>
        <w:numPr>
          <w:ilvl w:val="0"/>
          <w:numId w:val="7"/>
        </w:numPr>
        <w:rPr>
          <w:noProof/>
        </w:rPr>
      </w:pPr>
      <w:bookmarkStart w:id="148" w:name="_Toc98952820"/>
      <w:bookmarkStart w:id="149" w:name="_Toc98953991"/>
      <w:bookmarkStart w:id="150" w:name="_Toc99399065"/>
      <w:bookmarkStart w:id="151" w:name="_Toc99399998"/>
      <w:bookmarkStart w:id="152" w:name="_Toc99400426"/>
      <w:bookmarkStart w:id="153" w:name="_Toc99719441"/>
      <w:bookmarkStart w:id="154" w:name="_Toc99728654"/>
      <w:bookmarkStart w:id="155" w:name="_Toc99729648"/>
      <w:bookmarkStart w:id="156" w:name="_Toc99730625"/>
      <w:bookmarkStart w:id="157" w:name="_Toc99731349"/>
      <w:bookmarkStart w:id="158" w:name="_Toc99756888"/>
      <w:bookmarkStart w:id="159" w:name="_Toc99909918"/>
      <w:r w:rsidRPr="00E76013">
        <w:rPr>
          <w:noProof/>
        </w:rPr>
        <w:t>Objectives, structure and governance of the plan</w:t>
      </w:r>
      <w:bookmarkEnd w:id="140"/>
      <w:bookmarkEnd w:id="141"/>
      <w:bookmarkEnd w:id="142"/>
      <w:bookmarkEnd w:id="143"/>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p>
    <w:p w14:paraId="261CA5B1" w14:textId="53E60BDF" w:rsidR="00A971AE" w:rsidRPr="00262BF6" w:rsidRDefault="00A971AE" w:rsidP="00E01A1F">
      <w:pPr>
        <w:pStyle w:val="Heading2"/>
        <w:numPr>
          <w:ilvl w:val="1"/>
          <w:numId w:val="7"/>
        </w:numPr>
        <w:spacing w:after="160" w:line="276" w:lineRule="auto"/>
        <w:rPr>
          <w:noProof/>
        </w:rPr>
      </w:pPr>
      <w:bookmarkStart w:id="160" w:name="_Toc99399066"/>
      <w:bookmarkStart w:id="161" w:name="_Toc99399999"/>
      <w:bookmarkStart w:id="162" w:name="_Toc99400427"/>
      <w:bookmarkStart w:id="163" w:name="_Toc99719442"/>
      <w:bookmarkStart w:id="164" w:name="_Toc99728655"/>
      <w:bookmarkStart w:id="165" w:name="_Toc99729649"/>
      <w:bookmarkStart w:id="166" w:name="_Toc99730626"/>
      <w:bookmarkStart w:id="167" w:name="_Toc99731350"/>
      <w:bookmarkStart w:id="168" w:name="_Toc99756889"/>
      <w:bookmarkStart w:id="169" w:name="_Toc99909919"/>
      <w:bookmarkStart w:id="170" w:name="_Toc62818214"/>
      <w:bookmarkStart w:id="171" w:name="_Toc62818761"/>
      <w:bookmarkStart w:id="172" w:name="_Toc63417216"/>
      <w:bookmarkStart w:id="173" w:name="_Toc63418906"/>
      <w:bookmarkStart w:id="174" w:name="_Toc63418931"/>
      <w:bookmarkStart w:id="175" w:name="_Toc64281617"/>
      <w:bookmarkStart w:id="176" w:name="_Toc98952821"/>
      <w:bookmarkStart w:id="177" w:name="_Toc98953992"/>
      <w:bookmarkStart w:id="178" w:name="_Toc62455199"/>
      <w:r w:rsidRPr="00262BF6">
        <w:rPr>
          <w:noProof/>
        </w:rPr>
        <w:t>Overall strategy of the plan</w:t>
      </w:r>
      <w:bookmarkEnd w:id="160"/>
      <w:bookmarkEnd w:id="161"/>
      <w:bookmarkEnd w:id="162"/>
      <w:bookmarkEnd w:id="163"/>
      <w:bookmarkEnd w:id="164"/>
      <w:bookmarkEnd w:id="165"/>
      <w:bookmarkEnd w:id="166"/>
      <w:bookmarkEnd w:id="167"/>
      <w:bookmarkEnd w:id="168"/>
      <w:bookmarkEnd w:id="169"/>
      <w:r w:rsidR="00A32B90" w:rsidRPr="00262BF6">
        <w:rPr>
          <w:noProof/>
        </w:rPr>
        <w:t xml:space="preserve"> </w:t>
      </w:r>
      <w:bookmarkEnd w:id="170"/>
      <w:bookmarkEnd w:id="171"/>
      <w:bookmarkEnd w:id="172"/>
      <w:bookmarkEnd w:id="173"/>
      <w:bookmarkEnd w:id="174"/>
      <w:bookmarkEnd w:id="175"/>
      <w:bookmarkEnd w:id="176"/>
      <w:bookmarkEnd w:id="177"/>
    </w:p>
    <w:p w14:paraId="78D1AA7E" w14:textId="487334C3" w:rsidR="215565E5" w:rsidRPr="00E76013" w:rsidRDefault="0FBCE341" w:rsidP="002A0BDC">
      <w:pPr>
        <w:spacing w:line="276" w:lineRule="auto"/>
        <w:jc w:val="both"/>
        <w:rPr>
          <w:rFonts w:ascii="Times New Roman" w:eastAsia="Times New Roman" w:hAnsi="Times New Roman" w:cs="Times New Roman"/>
          <w:noProof/>
          <w:sz w:val="24"/>
          <w:szCs w:val="24"/>
          <w:lang w:val="en-IE"/>
        </w:rPr>
      </w:pPr>
      <w:r w:rsidRPr="00E76013">
        <w:rPr>
          <w:rFonts w:ascii="Times New Roman" w:eastAsia="Times New Roman" w:hAnsi="Times New Roman" w:cs="Times New Roman"/>
          <w:b/>
          <w:noProof/>
          <w:sz w:val="24"/>
          <w:szCs w:val="24"/>
          <w:lang w:val="en-IE"/>
        </w:rPr>
        <w:t xml:space="preserve">The </w:t>
      </w:r>
      <w:r w:rsidR="00423723" w:rsidRPr="00E76013">
        <w:rPr>
          <w:rFonts w:ascii="Times New Roman" w:eastAsia="Times New Roman" w:hAnsi="Times New Roman" w:cs="Times New Roman"/>
          <w:b/>
          <w:noProof/>
          <w:sz w:val="24"/>
          <w:szCs w:val="24"/>
          <w:lang w:val="en-IE"/>
        </w:rPr>
        <w:t>Plan</w:t>
      </w:r>
      <w:r w:rsidRPr="00E76013">
        <w:rPr>
          <w:rFonts w:ascii="Times New Roman" w:eastAsia="Times New Roman" w:hAnsi="Times New Roman" w:cs="Times New Roman"/>
          <w:b/>
          <w:noProof/>
          <w:sz w:val="24"/>
          <w:szCs w:val="24"/>
          <w:lang w:val="en-IE"/>
        </w:rPr>
        <w:t xml:space="preserve"> of Bulgaria is a wide-ranging response to the economic repercussions from the COVID-19 pandemic</w:t>
      </w:r>
      <w:r w:rsidR="00466A20" w:rsidRPr="00E76013">
        <w:rPr>
          <w:rFonts w:ascii="Times New Roman" w:eastAsia="Times New Roman" w:hAnsi="Times New Roman" w:cs="Times New Roman"/>
          <w:b/>
          <w:noProof/>
          <w:sz w:val="24"/>
          <w:szCs w:val="24"/>
          <w:lang w:val="en-IE"/>
        </w:rPr>
        <w:t>.</w:t>
      </w:r>
      <w:r w:rsidR="00466A20" w:rsidRPr="00E76013">
        <w:rPr>
          <w:rFonts w:ascii="Times New Roman" w:eastAsia="Times New Roman" w:hAnsi="Times New Roman" w:cs="Times New Roman"/>
          <w:noProof/>
          <w:sz w:val="24"/>
          <w:szCs w:val="24"/>
          <w:lang w:val="en-IE"/>
        </w:rPr>
        <w:t xml:space="preserve"> It targets</w:t>
      </w:r>
      <w:r w:rsidRPr="00E76013">
        <w:rPr>
          <w:rFonts w:ascii="Times New Roman" w:eastAsia="Times New Roman" w:hAnsi="Times New Roman" w:cs="Times New Roman"/>
          <w:noProof/>
          <w:sz w:val="24"/>
          <w:szCs w:val="24"/>
          <w:lang w:val="en-IE"/>
        </w:rPr>
        <w:t xml:space="preserve"> the main challenges and systemic weaknesses of the economy. It builds on the country’s global vision “National Development Programme BULGARIA 2030”, which </w:t>
      </w:r>
      <w:r w:rsidR="00DB04B0">
        <w:rPr>
          <w:rFonts w:ascii="Times New Roman" w:eastAsia="Times New Roman" w:hAnsi="Times New Roman" w:cs="Times New Roman"/>
          <w:noProof/>
          <w:sz w:val="24"/>
          <w:szCs w:val="24"/>
          <w:lang w:val="en-IE"/>
        </w:rPr>
        <w:t>proposes</w:t>
      </w:r>
      <w:r w:rsidR="00DB04B0" w:rsidRPr="00E76013">
        <w:rPr>
          <w:rFonts w:ascii="Times New Roman" w:eastAsia="Times New Roman" w:hAnsi="Times New Roman" w:cs="Times New Roman"/>
          <w:noProof/>
          <w:sz w:val="24"/>
          <w:szCs w:val="24"/>
          <w:lang w:val="en-IE"/>
        </w:rPr>
        <w:t xml:space="preserve"> </w:t>
      </w:r>
      <w:r w:rsidRPr="00E76013">
        <w:rPr>
          <w:rFonts w:ascii="Times New Roman" w:eastAsia="Times New Roman" w:hAnsi="Times New Roman" w:cs="Times New Roman"/>
          <w:noProof/>
          <w:sz w:val="24"/>
          <w:szCs w:val="24"/>
          <w:lang w:val="en-IE"/>
        </w:rPr>
        <w:t xml:space="preserve">solutions for growth and development by setting out strategic objectives such as an accelerated economic development, a demographic upswing and a reduction of inequalities. </w:t>
      </w:r>
      <w:r w:rsidR="008637B5" w:rsidRPr="00E76013">
        <w:rPr>
          <w:rFonts w:ascii="Times New Roman" w:eastAsia="Times New Roman" w:hAnsi="Times New Roman" w:cs="Times New Roman"/>
          <w:noProof/>
          <w:sz w:val="24"/>
          <w:szCs w:val="24"/>
          <w:lang w:val="en-IE"/>
        </w:rPr>
        <w:t>Even though</w:t>
      </w:r>
      <w:r w:rsidRPr="00E76013">
        <w:rPr>
          <w:rFonts w:ascii="Times New Roman" w:eastAsia="Times New Roman" w:hAnsi="Times New Roman" w:cs="Times New Roman"/>
          <w:noProof/>
          <w:sz w:val="24"/>
          <w:szCs w:val="24"/>
          <w:lang w:val="en-IE"/>
        </w:rPr>
        <w:t xml:space="preserve"> the government </w:t>
      </w:r>
      <w:r w:rsidR="00DB04B0">
        <w:rPr>
          <w:rFonts w:ascii="Times New Roman" w:eastAsia="Times New Roman" w:hAnsi="Times New Roman" w:cs="Times New Roman"/>
          <w:noProof/>
          <w:sz w:val="24"/>
          <w:szCs w:val="24"/>
          <w:lang w:val="en-IE"/>
        </w:rPr>
        <w:t xml:space="preserve">had </w:t>
      </w:r>
      <w:r w:rsidRPr="00E76013">
        <w:rPr>
          <w:rFonts w:ascii="Times New Roman" w:eastAsia="Times New Roman" w:hAnsi="Times New Roman" w:cs="Times New Roman"/>
          <w:noProof/>
          <w:sz w:val="24"/>
          <w:szCs w:val="24"/>
          <w:lang w:val="en-IE"/>
        </w:rPr>
        <w:t xml:space="preserve">adopted BULGARIA 2030 before the outbreak of the pandemic, the strategic choice of objectives remains valid, as the identified socio-economic vulnerabilities </w:t>
      </w:r>
      <w:r w:rsidR="00DB04B0">
        <w:rPr>
          <w:rFonts w:ascii="Times New Roman" w:eastAsia="Times New Roman" w:hAnsi="Times New Roman" w:cs="Times New Roman"/>
          <w:noProof/>
          <w:sz w:val="24"/>
          <w:szCs w:val="24"/>
          <w:lang w:val="en-IE"/>
        </w:rPr>
        <w:t xml:space="preserve">either </w:t>
      </w:r>
      <w:r w:rsidRPr="00E76013">
        <w:rPr>
          <w:rFonts w:ascii="Times New Roman" w:eastAsia="Times New Roman" w:hAnsi="Times New Roman" w:cs="Times New Roman"/>
          <w:noProof/>
          <w:sz w:val="24"/>
          <w:szCs w:val="24"/>
          <w:lang w:val="en-IE"/>
        </w:rPr>
        <w:t xml:space="preserve">persist or have </w:t>
      </w:r>
      <w:r w:rsidR="00DB04B0">
        <w:rPr>
          <w:rFonts w:ascii="Times New Roman" w:eastAsia="Times New Roman" w:hAnsi="Times New Roman" w:cs="Times New Roman"/>
          <w:noProof/>
          <w:sz w:val="24"/>
          <w:szCs w:val="24"/>
          <w:lang w:val="en-IE"/>
        </w:rPr>
        <w:t>worsened</w:t>
      </w:r>
      <w:r w:rsidRPr="00E76013">
        <w:rPr>
          <w:rFonts w:ascii="Times New Roman" w:eastAsia="Times New Roman" w:hAnsi="Times New Roman" w:cs="Times New Roman"/>
          <w:noProof/>
          <w:sz w:val="24"/>
          <w:szCs w:val="24"/>
          <w:lang w:val="en-IE"/>
        </w:rPr>
        <w:t xml:space="preserve"> in the last two years. At the same time, the </w:t>
      </w:r>
      <w:r w:rsidR="00D506D2"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aims </w:t>
      </w:r>
      <w:r w:rsidR="00DB04B0">
        <w:rPr>
          <w:rFonts w:ascii="Times New Roman" w:eastAsia="Times New Roman" w:hAnsi="Times New Roman" w:cs="Times New Roman"/>
          <w:noProof/>
          <w:sz w:val="24"/>
          <w:szCs w:val="24"/>
          <w:lang w:val="en-IE"/>
        </w:rPr>
        <w:t>to extend</w:t>
      </w:r>
      <w:r w:rsidRPr="00E76013">
        <w:rPr>
          <w:rFonts w:ascii="Times New Roman" w:eastAsia="Times New Roman" w:hAnsi="Times New Roman" w:cs="Times New Roman"/>
          <w:noProof/>
          <w:sz w:val="24"/>
          <w:szCs w:val="24"/>
          <w:lang w:val="en-IE"/>
        </w:rPr>
        <w:t xml:space="preserve"> the scope of the set of reforms and investments to other dimensions, while ensuring coherence with measures planned in parallel under the EU Cohesion Policy.</w:t>
      </w:r>
    </w:p>
    <w:p w14:paraId="15751753" w14:textId="14D13573" w:rsidR="0FBCE341" w:rsidRPr="00E76013" w:rsidRDefault="0FBCE341" w:rsidP="002A0BDC">
      <w:pPr>
        <w:spacing w:line="276" w:lineRule="auto"/>
        <w:jc w:val="both"/>
        <w:rPr>
          <w:rFonts w:ascii="Times New Roman" w:eastAsia="Times New Roman" w:hAnsi="Times New Roman" w:cs="Times New Roman"/>
          <w:b/>
          <w:noProof/>
          <w:sz w:val="24"/>
          <w:szCs w:val="24"/>
          <w:lang w:val="en-IE"/>
        </w:rPr>
      </w:pPr>
      <w:r w:rsidRPr="00E76013">
        <w:rPr>
          <w:rFonts w:ascii="Times New Roman" w:eastAsia="Times New Roman" w:hAnsi="Times New Roman" w:cs="Times New Roman"/>
          <w:b/>
          <w:noProof/>
          <w:sz w:val="24"/>
          <w:szCs w:val="24"/>
          <w:lang w:val="en-IE"/>
        </w:rPr>
        <w:t xml:space="preserve">The Bulgarian </w:t>
      </w:r>
      <w:r w:rsidR="001868DF" w:rsidRPr="00E76013">
        <w:rPr>
          <w:rFonts w:ascii="Times New Roman" w:eastAsia="Times New Roman" w:hAnsi="Times New Roman" w:cs="Times New Roman"/>
          <w:b/>
          <w:noProof/>
          <w:sz w:val="24"/>
          <w:szCs w:val="24"/>
          <w:lang w:val="en-IE"/>
        </w:rPr>
        <w:t xml:space="preserve">Plan </w:t>
      </w:r>
      <w:r w:rsidRPr="00E76013">
        <w:rPr>
          <w:rFonts w:ascii="Times New Roman" w:eastAsia="Times New Roman" w:hAnsi="Times New Roman" w:cs="Times New Roman"/>
          <w:b/>
          <w:noProof/>
          <w:sz w:val="24"/>
          <w:szCs w:val="24"/>
          <w:lang w:val="en-IE"/>
        </w:rPr>
        <w:t>is composed of twelve components grouped in four policy pillars: i) Innovative Bulgaria; ii) Green Bulgaria; iii) Connected Bulgaria; and iv) Fair Bulgaria.</w:t>
      </w:r>
    </w:p>
    <w:p w14:paraId="7B1B1D8E" w14:textId="3118458C" w:rsidR="57CB46E6" w:rsidRPr="00E76013" w:rsidRDefault="0FBCE341" w:rsidP="002A0BDC">
      <w:pPr>
        <w:spacing w:line="276" w:lineRule="auto"/>
        <w:jc w:val="both"/>
        <w:rPr>
          <w:rFonts w:ascii="Times New Roman" w:eastAsia="Times New Roman" w:hAnsi="Times New Roman" w:cs="Times New Roman"/>
          <w:noProof/>
          <w:sz w:val="24"/>
          <w:szCs w:val="24"/>
          <w:lang w:val="en-IE"/>
        </w:rPr>
      </w:pPr>
      <w:r w:rsidRPr="00E76013">
        <w:rPr>
          <w:rFonts w:ascii="Times New Roman" w:eastAsia="Times New Roman" w:hAnsi="Times New Roman" w:cs="Times New Roman"/>
          <w:b/>
          <w:noProof/>
          <w:sz w:val="24"/>
          <w:szCs w:val="24"/>
          <w:lang w:val="en-IE"/>
        </w:rPr>
        <w:t>Innovat</w:t>
      </w:r>
      <w:r w:rsidR="007314B3" w:rsidRPr="00E76013">
        <w:rPr>
          <w:rFonts w:ascii="Times New Roman" w:eastAsia="Times New Roman" w:hAnsi="Times New Roman" w:cs="Times New Roman"/>
          <w:b/>
          <w:noProof/>
          <w:sz w:val="24"/>
          <w:szCs w:val="24"/>
          <w:lang w:val="en-IE"/>
        </w:rPr>
        <w:t>ive</w:t>
      </w:r>
      <w:r w:rsidRPr="00E76013">
        <w:rPr>
          <w:rFonts w:ascii="Times New Roman" w:eastAsia="Times New Roman" w:hAnsi="Times New Roman" w:cs="Times New Roman"/>
          <w:b/>
          <w:noProof/>
          <w:sz w:val="24"/>
          <w:szCs w:val="24"/>
          <w:lang w:val="en-IE"/>
        </w:rPr>
        <w:t xml:space="preserve"> Bulgaria</w:t>
      </w:r>
      <w:r w:rsidRPr="00E76013">
        <w:rPr>
          <w:rFonts w:ascii="Times New Roman" w:eastAsia="Times New Roman" w:hAnsi="Times New Roman" w:cs="Times New Roman"/>
          <w:noProof/>
          <w:sz w:val="24"/>
          <w:szCs w:val="24"/>
          <w:lang w:val="en-IE"/>
        </w:rPr>
        <w:t xml:space="preserve"> includes reforms and investments aimed at contributing to a shift towards a knowledge-based economy grounded on smart growth, in order to increase competitiveness. It includes measures in the fields of education, digital skills, science, innovation, technology and their interconnections. This pillar is divided in 3 components:</w:t>
      </w:r>
    </w:p>
    <w:p w14:paraId="42CBA7CC" w14:textId="32C7682B" w:rsidR="57CB46E6" w:rsidRPr="00E76013" w:rsidRDefault="215565E5" w:rsidP="000B5405">
      <w:pPr>
        <w:pStyle w:val="ListParagraph"/>
        <w:numPr>
          <w:ilvl w:val="0"/>
          <w:numId w:val="6"/>
        </w:numPr>
        <w:spacing w:line="276" w:lineRule="auto"/>
        <w:jc w:val="both"/>
        <w:rPr>
          <w:rFonts w:ascii="Times New Roman" w:eastAsiaTheme="minorEastAsia" w:hAnsi="Times New Roman" w:cs="Times New Roman"/>
          <w:b/>
          <w:noProof/>
          <w:sz w:val="24"/>
          <w:szCs w:val="24"/>
          <w:lang w:val="en-IE"/>
        </w:rPr>
      </w:pPr>
      <w:r w:rsidRPr="00E76013">
        <w:rPr>
          <w:rFonts w:ascii="Times New Roman" w:eastAsia="Times New Roman" w:hAnsi="Times New Roman" w:cs="Times New Roman"/>
          <w:b/>
          <w:noProof/>
          <w:sz w:val="24"/>
          <w:szCs w:val="24"/>
          <w:lang w:val="en-IE"/>
        </w:rPr>
        <w:t xml:space="preserve">Component 1: Education and skills </w:t>
      </w:r>
      <w:r w:rsidRPr="00E76013">
        <w:rPr>
          <w:rFonts w:ascii="Times New Roman" w:eastAsia="Times New Roman" w:hAnsi="Times New Roman" w:cs="Times New Roman"/>
          <w:b/>
          <w:bCs/>
          <w:noProof/>
          <w:sz w:val="24"/>
          <w:szCs w:val="24"/>
          <w:lang w:val="en-IE"/>
        </w:rPr>
        <w:t>(</w:t>
      </w:r>
      <w:r w:rsidR="0FBCE341" w:rsidRPr="00E76013">
        <w:rPr>
          <w:rFonts w:ascii="Times New Roman" w:eastAsia="Times New Roman" w:hAnsi="Times New Roman" w:cs="Times New Roman"/>
          <w:b/>
          <w:bCs/>
          <w:noProof/>
          <w:sz w:val="24"/>
          <w:szCs w:val="24"/>
          <w:lang w:val="en-IE"/>
        </w:rPr>
        <w:t>total financial envelope of EUR 733</w:t>
      </w:r>
      <w:r w:rsidR="0FBCE341" w:rsidRPr="761004F4">
        <w:rPr>
          <w:rFonts w:ascii="Times New Roman" w:eastAsia="Times New Roman" w:hAnsi="Times New Roman" w:cs="Times New Roman"/>
          <w:b/>
          <w:bCs/>
          <w:noProof/>
          <w:sz w:val="24"/>
          <w:szCs w:val="24"/>
          <w:lang w:val="en-IE"/>
        </w:rPr>
        <w:t>.</w:t>
      </w:r>
      <w:r w:rsidR="0FBCE341" w:rsidRPr="00E76013">
        <w:rPr>
          <w:rFonts w:ascii="Times New Roman" w:eastAsia="Times New Roman" w:hAnsi="Times New Roman" w:cs="Times New Roman"/>
          <w:b/>
          <w:bCs/>
          <w:noProof/>
          <w:sz w:val="24"/>
          <w:szCs w:val="24"/>
          <w:lang w:val="en-IE"/>
        </w:rPr>
        <w:t>5 million)</w:t>
      </w:r>
      <w:r w:rsidRPr="00E76013">
        <w:rPr>
          <w:rFonts w:ascii="Times New Roman" w:eastAsia="Times New Roman" w:hAnsi="Times New Roman" w:cs="Times New Roman"/>
          <w:b/>
          <w:bCs/>
          <w:noProof/>
          <w:sz w:val="24"/>
          <w:szCs w:val="24"/>
          <w:lang w:val="en-IE"/>
        </w:rPr>
        <w:t xml:space="preserve">. </w:t>
      </w:r>
      <w:r w:rsidR="0FBCE341" w:rsidRPr="00E76013">
        <w:rPr>
          <w:rFonts w:ascii="Times New Roman" w:eastAsia="Times New Roman" w:hAnsi="Times New Roman" w:cs="Times New Roman"/>
          <w:noProof/>
          <w:sz w:val="24"/>
          <w:szCs w:val="24"/>
          <w:lang w:val="en-IE"/>
        </w:rPr>
        <w:t xml:space="preserve">The policy objective is to increase the quality and coverage of education and training, improving the skill set of the workforce to adapt to technological transformation in the labour market. It includes investments in the </w:t>
      </w:r>
      <w:r w:rsidR="1ADE9C69" w:rsidRPr="00E76013">
        <w:rPr>
          <w:rFonts w:ascii="Times New Roman" w:eastAsia="Times New Roman" w:hAnsi="Times New Roman" w:cs="Times New Roman"/>
          <w:noProof/>
          <w:sz w:val="24"/>
          <w:szCs w:val="24"/>
          <w:lang w:val="en-IE"/>
        </w:rPr>
        <w:t>modernisation</w:t>
      </w:r>
      <w:r w:rsidR="0FBCE341" w:rsidRPr="00E76013">
        <w:rPr>
          <w:rFonts w:ascii="Times New Roman" w:eastAsia="Times New Roman" w:hAnsi="Times New Roman" w:cs="Times New Roman"/>
          <w:noProof/>
          <w:sz w:val="24"/>
          <w:szCs w:val="24"/>
          <w:lang w:val="en-IE"/>
        </w:rPr>
        <w:t xml:space="preserve"> of educational institutions and youth centres, a comprehensive education reform</w:t>
      </w:r>
      <w:r w:rsidR="1ADE9C69" w:rsidRPr="00E76013">
        <w:rPr>
          <w:rFonts w:ascii="Times New Roman" w:eastAsia="Times New Roman" w:hAnsi="Times New Roman" w:cs="Times New Roman"/>
          <w:noProof/>
          <w:sz w:val="24"/>
          <w:szCs w:val="24"/>
          <w:lang w:val="en-IE"/>
        </w:rPr>
        <w:t>, covering</w:t>
      </w:r>
      <w:r w:rsidR="0FBCE341" w:rsidRPr="00E76013">
        <w:rPr>
          <w:rFonts w:ascii="Times New Roman" w:eastAsia="Times New Roman" w:hAnsi="Times New Roman" w:cs="Times New Roman"/>
          <w:noProof/>
          <w:sz w:val="24"/>
          <w:szCs w:val="24"/>
          <w:lang w:val="en-IE"/>
        </w:rPr>
        <w:t xml:space="preserve"> pre-school</w:t>
      </w:r>
      <w:r w:rsidR="1ADE9C69" w:rsidRPr="00E76013">
        <w:rPr>
          <w:rFonts w:ascii="Times New Roman" w:eastAsia="Times New Roman" w:hAnsi="Times New Roman" w:cs="Times New Roman"/>
          <w:noProof/>
          <w:sz w:val="24"/>
          <w:szCs w:val="24"/>
          <w:lang w:val="en-IE"/>
        </w:rPr>
        <w:t>, school and</w:t>
      </w:r>
      <w:r w:rsidR="0FBCE341" w:rsidRPr="00E76013">
        <w:rPr>
          <w:rFonts w:ascii="Times New Roman" w:eastAsia="Times New Roman" w:hAnsi="Times New Roman" w:cs="Times New Roman"/>
          <w:noProof/>
          <w:sz w:val="24"/>
          <w:szCs w:val="24"/>
          <w:lang w:val="en-IE"/>
        </w:rPr>
        <w:t xml:space="preserve"> higher education</w:t>
      </w:r>
      <w:r w:rsidR="1ADE9C69" w:rsidRPr="00E76013">
        <w:rPr>
          <w:rFonts w:ascii="Times New Roman" w:eastAsia="Times New Roman" w:hAnsi="Times New Roman" w:cs="Times New Roman"/>
          <w:noProof/>
          <w:sz w:val="24"/>
          <w:szCs w:val="24"/>
          <w:lang w:val="en-IE"/>
        </w:rPr>
        <w:t>, the</w:t>
      </w:r>
      <w:r w:rsidR="0FBCE341" w:rsidRPr="00E76013">
        <w:rPr>
          <w:rFonts w:ascii="Times New Roman" w:eastAsia="Times New Roman" w:hAnsi="Times New Roman" w:cs="Times New Roman"/>
          <w:noProof/>
          <w:sz w:val="24"/>
          <w:szCs w:val="24"/>
          <w:lang w:val="en-IE"/>
        </w:rPr>
        <w:t xml:space="preserve"> creation of a national STEM environment for skills of tomorrow and the establishment of a national online platform for adult learning</w:t>
      </w:r>
      <w:r w:rsidR="1ADE9C69" w:rsidRPr="00E76013">
        <w:rPr>
          <w:rFonts w:ascii="Times New Roman" w:eastAsia="Times New Roman" w:hAnsi="Times New Roman" w:cs="Times New Roman"/>
          <w:noProof/>
          <w:sz w:val="24"/>
          <w:szCs w:val="24"/>
          <w:lang w:val="en-IE"/>
        </w:rPr>
        <w:t xml:space="preserve">, covering </w:t>
      </w:r>
      <w:r w:rsidR="0FBCE341" w:rsidRPr="00E76013">
        <w:rPr>
          <w:rFonts w:ascii="Times New Roman" w:eastAsia="Times New Roman" w:hAnsi="Times New Roman" w:cs="Times New Roman"/>
          <w:noProof/>
          <w:sz w:val="24"/>
          <w:szCs w:val="24"/>
          <w:lang w:val="en-IE"/>
        </w:rPr>
        <w:t>upskilling and reskilling</w:t>
      </w:r>
      <w:r w:rsidR="00976F41">
        <w:rPr>
          <w:rFonts w:ascii="Times New Roman" w:eastAsia="Times New Roman" w:hAnsi="Times New Roman" w:cs="Times New Roman"/>
          <w:noProof/>
          <w:sz w:val="24"/>
          <w:szCs w:val="24"/>
          <w:lang w:val="en-IE"/>
        </w:rPr>
        <w:t xml:space="preserve"> </w:t>
      </w:r>
      <w:r w:rsidR="00976F41" w:rsidRPr="58605E46">
        <w:rPr>
          <w:rFonts w:ascii="Times New Roman" w:eastAsia="Times New Roman" w:hAnsi="Times New Roman" w:cs="Times New Roman"/>
          <w:noProof/>
          <w:sz w:val="24"/>
          <w:szCs w:val="24"/>
          <w:lang w:val="en-IE"/>
        </w:rPr>
        <w:t>of the population</w:t>
      </w:r>
      <w:r w:rsidR="0FBCE341" w:rsidRPr="00E76013">
        <w:rPr>
          <w:rFonts w:ascii="Times New Roman" w:eastAsia="Times New Roman" w:hAnsi="Times New Roman" w:cs="Times New Roman"/>
          <w:noProof/>
          <w:sz w:val="24"/>
          <w:szCs w:val="24"/>
          <w:lang w:val="en-IE"/>
        </w:rPr>
        <w:t xml:space="preserve">. The component contributes to addressing country-specific recommendations related to employability by enhancing skills, including digital skills and </w:t>
      </w:r>
      <w:r w:rsidR="00D169DF" w:rsidRPr="58605E46">
        <w:rPr>
          <w:rFonts w:ascii="Times New Roman" w:eastAsia="Times New Roman" w:hAnsi="Times New Roman" w:cs="Times New Roman"/>
          <w:noProof/>
          <w:sz w:val="24"/>
          <w:szCs w:val="24"/>
          <w:lang w:val="en-IE"/>
        </w:rPr>
        <w:t xml:space="preserve">improving the quality and equal access to </w:t>
      </w:r>
      <w:r w:rsidR="0FBCE341" w:rsidRPr="00E76013">
        <w:rPr>
          <w:rFonts w:ascii="Times New Roman" w:eastAsia="Times New Roman" w:hAnsi="Times New Roman" w:cs="Times New Roman"/>
          <w:noProof/>
          <w:sz w:val="24"/>
          <w:szCs w:val="24"/>
          <w:lang w:val="en-IE"/>
        </w:rPr>
        <w:t xml:space="preserve">education and training (country-specific recommendation 4 </w:t>
      </w:r>
      <w:r w:rsidR="00D169DF">
        <w:rPr>
          <w:rFonts w:ascii="Times New Roman" w:eastAsia="Times New Roman" w:hAnsi="Times New Roman" w:cs="Times New Roman"/>
          <w:noProof/>
          <w:sz w:val="24"/>
          <w:szCs w:val="24"/>
          <w:lang w:val="en-IE"/>
        </w:rPr>
        <w:t xml:space="preserve">from </w:t>
      </w:r>
      <w:r w:rsidR="00D169DF" w:rsidRPr="58605E46">
        <w:rPr>
          <w:rFonts w:ascii="Times New Roman" w:eastAsia="Times New Roman" w:hAnsi="Times New Roman" w:cs="Times New Roman"/>
          <w:noProof/>
          <w:sz w:val="24"/>
          <w:szCs w:val="24"/>
          <w:lang w:val="en-IE"/>
        </w:rPr>
        <w:t>2019 and 2 from</w:t>
      </w:r>
      <w:r w:rsidR="00D169DF" w:rsidRPr="00E76013">
        <w:rPr>
          <w:rFonts w:ascii="Times New Roman" w:eastAsia="Times New Roman" w:hAnsi="Times New Roman" w:cs="Times New Roman"/>
          <w:noProof/>
          <w:sz w:val="24"/>
          <w:szCs w:val="24"/>
          <w:lang w:val="en-IE"/>
        </w:rPr>
        <w:t xml:space="preserve"> 2020</w:t>
      </w:r>
      <w:r w:rsidR="0FBCE341" w:rsidRPr="00E76013">
        <w:rPr>
          <w:rFonts w:ascii="Times New Roman" w:eastAsia="Times New Roman" w:hAnsi="Times New Roman" w:cs="Times New Roman"/>
          <w:noProof/>
          <w:sz w:val="24"/>
          <w:szCs w:val="24"/>
          <w:lang w:val="en-IE"/>
        </w:rPr>
        <w:t>).</w:t>
      </w:r>
    </w:p>
    <w:p w14:paraId="16392707" w14:textId="78E11279" w:rsidR="57CB46E6" w:rsidRPr="00E76013" w:rsidRDefault="0FBCE341" w:rsidP="000B5405">
      <w:pPr>
        <w:pStyle w:val="ListParagraph"/>
        <w:numPr>
          <w:ilvl w:val="0"/>
          <w:numId w:val="6"/>
        </w:numPr>
        <w:spacing w:line="276" w:lineRule="auto"/>
        <w:jc w:val="both"/>
        <w:rPr>
          <w:rFonts w:eastAsiaTheme="minorEastAsia"/>
          <w:b/>
          <w:noProof/>
          <w:sz w:val="24"/>
          <w:szCs w:val="24"/>
          <w:lang w:val="en-IE"/>
        </w:rPr>
      </w:pPr>
      <w:r w:rsidRPr="00E76013">
        <w:rPr>
          <w:rFonts w:ascii="Times New Roman" w:eastAsia="Times New Roman" w:hAnsi="Times New Roman" w:cs="Times New Roman"/>
          <w:b/>
          <w:noProof/>
          <w:sz w:val="24"/>
          <w:szCs w:val="24"/>
          <w:lang w:val="en-IE"/>
        </w:rPr>
        <w:t>Component 2: Research and innovation (EUR 211</w:t>
      </w:r>
      <w:r w:rsidRPr="761004F4">
        <w:rPr>
          <w:rFonts w:ascii="Times New Roman" w:eastAsia="Times New Roman" w:hAnsi="Times New Roman" w:cs="Times New Roman"/>
          <w:b/>
          <w:bCs/>
          <w:noProof/>
          <w:sz w:val="24"/>
          <w:szCs w:val="24"/>
          <w:lang w:val="en-IE"/>
        </w:rPr>
        <w:t>.3</w:t>
      </w:r>
      <w:r w:rsidRPr="00E76013">
        <w:rPr>
          <w:rFonts w:ascii="Times New Roman" w:eastAsia="Times New Roman" w:hAnsi="Times New Roman" w:cs="Times New Roman"/>
          <w:b/>
          <w:noProof/>
          <w:sz w:val="24"/>
          <w:szCs w:val="24"/>
          <w:lang w:val="en-IE"/>
        </w:rPr>
        <w:t xml:space="preserve"> million)</w:t>
      </w:r>
      <w:r w:rsidRPr="00E76013">
        <w:rPr>
          <w:rFonts w:ascii="Times New Roman" w:eastAsia="Times New Roman" w:hAnsi="Times New Roman" w:cs="Times New Roman"/>
          <w:noProof/>
          <w:sz w:val="24"/>
          <w:szCs w:val="24"/>
          <w:lang w:val="en-IE"/>
        </w:rPr>
        <w:t>. The policy objective is to provide a favourable environment for the development of innovative enterprises, creating conditions for businesses to pursue new products, processes and services, improving the innovation output of Bulgaria and, consequently, economic growth in the medium and long term. The component contains a reform of the Bulgarian research and innovation ecosystem, through the adoption of the Research and Innovation Act, aimed at defining the legal parameters of innovation policy funding, and the establishment of the Innovation Board, an advisory body to the relevant ministries on research and innovation policy. The component further includes investments in science and innovation in a programme for accelerating economic recovery and transformation and in projects to enhance the innovation capacity of the Bulgarian Academy of Sciences (BAS). The measures address</w:t>
      </w:r>
      <w:r w:rsidR="00BA467A">
        <w:rPr>
          <w:rFonts w:ascii="Times New Roman" w:eastAsia="Times New Roman" w:hAnsi="Times New Roman" w:cs="Times New Roman"/>
          <w:noProof/>
          <w:sz w:val="24"/>
          <w:szCs w:val="24"/>
          <w:lang w:val="en-IE"/>
        </w:rPr>
        <w:t xml:space="preserve"> </w:t>
      </w:r>
      <w:r w:rsidR="00112223">
        <w:rPr>
          <w:rFonts w:ascii="Times New Roman" w:eastAsia="Times New Roman" w:hAnsi="Times New Roman" w:cs="Times New Roman"/>
          <w:noProof/>
          <w:sz w:val="24"/>
          <w:szCs w:val="24"/>
          <w:lang w:val="en-IE"/>
        </w:rPr>
        <w:t>country-specific recommendations</w:t>
      </w:r>
      <w:r w:rsidRPr="00E76013">
        <w:rPr>
          <w:rFonts w:ascii="Times New Roman" w:eastAsia="Times New Roman" w:hAnsi="Times New Roman" w:cs="Times New Roman"/>
          <w:noProof/>
          <w:sz w:val="24"/>
          <w:szCs w:val="24"/>
          <w:lang w:val="en-IE"/>
        </w:rPr>
        <w:t xml:space="preserve"> </w:t>
      </w:r>
      <w:r w:rsidR="008637B5" w:rsidRPr="00E76013">
        <w:rPr>
          <w:rFonts w:ascii="Times New Roman" w:eastAsia="Times New Roman" w:hAnsi="Times New Roman" w:cs="Times New Roman"/>
          <w:noProof/>
          <w:sz w:val="24"/>
          <w:szCs w:val="24"/>
          <w:lang w:val="en-IE"/>
        </w:rPr>
        <w:t>focusing on</w:t>
      </w:r>
      <w:r w:rsidRPr="00E76013">
        <w:rPr>
          <w:rFonts w:ascii="Times New Roman" w:eastAsia="Times New Roman" w:hAnsi="Times New Roman" w:cs="Times New Roman"/>
          <w:noProof/>
          <w:sz w:val="24"/>
          <w:szCs w:val="24"/>
          <w:lang w:val="en-IE"/>
        </w:rPr>
        <w:t xml:space="preserve"> investment-related economic policy on research and innovation</w:t>
      </w:r>
      <w:r w:rsidR="008637B5" w:rsidRPr="00E76013">
        <w:rPr>
          <w:rFonts w:ascii="Times New Roman" w:eastAsia="Times New Roman" w:hAnsi="Times New Roman" w:cs="Times New Roman"/>
          <w:noProof/>
          <w:sz w:val="24"/>
          <w:szCs w:val="24"/>
          <w:lang w:val="en-IE"/>
        </w:rPr>
        <w:t xml:space="preserve"> (CSR 3, 2019</w:t>
      </w:r>
      <w:r w:rsidRPr="00E76013">
        <w:rPr>
          <w:rFonts w:ascii="Times New Roman" w:eastAsia="Times New Roman" w:hAnsi="Times New Roman" w:cs="Times New Roman"/>
          <w:noProof/>
          <w:sz w:val="24"/>
          <w:szCs w:val="24"/>
          <w:lang w:val="en-IE"/>
        </w:rPr>
        <w:t xml:space="preserve">) and </w:t>
      </w:r>
      <w:r w:rsidR="008637B5" w:rsidRPr="00E76013">
        <w:rPr>
          <w:rFonts w:ascii="Times New Roman" w:eastAsia="Times New Roman" w:hAnsi="Times New Roman" w:cs="Times New Roman"/>
          <w:noProof/>
          <w:sz w:val="24"/>
          <w:szCs w:val="24"/>
          <w:lang w:val="en-IE"/>
        </w:rPr>
        <w:t>s</w:t>
      </w:r>
      <w:r w:rsidRPr="00E76013">
        <w:rPr>
          <w:rFonts w:ascii="Times New Roman" w:eastAsia="Times New Roman" w:hAnsi="Times New Roman" w:cs="Times New Roman"/>
          <w:noProof/>
          <w:sz w:val="24"/>
          <w:szCs w:val="24"/>
          <w:lang w:val="en-IE"/>
        </w:rPr>
        <w:t>treamlin</w:t>
      </w:r>
      <w:r w:rsidR="008637B5" w:rsidRPr="00E76013">
        <w:rPr>
          <w:rFonts w:ascii="Times New Roman" w:eastAsia="Times New Roman" w:hAnsi="Times New Roman" w:cs="Times New Roman"/>
          <w:noProof/>
          <w:sz w:val="24"/>
          <w:szCs w:val="24"/>
          <w:lang w:val="en-IE"/>
        </w:rPr>
        <w:t>ing</w:t>
      </w:r>
      <w:r w:rsidRPr="00E76013">
        <w:rPr>
          <w:rFonts w:ascii="Times New Roman" w:eastAsia="Times New Roman" w:hAnsi="Times New Roman" w:cs="Times New Roman"/>
          <w:noProof/>
          <w:sz w:val="24"/>
          <w:szCs w:val="24"/>
          <w:lang w:val="en-IE"/>
        </w:rPr>
        <w:t xml:space="preserve"> and accelerate the procedures to provide effective support to small and medium-sized enterprises and self-employed</w:t>
      </w:r>
      <w:r w:rsidR="008637B5" w:rsidRPr="00E76013">
        <w:rPr>
          <w:rFonts w:ascii="Times New Roman" w:eastAsia="Times New Roman" w:hAnsi="Times New Roman" w:cs="Times New Roman"/>
          <w:noProof/>
          <w:sz w:val="24"/>
          <w:szCs w:val="24"/>
          <w:lang w:val="en-IE"/>
        </w:rPr>
        <w:t xml:space="preserve"> (CSR 3 of 2020</w:t>
      </w:r>
      <w:r w:rsidRPr="00E76013">
        <w:rPr>
          <w:rFonts w:ascii="Times New Roman" w:eastAsia="Times New Roman" w:hAnsi="Times New Roman" w:cs="Times New Roman"/>
          <w:noProof/>
          <w:sz w:val="24"/>
          <w:szCs w:val="24"/>
          <w:lang w:val="en-IE"/>
        </w:rPr>
        <w:t>).</w:t>
      </w:r>
    </w:p>
    <w:p w14:paraId="20E101DF" w14:textId="3B6FA1D5" w:rsidR="001C13B7" w:rsidRPr="001C13B7" w:rsidRDefault="0FBCE341" w:rsidP="000B5405">
      <w:pPr>
        <w:pStyle w:val="ListParagraph"/>
        <w:numPr>
          <w:ilvl w:val="0"/>
          <w:numId w:val="6"/>
        </w:numPr>
        <w:spacing w:line="276" w:lineRule="auto"/>
        <w:jc w:val="both"/>
        <w:rPr>
          <w:rFonts w:ascii="Times New Roman" w:eastAsia="Times New Roman" w:hAnsi="Times New Roman" w:cs="Times New Roman"/>
          <w:noProof/>
          <w:sz w:val="24"/>
          <w:szCs w:val="24"/>
          <w:lang w:val="en-IE"/>
        </w:rPr>
      </w:pPr>
      <w:r w:rsidRPr="00E76013">
        <w:rPr>
          <w:rFonts w:ascii="Times New Roman" w:eastAsia="Times New Roman" w:hAnsi="Times New Roman" w:cs="Times New Roman"/>
          <w:b/>
          <w:noProof/>
          <w:sz w:val="24"/>
          <w:szCs w:val="24"/>
          <w:lang w:val="en-IE"/>
        </w:rPr>
        <w:t xml:space="preserve">Component 3: Smart industry (EUR </w:t>
      </w:r>
      <w:r w:rsidRPr="00E76013">
        <w:rPr>
          <w:rFonts w:ascii="Times New Roman" w:eastAsia="Times New Roman" w:hAnsi="Times New Roman" w:cs="Times New Roman"/>
          <w:b/>
          <w:bCs/>
          <w:noProof/>
          <w:sz w:val="24"/>
          <w:szCs w:val="24"/>
          <w:lang w:val="en-IE"/>
        </w:rPr>
        <w:t>800.7</w:t>
      </w:r>
      <w:r w:rsidRPr="00E76013">
        <w:rPr>
          <w:rFonts w:ascii="Times New Roman" w:eastAsia="Times New Roman" w:hAnsi="Times New Roman" w:cs="Times New Roman"/>
          <w:b/>
          <w:noProof/>
          <w:sz w:val="24"/>
          <w:szCs w:val="24"/>
          <w:lang w:val="en-IE"/>
        </w:rPr>
        <w:t xml:space="preserve"> million</w:t>
      </w:r>
      <w:r w:rsidR="1ADE9C69" w:rsidRPr="00E76013">
        <w:rPr>
          <w:rFonts w:ascii="Times New Roman" w:eastAsia="Times New Roman" w:hAnsi="Times New Roman" w:cs="Times New Roman"/>
          <w:b/>
          <w:bCs/>
          <w:noProof/>
          <w:sz w:val="24"/>
          <w:szCs w:val="24"/>
          <w:lang w:val="en-IE"/>
        </w:rPr>
        <w:t>).</w:t>
      </w:r>
      <w:r w:rsidRPr="00E76013">
        <w:rPr>
          <w:rFonts w:ascii="Times New Roman" w:eastAsia="Times New Roman" w:hAnsi="Times New Roman" w:cs="Times New Roman"/>
          <w:noProof/>
          <w:sz w:val="24"/>
          <w:szCs w:val="24"/>
          <w:lang w:val="en-IE"/>
        </w:rPr>
        <w:t xml:space="preserve"> The reforms and investments included in this component aim </w:t>
      </w:r>
      <w:r w:rsidR="004B720A">
        <w:rPr>
          <w:rFonts w:ascii="Times New Roman" w:eastAsia="Times New Roman" w:hAnsi="Times New Roman" w:cs="Times New Roman"/>
          <w:noProof/>
          <w:sz w:val="24"/>
          <w:szCs w:val="24"/>
          <w:lang w:val="en-IE"/>
        </w:rPr>
        <w:t>to create</w:t>
      </w:r>
      <w:r w:rsidRPr="00E76013">
        <w:rPr>
          <w:rFonts w:ascii="Times New Roman" w:eastAsia="Times New Roman" w:hAnsi="Times New Roman" w:cs="Times New Roman"/>
          <w:noProof/>
          <w:sz w:val="24"/>
          <w:szCs w:val="24"/>
          <w:lang w:val="en-IE"/>
        </w:rPr>
        <w:t xml:space="preserve"> favourable conditions for private investment in Bulgaria. In particular, the component aims </w:t>
      </w:r>
      <w:r w:rsidR="004B720A">
        <w:rPr>
          <w:rFonts w:ascii="Times New Roman" w:eastAsia="Times New Roman" w:hAnsi="Times New Roman" w:cs="Times New Roman"/>
          <w:noProof/>
          <w:sz w:val="24"/>
          <w:szCs w:val="24"/>
          <w:lang w:val="en-IE"/>
        </w:rPr>
        <w:t>to attract</w:t>
      </w:r>
      <w:r w:rsidRPr="00E76013">
        <w:rPr>
          <w:rFonts w:ascii="Times New Roman" w:eastAsia="Times New Roman" w:hAnsi="Times New Roman" w:cs="Times New Roman"/>
          <w:noProof/>
          <w:sz w:val="24"/>
          <w:szCs w:val="24"/>
          <w:lang w:val="en-IE"/>
        </w:rPr>
        <w:t xml:space="preserve"> industrial investments and develop industrial ecosystems and support small and medium</w:t>
      </w:r>
      <w:r w:rsidR="1ADE9C69" w:rsidRPr="00E76013">
        <w:rPr>
          <w:rFonts w:ascii="Times New Roman" w:eastAsia="Times New Roman" w:hAnsi="Times New Roman" w:cs="Times New Roman"/>
          <w:noProof/>
          <w:sz w:val="24"/>
          <w:szCs w:val="24"/>
          <w:lang w:val="en-IE"/>
        </w:rPr>
        <w:t>-sized</w:t>
      </w:r>
      <w:r w:rsidRPr="00E76013">
        <w:rPr>
          <w:rFonts w:ascii="Times New Roman" w:eastAsia="Times New Roman" w:hAnsi="Times New Roman" w:cs="Times New Roman"/>
          <w:noProof/>
          <w:sz w:val="24"/>
          <w:szCs w:val="24"/>
          <w:lang w:val="en-IE"/>
        </w:rPr>
        <w:t xml:space="preserve"> enterprises and mid-capitalisation companies in </w:t>
      </w:r>
      <w:r w:rsidR="1ADE9C69" w:rsidRPr="00E76013">
        <w:rPr>
          <w:rFonts w:ascii="Times New Roman" w:eastAsia="Times New Roman" w:hAnsi="Times New Roman" w:cs="Times New Roman"/>
          <w:noProof/>
          <w:sz w:val="24"/>
          <w:szCs w:val="24"/>
          <w:lang w:val="en-IE"/>
        </w:rPr>
        <w:t>modernising</w:t>
      </w:r>
      <w:r w:rsidRPr="00E76013">
        <w:rPr>
          <w:rFonts w:ascii="Times New Roman" w:eastAsia="Times New Roman" w:hAnsi="Times New Roman" w:cs="Times New Roman"/>
          <w:noProof/>
          <w:sz w:val="24"/>
          <w:szCs w:val="24"/>
          <w:lang w:val="en-IE"/>
        </w:rPr>
        <w:t xml:space="preserve"> their technology and in their transition to green, circular and digital-oriented business practices. The investments </w:t>
      </w:r>
      <w:r w:rsidR="001C13B7">
        <w:rPr>
          <w:rFonts w:ascii="Times New Roman" w:eastAsia="Times New Roman" w:hAnsi="Times New Roman" w:cs="Times New Roman"/>
          <w:noProof/>
          <w:sz w:val="24"/>
          <w:szCs w:val="24"/>
          <w:lang w:val="en-IE"/>
        </w:rPr>
        <w:t>include</w:t>
      </w:r>
      <w:r w:rsidR="001C13B7" w:rsidRPr="00E76013">
        <w:rPr>
          <w:rFonts w:ascii="Times New Roman" w:eastAsia="Times New Roman" w:hAnsi="Times New Roman" w:cs="Times New Roman"/>
          <w:noProof/>
          <w:sz w:val="24"/>
          <w:szCs w:val="24"/>
          <w:lang w:val="en-IE"/>
        </w:rPr>
        <w:t xml:space="preserve"> </w:t>
      </w:r>
      <w:r w:rsidRPr="00E76013">
        <w:rPr>
          <w:rFonts w:ascii="Times New Roman" w:eastAsia="Times New Roman" w:hAnsi="Times New Roman" w:cs="Times New Roman"/>
          <w:noProof/>
          <w:sz w:val="24"/>
          <w:szCs w:val="24"/>
          <w:lang w:val="en-IE"/>
        </w:rPr>
        <w:t xml:space="preserve">the setup of an economic transformation programme (with a budget of EUR 690 </w:t>
      </w:r>
      <w:r w:rsidR="1ADE9C69" w:rsidRPr="00E76013">
        <w:rPr>
          <w:rFonts w:ascii="Times New Roman" w:eastAsia="Times New Roman" w:hAnsi="Times New Roman" w:cs="Times New Roman"/>
          <w:noProof/>
          <w:sz w:val="24"/>
          <w:szCs w:val="24"/>
          <w:lang w:val="en-IE"/>
        </w:rPr>
        <w:t>million</w:t>
      </w:r>
      <w:r w:rsidRPr="00E76013">
        <w:rPr>
          <w:rFonts w:ascii="Times New Roman" w:eastAsia="Times New Roman" w:hAnsi="Times New Roman" w:cs="Times New Roman"/>
          <w:noProof/>
          <w:sz w:val="24"/>
          <w:szCs w:val="24"/>
          <w:lang w:val="en-IE"/>
        </w:rPr>
        <w:t xml:space="preserve">, almost 10% of the entire Bulgarian </w:t>
      </w:r>
      <w:r w:rsidR="001868DF" w:rsidRPr="00E76013">
        <w:rPr>
          <w:rFonts w:ascii="Times New Roman" w:eastAsia="Times New Roman" w:hAnsi="Times New Roman" w:cs="Times New Roman"/>
          <w:noProof/>
          <w:sz w:val="24"/>
          <w:szCs w:val="24"/>
          <w:lang w:val="en-IE"/>
        </w:rPr>
        <w:t>Plan</w:t>
      </w:r>
      <w:r w:rsidRPr="00E76013">
        <w:rPr>
          <w:rFonts w:ascii="Times New Roman" w:eastAsia="Times New Roman" w:hAnsi="Times New Roman" w:cs="Times New Roman"/>
          <w:noProof/>
          <w:sz w:val="24"/>
          <w:szCs w:val="24"/>
          <w:lang w:val="en-IE"/>
        </w:rPr>
        <w:t xml:space="preserve">, a far-reaching support programme for businesses composed of grants and financial instruments), and a support program for the infrastructural development of industrial parks and zones. </w:t>
      </w:r>
      <w:r w:rsidR="001C13B7" w:rsidRPr="001C13B7">
        <w:rPr>
          <w:rFonts w:ascii="Times New Roman" w:eastAsia="Times New Roman" w:hAnsi="Times New Roman" w:cs="Times New Roman"/>
          <w:noProof/>
          <w:sz w:val="24"/>
          <w:szCs w:val="24"/>
          <w:lang w:val="en-IE"/>
        </w:rPr>
        <w:t>The measures address country-specific recommendations focusing on investment-related economic policy on research and innovation (CSR 3, 2019) and streamlining and accelerate the procedures to provide effective support to small and medium-sized enterprises and self-employed</w:t>
      </w:r>
      <w:r w:rsidR="001C13B7" w:rsidRPr="00E76013">
        <w:rPr>
          <w:rFonts w:ascii="Times New Roman" w:eastAsia="Times New Roman" w:hAnsi="Times New Roman" w:cs="Times New Roman"/>
          <w:noProof/>
          <w:sz w:val="24"/>
          <w:szCs w:val="24"/>
          <w:lang w:val="en-IE"/>
        </w:rPr>
        <w:t>, also ensuring their continued access to finance and flexible payment arrangements</w:t>
      </w:r>
      <w:r w:rsidR="001C13B7" w:rsidRPr="001C13B7">
        <w:rPr>
          <w:rFonts w:ascii="Times New Roman" w:eastAsia="Times New Roman" w:hAnsi="Times New Roman" w:cs="Times New Roman"/>
          <w:noProof/>
          <w:sz w:val="24"/>
          <w:szCs w:val="24"/>
          <w:lang w:val="en-IE"/>
        </w:rPr>
        <w:t xml:space="preserve"> (CSR 3</w:t>
      </w:r>
      <w:r w:rsidR="74129E1F" w:rsidRPr="486E839B">
        <w:rPr>
          <w:rFonts w:ascii="Times New Roman" w:eastAsia="Times New Roman" w:hAnsi="Times New Roman" w:cs="Times New Roman"/>
          <w:noProof/>
          <w:sz w:val="24"/>
          <w:szCs w:val="24"/>
          <w:lang w:val="en-IE"/>
        </w:rPr>
        <w:t>,</w:t>
      </w:r>
      <w:r w:rsidR="001C13B7" w:rsidRPr="001C13B7">
        <w:rPr>
          <w:rFonts w:ascii="Times New Roman" w:eastAsia="Times New Roman" w:hAnsi="Times New Roman" w:cs="Times New Roman"/>
          <w:noProof/>
          <w:sz w:val="24"/>
          <w:szCs w:val="24"/>
          <w:lang w:val="en-IE"/>
        </w:rPr>
        <w:t xml:space="preserve"> 2020).</w:t>
      </w:r>
    </w:p>
    <w:p w14:paraId="368C9B5E" w14:textId="43CA7713" w:rsidR="57CB46E6" w:rsidRPr="00E76013" w:rsidRDefault="0FBCE341" w:rsidP="000B5405">
      <w:pPr>
        <w:spacing w:line="276" w:lineRule="auto"/>
        <w:jc w:val="both"/>
        <w:rPr>
          <w:rFonts w:ascii="Times New Roman" w:eastAsiaTheme="minorEastAsia" w:hAnsi="Times New Roman" w:cs="Times New Roman"/>
          <w:b/>
          <w:noProof/>
          <w:lang w:val="en-IE"/>
        </w:rPr>
      </w:pPr>
      <w:r w:rsidRPr="00E76013">
        <w:rPr>
          <w:rFonts w:ascii="Times New Roman" w:eastAsia="Times New Roman" w:hAnsi="Times New Roman" w:cs="Times New Roman"/>
          <w:b/>
          <w:noProof/>
          <w:sz w:val="24"/>
          <w:szCs w:val="24"/>
          <w:lang w:val="en-IE"/>
        </w:rPr>
        <w:t>Green Bulgaria</w:t>
      </w:r>
      <w:r w:rsidRPr="00E76013">
        <w:rPr>
          <w:rFonts w:ascii="Times New Roman" w:eastAsia="Times New Roman" w:hAnsi="Times New Roman" w:cs="Times New Roman"/>
          <w:noProof/>
          <w:sz w:val="24"/>
          <w:szCs w:val="24"/>
          <w:lang w:val="en-IE"/>
        </w:rPr>
        <w:t xml:space="preserve"> includes reforms and investments focusing on the sustainable management of natural resources, biodiversity, sustainable agriculture and a transition to a low carbon economy. This pillar is divided in 3 components:</w:t>
      </w:r>
    </w:p>
    <w:p w14:paraId="30231A05" w14:textId="3D4EE281" w:rsidR="0FBCE341" w:rsidRPr="00E76013" w:rsidRDefault="66A3FB15" w:rsidP="000B5405">
      <w:pPr>
        <w:pStyle w:val="ListParagraph"/>
        <w:numPr>
          <w:ilvl w:val="0"/>
          <w:numId w:val="5"/>
        </w:numPr>
        <w:spacing w:line="276" w:lineRule="auto"/>
        <w:jc w:val="both"/>
        <w:rPr>
          <w:rFonts w:eastAsiaTheme="minorEastAsia"/>
          <w:b/>
          <w:noProof/>
        </w:rPr>
      </w:pPr>
      <w:r w:rsidRPr="00E76013">
        <w:rPr>
          <w:rFonts w:ascii="Times New Roman" w:eastAsiaTheme="minorEastAsia" w:hAnsi="Times New Roman" w:cs="Times New Roman"/>
          <w:b/>
          <w:bCs/>
          <w:noProof/>
          <w:sz w:val="24"/>
          <w:szCs w:val="24"/>
        </w:rPr>
        <w:t>C</w:t>
      </w:r>
      <w:r w:rsidRPr="00E76013">
        <w:rPr>
          <w:rFonts w:ascii="Times New Roman" w:eastAsia="Times New Roman" w:hAnsi="Times New Roman" w:cs="Times New Roman"/>
          <w:b/>
          <w:bCs/>
          <w:noProof/>
          <w:sz w:val="24"/>
          <w:szCs w:val="24"/>
        </w:rPr>
        <w:t>omponent 4: Low-carbon economy (EUR 2</w:t>
      </w:r>
      <w:r w:rsidRPr="761004F4">
        <w:rPr>
          <w:rFonts w:ascii="Times New Roman" w:eastAsia="Times New Roman" w:hAnsi="Times New Roman" w:cs="Times New Roman"/>
          <w:b/>
          <w:bCs/>
          <w:noProof/>
          <w:sz w:val="24"/>
          <w:szCs w:val="24"/>
        </w:rPr>
        <w:t xml:space="preserve"> </w:t>
      </w:r>
      <w:r w:rsidRPr="00E76013">
        <w:rPr>
          <w:rFonts w:ascii="Times New Roman" w:eastAsia="Times New Roman" w:hAnsi="Times New Roman" w:cs="Times New Roman"/>
          <w:b/>
          <w:bCs/>
          <w:noProof/>
          <w:sz w:val="24"/>
          <w:szCs w:val="24"/>
        </w:rPr>
        <w:t>612</w:t>
      </w:r>
      <w:r w:rsidRPr="761004F4">
        <w:rPr>
          <w:rFonts w:ascii="Times New Roman" w:eastAsia="Times New Roman" w:hAnsi="Times New Roman" w:cs="Times New Roman"/>
          <w:b/>
          <w:bCs/>
          <w:noProof/>
          <w:sz w:val="24"/>
          <w:szCs w:val="24"/>
        </w:rPr>
        <w:t>.</w:t>
      </w:r>
      <w:r w:rsidRPr="00E76013">
        <w:rPr>
          <w:rFonts w:ascii="Times New Roman" w:eastAsia="Times New Roman" w:hAnsi="Times New Roman" w:cs="Times New Roman"/>
          <w:b/>
          <w:bCs/>
          <w:noProof/>
          <w:sz w:val="24"/>
          <w:szCs w:val="24"/>
        </w:rPr>
        <w:t xml:space="preserve">5 million). </w:t>
      </w:r>
      <w:r w:rsidRPr="00E76013">
        <w:rPr>
          <w:rFonts w:ascii="Times New Roman" w:eastAsia="Times New Roman" w:hAnsi="Times New Roman" w:cs="Times New Roman"/>
          <w:noProof/>
          <w:sz w:val="24"/>
          <w:szCs w:val="24"/>
        </w:rPr>
        <w:t xml:space="preserve">The objective of the component is to address the main challenges of the Bulgarian energy sector in terms of decarbonisation, renewables share, energy efficiency and internal energy market. In particular, it aims to accelerate the decarbonisation of the energy sector </w:t>
      </w:r>
      <w:r w:rsidR="00E76013" w:rsidRPr="00E76013">
        <w:rPr>
          <w:rFonts w:ascii="Times New Roman" w:eastAsia="Times New Roman" w:hAnsi="Times New Roman" w:cs="Times New Roman"/>
          <w:noProof/>
          <w:sz w:val="24"/>
          <w:szCs w:val="24"/>
        </w:rPr>
        <w:t>by setting</w:t>
      </w:r>
      <w:r w:rsidR="081943C4" w:rsidRPr="00E76013">
        <w:rPr>
          <w:rFonts w:ascii="Times New Roman" w:eastAsia="Times New Roman" w:hAnsi="Times New Roman" w:cs="Times New Roman"/>
          <w:noProof/>
          <w:sz w:val="24"/>
          <w:szCs w:val="24"/>
        </w:rPr>
        <w:t>-out a date for the coal phase-out, while</w:t>
      </w:r>
      <w:r w:rsidRPr="00E76013">
        <w:rPr>
          <w:rFonts w:ascii="Times New Roman" w:eastAsia="Times New Roman" w:hAnsi="Times New Roman" w:cs="Times New Roman"/>
          <w:noProof/>
          <w:sz w:val="24"/>
          <w:szCs w:val="24"/>
        </w:rPr>
        <w:t xml:space="preserve"> facilitating the deployment of renewables and alternative energy sources, such as green hydrogen and biogas</w:t>
      </w:r>
      <w:r w:rsidR="081943C4" w:rsidRPr="00E76013">
        <w:rPr>
          <w:rFonts w:ascii="Times New Roman" w:eastAsia="Times New Roman" w:hAnsi="Times New Roman" w:cs="Times New Roman"/>
          <w:noProof/>
          <w:sz w:val="24"/>
          <w:szCs w:val="24"/>
        </w:rPr>
        <w:t>, setting</w:t>
      </w:r>
      <w:r w:rsidR="07C6392C" w:rsidRPr="00E76013">
        <w:rPr>
          <w:rFonts w:ascii="Times New Roman" w:eastAsia="Times New Roman" w:hAnsi="Times New Roman" w:cs="Times New Roman"/>
          <w:noProof/>
          <w:sz w:val="24"/>
          <w:szCs w:val="24"/>
        </w:rPr>
        <w:t xml:space="preserve"> ambitious targets for expanded storage capacity for solar and geothermal electricity</w:t>
      </w:r>
      <w:r w:rsidR="009165EC">
        <w:rPr>
          <w:rFonts w:ascii="Times New Roman" w:eastAsia="Times New Roman" w:hAnsi="Times New Roman" w:cs="Times New Roman"/>
          <w:noProof/>
          <w:sz w:val="24"/>
          <w:szCs w:val="24"/>
        </w:rPr>
        <w:t xml:space="preserve"> </w:t>
      </w:r>
      <w:r w:rsidR="009165EC" w:rsidRPr="00E76013">
        <w:rPr>
          <w:rFonts w:ascii="Times New Roman" w:eastAsia="Times New Roman" w:hAnsi="Times New Roman" w:cs="Times New Roman"/>
          <w:noProof/>
          <w:sz w:val="24"/>
          <w:szCs w:val="24"/>
          <w:lang w:val="en-GB"/>
        </w:rPr>
        <w:t>and a series of market liberalization reforms on wholesale and retail markets</w:t>
      </w:r>
      <w:r w:rsidR="009165EC">
        <w:rPr>
          <w:rFonts w:ascii="Times New Roman" w:eastAsia="Times New Roman" w:hAnsi="Times New Roman" w:cs="Times New Roman"/>
          <w:noProof/>
          <w:sz w:val="24"/>
          <w:szCs w:val="24"/>
          <w:lang w:val="en-GB"/>
        </w:rPr>
        <w:t xml:space="preserve"> to allow for </w:t>
      </w:r>
      <w:r w:rsidR="04B331C7" w:rsidRPr="7C84D552">
        <w:rPr>
          <w:rFonts w:ascii="Times New Roman" w:eastAsia="Times New Roman" w:hAnsi="Times New Roman" w:cs="Times New Roman"/>
          <w:noProof/>
          <w:sz w:val="24"/>
          <w:szCs w:val="24"/>
          <w:lang w:val="en-GB"/>
        </w:rPr>
        <w:t>greater competition and easier</w:t>
      </w:r>
      <w:r w:rsidR="009165EC">
        <w:rPr>
          <w:rFonts w:ascii="Times New Roman" w:eastAsia="Times New Roman" w:hAnsi="Times New Roman" w:cs="Times New Roman"/>
          <w:noProof/>
          <w:sz w:val="24"/>
          <w:szCs w:val="24"/>
          <w:lang w:val="en-GB"/>
        </w:rPr>
        <w:t xml:space="preserve"> market access for renewables</w:t>
      </w:r>
      <w:r w:rsidR="081943C4" w:rsidRPr="00E76013">
        <w:rPr>
          <w:rFonts w:ascii="Times New Roman" w:eastAsia="Times New Roman" w:hAnsi="Times New Roman" w:cs="Times New Roman"/>
          <w:noProof/>
          <w:sz w:val="24"/>
          <w:szCs w:val="24"/>
        </w:rPr>
        <w:t>.</w:t>
      </w:r>
      <w:r w:rsidRPr="7C84D552">
        <w:rPr>
          <w:rFonts w:ascii="Times New Roman" w:eastAsia="Times New Roman" w:hAnsi="Times New Roman" w:cs="Times New Roman"/>
          <w:noProof/>
          <w:sz w:val="24"/>
          <w:szCs w:val="24"/>
        </w:rPr>
        <w:t xml:space="preserve"> </w:t>
      </w:r>
      <w:r w:rsidR="64639FA3" w:rsidRPr="7C84D552">
        <w:rPr>
          <w:rFonts w:ascii="Times New Roman" w:eastAsia="Times New Roman" w:hAnsi="Times New Roman" w:cs="Times New Roman"/>
          <w:noProof/>
          <w:sz w:val="24"/>
          <w:szCs w:val="24"/>
        </w:rPr>
        <w:t>The component</w:t>
      </w:r>
      <w:r w:rsidRPr="00E76013">
        <w:rPr>
          <w:rFonts w:ascii="Times New Roman" w:eastAsia="Times New Roman" w:hAnsi="Times New Roman" w:cs="Times New Roman"/>
          <w:noProof/>
          <w:sz w:val="24"/>
          <w:szCs w:val="24"/>
        </w:rPr>
        <w:t xml:space="preserve"> also supports measures related to the renovation of the stock of residential and non-residential buildings (the biggest measure of the </w:t>
      </w:r>
      <w:r w:rsidR="00D506D2" w:rsidRPr="00E76013">
        <w:rPr>
          <w:rFonts w:ascii="Times New Roman" w:eastAsia="Times New Roman" w:hAnsi="Times New Roman" w:cs="Times New Roman"/>
          <w:noProof/>
          <w:sz w:val="24"/>
          <w:szCs w:val="24"/>
        </w:rPr>
        <w:t>P</w:t>
      </w:r>
      <w:r w:rsidRPr="00E76013">
        <w:rPr>
          <w:rFonts w:ascii="Times New Roman" w:eastAsia="Times New Roman" w:hAnsi="Times New Roman" w:cs="Times New Roman"/>
          <w:noProof/>
          <w:sz w:val="24"/>
          <w:szCs w:val="24"/>
        </w:rPr>
        <w:t xml:space="preserve">lan at EUR </w:t>
      </w:r>
      <w:r w:rsidR="081943C4" w:rsidRPr="00E76013">
        <w:rPr>
          <w:rFonts w:ascii="Times New Roman" w:eastAsia="Times New Roman" w:hAnsi="Times New Roman" w:cs="Times New Roman"/>
          <w:noProof/>
          <w:sz w:val="24"/>
          <w:szCs w:val="24"/>
        </w:rPr>
        <w:t>924</w:t>
      </w:r>
      <w:r w:rsidRPr="00E76013">
        <w:rPr>
          <w:rFonts w:ascii="Times New Roman" w:eastAsia="Times New Roman" w:hAnsi="Times New Roman" w:cs="Times New Roman"/>
          <w:noProof/>
          <w:sz w:val="24"/>
          <w:szCs w:val="24"/>
        </w:rPr>
        <w:t xml:space="preserve"> million). The component addresses the recommendations related to the energy infrastructure and energy efficiency (CSR 3, 2019) and the progressive decarbonisation of the economy, including in the coal regions (CSR 3, 2020).</w:t>
      </w:r>
    </w:p>
    <w:p w14:paraId="0880DB9E" w14:textId="48FD4C9E" w:rsidR="0FBCE341" w:rsidRPr="00E76013" w:rsidRDefault="66A3FB15" w:rsidP="000B5405">
      <w:pPr>
        <w:pStyle w:val="ListParagraph"/>
        <w:numPr>
          <w:ilvl w:val="0"/>
          <w:numId w:val="5"/>
        </w:numPr>
        <w:spacing w:line="276" w:lineRule="auto"/>
        <w:jc w:val="both"/>
        <w:rPr>
          <w:rFonts w:ascii="Times New Roman" w:eastAsia="Times New Roman" w:hAnsi="Times New Roman" w:cs="Times New Roman"/>
          <w:b/>
          <w:bCs/>
          <w:noProof/>
        </w:rPr>
      </w:pPr>
      <w:r w:rsidRPr="00E76013">
        <w:rPr>
          <w:rFonts w:ascii="Times New Roman" w:eastAsia="Times New Roman" w:hAnsi="Times New Roman" w:cs="Times New Roman"/>
          <w:b/>
          <w:bCs/>
          <w:noProof/>
          <w:sz w:val="24"/>
          <w:szCs w:val="24"/>
        </w:rPr>
        <w:t>Component 5: Biodiversity (EUR 47</w:t>
      </w:r>
      <w:r w:rsidRPr="761004F4">
        <w:rPr>
          <w:rFonts w:ascii="Times New Roman" w:eastAsia="Times New Roman" w:hAnsi="Times New Roman" w:cs="Times New Roman"/>
          <w:b/>
          <w:bCs/>
          <w:noProof/>
          <w:sz w:val="24"/>
          <w:szCs w:val="24"/>
        </w:rPr>
        <w:t>.</w:t>
      </w:r>
      <w:r w:rsidR="077C90B1" w:rsidRPr="00E76013">
        <w:rPr>
          <w:rFonts w:ascii="Times New Roman" w:eastAsia="Times New Roman" w:hAnsi="Times New Roman" w:cs="Times New Roman"/>
          <w:b/>
          <w:bCs/>
          <w:noProof/>
          <w:sz w:val="24"/>
          <w:szCs w:val="24"/>
        </w:rPr>
        <w:t>5</w:t>
      </w:r>
      <w:r w:rsidRPr="00E76013">
        <w:rPr>
          <w:rFonts w:ascii="Times New Roman" w:eastAsia="Times New Roman" w:hAnsi="Times New Roman" w:cs="Times New Roman"/>
          <w:b/>
          <w:bCs/>
          <w:noProof/>
          <w:sz w:val="24"/>
          <w:szCs w:val="24"/>
        </w:rPr>
        <w:t xml:space="preserve"> million).</w:t>
      </w:r>
      <w:r w:rsidRPr="00E76013">
        <w:rPr>
          <w:rFonts w:ascii="Times New Roman" w:eastAsia="Times New Roman" w:hAnsi="Times New Roman" w:cs="Times New Roman"/>
          <w:noProof/>
          <w:sz w:val="24"/>
          <w:szCs w:val="24"/>
        </w:rPr>
        <w:t xml:space="preserve"> The objective is to reform the strategic framework in the field of biodiversity and ensure effective management of the National Ecological Network in order to protect and restore ecosystems, natural habitats and species of European and national importance. The component contributes to addressing the </w:t>
      </w:r>
      <w:r w:rsidR="3BAE98DD" w:rsidRPr="00E76013">
        <w:rPr>
          <w:rFonts w:ascii="Times New Roman" w:eastAsia="Times New Roman" w:hAnsi="Times New Roman" w:cs="Times New Roman"/>
          <w:noProof/>
          <w:sz w:val="24"/>
          <w:szCs w:val="24"/>
        </w:rPr>
        <w:t>country-specific recommendations on</w:t>
      </w:r>
      <w:r w:rsidRPr="00E76013">
        <w:rPr>
          <w:rFonts w:ascii="Times New Roman" w:eastAsia="Times New Roman" w:hAnsi="Times New Roman" w:cs="Times New Roman"/>
          <w:noProof/>
          <w:sz w:val="24"/>
          <w:szCs w:val="24"/>
        </w:rPr>
        <w:t xml:space="preserve"> focusing investment on environmental infrastructure (CSR 3 of 2020).</w:t>
      </w:r>
    </w:p>
    <w:p w14:paraId="1B85C8C3" w14:textId="68D75C04" w:rsidR="0FBCE341" w:rsidRPr="00E76013" w:rsidRDefault="40843118" w:rsidP="000B5405">
      <w:pPr>
        <w:pStyle w:val="ListParagraph"/>
        <w:numPr>
          <w:ilvl w:val="0"/>
          <w:numId w:val="5"/>
        </w:numPr>
        <w:spacing w:line="276" w:lineRule="auto"/>
        <w:jc w:val="both"/>
        <w:rPr>
          <w:rFonts w:eastAsiaTheme="minorEastAsia"/>
          <w:b/>
          <w:bCs/>
          <w:noProof/>
        </w:rPr>
      </w:pPr>
      <w:r w:rsidRPr="002152C3">
        <w:rPr>
          <w:rFonts w:ascii="Times New Roman" w:hAnsi="Times New Roman"/>
          <w:b/>
          <w:noProof/>
          <w:sz w:val="24"/>
          <w:lang w:val="fr-BE"/>
        </w:rPr>
        <w:t>Component 6: Sustainable agriculture (EUR 233</w:t>
      </w:r>
      <w:r w:rsidRPr="002152C3">
        <w:rPr>
          <w:rFonts w:ascii="Times New Roman" w:hAnsi="Times New Roman"/>
          <w:b/>
          <w:noProof/>
          <w:sz w:val="24"/>
          <w:szCs w:val="24"/>
          <w:lang w:val="fr-BE"/>
        </w:rPr>
        <w:t>.</w:t>
      </w:r>
      <w:r w:rsidRPr="002152C3">
        <w:rPr>
          <w:rFonts w:ascii="Times New Roman" w:hAnsi="Times New Roman"/>
          <w:b/>
          <w:noProof/>
          <w:sz w:val="24"/>
          <w:lang w:val="fr-BE"/>
        </w:rPr>
        <w:t>8 million).</w:t>
      </w:r>
      <w:r w:rsidRPr="002152C3">
        <w:rPr>
          <w:rFonts w:ascii="Times New Roman" w:hAnsi="Times New Roman"/>
          <w:noProof/>
          <w:sz w:val="24"/>
          <w:lang w:val="fr-BE"/>
        </w:rPr>
        <w:t xml:space="preserve"> </w:t>
      </w:r>
      <w:r w:rsidRPr="00E76013">
        <w:rPr>
          <w:rFonts w:ascii="Times New Roman" w:eastAsia="Times New Roman" w:hAnsi="Times New Roman" w:cs="Times New Roman"/>
          <w:noProof/>
          <w:sz w:val="24"/>
          <w:szCs w:val="24"/>
        </w:rPr>
        <w:t xml:space="preserve">The reforms and investments aim at enhancing the sustainable management and competitiveness of the Bulgarian agricultural sector in the context of the green transition. It includes updating the strategic framework of the agricultural sector and investments to support farmers </w:t>
      </w:r>
      <w:r w:rsidR="00661AB8">
        <w:rPr>
          <w:rFonts w:ascii="Times New Roman" w:eastAsia="Times New Roman" w:hAnsi="Times New Roman" w:cs="Times New Roman"/>
          <w:noProof/>
          <w:sz w:val="24"/>
          <w:szCs w:val="24"/>
          <w:lang w:val="en-GB"/>
        </w:rPr>
        <w:t>in</w:t>
      </w:r>
      <w:r w:rsidR="6113FDAA" w:rsidRPr="00E76013">
        <w:rPr>
          <w:rFonts w:ascii="Times New Roman" w:eastAsia="Times New Roman" w:hAnsi="Times New Roman" w:cs="Times New Roman"/>
          <w:noProof/>
          <w:sz w:val="24"/>
          <w:szCs w:val="24"/>
          <w:lang w:val="en-GB"/>
        </w:rPr>
        <w:t xml:space="preserve"> the implementation of activities ensuring the protection of the environment and climate change mitigation, introducing innovative production and digital technologies, agricultural production and organisation technologies, the automation of work processes, the shortening of supply chains and the conservation of genetic resources</w:t>
      </w:r>
      <w:r w:rsidRPr="00E76013">
        <w:rPr>
          <w:rFonts w:ascii="Times New Roman" w:eastAsia="Times New Roman" w:hAnsi="Times New Roman" w:cs="Times New Roman"/>
          <w:noProof/>
          <w:sz w:val="24"/>
          <w:szCs w:val="24"/>
        </w:rPr>
        <w:t>. The component contributes to the steering of investments and investment-related policies to the green transition (CSR 3 of 2019 and CSR 3 of 2020).</w:t>
      </w:r>
    </w:p>
    <w:p w14:paraId="24B25BD2" w14:textId="240B657B" w:rsidR="57CB46E6" w:rsidRPr="00E76013" w:rsidRDefault="66A3FB15" w:rsidP="000B5405">
      <w:pPr>
        <w:spacing w:line="276" w:lineRule="auto"/>
        <w:jc w:val="both"/>
        <w:rPr>
          <w:rFonts w:ascii="Times New Roman" w:eastAsia="Times New Roman" w:hAnsi="Times New Roman" w:cs="Times New Roman"/>
          <w:b/>
          <w:noProof/>
          <w:sz w:val="24"/>
          <w:szCs w:val="24"/>
          <w:lang w:val="en-IE"/>
        </w:rPr>
      </w:pPr>
      <w:r w:rsidRPr="00E76013">
        <w:rPr>
          <w:rFonts w:ascii="Times New Roman" w:eastAsia="Times New Roman" w:hAnsi="Times New Roman" w:cs="Times New Roman"/>
          <w:b/>
          <w:noProof/>
          <w:sz w:val="24"/>
          <w:szCs w:val="24"/>
          <w:lang w:val="en-IE"/>
        </w:rPr>
        <w:t xml:space="preserve">Connected Bulgaria </w:t>
      </w:r>
      <w:r w:rsidRPr="00E76013">
        <w:rPr>
          <w:rFonts w:ascii="Times New Roman" w:eastAsia="Times New Roman" w:hAnsi="Times New Roman" w:cs="Times New Roman"/>
          <w:noProof/>
          <w:sz w:val="24"/>
          <w:szCs w:val="24"/>
          <w:lang w:val="en-IE"/>
        </w:rPr>
        <w:t>includes reforms and investments focusing on enhancing the competitiveness and sustainable development by improving transport and digital connectivity, as well as promoting regional development through the endogenous and specific local potential. This pillar is divided in 3 components:</w:t>
      </w:r>
    </w:p>
    <w:p w14:paraId="21FD2D8B" w14:textId="55ACFC78" w:rsidR="0FBCE341" w:rsidRPr="00E76013" w:rsidRDefault="66A3FB15" w:rsidP="000B5405">
      <w:pPr>
        <w:pStyle w:val="ListParagraph"/>
        <w:numPr>
          <w:ilvl w:val="0"/>
          <w:numId w:val="4"/>
        </w:numPr>
        <w:spacing w:line="276" w:lineRule="auto"/>
        <w:jc w:val="both"/>
        <w:rPr>
          <w:rFonts w:ascii="Times New Roman" w:eastAsia="Times New Roman" w:hAnsi="Times New Roman" w:cs="Times New Roman"/>
          <w:b/>
          <w:bCs/>
          <w:noProof/>
        </w:rPr>
      </w:pPr>
      <w:r w:rsidRPr="00E76013">
        <w:rPr>
          <w:rFonts w:ascii="Times New Roman" w:eastAsia="Times New Roman" w:hAnsi="Times New Roman" w:cs="Times New Roman"/>
          <w:b/>
          <w:bCs/>
          <w:noProof/>
          <w:sz w:val="24"/>
          <w:szCs w:val="24"/>
        </w:rPr>
        <w:t>Component 7: Digital connectivity (EUR 385</w:t>
      </w:r>
      <w:r w:rsidRPr="761004F4">
        <w:rPr>
          <w:rFonts w:ascii="Times New Roman" w:eastAsia="Times New Roman" w:hAnsi="Times New Roman" w:cs="Times New Roman"/>
          <w:b/>
          <w:bCs/>
          <w:noProof/>
          <w:sz w:val="24"/>
          <w:szCs w:val="24"/>
        </w:rPr>
        <w:t>.</w:t>
      </w:r>
      <w:r w:rsidR="00CC5925">
        <w:rPr>
          <w:rFonts w:ascii="Times New Roman" w:eastAsia="Times New Roman" w:hAnsi="Times New Roman" w:cs="Times New Roman"/>
          <w:b/>
          <w:bCs/>
          <w:noProof/>
          <w:sz w:val="24"/>
          <w:szCs w:val="24"/>
        </w:rPr>
        <w:t>2</w:t>
      </w:r>
      <w:r w:rsidRPr="00E76013">
        <w:rPr>
          <w:rFonts w:ascii="Times New Roman" w:eastAsia="Times New Roman" w:hAnsi="Times New Roman" w:cs="Times New Roman"/>
          <w:b/>
          <w:bCs/>
          <w:noProof/>
          <w:sz w:val="24"/>
          <w:szCs w:val="24"/>
        </w:rPr>
        <w:t xml:space="preserve"> million).</w:t>
      </w:r>
      <w:r w:rsidRPr="00E76013">
        <w:rPr>
          <w:rFonts w:ascii="Times New Roman" w:eastAsia="Times New Roman" w:hAnsi="Times New Roman" w:cs="Times New Roman"/>
          <w:noProof/>
          <w:sz w:val="24"/>
          <w:szCs w:val="24"/>
        </w:rPr>
        <w:t xml:space="preserve"> Reforms in this component are related to the development and implementation of an effective policy and regulatory framework, the efficient use of the radio frequency spectrum and the creation of a favourable investment environment. The investments foreseen involve the large-scale deployment of digital infrastructure, the digital transformation of the Bulgarian post and the development of </w:t>
      </w:r>
      <w:r w:rsidR="001C13B7">
        <w:rPr>
          <w:rFonts w:ascii="Times New Roman" w:eastAsia="Times New Roman" w:hAnsi="Times New Roman" w:cs="Times New Roman"/>
          <w:noProof/>
          <w:sz w:val="24"/>
          <w:szCs w:val="24"/>
        </w:rPr>
        <w:t xml:space="preserve">the </w:t>
      </w:r>
      <w:r w:rsidRPr="00E76013">
        <w:rPr>
          <w:rFonts w:ascii="Times New Roman" w:eastAsia="Times New Roman" w:hAnsi="Times New Roman" w:cs="Times New Roman"/>
          <w:noProof/>
          <w:sz w:val="24"/>
          <w:szCs w:val="24"/>
        </w:rPr>
        <w:t>digital TETRA system and radio relay network. The component directly or indirectly contributes to addressing country</w:t>
      </w:r>
      <w:r w:rsidR="3BAE98DD" w:rsidRPr="00E76013">
        <w:rPr>
          <w:rFonts w:ascii="Times New Roman" w:eastAsia="Times New Roman" w:hAnsi="Times New Roman" w:cs="Times New Roman"/>
          <w:noProof/>
          <w:sz w:val="24"/>
          <w:szCs w:val="24"/>
        </w:rPr>
        <w:t>-</w:t>
      </w:r>
      <w:r w:rsidRPr="00E76013">
        <w:rPr>
          <w:rFonts w:ascii="Times New Roman" w:eastAsia="Times New Roman" w:hAnsi="Times New Roman" w:cs="Times New Roman"/>
          <w:noProof/>
          <w:sz w:val="24"/>
          <w:szCs w:val="24"/>
        </w:rPr>
        <w:t xml:space="preserve"> specific recommendations related to the reinforcement of digital skills (CSR 4, 2019); the promotion of digital skills and equal access to education (CSR 2, 2020); the need to focus investments on the green and digital transition (CSR 3, 2020); and the effectiveness of public administration and reinforcement of digital government (CSR 4, 2020).</w:t>
      </w:r>
    </w:p>
    <w:p w14:paraId="5110F237" w14:textId="0DED4C8D" w:rsidR="007314B3" w:rsidRPr="00E76013" w:rsidRDefault="66A3FB15" w:rsidP="000B5405">
      <w:pPr>
        <w:pStyle w:val="ListParagraph"/>
        <w:numPr>
          <w:ilvl w:val="0"/>
          <w:numId w:val="4"/>
        </w:numPr>
        <w:spacing w:line="276" w:lineRule="auto"/>
        <w:jc w:val="both"/>
        <w:rPr>
          <w:rFonts w:eastAsiaTheme="minorEastAsia"/>
          <w:b/>
          <w:noProof/>
        </w:rPr>
      </w:pPr>
      <w:r w:rsidRPr="00E76013">
        <w:rPr>
          <w:rFonts w:ascii="Times New Roman" w:eastAsia="Times New Roman" w:hAnsi="Times New Roman" w:cs="Times New Roman"/>
          <w:b/>
          <w:bCs/>
          <w:noProof/>
          <w:sz w:val="24"/>
          <w:szCs w:val="24"/>
          <w:lang w:val="fr-BE"/>
        </w:rPr>
        <w:t xml:space="preserve">Component 8: Sustainable transport (EUR </w:t>
      </w:r>
      <w:r w:rsidR="077C90B1" w:rsidRPr="00E76013">
        <w:rPr>
          <w:rFonts w:ascii="Times New Roman" w:eastAsia="Times New Roman" w:hAnsi="Times New Roman" w:cs="Times New Roman"/>
          <w:b/>
          <w:bCs/>
          <w:noProof/>
          <w:sz w:val="24"/>
          <w:szCs w:val="24"/>
          <w:lang w:val="fr-BE"/>
        </w:rPr>
        <w:t>66</w:t>
      </w:r>
      <w:r w:rsidR="00CC5925">
        <w:rPr>
          <w:rFonts w:ascii="Times New Roman" w:eastAsia="Times New Roman" w:hAnsi="Times New Roman" w:cs="Times New Roman"/>
          <w:b/>
          <w:bCs/>
          <w:noProof/>
          <w:sz w:val="24"/>
          <w:szCs w:val="24"/>
          <w:lang w:val="fr-BE"/>
        </w:rPr>
        <w:t>5</w:t>
      </w:r>
      <w:r w:rsidR="077C90B1" w:rsidRPr="761004F4">
        <w:rPr>
          <w:rFonts w:ascii="Times New Roman" w:eastAsia="Times New Roman" w:hAnsi="Times New Roman" w:cs="Times New Roman"/>
          <w:b/>
          <w:bCs/>
          <w:noProof/>
          <w:sz w:val="24"/>
          <w:szCs w:val="24"/>
          <w:lang w:val="fr-BE"/>
        </w:rPr>
        <w:t>.</w:t>
      </w:r>
      <w:r w:rsidR="00CC5925">
        <w:rPr>
          <w:rFonts w:ascii="Times New Roman" w:eastAsia="Times New Roman" w:hAnsi="Times New Roman" w:cs="Times New Roman"/>
          <w:b/>
          <w:bCs/>
          <w:noProof/>
          <w:sz w:val="24"/>
          <w:szCs w:val="24"/>
          <w:lang w:val="fr-BE"/>
        </w:rPr>
        <w:t>8</w:t>
      </w:r>
      <w:r w:rsidRPr="00E76013">
        <w:rPr>
          <w:rFonts w:ascii="Times New Roman" w:eastAsia="Times New Roman" w:hAnsi="Times New Roman" w:cs="Times New Roman"/>
          <w:b/>
          <w:bCs/>
          <w:noProof/>
          <w:sz w:val="24"/>
          <w:szCs w:val="24"/>
          <w:lang w:val="fr-BE"/>
        </w:rPr>
        <w:t xml:space="preserve"> million). </w:t>
      </w:r>
      <w:r w:rsidR="0EA09D1A" w:rsidRPr="00E76013">
        <w:rPr>
          <w:rFonts w:ascii="Times New Roman" w:eastAsia="Times New Roman" w:hAnsi="Times New Roman" w:cs="Times New Roman"/>
          <w:noProof/>
          <w:color w:val="474747"/>
          <w:sz w:val="24"/>
          <w:szCs w:val="24"/>
        </w:rPr>
        <w:t xml:space="preserve">The </w:t>
      </w:r>
      <w:r w:rsidR="0EA09D1A" w:rsidRPr="00E76013">
        <w:rPr>
          <w:rFonts w:ascii="Times New Roman" w:eastAsia="Times New Roman" w:hAnsi="Times New Roman" w:cs="Times New Roman"/>
          <w:noProof/>
          <w:sz w:val="24"/>
          <w:szCs w:val="24"/>
        </w:rPr>
        <w:t>main objective of the component is to enhance the sustainability of the transport sector by reforming the road and railways sectors, promoting zero-emission vehicles, enhancing road safety, and investing in railways, intermodal transport and sustainable urban mobility.</w:t>
      </w:r>
      <w:r w:rsidR="0EA09D1A" w:rsidRPr="00E76013">
        <w:rPr>
          <w:rFonts w:ascii="Times New Roman" w:eastAsia="Times New Roman" w:hAnsi="Times New Roman" w:cs="Times New Roman"/>
          <w:noProof/>
        </w:rPr>
        <w:t xml:space="preserve"> </w:t>
      </w:r>
      <w:r w:rsidR="0EA09D1A" w:rsidRPr="00E76013">
        <w:rPr>
          <w:rFonts w:ascii="Times New Roman" w:eastAsia="Times New Roman" w:hAnsi="Times New Roman" w:cs="Times New Roman"/>
          <w:noProof/>
          <w:sz w:val="24"/>
          <w:szCs w:val="24"/>
        </w:rPr>
        <w:t>This includes investments in the modernisation and digitalisation of railways, new zero-emission rolling stock, European Rail Traffic Management System deployment, a new intermodal terminal in Ruse and clean public transport</w:t>
      </w:r>
      <w:r w:rsidR="0A9327C0" w:rsidRPr="00E76013">
        <w:rPr>
          <w:rFonts w:ascii="Times New Roman" w:eastAsia="Times New Roman" w:hAnsi="Times New Roman" w:cs="Times New Roman"/>
          <w:noProof/>
          <w:sz w:val="24"/>
          <w:szCs w:val="24"/>
        </w:rPr>
        <w:t xml:space="preserve"> (Sofia metro and pilot programme for sustainable urban mobility). </w:t>
      </w:r>
      <w:r w:rsidR="0EA09D1A" w:rsidRPr="00E76013">
        <w:rPr>
          <w:rFonts w:ascii="Times New Roman" w:eastAsia="Times New Roman" w:hAnsi="Times New Roman" w:cs="Times New Roman"/>
          <w:noProof/>
          <w:sz w:val="24"/>
          <w:szCs w:val="24"/>
        </w:rPr>
        <w:t xml:space="preserve">The component is expected to contribute to the green and digital transition, </w:t>
      </w:r>
      <w:r w:rsidR="5A16FEBB" w:rsidRPr="00E76013">
        <w:rPr>
          <w:rFonts w:ascii="Times New Roman" w:eastAsia="Times New Roman" w:hAnsi="Times New Roman" w:cs="Times New Roman"/>
          <w:noProof/>
          <w:sz w:val="24"/>
          <w:szCs w:val="24"/>
        </w:rPr>
        <w:t>as well as to</w:t>
      </w:r>
      <w:r w:rsidR="0EA09D1A" w:rsidRPr="00E76013">
        <w:rPr>
          <w:rFonts w:ascii="Times New Roman" w:eastAsia="Times New Roman" w:hAnsi="Times New Roman" w:cs="Times New Roman"/>
          <w:noProof/>
          <w:sz w:val="24"/>
          <w:szCs w:val="24"/>
        </w:rPr>
        <w:t xml:space="preserve"> a more balanced territorial growth.</w:t>
      </w:r>
      <w:r w:rsidR="5A16FEBB" w:rsidRPr="00E76013">
        <w:rPr>
          <w:rFonts w:ascii="Times New Roman" w:eastAsia="Times New Roman" w:hAnsi="Times New Roman" w:cs="Times New Roman"/>
          <w:noProof/>
          <w:sz w:val="24"/>
          <w:szCs w:val="24"/>
        </w:rPr>
        <w:t xml:space="preserve"> The reforms and investments address the country-specific recommendations conveyed to Bulgaria in 2019 and 2020 on the need to focus investments on sustainable transport.</w:t>
      </w:r>
    </w:p>
    <w:p w14:paraId="55234D14" w14:textId="2D6E40D1" w:rsidR="0FBCE341" w:rsidRPr="00E76013" w:rsidRDefault="66A3FB15" w:rsidP="000B5405">
      <w:pPr>
        <w:pStyle w:val="ListParagraph"/>
        <w:numPr>
          <w:ilvl w:val="0"/>
          <w:numId w:val="4"/>
        </w:numPr>
        <w:spacing w:line="276" w:lineRule="auto"/>
        <w:jc w:val="both"/>
        <w:rPr>
          <w:rFonts w:ascii="Times New Roman" w:eastAsiaTheme="minorEastAsia" w:hAnsi="Times New Roman" w:cs="Times New Roman"/>
          <w:b/>
          <w:bCs/>
          <w:noProof/>
          <w:sz w:val="24"/>
          <w:szCs w:val="24"/>
        </w:rPr>
      </w:pPr>
      <w:r w:rsidRPr="00E76013">
        <w:rPr>
          <w:rFonts w:ascii="Times New Roman" w:eastAsia="Times New Roman" w:hAnsi="Times New Roman" w:cs="Times New Roman"/>
          <w:b/>
          <w:bCs/>
          <w:noProof/>
          <w:sz w:val="24"/>
          <w:szCs w:val="24"/>
        </w:rPr>
        <w:t>Component 9: Local development (EUR 2</w:t>
      </w:r>
      <w:r w:rsidR="00CC5925">
        <w:rPr>
          <w:rFonts w:ascii="Times New Roman" w:eastAsia="Times New Roman" w:hAnsi="Times New Roman" w:cs="Times New Roman"/>
          <w:b/>
          <w:bCs/>
          <w:noProof/>
          <w:sz w:val="24"/>
          <w:szCs w:val="24"/>
        </w:rPr>
        <w:t>11.1</w:t>
      </w:r>
      <w:r w:rsidRPr="00E76013">
        <w:rPr>
          <w:rFonts w:ascii="Times New Roman" w:eastAsia="Times New Roman" w:hAnsi="Times New Roman" w:cs="Times New Roman"/>
          <w:b/>
          <w:bCs/>
          <w:noProof/>
          <w:sz w:val="24"/>
          <w:szCs w:val="24"/>
        </w:rPr>
        <w:t xml:space="preserve"> million). </w:t>
      </w:r>
      <w:r w:rsidRPr="00E76013">
        <w:rPr>
          <w:rFonts w:ascii="Times New Roman" w:eastAsia="Times New Roman" w:hAnsi="Times New Roman" w:cs="Times New Roman"/>
          <w:noProof/>
          <w:sz w:val="24"/>
          <w:szCs w:val="24"/>
        </w:rPr>
        <w:t>This component aims at setting the framework for improving the competitiveness and sustainable development of the regions of the country and promoting local development. It also targets water management, which is an important aspect of the green transition. It includes reform introducing a new regional approach with direct involvement of local communities in the management of European funds and instruments, as well as investments in water supply and sewage systems, digitalisation of the management, control and use of water. Reforms and investments address the country-specific recommendations related to the regional disparities and investment-related policies on water and on environmental infrastructure (</w:t>
      </w:r>
      <w:r w:rsidR="3BAE98DD" w:rsidRPr="00E76013">
        <w:rPr>
          <w:rFonts w:ascii="Times New Roman" w:eastAsia="Times New Roman" w:hAnsi="Times New Roman" w:cs="Times New Roman"/>
          <w:noProof/>
          <w:sz w:val="24"/>
          <w:szCs w:val="24"/>
        </w:rPr>
        <w:t>CSR 3</w:t>
      </w:r>
      <w:r w:rsidRPr="00E76013">
        <w:rPr>
          <w:rFonts w:ascii="Times New Roman" w:eastAsia="Times New Roman" w:hAnsi="Times New Roman" w:cs="Times New Roman"/>
          <w:noProof/>
          <w:sz w:val="24"/>
          <w:szCs w:val="24"/>
        </w:rPr>
        <w:t xml:space="preserve"> of 2019 and </w:t>
      </w:r>
      <w:r w:rsidR="3BAE98DD" w:rsidRPr="00E76013">
        <w:rPr>
          <w:rFonts w:ascii="Times New Roman" w:eastAsia="Times New Roman" w:hAnsi="Times New Roman" w:cs="Times New Roman"/>
          <w:noProof/>
          <w:sz w:val="24"/>
          <w:szCs w:val="24"/>
        </w:rPr>
        <w:t>CSR 3</w:t>
      </w:r>
      <w:r w:rsidRPr="00E76013">
        <w:rPr>
          <w:rFonts w:ascii="Times New Roman" w:eastAsia="Times New Roman" w:hAnsi="Times New Roman" w:cs="Times New Roman"/>
          <w:noProof/>
          <w:sz w:val="24"/>
          <w:szCs w:val="24"/>
        </w:rPr>
        <w:t xml:space="preserve"> of 2020).</w:t>
      </w:r>
    </w:p>
    <w:p w14:paraId="46CB9DC8" w14:textId="72A56975" w:rsidR="57CB46E6" w:rsidRPr="00E76013" w:rsidRDefault="0FBCE341" w:rsidP="000B5405">
      <w:pPr>
        <w:spacing w:line="276" w:lineRule="auto"/>
        <w:jc w:val="both"/>
        <w:rPr>
          <w:rFonts w:ascii="Times New Roman" w:eastAsia="Times New Roman" w:hAnsi="Times New Roman" w:cs="Times New Roman"/>
          <w:noProof/>
          <w:sz w:val="24"/>
          <w:szCs w:val="24"/>
          <w:lang w:val="en-IE"/>
        </w:rPr>
      </w:pPr>
      <w:r w:rsidRPr="00E76013">
        <w:rPr>
          <w:rFonts w:ascii="Times New Roman" w:eastAsia="Times New Roman" w:hAnsi="Times New Roman" w:cs="Times New Roman"/>
          <w:b/>
          <w:noProof/>
          <w:sz w:val="24"/>
          <w:szCs w:val="24"/>
          <w:lang w:val="en-IE"/>
        </w:rPr>
        <w:t>Fair Bulgaria</w:t>
      </w:r>
      <w:r w:rsidRPr="00E76013">
        <w:rPr>
          <w:rFonts w:ascii="Times New Roman" w:eastAsia="Times New Roman" w:hAnsi="Times New Roman" w:cs="Times New Roman"/>
          <w:noProof/>
          <w:sz w:val="24"/>
          <w:szCs w:val="24"/>
          <w:lang w:val="en-IE"/>
        </w:rPr>
        <w:t xml:space="preserve"> includes reforms and investments focusing on the inclusiveness and shared prosperity, particularly </w:t>
      </w:r>
      <w:r w:rsidR="00A106CA">
        <w:rPr>
          <w:rFonts w:ascii="Times New Roman" w:eastAsia="Times New Roman" w:hAnsi="Times New Roman" w:cs="Times New Roman"/>
          <w:noProof/>
          <w:sz w:val="24"/>
          <w:szCs w:val="24"/>
          <w:lang w:val="en-IE"/>
        </w:rPr>
        <w:t>for</w:t>
      </w:r>
      <w:r w:rsidRPr="00E76013">
        <w:rPr>
          <w:rFonts w:ascii="Times New Roman" w:eastAsia="Times New Roman" w:hAnsi="Times New Roman" w:cs="Times New Roman"/>
          <w:noProof/>
          <w:sz w:val="24"/>
          <w:szCs w:val="24"/>
          <w:lang w:val="en-IE"/>
        </w:rPr>
        <w:t xml:space="preserve"> disadvantaged groups. It also focuses on building effective and accountable public institutions oriented towards the needs of citizens and businesses. This pillar is divided in 3 components:</w:t>
      </w:r>
    </w:p>
    <w:p w14:paraId="25D6CB02" w14:textId="17D98F68" w:rsidR="0FBCE341" w:rsidRPr="00E76013" w:rsidRDefault="66A3FB15" w:rsidP="000B5405">
      <w:pPr>
        <w:pStyle w:val="ListParagraph"/>
        <w:numPr>
          <w:ilvl w:val="0"/>
          <w:numId w:val="3"/>
        </w:numPr>
        <w:spacing w:line="276" w:lineRule="auto"/>
        <w:jc w:val="both"/>
        <w:rPr>
          <w:rFonts w:ascii="Times New Roman" w:eastAsia="Times New Roman" w:hAnsi="Times New Roman" w:cs="Times New Roman"/>
          <w:b/>
          <w:bCs/>
          <w:noProof/>
        </w:rPr>
      </w:pPr>
      <w:r w:rsidRPr="00E76013">
        <w:rPr>
          <w:rFonts w:ascii="Times New Roman" w:eastAsia="Times New Roman" w:hAnsi="Times New Roman" w:cs="Times New Roman"/>
          <w:b/>
          <w:bCs/>
          <w:noProof/>
          <w:sz w:val="24"/>
          <w:szCs w:val="24"/>
        </w:rPr>
        <w:t xml:space="preserve">Component 10: Business environment (EUR </w:t>
      </w:r>
      <w:r w:rsidR="00CC5925">
        <w:rPr>
          <w:rFonts w:ascii="Times New Roman" w:eastAsia="Times New Roman" w:hAnsi="Times New Roman" w:cs="Times New Roman"/>
          <w:b/>
          <w:bCs/>
          <w:noProof/>
          <w:sz w:val="24"/>
          <w:szCs w:val="24"/>
        </w:rPr>
        <w:t>188.1</w:t>
      </w:r>
      <w:r w:rsidRPr="00E76013">
        <w:rPr>
          <w:rFonts w:ascii="Times New Roman" w:eastAsia="Times New Roman" w:hAnsi="Times New Roman" w:cs="Times New Roman"/>
          <w:b/>
          <w:bCs/>
          <w:noProof/>
          <w:sz w:val="24"/>
          <w:szCs w:val="24"/>
        </w:rPr>
        <w:t xml:space="preserve"> million). </w:t>
      </w:r>
      <w:r w:rsidRPr="00E76013">
        <w:rPr>
          <w:rFonts w:ascii="Times New Roman" w:eastAsia="Times New Roman" w:hAnsi="Times New Roman" w:cs="Times New Roman"/>
          <w:noProof/>
          <w:sz w:val="24"/>
          <w:szCs w:val="24"/>
        </w:rPr>
        <w:t xml:space="preserve">This component aims to strengthen the potential for sustainable growth and increase the overall resilience of the Bulgarian economy by addressing challenges in the overall business environment and improving the institutional framework. It includes reforms and investments in areas such as justice, the fight against corruption, the digitalisation of the public administration, </w:t>
      </w:r>
      <w:r w:rsidR="077C90B1" w:rsidRPr="00E76013">
        <w:rPr>
          <w:rFonts w:ascii="Times New Roman" w:eastAsia="Times New Roman" w:hAnsi="Times New Roman" w:cs="Times New Roman"/>
          <w:noProof/>
          <w:sz w:val="24"/>
          <w:szCs w:val="24"/>
        </w:rPr>
        <w:t xml:space="preserve">strengthening </w:t>
      </w:r>
      <w:r w:rsidRPr="00E76013">
        <w:rPr>
          <w:rFonts w:ascii="Times New Roman" w:eastAsia="Times New Roman" w:hAnsi="Times New Roman" w:cs="Times New Roman"/>
          <w:noProof/>
          <w:sz w:val="24"/>
          <w:szCs w:val="24"/>
        </w:rPr>
        <w:t xml:space="preserve">the governance of state-owned enterprises, </w:t>
      </w:r>
      <w:r w:rsidR="077C90B1" w:rsidRPr="00E76013">
        <w:rPr>
          <w:rFonts w:ascii="Times New Roman" w:eastAsia="Times New Roman" w:hAnsi="Times New Roman" w:cs="Times New Roman"/>
          <w:noProof/>
          <w:sz w:val="24"/>
          <w:szCs w:val="24"/>
        </w:rPr>
        <w:t xml:space="preserve">the </w:t>
      </w:r>
      <w:r w:rsidRPr="00E76013">
        <w:rPr>
          <w:rFonts w:ascii="Times New Roman" w:eastAsia="Times New Roman" w:hAnsi="Times New Roman" w:cs="Times New Roman"/>
          <w:noProof/>
          <w:sz w:val="24"/>
          <w:szCs w:val="24"/>
        </w:rPr>
        <w:t>anti-money laundering</w:t>
      </w:r>
      <w:r w:rsidR="077C90B1" w:rsidRPr="00E76013">
        <w:rPr>
          <w:rFonts w:ascii="Times New Roman" w:eastAsia="Times New Roman" w:hAnsi="Times New Roman" w:cs="Times New Roman"/>
          <w:noProof/>
          <w:sz w:val="24"/>
          <w:szCs w:val="24"/>
        </w:rPr>
        <w:t xml:space="preserve"> and insolvency frameworks</w:t>
      </w:r>
      <w:r w:rsidRPr="00E76013">
        <w:rPr>
          <w:rFonts w:ascii="Times New Roman" w:eastAsia="Times New Roman" w:hAnsi="Times New Roman" w:cs="Times New Roman"/>
          <w:noProof/>
          <w:sz w:val="24"/>
          <w:szCs w:val="24"/>
        </w:rPr>
        <w:t xml:space="preserve">, the quality of legislative process, public procurement, and audit and control mechanisms. </w:t>
      </w:r>
      <w:r w:rsidR="00326C7B" w:rsidRPr="00E76013">
        <w:rPr>
          <w:rFonts w:ascii="Times New Roman" w:eastAsia="Times New Roman" w:hAnsi="Times New Roman" w:cs="Times New Roman"/>
          <w:noProof/>
          <w:sz w:val="24"/>
          <w:szCs w:val="24"/>
        </w:rPr>
        <w:t xml:space="preserve">There are also legislative measures for protecting whistleblowers and regulating lobbying. </w:t>
      </w:r>
      <w:r w:rsidRPr="00E76013">
        <w:rPr>
          <w:rFonts w:ascii="Times New Roman" w:eastAsia="Times New Roman" w:hAnsi="Times New Roman" w:cs="Times New Roman"/>
          <w:noProof/>
          <w:sz w:val="24"/>
          <w:szCs w:val="24"/>
        </w:rPr>
        <w:t>The measures included in the component contribute to improving business environment (CSR 3 of 2019) and the effectiveness of public administration and reinforcement of digital government (CSR 4 of 2020).</w:t>
      </w:r>
    </w:p>
    <w:p w14:paraId="253F9F70" w14:textId="32214FEF" w:rsidR="0FBCE341" w:rsidRPr="00E76013" w:rsidRDefault="66A3FB15" w:rsidP="000B5405">
      <w:pPr>
        <w:pStyle w:val="ListParagraph"/>
        <w:numPr>
          <w:ilvl w:val="0"/>
          <w:numId w:val="3"/>
        </w:numPr>
        <w:spacing w:line="276" w:lineRule="auto"/>
        <w:jc w:val="both"/>
        <w:rPr>
          <w:rFonts w:ascii="Times New Roman" w:eastAsia="Times New Roman" w:hAnsi="Times New Roman" w:cs="Times New Roman"/>
          <w:b/>
          <w:bCs/>
          <w:noProof/>
        </w:rPr>
      </w:pPr>
      <w:r w:rsidRPr="002152C3">
        <w:rPr>
          <w:rFonts w:ascii="Times New Roman" w:hAnsi="Times New Roman"/>
          <w:b/>
          <w:noProof/>
          <w:sz w:val="24"/>
          <w:lang w:val="fr-BE"/>
        </w:rPr>
        <w:t>Component 11: Social inclusion (EUR 440</w:t>
      </w:r>
      <w:r w:rsidRPr="002152C3">
        <w:rPr>
          <w:rFonts w:ascii="Times New Roman" w:hAnsi="Times New Roman"/>
          <w:b/>
          <w:noProof/>
          <w:sz w:val="24"/>
          <w:szCs w:val="24"/>
          <w:lang w:val="fr-BE"/>
        </w:rPr>
        <w:t>.</w:t>
      </w:r>
      <w:r w:rsidRPr="002152C3">
        <w:rPr>
          <w:rFonts w:ascii="Times New Roman" w:hAnsi="Times New Roman"/>
          <w:b/>
          <w:noProof/>
          <w:sz w:val="24"/>
          <w:lang w:val="fr-BE"/>
        </w:rPr>
        <w:t xml:space="preserve">4 million). </w:t>
      </w:r>
      <w:r w:rsidRPr="00E76013">
        <w:rPr>
          <w:rFonts w:ascii="Times New Roman" w:eastAsia="Times New Roman" w:hAnsi="Times New Roman" w:cs="Times New Roman"/>
          <w:noProof/>
          <w:sz w:val="24"/>
          <w:szCs w:val="24"/>
        </w:rPr>
        <w:t xml:space="preserve">This component of the </w:t>
      </w:r>
      <w:r w:rsidR="00D506D2" w:rsidRPr="00E76013">
        <w:rPr>
          <w:rFonts w:ascii="Times New Roman" w:eastAsia="Times New Roman" w:hAnsi="Times New Roman" w:cs="Times New Roman"/>
          <w:noProof/>
          <w:sz w:val="24"/>
          <w:szCs w:val="24"/>
        </w:rPr>
        <w:t>P</w:t>
      </w:r>
      <w:r w:rsidRPr="00E76013">
        <w:rPr>
          <w:rFonts w:ascii="Times New Roman" w:eastAsia="Times New Roman" w:hAnsi="Times New Roman" w:cs="Times New Roman"/>
          <w:noProof/>
          <w:sz w:val="24"/>
          <w:szCs w:val="24"/>
        </w:rPr>
        <w:t xml:space="preserve">lan aims to foster social inclusion by improving social protection and service provision, encompassing a </w:t>
      </w:r>
      <w:r w:rsidR="077C90B1" w:rsidRPr="00E76013">
        <w:rPr>
          <w:rFonts w:ascii="Times New Roman" w:eastAsia="Times New Roman" w:hAnsi="Times New Roman" w:cs="Times New Roman"/>
          <w:noProof/>
          <w:sz w:val="24"/>
          <w:szCs w:val="24"/>
        </w:rPr>
        <w:t xml:space="preserve">reform </w:t>
      </w:r>
      <w:r w:rsidRPr="00E76013">
        <w:rPr>
          <w:rFonts w:ascii="Times New Roman" w:eastAsia="Times New Roman" w:hAnsi="Times New Roman" w:cs="Times New Roman"/>
          <w:noProof/>
          <w:sz w:val="24"/>
          <w:szCs w:val="24"/>
        </w:rPr>
        <w:t>of the minimum income scheme</w:t>
      </w:r>
      <w:r w:rsidR="077C90B1" w:rsidRPr="00E76013">
        <w:rPr>
          <w:rFonts w:ascii="Times New Roman" w:eastAsia="Times New Roman" w:hAnsi="Times New Roman" w:cs="Times New Roman"/>
          <w:noProof/>
          <w:sz w:val="24"/>
          <w:szCs w:val="24"/>
        </w:rPr>
        <w:t xml:space="preserve"> to improve its coverage and adequacy</w:t>
      </w:r>
      <w:r w:rsidRPr="00E76013">
        <w:rPr>
          <w:rFonts w:ascii="Times New Roman" w:eastAsia="Times New Roman" w:hAnsi="Times New Roman" w:cs="Times New Roman"/>
          <w:noProof/>
          <w:sz w:val="24"/>
          <w:szCs w:val="24"/>
        </w:rPr>
        <w:t xml:space="preserve"> and the development of new tools for the Social Assistance Agency and for the Employment Agency, which are expected to move forward the integration of employment and social services. It also </w:t>
      </w:r>
      <w:r w:rsidR="077C90B1" w:rsidRPr="00E76013">
        <w:rPr>
          <w:rFonts w:ascii="Times New Roman" w:eastAsia="Times New Roman" w:hAnsi="Times New Roman" w:cs="Times New Roman"/>
          <w:noProof/>
          <w:sz w:val="24"/>
          <w:szCs w:val="24"/>
        </w:rPr>
        <w:t>contains measures</w:t>
      </w:r>
      <w:r w:rsidRPr="00E76013">
        <w:rPr>
          <w:rFonts w:ascii="Times New Roman" w:eastAsia="Times New Roman" w:hAnsi="Times New Roman" w:cs="Times New Roman"/>
          <w:noProof/>
          <w:sz w:val="24"/>
          <w:szCs w:val="24"/>
        </w:rPr>
        <w:t xml:space="preserve"> to reform long-term care provision in Bulgaria, support the provision of assisting devices to people with disabilities and promote the social economy and cultural and creative sectors. </w:t>
      </w:r>
      <w:r w:rsidR="077C90B1" w:rsidRPr="00E76013">
        <w:rPr>
          <w:rFonts w:ascii="Times New Roman" w:eastAsia="Times New Roman" w:hAnsi="Times New Roman" w:cs="Times New Roman"/>
          <w:noProof/>
          <w:sz w:val="24"/>
          <w:szCs w:val="24"/>
        </w:rPr>
        <w:t>The component contributes to addressing</w:t>
      </w:r>
      <w:r w:rsidRPr="00E76013">
        <w:rPr>
          <w:rFonts w:ascii="Times New Roman" w:eastAsia="Times New Roman" w:hAnsi="Times New Roman" w:cs="Times New Roman"/>
          <w:noProof/>
          <w:sz w:val="24"/>
          <w:szCs w:val="24"/>
        </w:rPr>
        <w:t xml:space="preserve"> the </w:t>
      </w:r>
      <w:r w:rsidR="077C90B1" w:rsidRPr="00E76013">
        <w:rPr>
          <w:rFonts w:ascii="Times New Roman" w:eastAsia="Times New Roman" w:hAnsi="Times New Roman" w:cs="Times New Roman"/>
          <w:noProof/>
          <w:sz w:val="24"/>
          <w:szCs w:val="24"/>
        </w:rPr>
        <w:t xml:space="preserve">country-specific </w:t>
      </w:r>
      <w:r w:rsidRPr="00E76013">
        <w:rPr>
          <w:rFonts w:ascii="Times New Roman" w:eastAsia="Times New Roman" w:hAnsi="Times New Roman" w:cs="Times New Roman"/>
          <w:noProof/>
          <w:sz w:val="24"/>
          <w:szCs w:val="24"/>
        </w:rPr>
        <w:t>recommendation to</w:t>
      </w:r>
      <w:r w:rsidR="077C90B1" w:rsidRPr="00E76013">
        <w:rPr>
          <w:rFonts w:ascii="Times New Roman" w:eastAsia="Times New Roman" w:hAnsi="Times New Roman" w:cs="Times New Roman"/>
          <w:noProof/>
          <w:sz w:val="24"/>
          <w:szCs w:val="24"/>
        </w:rPr>
        <w:t xml:space="preserve"> address </w:t>
      </w:r>
      <w:r w:rsidRPr="00E76013">
        <w:rPr>
          <w:rFonts w:ascii="Times New Roman" w:eastAsia="Times New Roman" w:hAnsi="Times New Roman" w:cs="Times New Roman"/>
          <w:noProof/>
          <w:sz w:val="24"/>
          <w:szCs w:val="24"/>
        </w:rPr>
        <w:t>the shortcomings of the minimum income scheme (CSR 2 2020 and 4 2019), as well as to improve access to integrated employment and social services (CSR 4 2019).</w:t>
      </w:r>
    </w:p>
    <w:p w14:paraId="6D2A319B" w14:textId="1559E4AC" w:rsidR="0FBCE341" w:rsidRPr="00E76013" w:rsidRDefault="66A3FB15" w:rsidP="000B5405">
      <w:pPr>
        <w:pStyle w:val="ListParagraph"/>
        <w:numPr>
          <w:ilvl w:val="0"/>
          <w:numId w:val="3"/>
        </w:numPr>
        <w:spacing w:line="276" w:lineRule="auto"/>
        <w:jc w:val="both"/>
        <w:rPr>
          <w:rFonts w:ascii="Times New Roman" w:hAnsi="Times New Roman" w:cs="Times New Roman"/>
          <w:b/>
          <w:noProof/>
        </w:rPr>
      </w:pPr>
      <w:r w:rsidRPr="00E76013">
        <w:rPr>
          <w:rFonts w:ascii="Times New Roman" w:eastAsia="Times New Roman" w:hAnsi="Times New Roman" w:cs="Times New Roman"/>
          <w:b/>
          <w:bCs/>
          <w:noProof/>
          <w:sz w:val="24"/>
          <w:szCs w:val="24"/>
        </w:rPr>
        <w:t>Component 12: Healthcare (EUR 367</w:t>
      </w:r>
      <w:r w:rsidRPr="761004F4">
        <w:rPr>
          <w:rFonts w:ascii="Times New Roman" w:eastAsia="Times New Roman" w:hAnsi="Times New Roman" w:cs="Times New Roman"/>
          <w:b/>
          <w:bCs/>
          <w:noProof/>
          <w:sz w:val="24"/>
          <w:szCs w:val="24"/>
        </w:rPr>
        <w:t>.</w:t>
      </w:r>
      <w:r w:rsidRPr="00E76013">
        <w:rPr>
          <w:rFonts w:ascii="Times New Roman" w:eastAsia="Times New Roman" w:hAnsi="Times New Roman" w:cs="Times New Roman"/>
          <w:b/>
          <w:bCs/>
          <w:noProof/>
          <w:sz w:val="24"/>
          <w:szCs w:val="24"/>
        </w:rPr>
        <w:t xml:space="preserve">9 million). </w:t>
      </w:r>
      <w:r w:rsidRPr="00E76013">
        <w:rPr>
          <w:rFonts w:ascii="Times New Roman" w:eastAsia="Times New Roman" w:hAnsi="Times New Roman" w:cs="Times New Roman"/>
          <w:noProof/>
          <w:sz w:val="24"/>
          <w:szCs w:val="24"/>
        </w:rPr>
        <w:t xml:space="preserve">This component aims to improve the provision and availability of health services across Bulgaria. It includes investments in the health sector across the territory, the construction of outpatient care units, the establishment of an air ambulance system, as well as </w:t>
      </w:r>
      <w:r w:rsidR="077C90B1" w:rsidRPr="00E76013">
        <w:rPr>
          <w:rFonts w:ascii="Times New Roman" w:eastAsia="Times New Roman" w:hAnsi="Times New Roman" w:cs="Times New Roman"/>
          <w:noProof/>
          <w:sz w:val="24"/>
          <w:szCs w:val="24"/>
        </w:rPr>
        <w:t xml:space="preserve">reforms and investments </w:t>
      </w:r>
      <w:r w:rsidRPr="00E76013">
        <w:rPr>
          <w:rFonts w:ascii="Times New Roman" w:eastAsia="Times New Roman" w:hAnsi="Times New Roman" w:cs="Times New Roman"/>
          <w:noProof/>
          <w:sz w:val="24"/>
          <w:szCs w:val="24"/>
        </w:rPr>
        <w:t xml:space="preserve">addressing shortages of healthcare professionals, including their unbalanced geographical distribution. The enhancement of e-health and digital innovation in healthcare </w:t>
      </w:r>
      <w:r w:rsidR="077C90B1" w:rsidRPr="00E76013">
        <w:rPr>
          <w:rFonts w:ascii="Times New Roman" w:eastAsia="Times New Roman" w:hAnsi="Times New Roman" w:cs="Times New Roman"/>
          <w:noProof/>
          <w:sz w:val="24"/>
          <w:szCs w:val="24"/>
        </w:rPr>
        <w:t>is expected to</w:t>
      </w:r>
      <w:r w:rsidRPr="00E76013">
        <w:rPr>
          <w:rFonts w:ascii="Times New Roman" w:eastAsia="Times New Roman" w:hAnsi="Times New Roman" w:cs="Times New Roman"/>
          <w:noProof/>
          <w:sz w:val="24"/>
          <w:szCs w:val="24"/>
        </w:rPr>
        <w:t xml:space="preserve"> be supported by the implementation of the full National Health Information System and the development of digital platforms, including for the diagnostics of diseases. The component contributes to addressing the </w:t>
      </w:r>
      <w:r w:rsidR="077C90B1" w:rsidRPr="00E76013">
        <w:rPr>
          <w:rFonts w:ascii="Times New Roman" w:eastAsia="Times New Roman" w:hAnsi="Times New Roman" w:cs="Times New Roman"/>
          <w:noProof/>
          <w:sz w:val="24"/>
          <w:szCs w:val="24"/>
        </w:rPr>
        <w:t xml:space="preserve">country-specific </w:t>
      </w:r>
      <w:r w:rsidRPr="00E76013">
        <w:rPr>
          <w:rFonts w:ascii="Times New Roman" w:eastAsia="Times New Roman" w:hAnsi="Times New Roman" w:cs="Times New Roman"/>
          <w:noProof/>
          <w:sz w:val="24"/>
          <w:szCs w:val="24"/>
        </w:rPr>
        <w:t>recommendations to mobilize adequate financial resources to strengthen the resilience, accessibility and capacity of the health system, and ensure a balanced geographical distribution of health workers (CSR 1 2020), as well as to improve access to health services and addressing shortages of health professionals (CSR 4 2019).</w:t>
      </w:r>
    </w:p>
    <w:p w14:paraId="3D8A11C0" w14:textId="351AEAB4" w:rsidR="00AF4D23" w:rsidRPr="00E76013" w:rsidRDefault="00E20589" w:rsidP="00C863E2">
      <w:pPr>
        <w:pStyle w:val="Caption"/>
        <w:ind w:firstLine="720"/>
        <w:rPr>
          <w:rFonts w:ascii="Times New Roman" w:eastAsia="Times New Roman" w:hAnsi="Times New Roman" w:cs="Times New Roman"/>
          <w:b/>
          <w:bCs/>
          <w:i w:val="0"/>
          <w:noProof/>
          <w:color w:val="auto"/>
          <w:sz w:val="32"/>
          <w:szCs w:val="24"/>
          <w:lang w:val="en-GB"/>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00C84127" w:rsidRPr="00E76013">
        <w:rPr>
          <w:rFonts w:ascii="Times New Roman" w:hAnsi="Times New Roman" w:cs="Times New Roman"/>
          <w:b/>
          <w:i w:val="0"/>
          <w:noProof/>
          <w:color w:val="auto"/>
          <w:sz w:val="22"/>
        </w:rPr>
        <w:t>4</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Table of components and associated costs.</w:t>
      </w:r>
    </w:p>
    <w:tbl>
      <w:tblPr>
        <w:tblStyle w:val="TableGrid"/>
        <w:tblW w:w="6586" w:type="dxa"/>
        <w:tblInd w:w="775" w:type="dxa"/>
        <w:tblLook w:val="04A0" w:firstRow="1" w:lastRow="0" w:firstColumn="1" w:lastColumn="0" w:noHBand="0" w:noVBand="1"/>
      </w:tblPr>
      <w:tblGrid>
        <w:gridCol w:w="4216"/>
        <w:gridCol w:w="2370"/>
      </w:tblGrid>
      <w:tr w:rsidR="00AF4D23" w:rsidRPr="00E76013" w14:paraId="41F81EF5" w14:textId="77777777" w:rsidTr="00C863E2">
        <w:tc>
          <w:tcPr>
            <w:tcW w:w="4216" w:type="dxa"/>
            <w:shd w:val="clear" w:color="auto" w:fill="E7E6E6" w:themeFill="background2"/>
          </w:tcPr>
          <w:p w14:paraId="74D7C997" w14:textId="77777777" w:rsidR="00AF4D23" w:rsidRPr="00E76013" w:rsidRDefault="6B454FA7" w:rsidP="0FBCE341">
            <w:pPr>
              <w:jc w:val="both"/>
              <w:rPr>
                <w:rFonts w:ascii="Times New Roman" w:eastAsia="Times New Roman" w:hAnsi="Times New Roman" w:cs="Times New Roman"/>
                <w:b/>
                <w:bCs/>
                <w:noProof/>
                <w:sz w:val="24"/>
                <w:szCs w:val="24"/>
                <w:lang w:val="en-GB"/>
              </w:rPr>
            </w:pPr>
            <w:r w:rsidRPr="00E76013">
              <w:rPr>
                <w:rFonts w:ascii="Times New Roman" w:eastAsia="Times New Roman" w:hAnsi="Times New Roman" w:cs="Times New Roman"/>
                <w:b/>
                <w:bCs/>
                <w:noProof/>
                <w:sz w:val="24"/>
                <w:szCs w:val="24"/>
                <w:lang w:val="en-GB"/>
              </w:rPr>
              <w:t>Component</w:t>
            </w:r>
          </w:p>
        </w:tc>
        <w:tc>
          <w:tcPr>
            <w:tcW w:w="2370" w:type="dxa"/>
            <w:shd w:val="clear" w:color="auto" w:fill="E7E6E6" w:themeFill="background2"/>
          </w:tcPr>
          <w:p w14:paraId="155D93B4" w14:textId="77777777" w:rsidR="00AF4D23" w:rsidRPr="00E76013" w:rsidRDefault="6B454FA7" w:rsidP="0FBCE341">
            <w:pPr>
              <w:jc w:val="both"/>
              <w:rPr>
                <w:rFonts w:ascii="Times New Roman" w:eastAsia="Times New Roman" w:hAnsi="Times New Roman" w:cs="Times New Roman"/>
                <w:b/>
                <w:bCs/>
                <w:noProof/>
                <w:sz w:val="24"/>
                <w:szCs w:val="24"/>
                <w:lang w:val="en-GB"/>
              </w:rPr>
            </w:pPr>
            <w:r w:rsidRPr="00E76013">
              <w:rPr>
                <w:rFonts w:ascii="Times New Roman" w:eastAsia="Times New Roman" w:hAnsi="Times New Roman" w:cs="Times New Roman"/>
                <w:b/>
                <w:bCs/>
                <w:noProof/>
                <w:sz w:val="24"/>
                <w:szCs w:val="24"/>
                <w:lang w:val="en-GB"/>
              </w:rPr>
              <w:t>Costs (EUR million)</w:t>
            </w:r>
          </w:p>
        </w:tc>
      </w:tr>
      <w:tr w:rsidR="0FBCE341" w:rsidRPr="00E76013" w14:paraId="15143E98" w14:textId="77777777" w:rsidTr="00C863E2">
        <w:tc>
          <w:tcPr>
            <w:tcW w:w="4216" w:type="dxa"/>
          </w:tcPr>
          <w:p w14:paraId="0977EF09" w14:textId="229281A6" w:rsidR="0FBCE341" w:rsidRPr="00E76013" w:rsidRDefault="0FBCE341" w:rsidP="0FBCE341">
            <w:pPr>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Innovative Bulgaria</w:t>
            </w:r>
          </w:p>
        </w:tc>
        <w:tc>
          <w:tcPr>
            <w:tcW w:w="2370" w:type="dxa"/>
          </w:tcPr>
          <w:p w14:paraId="32321AB4" w14:textId="044481E9" w:rsidR="0FBCE341" w:rsidRPr="00E76013" w:rsidRDefault="0FBCE341" w:rsidP="0FBCE341">
            <w:pPr>
              <w:jc w:val="both"/>
              <w:rPr>
                <w:rFonts w:ascii="Times New Roman" w:eastAsia="Times New Roman" w:hAnsi="Times New Roman" w:cs="Times New Roman"/>
                <w:noProof/>
                <w:sz w:val="24"/>
                <w:szCs w:val="24"/>
                <w:lang w:val="en-GB"/>
              </w:rPr>
            </w:pPr>
          </w:p>
        </w:tc>
      </w:tr>
      <w:tr w:rsidR="00AF4D23" w:rsidRPr="00E76013" w14:paraId="1FA36CF3" w14:textId="77777777" w:rsidTr="00C863E2">
        <w:tc>
          <w:tcPr>
            <w:tcW w:w="4216" w:type="dxa"/>
          </w:tcPr>
          <w:p w14:paraId="66C86A2E" w14:textId="34B095C5" w:rsidR="00AF4D23" w:rsidRPr="00E76013" w:rsidRDefault="4AEE0F79"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1</w:t>
            </w:r>
            <w:r w:rsidR="534094D2" w:rsidRPr="00E76013">
              <w:rPr>
                <w:rFonts w:ascii="Times New Roman" w:eastAsia="Times New Roman" w:hAnsi="Times New Roman" w:cs="Times New Roman"/>
                <w:noProof/>
                <w:sz w:val="24"/>
                <w:szCs w:val="24"/>
                <w:lang w:val="en-GB"/>
              </w:rPr>
              <w:t xml:space="preserve">: </w:t>
            </w:r>
            <w:r w:rsidR="26137DC2" w:rsidRPr="00E76013">
              <w:rPr>
                <w:rFonts w:ascii="Times New Roman" w:eastAsia="Times New Roman" w:hAnsi="Times New Roman" w:cs="Times New Roman"/>
                <w:noProof/>
                <w:sz w:val="24"/>
                <w:szCs w:val="24"/>
                <w:lang w:val="en-GB"/>
              </w:rPr>
              <w:t>Education and skills</w:t>
            </w:r>
          </w:p>
        </w:tc>
        <w:tc>
          <w:tcPr>
            <w:tcW w:w="2370" w:type="dxa"/>
          </w:tcPr>
          <w:p w14:paraId="319E43FF" w14:textId="6B5D0449" w:rsidR="00AF4D23"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733</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5</w:t>
            </w:r>
          </w:p>
        </w:tc>
      </w:tr>
      <w:tr w:rsidR="00AF4D23" w:rsidRPr="00E76013" w14:paraId="0F866FCA" w14:textId="77777777" w:rsidTr="00C863E2">
        <w:tc>
          <w:tcPr>
            <w:tcW w:w="4216" w:type="dxa"/>
          </w:tcPr>
          <w:p w14:paraId="5B975B8D" w14:textId="049B19F0" w:rsidR="00AF4D23" w:rsidRPr="00E76013" w:rsidRDefault="2CB2919B"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2</w:t>
            </w:r>
            <w:r w:rsidR="534094D2" w:rsidRPr="00E76013">
              <w:rPr>
                <w:rFonts w:ascii="Times New Roman" w:eastAsia="Times New Roman" w:hAnsi="Times New Roman" w:cs="Times New Roman"/>
                <w:noProof/>
                <w:sz w:val="24"/>
                <w:szCs w:val="24"/>
                <w:lang w:val="en-GB"/>
              </w:rPr>
              <w:t xml:space="preserve">: </w:t>
            </w:r>
            <w:r w:rsidR="1236EB51" w:rsidRPr="00E76013">
              <w:rPr>
                <w:rFonts w:ascii="Times New Roman" w:eastAsia="Times New Roman" w:hAnsi="Times New Roman" w:cs="Times New Roman"/>
                <w:noProof/>
                <w:sz w:val="24"/>
                <w:szCs w:val="24"/>
                <w:lang w:val="en-GB"/>
              </w:rPr>
              <w:t>Research and innovation</w:t>
            </w:r>
          </w:p>
        </w:tc>
        <w:tc>
          <w:tcPr>
            <w:tcW w:w="2370" w:type="dxa"/>
          </w:tcPr>
          <w:p w14:paraId="58A00FAE" w14:textId="73BC076F" w:rsidR="00AF4D23"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211</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3</w:t>
            </w:r>
          </w:p>
        </w:tc>
      </w:tr>
      <w:tr w:rsidR="00AF4D23" w:rsidRPr="00E76013" w14:paraId="1A280E70" w14:textId="77777777" w:rsidTr="00C863E2">
        <w:tc>
          <w:tcPr>
            <w:tcW w:w="4216" w:type="dxa"/>
          </w:tcPr>
          <w:p w14:paraId="337B493D" w14:textId="56404ADD" w:rsidR="00AF4D23" w:rsidRPr="00E76013" w:rsidRDefault="6D9101AE"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3: Smart industry</w:t>
            </w:r>
          </w:p>
        </w:tc>
        <w:tc>
          <w:tcPr>
            <w:tcW w:w="2370" w:type="dxa"/>
          </w:tcPr>
          <w:p w14:paraId="1BB56D1F" w14:textId="3FE931F7" w:rsidR="00AF4D23" w:rsidRPr="00E76013" w:rsidRDefault="3FE7C014" w:rsidP="00502674">
            <w:pPr>
              <w:spacing w:line="259" w:lineRule="auto"/>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800</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7</w:t>
            </w:r>
          </w:p>
        </w:tc>
      </w:tr>
      <w:tr w:rsidR="0FBCE341" w:rsidRPr="00E76013" w14:paraId="36B84877" w14:textId="77777777" w:rsidTr="00C863E2">
        <w:tc>
          <w:tcPr>
            <w:tcW w:w="4216" w:type="dxa"/>
          </w:tcPr>
          <w:p w14:paraId="25A87D2D" w14:textId="7AE7E136" w:rsidR="0FBCE341" w:rsidRPr="00E76013" w:rsidRDefault="0FBCE341" w:rsidP="0FBCE341">
            <w:pPr>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Green Bulgaria</w:t>
            </w:r>
          </w:p>
        </w:tc>
        <w:tc>
          <w:tcPr>
            <w:tcW w:w="2370" w:type="dxa"/>
          </w:tcPr>
          <w:p w14:paraId="0C8CA20B" w14:textId="5ACCDC52" w:rsidR="0FBCE341" w:rsidRPr="00E76013" w:rsidRDefault="0FBCE341" w:rsidP="0D7117EC">
            <w:pPr>
              <w:jc w:val="right"/>
              <w:rPr>
                <w:rFonts w:ascii="Times New Roman" w:eastAsia="Times New Roman" w:hAnsi="Times New Roman" w:cs="Times New Roman"/>
                <w:noProof/>
                <w:sz w:val="24"/>
                <w:szCs w:val="24"/>
                <w:lang w:val="en-GB"/>
              </w:rPr>
            </w:pPr>
          </w:p>
        </w:tc>
      </w:tr>
      <w:tr w:rsidR="00AF4D23" w:rsidRPr="00E76013" w14:paraId="17C399F4" w14:textId="77777777" w:rsidTr="00C863E2">
        <w:tc>
          <w:tcPr>
            <w:tcW w:w="4216" w:type="dxa"/>
          </w:tcPr>
          <w:p w14:paraId="0DBE9FCE" w14:textId="565037E9" w:rsidR="00AF4D23" w:rsidRPr="00E76013" w:rsidRDefault="12A33576"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4: Low-carbon economy</w:t>
            </w:r>
          </w:p>
        </w:tc>
        <w:tc>
          <w:tcPr>
            <w:tcW w:w="2370" w:type="dxa"/>
          </w:tcPr>
          <w:p w14:paraId="65054F64" w14:textId="493895E0" w:rsidR="00AF4D23" w:rsidRPr="00E76013" w:rsidRDefault="00502674" w:rsidP="00502674">
            <w:pPr>
              <w:jc w:val="right"/>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2 </w:t>
            </w:r>
            <w:r w:rsidR="0FBCE341" w:rsidRPr="00E76013">
              <w:rPr>
                <w:rFonts w:ascii="Times New Roman" w:eastAsia="Times New Roman" w:hAnsi="Times New Roman" w:cs="Times New Roman"/>
                <w:noProof/>
                <w:sz w:val="24"/>
                <w:szCs w:val="24"/>
                <w:lang w:val="en-GB"/>
              </w:rPr>
              <w:t>612</w:t>
            </w:r>
            <w:r>
              <w:rPr>
                <w:rFonts w:ascii="Times New Roman" w:eastAsia="Times New Roman" w:hAnsi="Times New Roman" w:cs="Times New Roman"/>
                <w:noProof/>
                <w:sz w:val="24"/>
                <w:szCs w:val="24"/>
                <w:lang w:val="en-GB"/>
              </w:rPr>
              <w:t>.</w:t>
            </w:r>
            <w:r w:rsidR="0FBCE341" w:rsidRPr="00E76013">
              <w:rPr>
                <w:rFonts w:ascii="Times New Roman" w:eastAsia="Times New Roman" w:hAnsi="Times New Roman" w:cs="Times New Roman"/>
                <w:noProof/>
                <w:sz w:val="24"/>
                <w:szCs w:val="24"/>
                <w:lang w:val="en-GB"/>
              </w:rPr>
              <w:t>5</w:t>
            </w:r>
          </w:p>
        </w:tc>
      </w:tr>
      <w:tr w:rsidR="14500D06" w:rsidRPr="00E76013" w14:paraId="59C29887" w14:textId="77777777" w:rsidTr="00C863E2">
        <w:trPr>
          <w:trHeight w:val="345"/>
        </w:trPr>
        <w:tc>
          <w:tcPr>
            <w:tcW w:w="4216" w:type="dxa"/>
          </w:tcPr>
          <w:p w14:paraId="26E8E282" w14:textId="2FB7DB08"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5: Biodiversity</w:t>
            </w:r>
          </w:p>
        </w:tc>
        <w:tc>
          <w:tcPr>
            <w:tcW w:w="2370" w:type="dxa"/>
          </w:tcPr>
          <w:p w14:paraId="6DAF0E7B" w14:textId="4D02AE7F" w:rsidR="373662A8"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47</w:t>
            </w:r>
            <w:r w:rsidR="00502674">
              <w:rPr>
                <w:rFonts w:ascii="Times New Roman" w:eastAsia="Times New Roman" w:hAnsi="Times New Roman" w:cs="Times New Roman"/>
                <w:noProof/>
                <w:sz w:val="24"/>
                <w:szCs w:val="24"/>
                <w:lang w:val="en-GB"/>
              </w:rPr>
              <w:t>.</w:t>
            </w:r>
            <w:r w:rsidR="1ADE9C69" w:rsidRPr="00E76013">
              <w:rPr>
                <w:rFonts w:ascii="Times New Roman" w:eastAsia="Times New Roman" w:hAnsi="Times New Roman" w:cs="Times New Roman"/>
                <w:noProof/>
                <w:sz w:val="24"/>
                <w:szCs w:val="24"/>
                <w:lang w:val="en-GB"/>
              </w:rPr>
              <w:t>5</w:t>
            </w:r>
          </w:p>
        </w:tc>
      </w:tr>
      <w:tr w:rsidR="14500D06" w:rsidRPr="00E76013" w14:paraId="19ACA95F" w14:textId="77777777" w:rsidTr="00C863E2">
        <w:tc>
          <w:tcPr>
            <w:tcW w:w="4216" w:type="dxa"/>
          </w:tcPr>
          <w:p w14:paraId="02030344" w14:textId="55744AAD" w:rsidR="57C49984" w:rsidRPr="00E76013" w:rsidRDefault="4EE3C428" w:rsidP="0FBCE341">
            <w:pPr>
              <w:spacing w:line="259" w:lineRule="auto"/>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6: Sustainable agriculture</w:t>
            </w:r>
          </w:p>
        </w:tc>
        <w:tc>
          <w:tcPr>
            <w:tcW w:w="2370" w:type="dxa"/>
          </w:tcPr>
          <w:p w14:paraId="4FE07E3B" w14:textId="76C30C36" w:rsidR="07C14936"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233</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8</w:t>
            </w:r>
          </w:p>
        </w:tc>
      </w:tr>
      <w:tr w:rsidR="0FBCE341" w:rsidRPr="00E76013" w14:paraId="6A1DBAB8" w14:textId="77777777" w:rsidTr="00C863E2">
        <w:tc>
          <w:tcPr>
            <w:tcW w:w="4216" w:type="dxa"/>
          </w:tcPr>
          <w:p w14:paraId="38839B1B" w14:textId="27068B7E" w:rsidR="0FBCE341" w:rsidRPr="00E76013" w:rsidRDefault="0FBCE341" w:rsidP="0FBCE341">
            <w:pPr>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Connected Bulgaria</w:t>
            </w:r>
          </w:p>
        </w:tc>
        <w:tc>
          <w:tcPr>
            <w:tcW w:w="2370" w:type="dxa"/>
          </w:tcPr>
          <w:p w14:paraId="2525044C" w14:textId="24C7D1BB" w:rsidR="0FBCE341" w:rsidRPr="00E76013" w:rsidRDefault="0FBCE341" w:rsidP="0D7117EC">
            <w:pPr>
              <w:jc w:val="right"/>
              <w:rPr>
                <w:rFonts w:ascii="Times New Roman" w:eastAsia="Times New Roman" w:hAnsi="Times New Roman" w:cs="Times New Roman"/>
                <w:noProof/>
                <w:sz w:val="24"/>
                <w:szCs w:val="24"/>
                <w:lang w:val="en-GB"/>
              </w:rPr>
            </w:pPr>
          </w:p>
        </w:tc>
      </w:tr>
      <w:tr w:rsidR="14500D06" w:rsidRPr="00E76013" w14:paraId="3B879958" w14:textId="77777777" w:rsidTr="00C863E2">
        <w:tc>
          <w:tcPr>
            <w:tcW w:w="4216" w:type="dxa"/>
          </w:tcPr>
          <w:p w14:paraId="42F40B0E" w14:textId="11245D5F"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7: Digital connectivity</w:t>
            </w:r>
          </w:p>
        </w:tc>
        <w:tc>
          <w:tcPr>
            <w:tcW w:w="2370" w:type="dxa"/>
          </w:tcPr>
          <w:p w14:paraId="5A9ACD8B" w14:textId="527199DF" w:rsidR="76911A7D"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385</w:t>
            </w:r>
            <w:r w:rsidR="00502674">
              <w:rPr>
                <w:rFonts w:ascii="Times New Roman" w:eastAsia="Times New Roman" w:hAnsi="Times New Roman" w:cs="Times New Roman"/>
                <w:noProof/>
                <w:sz w:val="24"/>
                <w:szCs w:val="24"/>
                <w:lang w:val="en-GB"/>
              </w:rPr>
              <w:t>.</w:t>
            </w:r>
            <w:r w:rsidR="00CC5925">
              <w:rPr>
                <w:rFonts w:ascii="Times New Roman" w:eastAsia="Times New Roman" w:hAnsi="Times New Roman" w:cs="Times New Roman"/>
                <w:noProof/>
                <w:sz w:val="24"/>
                <w:szCs w:val="24"/>
                <w:lang w:val="en-GB"/>
              </w:rPr>
              <w:t>2</w:t>
            </w:r>
          </w:p>
        </w:tc>
      </w:tr>
      <w:tr w:rsidR="14500D06" w:rsidRPr="00E76013" w14:paraId="6E32F5E5" w14:textId="77777777" w:rsidTr="00C863E2">
        <w:tc>
          <w:tcPr>
            <w:tcW w:w="4216" w:type="dxa"/>
          </w:tcPr>
          <w:p w14:paraId="1350C1FE" w14:textId="7312B0FA"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 xml:space="preserve">8: </w:t>
            </w:r>
            <w:r w:rsidR="2284BEC1" w:rsidRPr="00E76013">
              <w:rPr>
                <w:rFonts w:ascii="Times New Roman" w:eastAsia="Times New Roman" w:hAnsi="Times New Roman" w:cs="Times New Roman"/>
                <w:noProof/>
                <w:sz w:val="24"/>
                <w:szCs w:val="24"/>
                <w:lang w:val="en-GB"/>
              </w:rPr>
              <w:t xml:space="preserve">Sustainable </w:t>
            </w:r>
            <w:r w:rsidRPr="00E76013">
              <w:rPr>
                <w:rFonts w:ascii="Times New Roman" w:eastAsia="Times New Roman" w:hAnsi="Times New Roman" w:cs="Times New Roman"/>
                <w:noProof/>
                <w:sz w:val="24"/>
                <w:szCs w:val="24"/>
                <w:lang w:val="en-GB"/>
              </w:rPr>
              <w:t xml:space="preserve">Transport </w:t>
            </w:r>
          </w:p>
        </w:tc>
        <w:tc>
          <w:tcPr>
            <w:tcW w:w="2370" w:type="dxa"/>
          </w:tcPr>
          <w:p w14:paraId="76A020B5" w14:textId="6F1D5978" w:rsidR="0A200114" w:rsidRPr="00E76013" w:rsidRDefault="1ADE9C69" w:rsidP="00502674">
            <w:pPr>
              <w:spacing w:line="259" w:lineRule="auto"/>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66</w:t>
            </w:r>
            <w:r w:rsidR="00CC5925">
              <w:rPr>
                <w:rFonts w:ascii="Times New Roman" w:eastAsia="Times New Roman" w:hAnsi="Times New Roman" w:cs="Times New Roman"/>
                <w:noProof/>
                <w:sz w:val="24"/>
                <w:szCs w:val="24"/>
                <w:lang w:val="en-GB"/>
              </w:rPr>
              <w:t>5.8</w:t>
            </w:r>
          </w:p>
        </w:tc>
      </w:tr>
      <w:tr w:rsidR="14500D06" w:rsidRPr="00E76013" w14:paraId="7B644D01" w14:textId="77777777" w:rsidTr="00C863E2">
        <w:tc>
          <w:tcPr>
            <w:tcW w:w="4216" w:type="dxa"/>
          </w:tcPr>
          <w:p w14:paraId="5E1F8DA4" w14:textId="3C20B2A2"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9: Local development</w:t>
            </w:r>
          </w:p>
        </w:tc>
        <w:tc>
          <w:tcPr>
            <w:tcW w:w="2370" w:type="dxa"/>
          </w:tcPr>
          <w:p w14:paraId="7B8C04F7" w14:textId="650292F6" w:rsidR="16A4AE6C" w:rsidRPr="00E76013" w:rsidRDefault="0FBCE341" w:rsidP="00502674">
            <w:pPr>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2</w:t>
            </w:r>
            <w:r w:rsidR="00CC5925">
              <w:rPr>
                <w:rFonts w:ascii="Times New Roman" w:eastAsia="Times New Roman" w:hAnsi="Times New Roman" w:cs="Times New Roman"/>
                <w:noProof/>
                <w:sz w:val="24"/>
                <w:szCs w:val="24"/>
                <w:lang w:val="en-GB"/>
              </w:rPr>
              <w:t>11.1</w:t>
            </w:r>
          </w:p>
        </w:tc>
      </w:tr>
      <w:tr w:rsidR="0FBCE341" w:rsidRPr="00E76013" w14:paraId="3A4E0610" w14:textId="77777777" w:rsidTr="00C863E2">
        <w:tc>
          <w:tcPr>
            <w:tcW w:w="4216" w:type="dxa"/>
          </w:tcPr>
          <w:p w14:paraId="4ED08185" w14:textId="12C51D4E" w:rsidR="0FBCE341" w:rsidRPr="00E76013" w:rsidRDefault="0FBCE341" w:rsidP="0FBCE341">
            <w:pPr>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Fair Bulgaria</w:t>
            </w:r>
          </w:p>
        </w:tc>
        <w:tc>
          <w:tcPr>
            <w:tcW w:w="2370" w:type="dxa"/>
          </w:tcPr>
          <w:p w14:paraId="026AB026" w14:textId="398B2F97" w:rsidR="0FBCE341" w:rsidRPr="00E76013" w:rsidRDefault="0FBCE341" w:rsidP="0D7117EC">
            <w:pPr>
              <w:jc w:val="right"/>
              <w:rPr>
                <w:rFonts w:ascii="Times New Roman" w:eastAsia="Times New Roman" w:hAnsi="Times New Roman" w:cs="Times New Roman"/>
                <w:noProof/>
                <w:sz w:val="24"/>
                <w:szCs w:val="24"/>
                <w:lang w:val="en-GB"/>
              </w:rPr>
            </w:pPr>
          </w:p>
        </w:tc>
      </w:tr>
      <w:tr w:rsidR="14500D06" w:rsidRPr="00E76013" w14:paraId="1A085768" w14:textId="77777777" w:rsidTr="00C863E2">
        <w:tc>
          <w:tcPr>
            <w:tcW w:w="4216" w:type="dxa"/>
          </w:tcPr>
          <w:p w14:paraId="00808FD6" w14:textId="12617EF5"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10: Business environment</w:t>
            </w:r>
          </w:p>
        </w:tc>
        <w:tc>
          <w:tcPr>
            <w:tcW w:w="2370" w:type="dxa"/>
          </w:tcPr>
          <w:p w14:paraId="44C9D9A8" w14:textId="037F594C" w:rsidR="3EB81C38" w:rsidRPr="00E76013" w:rsidRDefault="00CC5925" w:rsidP="00502674">
            <w:pPr>
              <w:jc w:val="right"/>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188.1</w:t>
            </w:r>
          </w:p>
        </w:tc>
      </w:tr>
      <w:tr w:rsidR="14500D06" w:rsidRPr="00E76013" w14:paraId="575C054E" w14:textId="77777777" w:rsidTr="00C863E2">
        <w:trPr>
          <w:trHeight w:val="300"/>
        </w:trPr>
        <w:tc>
          <w:tcPr>
            <w:tcW w:w="4216" w:type="dxa"/>
          </w:tcPr>
          <w:p w14:paraId="49659871" w14:textId="3BDBC143" w:rsidR="57C49984" w:rsidRPr="00E76013" w:rsidRDefault="4EE3C428" w:rsidP="0FBCE341">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11: Social inclusion</w:t>
            </w:r>
          </w:p>
        </w:tc>
        <w:tc>
          <w:tcPr>
            <w:tcW w:w="2370" w:type="dxa"/>
          </w:tcPr>
          <w:p w14:paraId="45805726" w14:textId="31AFD0DF" w:rsidR="0176E69B" w:rsidRPr="00E76013" w:rsidRDefault="0FBCE341" w:rsidP="00502674">
            <w:pPr>
              <w:spacing w:line="259" w:lineRule="auto"/>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440</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4</w:t>
            </w:r>
          </w:p>
        </w:tc>
      </w:tr>
      <w:tr w:rsidR="1B3F02A3" w:rsidRPr="00E76013" w14:paraId="72A9E478" w14:textId="77777777" w:rsidTr="00C863E2">
        <w:trPr>
          <w:trHeight w:val="300"/>
        </w:trPr>
        <w:tc>
          <w:tcPr>
            <w:tcW w:w="4216" w:type="dxa"/>
          </w:tcPr>
          <w:p w14:paraId="53B4D7F4" w14:textId="24564FC9" w:rsidR="7C042CFF" w:rsidRPr="00E76013" w:rsidRDefault="7C042CFF" w:rsidP="1B3F02A3">
            <w:pPr>
              <w:ind w:left="397"/>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12: Healthcare</w:t>
            </w:r>
          </w:p>
        </w:tc>
        <w:tc>
          <w:tcPr>
            <w:tcW w:w="2370" w:type="dxa"/>
          </w:tcPr>
          <w:p w14:paraId="41797CF0" w14:textId="56DCD5D1" w:rsidR="1B3F02A3" w:rsidRPr="00E76013" w:rsidRDefault="1B3F02A3" w:rsidP="00502674">
            <w:pPr>
              <w:spacing w:line="259" w:lineRule="auto"/>
              <w:jc w:val="right"/>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367</w:t>
            </w:r>
            <w:r w:rsidR="00502674">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9</w:t>
            </w:r>
          </w:p>
        </w:tc>
      </w:tr>
      <w:tr w:rsidR="14500D06" w:rsidRPr="00E76013" w14:paraId="748ED2DF" w14:textId="77777777" w:rsidTr="00C863E2">
        <w:tc>
          <w:tcPr>
            <w:tcW w:w="4216" w:type="dxa"/>
          </w:tcPr>
          <w:p w14:paraId="357ED1CD" w14:textId="7212C206" w:rsidR="57C49984" w:rsidRPr="00E76013" w:rsidRDefault="1B3F02A3" w:rsidP="1B3F02A3">
            <w:pPr>
              <w:jc w:val="both"/>
              <w:rPr>
                <w:rFonts w:ascii="Times New Roman" w:eastAsia="Times New Roman" w:hAnsi="Times New Roman" w:cs="Times New Roman"/>
                <w:b/>
                <w:noProof/>
                <w:sz w:val="24"/>
                <w:szCs w:val="24"/>
                <w:lang w:val="en-GB"/>
              </w:rPr>
            </w:pPr>
            <w:r w:rsidRPr="00E76013">
              <w:rPr>
                <w:rFonts w:ascii="Times New Roman" w:eastAsia="Times New Roman" w:hAnsi="Times New Roman" w:cs="Times New Roman"/>
                <w:b/>
                <w:bCs/>
                <w:noProof/>
                <w:sz w:val="24"/>
                <w:szCs w:val="24"/>
                <w:lang w:val="en-GB"/>
              </w:rPr>
              <w:t>Total</w:t>
            </w:r>
          </w:p>
        </w:tc>
        <w:tc>
          <w:tcPr>
            <w:tcW w:w="2370" w:type="dxa"/>
          </w:tcPr>
          <w:p w14:paraId="64884410" w14:textId="36922C4B" w:rsidR="379ABB43" w:rsidRPr="00E76013" w:rsidRDefault="48A2CCED" w:rsidP="00502674">
            <w:pPr>
              <w:spacing w:line="259" w:lineRule="auto"/>
              <w:jc w:val="right"/>
              <w:rPr>
                <w:rFonts w:ascii="Times New Roman" w:eastAsia="Times New Roman" w:hAnsi="Times New Roman" w:cs="Times New Roman"/>
                <w:b/>
                <w:noProof/>
                <w:sz w:val="24"/>
                <w:szCs w:val="24"/>
                <w:lang w:val="en-GB"/>
              </w:rPr>
            </w:pPr>
            <w:r w:rsidRPr="37BE1238">
              <w:rPr>
                <w:rFonts w:ascii="Times New Roman" w:eastAsia="Times New Roman" w:hAnsi="Times New Roman" w:cs="Times New Roman"/>
                <w:b/>
                <w:bCs/>
                <w:noProof/>
                <w:sz w:val="24"/>
                <w:szCs w:val="24"/>
                <w:lang w:val="en-GB"/>
              </w:rPr>
              <w:t>6</w:t>
            </w:r>
            <w:r w:rsidR="00502674">
              <w:rPr>
                <w:rFonts w:ascii="Times New Roman" w:eastAsia="Times New Roman" w:hAnsi="Times New Roman" w:cs="Times New Roman"/>
                <w:b/>
                <w:bCs/>
                <w:noProof/>
                <w:sz w:val="24"/>
                <w:szCs w:val="24"/>
                <w:lang w:val="en-GB"/>
              </w:rPr>
              <w:t xml:space="preserve"> </w:t>
            </w:r>
            <w:r w:rsidR="00CC5925">
              <w:rPr>
                <w:rFonts w:ascii="Times New Roman" w:eastAsia="Times New Roman" w:hAnsi="Times New Roman" w:cs="Times New Roman"/>
                <w:b/>
                <w:bCs/>
                <w:noProof/>
                <w:sz w:val="24"/>
                <w:szCs w:val="24"/>
                <w:lang w:val="en-GB"/>
              </w:rPr>
              <w:t>897.9</w:t>
            </w:r>
          </w:p>
        </w:tc>
      </w:tr>
    </w:tbl>
    <w:p w14:paraId="4D6E603E" w14:textId="653CCA41" w:rsidR="1B3F02A3" w:rsidRPr="00E76013" w:rsidRDefault="1B3F02A3">
      <w:pPr>
        <w:rPr>
          <w:rFonts w:ascii="Times New Roman" w:hAnsi="Times New Roman" w:cs="Times New Roman"/>
          <w:noProof/>
        </w:rPr>
      </w:pPr>
    </w:p>
    <w:p w14:paraId="316CA5CA" w14:textId="188C063F" w:rsidR="003F34B4" w:rsidRPr="00223824" w:rsidRDefault="006A64FD" w:rsidP="00E01A1F">
      <w:pPr>
        <w:pStyle w:val="Heading2"/>
        <w:numPr>
          <w:ilvl w:val="1"/>
          <w:numId w:val="7"/>
        </w:numPr>
        <w:spacing w:after="160" w:line="276" w:lineRule="auto"/>
        <w:rPr>
          <w:noProof/>
        </w:rPr>
      </w:pPr>
      <w:bookmarkStart w:id="179" w:name="_Toc66388702"/>
      <w:bookmarkStart w:id="180" w:name="_Toc99399067"/>
      <w:bookmarkStart w:id="181" w:name="_Toc99400000"/>
      <w:bookmarkStart w:id="182" w:name="_Toc99400428"/>
      <w:bookmarkStart w:id="183" w:name="_Toc99719443"/>
      <w:bookmarkStart w:id="184" w:name="_Toc99728656"/>
      <w:bookmarkStart w:id="185" w:name="_Toc99729650"/>
      <w:bookmarkStart w:id="186" w:name="_Toc99730627"/>
      <w:bookmarkStart w:id="187" w:name="_Toc99731351"/>
      <w:bookmarkStart w:id="188" w:name="_Toc99756890"/>
      <w:bookmarkStart w:id="189" w:name="_Toc99909920"/>
      <w:bookmarkStart w:id="190" w:name="_Toc62818215"/>
      <w:bookmarkStart w:id="191" w:name="_Toc62818762"/>
      <w:bookmarkStart w:id="192" w:name="_Toc63417217"/>
      <w:bookmarkStart w:id="193" w:name="_Toc63418907"/>
      <w:bookmarkStart w:id="194" w:name="_Toc63418932"/>
      <w:bookmarkStart w:id="195" w:name="_Toc64281618"/>
      <w:bookmarkStart w:id="196" w:name="_Toc98952822"/>
      <w:bookmarkStart w:id="197" w:name="_Toc98953993"/>
      <w:bookmarkEnd w:id="179"/>
      <w:r w:rsidRPr="00223824">
        <w:rPr>
          <w:noProof/>
        </w:rPr>
        <w:t>Implementation aspect</w:t>
      </w:r>
      <w:r w:rsidR="00E45938" w:rsidRPr="00223824">
        <w:rPr>
          <w:noProof/>
        </w:rPr>
        <w:t>s</w:t>
      </w:r>
      <w:r w:rsidRPr="00223824">
        <w:rPr>
          <w:noProof/>
        </w:rPr>
        <w:t xml:space="preserve"> of the plan</w:t>
      </w:r>
      <w:bookmarkEnd w:id="180"/>
      <w:bookmarkEnd w:id="181"/>
      <w:bookmarkEnd w:id="182"/>
      <w:bookmarkEnd w:id="183"/>
      <w:bookmarkEnd w:id="184"/>
      <w:bookmarkEnd w:id="185"/>
      <w:bookmarkEnd w:id="186"/>
      <w:bookmarkEnd w:id="187"/>
      <w:bookmarkEnd w:id="188"/>
      <w:bookmarkEnd w:id="189"/>
      <w:r w:rsidR="00EB7928" w:rsidRPr="00223824">
        <w:rPr>
          <w:noProof/>
        </w:rPr>
        <w:t xml:space="preserve"> </w:t>
      </w:r>
      <w:bookmarkEnd w:id="190"/>
      <w:bookmarkEnd w:id="191"/>
      <w:bookmarkEnd w:id="192"/>
      <w:bookmarkEnd w:id="193"/>
      <w:bookmarkEnd w:id="194"/>
      <w:bookmarkEnd w:id="195"/>
      <w:bookmarkEnd w:id="196"/>
      <w:bookmarkEnd w:id="197"/>
    </w:p>
    <w:p w14:paraId="26893EE2" w14:textId="4C8E514F" w:rsidR="6B1FBC0E" w:rsidRPr="00E76013" w:rsidRDefault="6B1FBC0E" w:rsidP="00320AEF">
      <w:pPr>
        <w:spacing w:line="276" w:lineRule="auto"/>
        <w:jc w:val="both"/>
        <w:rPr>
          <w:rFonts w:ascii="Times New Roman" w:eastAsia="Times New Roman" w:hAnsi="Times New Roman" w:cs="Times New Roman"/>
          <w:i/>
          <w:iCs/>
          <w:noProof/>
          <w:sz w:val="24"/>
          <w:szCs w:val="24"/>
          <w:lang w:val="en-GB"/>
        </w:rPr>
      </w:pPr>
      <w:r w:rsidRPr="00E76013">
        <w:rPr>
          <w:rFonts w:ascii="Times New Roman" w:eastAsia="Times New Roman" w:hAnsi="Times New Roman" w:cs="Times New Roman"/>
          <w:i/>
          <w:iCs/>
          <w:noProof/>
          <w:sz w:val="24"/>
          <w:szCs w:val="24"/>
          <w:lang w:val="en-GB"/>
        </w:rPr>
        <w:t>Complementarities with other EU funds</w:t>
      </w:r>
    </w:p>
    <w:p w14:paraId="4D288289" w14:textId="0003E2A9" w:rsidR="00E01A1F" w:rsidRDefault="00E01A1F" w:rsidP="00E01A1F">
      <w:pPr>
        <w:spacing w:after="0" w:line="276" w:lineRule="auto"/>
        <w:jc w:val="both"/>
        <w:rPr>
          <w:rFonts w:ascii="Times New Roman" w:eastAsia="Calibri" w:hAnsi="Times New Roman" w:cs="Times New Roman"/>
          <w:noProof/>
          <w:sz w:val="24"/>
          <w:szCs w:val="24"/>
          <w:lang w:eastAsia="en-GB"/>
        </w:rPr>
      </w:pPr>
      <w:r w:rsidRPr="00E01A1F">
        <w:rPr>
          <w:rFonts w:ascii="Times New Roman" w:eastAsia="Calibri" w:hAnsi="Times New Roman" w:cs="Times New Roman"/>
          <w:b/>
          <w:bCs/>
          <w:noProof/>
          <w:sz w:val="24"/>
          <w:szCs w:val="24"/>
          <w:lang w:eastAsia="en-GB"/>
        </w:rPr>
        <w:t xml:space="preserve">The Plan is structured so as to complement projects funded via other EU funds. </w:t>
      </w:r>
      <w:r w:rsidRPr="00E01A1F">
        <w:rPr>
          <w:rFonts w:ascii="Times New Roman" w:eastAsia="Calibri" w:hAnsi="Times New Roman" w:cs="Times New Roman"/>
          <w:noProof/>
          <w:sz w:val="24"/>
          <w:szCs w:val="24"/>
          <w:lang w:eastAsia="en-GB"/>
        </w:rPr>
        <w:t>The Bulgarian Plan describes complementarities and synergies with other EU funds, including ESF+, ERDF and Cohesion Fund. This is likely to have a significant potential impact on the Bulgarian economy, as Bulgaria is one of the main beneficiaries of EU funds, measured as share of GDP, over the financing period 2021-2027. The 2021-2027 Partnership Agreement with Bulgaria and the cohesion policy programmes are at advanced stages of preparation, but not yet adopted.</w:t>
      </w:r>
      <w:r w:rsidR="00715AD4">
        <w:rPr>
          <w:rFonts w:ascii="Times New Roman" w:eastAsia="Calibri" w:hAnsi="Times New Roman" w:cs="Times New Roman"/>
          <w:noProof/>
          <w:sz w:val="24"/>
          <w:szCs w:val="24"/>
          <w:lang w:eastAsia="en-GB"/>
        </w:rPr>
        <w:t xml:space="preserve"> </w:t>
      </w:r>
      <w:r w:rsidRPr="00E01A1F">
        <w:rPr>
          <w:rFonts w:ascii="Times New Roman" w:eastAsia="Calibri" w:hAnsi="Times New Roman" w:cs="Times New Roman"/>
          <w:noProof/>
          <w:sz w:val="24"/>
          <w:szCs w:val="24"/>
          <w:lang w:eastAsia="en-GB"/>
        </w:rPr>
        <w:t>Therefore, some areas of support indicated in the Plan might be subject to changes. However, complementarities are particularly relevant in the field of research and innovation, business environment for small and medium enterprises, circular economy, waste and water management, energy, transport, education, labour market, social inclusion and healthcare.</w:t>
      </w:r>
      <w:r w:rsidR="004F2DAB">
        <w:rPr>
          <w:rFonts w:ascii="Times New Roman" w:eastAsia="Calibri" w:hAnsi="Times New Roman" w:cs="Times New Roman"/>
          <w:noProof/>
          <w:sz w:val="24"/>
          <w:szCs w:val="24"/>
          <w:lang w:eastAsia="en-GB"/>
        </w:rPr>
        <w:t xml:space="preserve"> </w:t>
      </w:r>
    </w:p>
    <w:p w14:paraId="6EAE594E" w14:textId="77777777" w:rsidR="000B5405" w:rsidRPr="00E01A1F" w:rsidRDefault="000B5405" w:rsidP="00E01A1F">
      <w:pPr>
        <w:spacing w:after="0" w:line="276" w:lineRule="auto"/>
        <w:jc w:val="both"/>
        <w:rPr>
          <w:rFonts w:ascii="Times New Roman" w:eastAsia="Calibri" w:hAnsi="Times New Roman" w:cs="Times New Roman"/>
          <w:noProof/>
          <w:sz w:val="24"/>
          <w:szCs w:val="24"/>
          <w:lang w:eastAsia="en-GB"/>
        </w:rPr>
      </w:pPr>
    </w:p>
    <w:p w14:paraId="2835E7FA" w14:textId="7EB69B2C" w:rsidR="00E01A1F" w:rsidRPr="00E01A1F" w:rsidRDefault="00E01A1F" w:rsidP="00E01A1F">
      <w:pPr>
        <w:spacing w:after="0" w:line="276" w:lineRule="auto"/>
        <w:jc w:val="both"/>
        <w:rPr>
          <w:rFonts w:ascii="Times New Roman" w:hAnsi="Times New Roman" w:cs="Times New Roman"/>
          <w:noProof/>
          <w:sz w:val="24"/>
          <w:szCs w:val="24"/>
        </w:rPr>
      </w:pPr>
      <w:r w:rsidRPr="00E01A1F">
        <w:rPr>
          <w:rFonts w:ascii="Times New Roman" w:hAnsi="Times New Roman" w:cs="Times New Roman"/>
          <w:b/>
          <w:bCs/>
          <w:noProof/>
          <w:sz w:val="24"/>
          <w:szCs w:val="24"/>
        </w:rPr>
        <w:t>A number of reforms and investments are complementary to investments financed by the ESF+.</w:t>
      </w:r>
      <w:r w:rsidRPr="00E01A1F">
        <w:rPr>
          <w:rFonts w:ascii="Times New Roman" w:hAnsi="Times New Roman" w:cs="Times New Roman"/>
          <w:noProof/>
          <w:sz w:val="24"/>
          <w:szCs w:val="24"/>
        </w:rPr>
        <w:t xml:space="preserve"> ESF+ interventions are expected to focus on strengthening the quality and inclusiveness of education and training as well as access to employment, upskilling and reskilling measures and on actions to improve the capacity and effectiveness of public employment services and social services, thus complementing a significant subset of measures in the Plan. Namely, complementarities are expected in the areas of education and training, provision of employment and social services, including long-term care, and healthcare, including the provision of outpatient care across the territory of Bulgaria. In a number of components, the Plan covers measures related to the construction and/or renovation of buildings and development of IT systems, which are expected to be complemented by ESF+ support of training and/or other measures targeting the development of human capital. For instance, the education component covers the set-up of </w:t>
      </w:r>
      <w:r w:rsidR="00646BBF" w:rsidRPr="00646BBF">
        <w:rPr>
          <w:rFonts w:ascii="Times New Roman" w:hAnsi="Times New Roman" w:cs="Times New Roman"/>
          <w:noProof/>
          <w:sz w:val="24"/>
          <w:szCs w:val="24"/>
        </w:rPr>
        <w:t>science, technology, engineering, and mathematics</w:t>
      </w:r>
      <w:r w:rsidR="00646BBF">
        <w:rPr>
          <w:rFonts w:ascii="Times New Roman" w:hAnsi="Times New Roman" w:cs="Times New Roman"/>
          <w:noProof/>
          <w:sz w:val="24"/>
          <w:szCs w:val="24"/>
        </w:rPr>
        <w:t xml:space="preserve"> (</w:t>
      </w:r>
      <w:r w:rsidRPr="00E01A1F">
        <w:rPr>
          <w:rFonts w:ascii="Times New Roman" w:hAnsi="Times New Roman" w:cs="Times New Roman"/>
          <w:noProof/>
          <w:sz w:val="24"/>
          <w:szCs w:val="24"/>
        </w:rPr>
        <w:t>STEM</w:t>
      </w:r>
      <w:r w:rsidR="00646BBF">
        <w:rPr>
          <w:rFonts w:ascii="Times New Roman" w:hAnsi="Times New Roman" w:cs="Times New Roman"/>
          <w:noProof/>
          <w:sz w:val="24"/>
          <w:szCs w:val="24"/>
        </w:rPr>
        <w:t>)</w:t>
      </w:r>
      <w:r w:rsidRPr="00E01A1F">
        <w:rPr>
          <w:rFonts w:ascii="Times New Roman" w:hAnsi="Times New Roman" w:cs="Times New Roman"/>
          <w:noProof/>
          <w:sz w:val="24"/>
          <w:szCs w:val="24"/>
        </w:rPr>
        <w:t xml:space="preserve"> laboratories in schools, while the trainings of the teachers should be covered via ESF+. A similar demarcation also applies to newly built facilities providing long-term care and the training of their staff. In the area of healthcare, the investment in outpatient units in the Plan is expected to be complemented by a relocation package covering the costs of medical professionals who will work in those units located in remote areas. Finally, both the Plan and the ESF+ are expected to fund trainings in digital skills but will target different participants on the basis of their labour market status. </w:t>
      </w:r>
      <w:r w:rsidR="005E77D5">
        <w:rPr>
          <w:rFonts w:ascii="Times New Roman" w:hAnsi="Times New Roman" w:cs="Times New Roman"/>
          <w:noProof/>
          <w:sz w:val="24"/>
          <w:szCs w:val="24"/>
        </w:rPr>
        <w:t>In addition</w:t>
      </w:r>
      <w:r w:rsidR="005E77D5" w:rsidRPr="00ED1C4F">
        <w:rPr>
          <w:rFonts w:ascii="Times New Roman" w:hAnsi="Times New Roman" w:cs="Times New Roman"/>
          <w:noProof/>
          <w:sz w:val="24"/>
          <w:szCs w:val="24"/>
        </w:rPr>
        <w:t>, under ESF+</w:t>
      </w:r>
      <w:r w:rsidR="00E01E77">
        <w:rPr>
          <w:rFonts w:ascii="Times New Roman" w:hAnsi="Times New Roman" w:cs="Times New Roman"/>
          <w:noProof/>
          <w:sz w:val="24"/>
          <w:szCs w:val="24"/>
        </w:rPr>
        <w:t>,</w:t>
      </w:r>
      <w:r w:rsidR="005E77D5" w:rsidRPr="00ED1C4F">
        <w:rPr>
          <w:rFonts w:ascii="Times New Roman" w:hAnsi="Times New Roman" w:cs="Times New Roman"/>
          <w:noProof/>
          <w:sz w:val="24"/>
          <w:szCs w:val="24"/>
        </w:rPr>
        <w:t xml:space="preserve"> targeted and mainstream measures </w:t>
      </w:r>
      <w:r w:rsidR="005E77D5">
        <w:rPr>
          <w:rFonts w:ascii="Times New Roman" w:hAnsi="Times New Roman" w:cs="Times New Roman"/>
          <w:noProof/>
          <w:sz w:val="24"/>
          <w:szCs w:val="24"/>
        </w:rPr>
        <w:t xml:space="preserve">are </w:t>
      </w:r>
      <w:r w:rsidR="005E77D5" w:rsidRPr="00ED1C4F">
        <w:rPr>
          <w:rFonts w:ascii="Times New Roman" w:hAnsi="Times New Roman" w:cs="Times New Roman"/>
          <w:noProof/>
          <w:sz w:val="24"/>
          <w:szCs w:val="24"/>
        </w:rPr>
        <w:t xml:space="preserve">envisaged for </w:t>
      </w:r>
      <w:r w:rsidR="31BB7F19" w:rsidRPr="486E839B">
        <w:rPr>
          <w:rFonts w:ascii="Times New Roman" w:hAnsi="Times New Roman" w:cs="Times New Roman"/>
          <w:noProof/>
          <w:sz w:val="24"/>
          <w:szCs w:val="24"/>
        </w:rPr>
        <w:t>marginalised</w:t>
      </w:r>
      <w:r w:rsidR="005E77D5" w:rsidRPr="00ED1C4F">
        <w:rPr>
          <w:rFonts w:ascii="Times New Roman" w:hAnsi="Times New Roman" w:cs="Times New Roman"/>
          <w:noProof/>
          <w:sz w:val="24"/>
          <w:szCs w:val="24"/>
        </w:rPr>
        <w:t xml:space="preserve"> communities, incl</w:t>
      </w:r>
      <w:r w:rsidR="005E77D5">
        <w:rPr>
          <w:rFonts w:ascii="Times New Roman" w:hAnsi="Times New Roman" w:cs="Times New Roman"/>
          <w:noProof/>
          <w:sz w:val="24"/>
          <w:szCs w:val="24"/>
        </w:rPr>
        <w:t>uding</w:t>
      </w:r>
      <w:r w:rsidR="005E77D5" w:rsidRPr="00ED1C4F">
        <w:rPr>
          <w:rFonts w:ascii="Times New Roman" w:hAnsi="Times New Roman" w:cs="Times New Roman"/>
          <w:noProof/>
          <w:sz w:val="24"/>
          <w:szCs w:val="24"/>
        </w:rPr>
        <w:t xml:space="preserve"> Roma</w:t>
      </w:r>
      <w:r w:rsidR="005E77D5">
        <w:rPr>
          <w:rFonts w:ascii="Times New Roman" w:hAnsi="Times New Roman" w:cs="Times New Roman"/>
          <w:noProof/>
          <w:sz w:val="24"/>
          <w:szCs w:val="24"/>
        </w:rPr>
        <w:t>,</w:t>
      </w:r>
      <w:r w:rsidR="005E77D5" w:rsidRPr="00ED1C4F">
        <w:rPr>
          <w:rFonts w:ascii="Times New Roman" w:hAnsi="Times New Roman" w:cs="Times New Roman"/>
          <w:noProof/>
          <w:sz w:val="24"/>
          <w:szCs w:val="24"/>
        </w:rPr>
        <w:t xml:space="preserve"> </w:t>
      </w:r>
      <w:r w:rsidR="005E77D5">
        <w:rPr>
          <w:rFonts w:ascii="Times New Roman" w:hAnsi="Times New Roman" w:cs="Times New Roman"/>
          <w:noProof/>
          <w:sz w:val="24"/>
          <w:szCs w:val="24"/>
        </w:rPr>
        <w:t>to promote</w:t>
      </w:r>
      <w:r w:rsidR="005E77D5" w:rsidRPr="00ED1C4F">
        <w:rPr>
          <w:rFonts w:ascii="Times New Roman" w:hAnsi="Times New Roman" w:cs="Times New Roman"/>
          <w:noProof/>
          <w:sz w:val="24"/>
          <w:szCs w:val="24"/>
        </w:rPr>
        <w:t xml:space="preserve"> better access to education, social inclusion and labour market integration. Support will be provided to improve access to services, including family or community ones, as well as healthcare and prevention.</w:t>
      </w:r>
      <w:r w:rsidR="005E77D5">
        <w:rPr>
          <w:rFonts w:ascii="Times New Roman" w:hAnsi="Times New Roman" w:cs="Times New Roman"/>
          <w:noProof/>
          <w:sz w:val="24"/>
          <w:szCs w:val="24"/>
        </w:rPr>
        <w:t xml:space="preserve"> </w:t>
      </w:r>
    </w:p>
    <w:p w14:paraId="3290A826" w14:textId="031E6AA3" w:rsidR="00E01A1F" w:rsidRPr="00E01A1F" w:rsidRDefault="00E01A1F" w:rsidP="00E01A1F">
      <w:pPr>
        <w:spacing w:after="0" w:line="276" w:lineRule="auto"/>
        <w:jc w:val="both"/>
        <w:rPr>
          <w:rFonts w:ascii="Times New Roman" w:hAnsi="Times New Roman" w:cs="Times New Roman"/>
          <w:noProof/>
          <w:sz w:val="24"/>
          <w:szCs w:val="24"/>
        </w:rPr>
      </w:pPr>
    </w:p>
    <w:p w14:paraId="40EDB44D" w14:textId="516ECAFB" w:rsidR="00E01A1F" w:rsidRDefault="4105D552" w:rsidP="004F2DAB">
      <w:pPr>
        <w:spacing w:after="0" w:line="276" w:lineRule="auto"/>
        <w:jc w:val="both"/>
        <w:rPr>
          <w:rFonts w:ascii="Times New Roman" w:hAnsi="Times New Roman" w:cs="Times New Roman"/>
          <w:noProof/>
          <w:sz w:val="24"/>
          <w:szCs w:val="24"/>
        </w:rPr>
      </w:pPr>
      <w:r w:rsidRPr="36F18C84">
        <w:rPr>
          <w:rFonts w:ascii="Times New Roman" w:hAnsi="Times New Roman" w:cs="Times New Roman"/>
          <w:b/>
          <w:bCs/>
          <w:noProof/>
          <w:sz w:val="24"/>
          <w:szCs w:val="24"/>
        </w:rPr>
        <w:t xml:space="preserve">The Plan will also complement investments planned with the ERDF, cohesion fund and Just Transition Fund (JTF) notably in the areas of environment, transport, regional development, health and energy. </w:t>
      </w:r>
      <w:r w:rsidRPr="36F18C84">
        <w:rPr>
          <w:rFonts w:ascii="Times New Roman" w:hAnsi="Times New Roman" w:cs="Times New Roman"/>
          <w:noProof/>
          <w:sz w:val="24"/>
          <w:szCs w:val="24"/>
        </w:rPr>
        <w:t xml:space="preserve">For example, the ERDF and cohesion fund will finance water and waste water investments in </w:t>
      </w:r>
      <w:r w:rsidR="4BB8A635" w:rsidRPr="36F18C84">
        <w:rPr>
          <w:rFonts w:ascii="Times New Roman" w:hAnsi="Times New Roman" w:cs="Times New Roman"/>
          <w:noProof/>
          <w:sz w:val="24"/>
          <w:szCs w:val="24"/>
        </w:rPr>
        <w:t xml:space="preserve">larger </w:t>
      </w:r>
      <w:r w:rsidRPr="36F18C84">
        <w:rPr>
          <w:rFonts w:ascii="Times New Roman" w:hAnsi="Times New Roman" w:cs="Times New Roman"/>
          <w:noProof/>
          <w:sz w:val="24"/>
          <w:szCs w:val="24"/>
        </w:rPr>
        <w:t>agglomerations</w:t>
      </w:r>
      <w:r w:rsidR="4BB8A635" w:rsidRPr="36F18C84">
        <w:rPr>
          <w:rFonts w:ascii="Times New Roman" w:hAnsi="Times New Roman" w:cs="Times New Roman"/>
          <w:noProof/>
          <w:sz w:val="24"/>
          <w:szCs w:val="24"/>
        </w:rPr>
        <w:t>,</w:t>
      </w:r>
      <w:r w:rsidRPr="36F18C84">
        <w:rPr>
          <w:rFonts w:ascii="Times New Roman" w:hAnsi="Times New Roman" w:cs="Times New Roman"/>
          <w:noProof/>
          <w:sz w:val="24"/>
          <w:szCs w:val="24"/>
        </w:rPr>
        <w:t xml:space="preserve"> while the Plan will focus on </w:t>
      </w:r>
      <w:r w:rsidR="4BB8A635" w:rsidRPr="36F18C84">
        <w:rPr>
          <w:rFonts w:ascii="Times New Roman" w:hAnsi="Times New Roman" w:cs="Times New Roman"/>
          <w:noProof/>
          <w:sz w:val="24"/>
          <w:szCs w:val="24"/>
        </w:rPr>
        <w:t xml:space="preserve">smaller </w:t>
      </w:r>
      <w:r w:rsidRPr="36F18C84">
        <w:rPr>
          <w:rFonts w:ascii="Times New Roman" w:hAnsi="Times New Roman" w:cs="Times New Roman"/>
          <w:noProof/>
          <w:sz w:val="24"/>
          <w:szCs w:val="24"/>
        </w:rPr>
        <w:t>agglomerations.</w:t>
      </w:r>
      <w:r w:rsidR="005E77D5">
        <w:rPr>
          <w:rStyle w:val="FootnoteReference"/>
          <w:rFonts w:ascii="Times New Roman" w:hAnsi="Times New Roman" w:cs="Times New Roman"/>
          <w:noProof/>
          <w:sz w:val="24"/>
          <w:szCs w:val="24"/>
        </w:rPr>
        <w:footnoteReference w:id="11"/>
      </w:r>
      <w:r w:rsidRPr="36F18C84">
        <w:rPr>
          <w:rFonts w:ascii="Times New Roman" w:eastAsia="Times New Roman" w:hAnsi="Times New Roman" w:cs="Times New Roman"/>
          <w:noProof/>
          <w:sz w:val="24"/>
          <w:szCs w:val="24"/>
        </w:rPr>
        <w:t xml:space="preserve"> </w:t>
      </w:r>
      <w:r w:rsidR="4385DFF9" w:rsidRPr="36F18C84">
        <w:rPr>
          <w:rFonts w:ascii="Times New Roman" w:hAnsi="Times New Roman" w:cs="Times New Roman"/>
          <w:noProof/>
          <w:sz w:val="24"/>
          <w:szCs w:val="24"/>
        </w:rPr>
        <w:t xml:space="preserve">Cohesion policy will complement the biodiversity reforms and investments in the </w:t>
      </w:r>
      <w:r w:rsidR="4A677D02" w:rsidRPr="36F18C84">
        <w:rPr>
          <w:rFonts w:ascii="Times New Roman" w:hAnsi="Times New Roman" w:cs="Times New Roman"/>
          <w:noProof/>
          <w:sz w:val="24"/>
          <w:szCs w:val="24"/>
        </w:rPr>
        <w:t>Plan</w:t>
      </w:r>
      <w:r w:rsidR="4385DFF9" w:rsidRPr="36F18C84">
        <w:rPr>
          <w:rFonts w:ascii="Times New Roman" w:hAnsi="Times New Roman" w:cs="Times New Roman"/>
          <w:noProof/>
          <w:sz w:val="24"/>
          <w:szCs w:val="24"/>
        </w:rPr>
        <w:t xml:space="preserve"> by supporting the newly established Natura 2000 management bodies and through the development of management plans once all Site-Specific Conservation Objectives (SSCOs) for the country have been developed. The </w:t>
      </w:r>
      <w:r w:rsidR="4A677D02" w:rsidRPr="36F18C84">
        <w:rPr>
          <w:rFonts w:ascii="Times New Roman" w:hAnsi="Times New Roman" w:cs="Times New Roman"/>
          <w:noProof/>
          <w:sz w:val="24"/>
          <w:szCs w:val="24"/>
        </w:rPr>
        <w:t>Plan</w:t>
      </w:r>
      <w:r w:rsidR="4385DFF9" w:rsidRPr="36F18C84">
        <w:rPr>
          <w:rFonts w:ascii="Times New Roman" w:hAnsi="Times New Roman" w:cs="Times New Roman"/>
          <w:noProof/>
          <w:sz w:val="24"/>
          <w:szCs w:val="24"/>
        </w:rPr>
        <w:t xml:space="preserve"> will focus on ecosystems while the cohesion policy will invest in conservation measures for species and habitats. As regards the circular economy, the </w:t>
      </w:r>
      <w:r w:rsidR="4A677D02" w:rsidRPr="36F18C84">
        <w:rPr>
          <w:rFonts w:ascii="Times New Roman" w:hAnsi="Times New Roman" w:cs="Times New Roman"/>
          <w:noProof/>
          <w:sz w:val="24"/>
          <w:szCs w:val="24"/>
        </w:rPr>
        <w:t>Plan</w:t>
      </w:r>
      <w:r w:rsidR="4385DFF9" w:rsidRPr="36F18C84">
        <w:rPr>
          <w:rFonts w:ascii="Times New Roman" w:hAnsi="Times New Roman" w:cs="Times New Roman"/>
          <w:noProof/>
          <w:sz w:val="24"/>
          <w:szCs w:val="24"/>
        </w:rPr>
        <w:t xml:space="preserve"> will focus on business while cohesion policy investments will prioritise investments in municipal waste management to ensure investments in the higher echelons of the waste management hierarchy and measures to incentivize </w:t>
      </w:r>
      <w:r w:rsidR="00F84D18" w:rsidRPr="36F18C84">
        <w:rPr>
          <w:rFonts w:ascii="Times New Roman" w:hAnsi="Times New Roman" w:cs="Times New Roman"/>
          <w:noProof/>
          <w:sz w:val="24"/>
          <w:szCs w:val="24"/>
        </w:rPr>
        <w:t>behavioral</w:t>
      </w:r>
      <w:r w:rsidR="4385DFF9" w:rsidRPr="36F18C84">
        <w:rPr>
          <w:rFonts w:ascii="Times New Roman" w:hAnsi="Times New Roman" w:cs="Times New Roman"/>
          <w:noProof/>
          <w:sz w:val="24"/>
          <w:szCs w:val="24"/>
        </w:rPr>
        <w:t xml:space="preserve"> change.</w:t>
      </w:r>
      <w:r w:rsidRPr="36F18C84">
        <w:rPr>
          <w:rFonts w:ascii="Times New Roman" w:hAnsi="Times New Roman" w:cs="Times New Roman"/>
          <w:noProof/>
          <w:sz w:val="24"/>
          <w:szCs w:val="24"/>
        </w:rPr>
        <w:t xml:space="preserve"> In the area of transport, cohesion policy will further develop the core and comprehensive Trans-European Transport Network (road and rail infrastructure) while the Plan will focus on </w:t>
      </w:r>
      <w:r w:rsidR="6E470EFC" w:rsidRPr="36F18C84">
        <w:rPr>
          <w:rFonts w:ascii="Times New Roman" w:eastAsia="Times New Roman" w:hAnsi="Times New Roman" w:cs="Times New Roman"/>
          <w:noProof/>
          <w:sz w:val="24"/>
          <w:szCs w:val="24"/>
        </w:rPr>
        <w:t xml:space="preserve">zero-emission </w:t>
      </w:r>
      <w:r w:rsidRPr="36F18C84">
        <w:rPr>
          <w:rFonts w:ascii="Times New Roman" w:hAnsi="Times New Roman" w:cs="Times New Roman"/>
          <w:noProof/>
          <w:sz w:val="24"/>
          <w:szCs w:val="24"/>
        </w:rPr>
        <w:t xml:space="preserve">rolling stock, electric mobility, Sofia metro and an intermodal </w:t>
      </w:r>
      <w:r w:rsidR="6E470EFC" w:rsidRPr="36F18C84">
        <w:rPr>
          <w:rFonts w:ascii="Times New Roman" w:eastAsia="Times New Roman" w:hAnsi="Times New Roman" w:cs="Times New Roman"/>
          <w:noProof/>
          <w:sz w:val="24"/>
          <w:szCs w:val="24"/>
        </w:rPr>
        <w:t>terminal</w:t>
      </w:r>
      <w:r w:rsidRPr="36F18C84">
        <w:rPr>
          <w:rFonts w:ascii="Times New Roman" w:hAnsi="Times New Roman" w:cs="Times New Roman"/>
          <w:noProof/>
          <w:sz w:val="24"/>
          <w:szCs w:val="24"/>
        </w:rPr>
        <w:t xml:space="preserve"> in the north of the country. The ERDF will promote a bottom-up, place-based approach to regional development through </w:t>
      </w:r>
      <w:r w:rsidR="4BB8A635" w:rsidRPr="36F18C84">
        <w:rPr>
          <w:rFonts w:ascii="Times New Roman" w:eastAsia="Times New Roman" w:hAnsi="Times New Roman" w:cs="Times New Roman"/>
          <w:noProof/>
          <w:sz w:val="24"/>
          <w:szCs w:val="24"/>
        </w:rPr>
        <w:t>integrated territorial investments</w:t>
      </w:r>
      <w:r w:rsidRPr="36F18C84">
        <w:rPr>
          <w:rFonts w:ascii="Times New Roman" w:hAnsi="Times New Roman" w:cs="Times New Roman"/>
          <w:noProof/>
          <w:sz w:val="24"/>
          <w:szCs w:val="24"/>
        </w:rPr>
        <w:t xml:space="preserve"> which will be supported by the reforms in the Plan, notably through the development of integrated territorial strategies and integrated municipal development plans and </w:t>
      </w:r>
      <w:r w:rsidR="6E470EFC" w:rsidRPr="36F18C84">
        <w:rPr>
          <w:rFonts w:ascii="Times New Roman" w:eastAsia="Times New Roman" w:hAnsi="Times New Roman" w:cs="Times New Roman"/>
          <w:noProof/>
          <w:sz w:val="24"/>
          <w:szCs w:val="24"/>
        </w:rPr>
        <w:t>the</w:t>
      </w:r>
      <w:r w:rsidRPr="36F18C84">
        <w:rPr>
          <w:rFonts w:ascii="Times New Roman" w:hAnsi="Times New Roman" w:cs="Times New Roman"/>
          <w:noProof/>
          <w:sz w:val="24"/>
          <w:szCs w:val="24"/>
        </w:rPr>
        <w:t xml:space="preserve"> involvement of the Regional Development Councils in the pre-selection of project ideas. </w:t>
      </w:r>
      <w:r w:rsidR="4385DFF9" w:rsidRPr="36F18C84">
        <w:rPr>
          <w:rFonts w:ascii="Times New Roman" w:hAnsi="Times New Roman" w:cs="Times New Roman"/>
          <w:noProof/>
          <w:sz w:val="24"/>
          <w:szCs w:val="24"/>
        </w:rPr>
        <w:t xml:space="preserve">Energy efficiency projects including replacement of fossil-fuel based heating systems will be financed by both the </w:t>
      </w:r>
      <w:r w:rsidR="722C07A7" w:rsidRPr="36F18C84">
        <w:rPr>
          <w:rFonts w:ascii="Times New Roman" w:hAnsi="Times New Roman" w:cs="Times New Roman"/>
          <w:noProof/>
          <w:sz w:val="24"/>
          <w:szCs w:val="24"/>
        </w:rPr>
        <w:t>P</w:t>
      </w:r>
      <w:r w:rsidR="4A677D02" w:rsidRPr="36F18C84">
        <w:rPr>
          <w:rFonts w:ascii="Times New Roman" w:hAnsi="Times New Roman" w:cs="Times New Roman"/>
          <w:noProof/>
          <w:sz w:val="24"/>
          <w:szCs w:val="24"/>
        </w:rPr>
        <w:t>lan</w:t>
      </w:r>
      <w:r w:rsidR="4385DFF9" w:rsidRPr="36F18C84">
        <w:rPr>
          <w:rFonts w:ascii="Times New Roman" w:hAnsi="Times New Roman" w:cs="Times New Roman"/>
          <w:noProof/>
          <w:sz w:val="24"/>
          <w:szCs w:val="24"/>
        </w:rPr>
        <w:t xml:space="preserve"> and Cohesion </w:t>
      </w:r>
      <w:r w:rsidR="4A677D02" w:rsidRPr="36F18C84">
        <w:rPr>
          <w:rFonts w:ascii="Times New Roman" w:hAnsi="Times New Roman" w:cs="Times New Roman"/>
          <w:noProof/>
          <w:sz w:val="24"/>
          <w:szCs w:val="24"/>
        </w:rPr>
        <w:t>p</w:t>
      </w:r>
      <w:r w:rsidR="722C07A7" w:rsidRPr="36F18C84">
        <w:rPr>
          <w:rFonts w:ascii="Times New Roman" w:hAnsi="Times New Roman" w:cs="Times New Roman"/>
          <w:noProof/>
          <w:sz w:val="24"/>
          <w:szCs w:val="24"/>
        </w:rPr>
        <w:t>olicy</w:t>
      </w:r>
      <w:r w:rsidR="4385DFF9" w:rsidRPr="36F18C84">
        <w:rPr>
          <w:rFonts w:ascii="Times New Roman" w:hAnsi="Times New Roman" w:cs="Times New Roman"/>
          <w:noProof/>
          <w:sz w:val="24"/>
          <w:szCs w:val="24"/>
        </w:rPr>
        <w:t xml:space="preserve">, with either a territorial or project level demarcation. </w:t>
      </w:r>
      <w:r w:rsidRPr="36F18C84">
        <w:rPr>
          <w:rFonts w:ascii="Times New Roman" w:hAnsi="Times New Roman" w:cs="Times New Roman"/>
          <w:noProof/>
          <w:sz w:val="24"/>
          <w:szCs w:val="24"/>
        </w:rPr>
        <w:t>Major energy projects under the Plan will be supplemented by the Just Transition Fund. The latter will mitigate the socio-economic impact of the transition to a climate neutral economy in the coal regions. In particular, investments should focus on economic diversification, upskilling and reskilling of workers who will be impacted by the transition, as well as on investments to mitigate the environmental impacts of the transition following the cessation of some activities or decommissioning of facilities.</w:t>
      </w:r>
    </w:p>
    <w:p w14:paraId="47CB4239" w14:textId="5A1F171C" w:rsidR="005E77D5" w:rsidRPr="00151AE1" w:rsidRDefault="005E77D5" w:rsidP="00151AE1">
      <w:pPr>
        <w:spacing w:after="0" w:line="276" w:lineRule="auto"/>
        <w:jc w:val="both"/>
        <w:rPr>
          <w:rFonts w:ascii="Times New Roman" w:hAnsi="Times New Roman" w:cs="Times New Roman"/>
          <w:noProof/>
          <w:sz w:val="24"/>
          <w:szCs w:val="24"/>
        </w:rPr>
      </w:pPr>
    </w:p>
    <w:p w14:paraId="75C66E6D" w14:textId="533A49D0" w:rsidR="005E77D5" w:rsidRPr="00151AE1" w:rsidRDefault="005E77D5" w:rsidP="00151AE1">
      <w:pPr>
        <w:spacing w:after="0" w:line="276" w:lineRule="auto"/>
        <w:jc w:val="both"/>
        <w:rPr>
          <w:rFonts w:ascii="Times New Roman" w:hAnsi="Times New Roman" w:cs="Times New Roman"/>
          <w:noProof/>
          <w:color w:val="1F4E79"/>
          <w:sz w:val="24"/>
          <w:szCs w:val="24"/>
        </w:rPr>
      </w:pPr>
      <w:r w:rsidRPr="00151AE1">
        <w:rPr>
          <w:rFonts w:ascii="Times New Roman" w:hAnsi="Times New Roman" w:cs="Times New Roman"/>
          <w:b/>
          <w:bCs/>
          <w:noProof/>
          <w:sz w:val="24"/>
          <w:szCs w:val="24"/>
        </w:rPr>
        <w:t>In the areas of research &amp; innovation</w:t>
      </w:r>
      <w:r w:rsidR="00306B95" w:rsidRPr="00151AE1">
        <w:rPr>
          <w:rFonts w:ascii="Times New Roman" w:hAnsi="Times New Roman" w:cs="Times New Roman"/>
          <w:b/>
          <w:bCs/>
          <w:noProof/>
          <w:sz w:val="24"/>
          <w:szCs w:val="24"/>
        </w:rPr>
        <w:t xml:space="preserve"> and</w:t>
      </w:r>
      <w:r w:rsidRPr="00151AE1">
        <w:rPr>
          <w:rFonts w:ascii="Times New Roman" w:hAnsi="Times New Roman" w:cs="Times New Roman"/>
          <w:b/>
          <w:bCs/>
          <w:noProof/>
          <w:sz w:val="24"/>
          <w:szCs w:val="24"/>
        </w:rPr>
        <w:t xml:space="preserve"> small and medium enterprises (SMEs), the different </w:t>
      </w:r>
      <w:r w:rsidR="0042163A" w:rsidRPr="00151AE1">
        <w:rPr>
          <w:rFonts w:ascii="Times New Roman" w:hAnsi="Times New Roman" w:cs="Times New Roman"/>
          <w:b/>
          <w:bCs/>
          <w:noProof/>
          <w:sz w:val="24"/>
          <w:szCs w:val="24"/>
        </w:rPr>
        <w:t xml:space="preserve">EU </w:t>
      </w:r>
      <w:r w:rsidRPr="00151AE1">
        <w:rPr>
          <w:rFonts w:ascii="Times New Roman" w:hAnsi="Times New Roman" w:cs="Times New Roman"/>
          <w:b/>
          <w:bCs/>
          <w:noProof/>
          <w:sz w:val="24"/>
          <w:szCs w:val="24"/>
        </w:rPr>
        <w:t>instruments will be complementary and synergies will be sought</w:t>
      </w:r>
      <w:r w:rsidRPr="00151AE1">
        <w:rPr>
          <w:rFonts w:ascii="Times New Roman" w:hAnsi="Times New Roman" w:cs="Times New Roman"/>
          <w:noProof/>
          <w:sz w:val="24"/>
          <w:szCs w:val="24"/>
        </w:rPr>
        <w:t xml:space="preserve">. In particular in the field of R&amp;I, </w:t>
      </w:r>
      <w:r w:rsidR="0042163A" w:rsidRPr="00151AE1">
        <w:rPr>
          <w:rFonts w:ascii="Times New Roman" w:hAnsi="Times New Roman" w:cs="Times New Roman"/>
          <w:noProof/>
          <w:sz w:val="24"/>
          <w:szCs w:val="24"/>
        </w:rPr>
        <w:t>the measure included in the Plan</w:t>
      </w:r>
      <w:r w:rsidRPr="00151AE1">
        <w:rPr>
          <w:rFonts w:ascii="Times New Roman" w:hAnsi="Times New Roman" w:cs="Times New Roman"/>
          <w:noProof/>
          <w:sz w:val="24"/>
          <w:szCs w:val="24"/>
        </w:rPr>
        <w:t xml:space="preserve"> will focus on developing a national research and innovation ecosystem </w:t>
      </w:r>
      <w:r w:rsidR="00F65861" w:rsidRPr="00151AE1">
        <w:rPr>
          <w:rFonts w:ascii="Times New Roman" w:hAnsi="Times New Roman" w:cs="Times New Roman"/>
          <w:noProof/>
          <w:sz w:val="24"/>
          <w:szCs w:val="24"/>
        </w:rPr>
        <w:t>to bolster</w:t>
      </w:r>
      <w:r w:rsidRPr="00151AE1">
        <w:rPr>
          <w:rFonts w:ascii="Times New Roman" w:hAnsi="Times New Roman" w:cs="Times New Roman"/>
          <w:noProof/>
          <w:sz w:val="24"/>
          <w:szCs w:val="24"/>
        </w:rPr>
        <w:t xml:space="preserve"> the country’s smart economic transition at national and regional level</w:t>
      </w:r>
      <w:r w:rsidR="0042163A" w:rsidRPr="00151AE1">
        <w:rPr>
          <w:rFonts w:ascii="Times New Roman" w:hAnsi="Times New Roman" w:cs="Times New Roman"/>
          <w:noProof/>
          <w:sz w:val="24"/>
          <w:szCs w:val="24"/>
        </w:rPr>
        <w:t>. This will be achieved</w:t>
      </w:r>
      <w:r w:rsidRPr="00151AE1">
        <w:rPr>
          <w:rFonts w:ascii="Times New Roman" w:hAnsi="Times New Roman" w:cs="Times New Roman"/>
          <w:noProof/>
          <w:sz w:val="24"/>
          <w:szCs w:val="24"/>
        </w:rPr>
        <w:t xml:space="preserve"> </w:t>
      </w:r>
      <w:r w:rsidR="00F65861" w:rsidRPr="00151AE1">
        <w:rPr>
          <w:rFonts w:ascii="Times New Roman" w:hAnsi="Times New Roman" w:cs="Times New Roman"/>
          <w:noProof/>
          <w:sz w:val="24"/>
          <w:szCs w:val="24"/>
        </w:rPr>
        <w:t>by</w:t>
      </w:r>
      <w:r w:rsidRPr="00151AE1">
        <w:rPr>
          <w:rFonts w:ascii="Times New Roman" w:hAnsi="Times New Roman" w:cs="Times New Roman"/>
          <w:noProof/>
          <w:sz w:val="24"/>
          <w:szCs w:val="24"/>
        </w:rPr>
        <w:t xml:space="preserve"> strengthening the interaction with business</w:t>
      </w:r>
      <w:r w:rsidRPr="00151AE1">
        <w:rPr>
          <w:rFonts w:ascii="Times New Roman" w:eastAsia="Times New Roman" w:hAnsi="Times New Roman" w:cs="Times New Roman"/>
          <w:noProof/>
          <w:sz w:val="24"/>
          <w:szCs w:val="24"/>
        </w:rPr>
        <w:t xml:space="preserve">, </w:t>
      </w:r>
      <w:r w:rsidRPr="00151AE1">
        <w:rPr>
          <w:rFonts w:ascii="Times New Roman" w:hAnsi="Times New Roman" w:cs="Times New Roman"/>
          <w:noProof/>
          <w:sz w:val="24"/>
          <w:szCs w:val="24"/>
        </w:rPr>
        <w:t xml:space="preserve">providing support to research universities, and </w:t>
      </w:r>
      <w:r w:rsidR="00F65861" w:rsidRPr="00151AE1">
        <w:rPr>
          <w:rFonts w:ascii="Times New Roman" w:hAnsi="Times New Roman" w:cs="Times New Roman"/>
          <w:noProof/>
          <w:sz w:val="24"/>
          <w:szCs w:val="24"/>
        </w:rPr>
        <w:t xml:space="preserve">stepping up </w:t>
      </w:r>
      <w:r w:rsidRPr="00151AE1">
        <w:rPr>
          <w:rFonts w:ascii="Times New Roman" w:hAnsi="Times New Roman" w:cs="Times New Roman"/>
          <w:noProof/>
          <w:sz w:val="24"/>
          <w:szCs w:val="24"/>
        </w:rPr>
        <w:t xml:space="preserve">efforts to enhance the innovation capacity of the Bulgarian Academy of Sciences (BAS) and its specialisation in key development areas such as green and digital technologies. </w:t>
      </w:r>
      <w:r w:rsidRPr="00151AE1">
        <w:rPr>
          <w:rFonts w:ascii="Times New Roman" w:eastAsia="Times New Roman" w:hAnsi="Times New Roman" w:cs="Times New Roman"/>
          <w:noProof/>
          <w:sz w:val="24"/>
          <w:szCs w:val="24"/>
          <w:lang w:val="en-GB"/>
        </w:rPr>
        <w:t>Sectoral support for the design, implementation and evaluation of research and innovation policy reforms will also be available via the Horizon Policy Support Facility.</w:t>
      </w:r>
      <w:r w:rsidR="7E88E9D2" w:rsidRPr="00151AE1">
        <w:rPr>
          <w:rFonts w:ascii="Times New Roman" w:hAnsi="Times New Roman" w:cs="Times New Roman"/>
          <w:noProof/>
          <w:sz w:val="24"/>
          <w:szCs w:val="24"/>
        </w:rPr>
        <w:t xml:space="preserve"> </w:t>
      </w:r>
      <w:r w:rsidRPr="00151AE1">
        <w:rPr>
          <w:rFonts w:ascii="Times New Roman" w:hAnsi="Times New Roman" w:cs="Times New Roman"/>
          <w:noProof/>
          <w:sz w:val="24"/>
          <w:szCs w:val="24"/>
        </w:rPr>
        <w:t>In addition, the Plan will support five strategic industrial parks by financing their infrastructures, while cohesion policy funds will complement the effort with industrial parks of regional importance implemented as part of integrated territorial investments</w:t>
      </w:r>
      <w:r w:rsidR="4B947DBD" w:rsidRPr="00151AE1">
        <w:rPr>
          <w:rFonts w:ascii="Times New Roman" w:eastAsia="Times New Roman" w:hAnsi="Times New Roman" w:cs="Times New Roman"/>
          <w:noProof/>
          <w:sz w:val="24"/>
          <w:szCs w:val="24"/>
        </w:rPr>
        <w:t>.</w:t>
      </w:r>
      <w:r w:rsidRPr="00151AE1">
        <w:rPr>
          <w:rFonts w:ascii="Times New Roman" w:eastAsia="Times New Roman" w:hAnsi="Times New Roman" w:cs="Times New Roman"/>
          <w:noProof/>
          <w:sz w:val="24"/>
          <w:szCs w:val="24"/>
        </w:rPr>
        <w:t xml:space="preserve"> For what concerns SMEs, the support schemes to investments included in the Plan will be complemented by other measures funded under ERDF. </w:t>
      </w:r>
    </w:p>
    <w:p w14:paraId="2C482B9D" w14:textId="77777777" w:rsidR="00715AD4" w:rsidRDefault="00715AD4" w:rsidP="00E01A1F">
      <w:pPr>
        <w:spacing w:after="0" w:line="240" w:lineRule="auto"/>
        <w:jc w:val="both"/>
        <w:rPr>
          <w:noProof/>
          <w:color w:val="1F4E79"/>
        </w:rPr>
      </w:pPr>
    </w:p>
    <w:p w14:paraId="3761841A" w14:textId="238C4E71" w:rsidR="4B397722" w:rsidRPr="00E76013" w:rsidRDefault="4B397722" w:rsidP="00364198">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The Plan will also exploit synergies with the activities supported under the Technical Support Instrument</w:t>
      </w:r>
      <w:r w:rsidRPr="00E76013">
        <w:rPr>
          <w:rFonts w:ascii="Times New Roman" w:eastAsia="Times New Roman" w:hAnsi="Times New Roman" w:cs="Times New Roman"/>
          <w:noProof/>
          <w:sz w:val="24"/>
          <w:szCs w:val="24"/>
          <w:lang w:val="en-GB"/>
        </w:rPr>
        <w:t xml:space="preserve"> (TSI). Namely, the TSI will provide technical </w:t>
      </w:r>
      <w:r w:rsidR="000230F5">
        <w:rPr>
          <w:rFonts w:ascii="Times New Roman" w:eastAsia="Times New Roman" w:hAnsi="Times New Roman" w:cs="Times New Roman"/>
          <w:noProof/>
          <w:sz w:val="24"/>
          <w:szCs w:val="24"/>
          <w:lang w:val="en-GB"/>
        </w:rPr>
        <w:t>support</w:t>
      </w:r>
      <w:r w:rsidRPr="00E76013">
        <w:rPr>
          <w:rFonts w:ascii="Times New Roman" w:eastAsia="Times New Roman" w:hAnsi="Times New Roman" w:cs="Times New Roman"/>
          <w:noProof/>
          <w:sz w:val="24"/>
          <w:szCs w:val="24"/>
          <w:lang w:val="en-GB"/>
        </w:rPr>
        <w:t xml:space="preserve"> for the development of a National Skills Strategy and of a strategy for Financial Literacy, both relevant in the context of addressing the skill relevance of the Bulgarian population. These Strategies complement the effectiveness of some of the investments included in the Bulgarian </w:t>
      </w:r>
      <w:r w:rsidR="00A01018"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namely the investments in STEM centers, in the platform for adult learning, and in the youth centres. In addition, the TSI will also cover the strengthening of a Commission in charge of Anti-Corruption and Illegal Assets Forfeiture, the further decentralization of the Public Finance Model of Bulgarian Municipalities and a better distribution of the workload in the judiciary system. These activities magnify the objectives set out in the</w:t>
      </w:r>
      <w:r w:rsidR="6E598CCF" w:rsidRPr="767E0173">
        <w:rPr>
          <w:rFonts w:ascii="Times New Roman" w:eastAsia="Times New Roman" w:hAnsi="Times New Roman" w:cs="Times New Roman"/>
          <w:noProof/>
          <w:sz w:val="24"/>
          <w:szCs w:val="24"/>
          <w:lang w:val="en-GB"/>
        </w:rPr>
        <w:t xml:space="preserve"> education and</w:t>
      </w:r>
      <w:r w:rsidRPr="00E76013">
        <w:rPr>
          <w:rFonts w:ascii="Times New Roman" w:eastAsia="Times New Roman" w:hAnsi="Times New Roman" w:cs="Times New Roman"/>
          <w:noProof/>
          <w:sz w:val="24"/>
          <w:szCs w:val="24"/>
          <w:lang w:val="en-GB"/>
        </w:rPr>
        <w:t xml:space="preserve"> business environment component of the Bulgarian </w:t>
      </w:r>
      <w:r w:rsidR="00A01018"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xml:space="preserve">, thus contributing to providing a more robust institutional environment for the overall management and delivery of the resources from </w:t>
      </w:r>
      <w:r w:rsidR="00EF54FF">
        <w:rPr>
          <w:rFonts w:ascii="Times New Roman" w:eastAsia="Times New Roman" w:hAnsi="Times New Roman" w:cs="Times New Roman"/>
          <w:noProof/>
          <w:sz w:val="24"/>
          <w:szCs w:val="24"/>
          <w:lang w:val="en-GB"/>
        </w:rPr>
        <w:t>Union</w:t>
      </w:r>
      <w:r w:rsidR="00EF54F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Funds, including the Recovery and Resilience facility, as well as to improving the business environment further.</w:t>
      </w:r>
      <w:r w:rsidR="00AF2CFD" w:rsidRPr="00AF2CFD">
        <w:rPr>
          <w:noProof/>
        </w:rPr>
        <w:t xml:space="preserve"> </w:t>
      </w:r>
    </w:p>
    <w:p w14:paraId="2927B824" w14:textId="1B5BA19A" w:rsidR="4B397722" w:rsidRPr="00E76013" w:rsidRDefault="6B1FBC0E" w:rsidP="00364198">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iCs/>
          <w:noProof/>
          <w:sz w:val="24"/>
          <w:szCs w:val="24"/>
          <w:lang w:val="en-GB"/>
        </w:rPr>
        <w:t>Implementation</w:t>
      </w:r>
      <w:r w:rsidR="004F2DAB">
        <w:rPr>
          <w:rFonts w:ascii="Times New Roman" w:eastAsia="Times New Roman" w:hAnsi="Times New Roman" w:cs="Times New Roman"/>
          <w:i/>
          <w:iCs/>
          <w:noProof/>
          <w:sz w:val="24"/>
          <w:szCs w:val="24"/>
          <w:lang w:val="en-GB"/>
        </w:rPr>
        <w:t xml:space="preserve"> </w:t>
      </w:r>
    </w:p>
    <w:p w14:paraId="3C351FB2" w14:textId="0CF3D1DA" w:rsidR="52AC1841" w:rsidRPr="00E76013" w:rsidRDefault="52AC1841" w:rsidP="00151AE1">
      <w:pPr>
        <w:spacing w:line="276" w:lineRule="auto"/>
        <w:jc w:val="both"/>
        <w:rPr>
          <w:noProof/>
        </w:rPr>
      </w:pPr>
      <w:r w:rsidRPr="00E76013">
        <w:rPr>
          <w:rFonts w:ascii="Times New Roman" w:eastAsia="Times New Roman" w:hAnsi="Times New Roman" w:cs="Times New Roman"/>
          <w:b/>
          <w:bCs/>
          <w:noProof/>
          <w:sz w:val="24"/>
          <w:szCs w:val="24"/>
          <w:lang w:val="en-GB"/>
        </w:rPr>
        <w:t>In line with the administrative arrangements</w:t>
      </w:r>
      <w:r w:rsidRPr="00E76013">
        <w:rPr>
          <w:rFonts w:ascii="Times New Roman" w:eastAsia="Times New Roman" w:hAnsi="Times New Roman" w:cs="Times New Roman"/>
          <w:noProof/>
          <w:sz w:val="24"/>
          <w:szCs w:val="24"/>
          <w:lang w:val="en-GB"/>
        </w:rPr>
        <w:t xml:space="preserve"> put in place, the following horizontal structures are involved in the coordination, control and audit of the </w:t>
      </w:r>
      <w:r w:rsidR="00B3288C"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w:t>
      </w:r>
    </w:p>
    <w:p w14:paraId="118C5A6F" w14:textId="0E944C6A" w:rsidR="000F7947" w:rsidRPr="00BF463B" w:rsidRDefault="000F7947" w:rsidP="000F7947">
      <w:pPr>
        <w:pStyle w:val="ListParagraph"/>
        <w:numPr>
          <w:ilvl w:val="0"/>
          <w:numId w:val="16"/>
        </w:numPr>
        <w:spacing w:line="252" w:lineRule="auto"/>
        <w:ind w:left="284"/>
        <w:jc w:val="both"/>
        <w:rPr>
          <w:rFonts w:ascii="Times New Roman" w:hAnsi="Times New Roman" w:cs="Times New Roman"/>
          <w:noProof/>
          <w:sz w:val="24"/>
          <w:szCs w:val="24"/>
        </w:rPr>
      </w:pPr>
      <w:r w:rsidRPr="00BF463B">
        <w:rPr>
          <w:rFonts w:ascii="Times New Roman" w:hAnsi="Times New Roman" w:cs="Times New Roman"/>
          <w:noProof/>
          <w:sz w:val="24"/>
          <w:szCs w:val="24"/>
        </w:rPr>
        <w:t xml:space="preserve">The </w:t>
      </w:r>
      <w:r w:rsidRPr="00BF463B">
        <w:rPr>
          <w:rFonts w:ascii="Times New Roman" w:hAnsi="Times New Roman" w:cs="Times New Roman"/>
          <w:i/>
          <w:iCs/>
          <w:noProof/>
          <w:sz w:val="24"/>
          <w:szCs w:val="24"/>
        </w:rPr>
        <w:t>National Fund Directorate</w:t>
      </w:r>
      <w:r w:rsidRPr="00BF463B">
        <w:rPr>
          <w:rFonts w:ascii="Times New Roman" w:hAnsi="Times New Roman" w:cs="Times New Roman"/>
          <w:noProof/>
          <w:sz w:val="24"/>
          <w:szCs w:val="24"/>
        </w:rPr>
        <w:t xml:space="preserve"> of the Ministry of Finance shall collect and report data on progress and act as the Authority responsible for preparing and submitting payment requests and receiving payments from the EC. The Directorate shall act as a focal point at national level with regard to the preparation of common rules and procedures for the implementation of the Facility, for carrying out checks and controls on the implementation of investments and reforms, including active monitoring of the progress in implementing the measures on the basis of the milestones and targets set in the RRP.</w:t>
      </w:r>
    </w:p>
    <w:p w14:paraId="507605DA" w14:textId="77777777" w:rsidR="000F7947" w:rsidRPr="00BF463B" w:rsidRDefault="000F7947" w:rsidP="000F7947">
      <w:pPr>
        <w:pStyle w:val="ListParagraph"/>
        <w:numPr>
          <w:ilvl w:val="0"/>
          <w:numId w:val="16"/>
        </w:numPr>
        <w:spacing w:line="252" w:lineRule="auto"/>
        <w:ind w:left="284"/>
        <w:jc w:val="both"/>
        <w:rPr>
          <w:rFonts w:ascii="Times New Roman" w:hAnsi="Times New Roman" w:cs="Times New Roman"/>
          <w:noProof/>
          <w:sz w:val="24"/>
          <w:szCs w:val="24"/>
        </w:rPr>
      </w:pPr>
      <w:r w:rsidRPr="00BF463B">
        <w:rPr>
          <w:rFonts w:ascii="Times New Roman" w:hAnsi="Times New Roman" w:cs="Times New Roman"/>
          <w:noProof/>
          <w:sz w:val="24"/>
          <w:szCs w:val="24"/>
        </w:rPr>
        <w:t xml:space="preserve">The </w:t>
      </w:r>
      <w:r w:rsidRPr="00BF463B">
        <w:rPr>
          <w:rFonts w:ascii="Times New Roman" w:hAnsi="Times New Roman" w:cs="Times New Roman"/>
          <w:i/>
          <w:iCs/>
          <w:noProof/>
          <w:sz w:val="24"/>
          <w:szCs w:val="24"/>
        </w:rPr>
        <w:t>Economic and Financial Policy Directorate</w:t>
      </w:r>
      <w:r w:rsidRPr="00BF463B">
        <w:rPr>
          <w:rFonts w:ascii="Times New Roman" w:hAnsi="Times New Roman" w:cs="Times New Roman"/>
          <w:noProof/>
          <w:sz w:val="24"/>
          <w:szCs w:val="24"/>
        </w:rPr>
        <w:t xml:space="preserve"> at the Ministry of Finance shall be responsible for the reporting on the progress in the implementation of the milestones and targets of the Bulgarian RRP</w:t>
      </w:r>
      <w:r w:rsidRPr="00BF463B">
        <w:rPr>
          <w:rStyle w:val="jlqj4b1"/>
          <w:rFonts w:ascii="Times New Roman" w:hAnsi="Times New Roman" w:cs="Times New Roman"/>
          <w:noProof/>
          <w:color w:val="FFFFFF"/>
          <w:sz w:val="35"/>
          <w:szCs w:val="35"/>
        </w:rPr>
        <w:t xml:space="preserve"> </w:t>
      </w:r>
      <w:r w:rsidRPr="00BF463B">
        <w:rPr>
          <w:rFonts w:ascii="Times New Roman" w:hAnsi="Times New Roman" w:cs="Times New Roman"/>
          <w:noProof/>
          <w:sz w:val="24"/>
          <w:szCs w:val="24"/>
        </w:rPr>
        <w:t>within the European Semester cycle.</w:t>
      </w:r>
    </w:p>
    <w:p w14:paraId="460F44AC" w14:textId="64838C9B" w:rsidR="000F7947" w:rsidRPr="00BF463B" w:rsidRDefault="000F7947" w:rsidP="00BF5198">
      <w:pPr>
        <w:pStyle w:val="ListParagraph"/>
        <w:numPr>
          <w:ilvl w:val="0"/>
          <w:numId w:val="16"/>
        </w:numPr>
        <w:spacing w:line="252" w:lineRule="auto"/>
        <w:ind w:left="284"/>
        <w:jc w:val="both"/>
        <w:rPr>
          <w:rFonts w:ascii="Times New Roman" w:hAnsi="Times New Roman" w:cs="Times New Roman"/>
          <w:noProof/>
          <w:sz w:val="24"/>
          <w:szCs w:val="24"/>
        </w:rPr>
      </w:pPr>
      <w:r w:rsidRPr="00BF463B">
        <w:rPr>
          <w:rFonts w:ascii="Times New Roman" w:hAnsi="Times New Roman" w:cs="Times New Roman"/>
          <w:noProof/>
          <w:sz w:val="24"/>
          <w:szCs w:val="24"/>
        </w:rPr>
        <w:t xml:space="preserve"> The </w:t>
      </w:r>
      <w:r w:rsidRPr="00BF463B">
        <w:rPr>
          <w:rFonts w:ascii="Times New Roman" w:hAnsi="Times New Roman" w:cs="Times New Roman"/>
          <w:i/>
          <w:iCs/>
          <w:noProof/>
          <w:sz w:val="24"/>
          <w:szCs w:val="24"/>
        </w:rPr>
        <w:t>Central Coordination Unit Directorate</w:t>
      </w:r>
      <w:r w:rsidRPr="00BF463B">
        <w:rPr>
          <w:rFonts w:ascii="Times New Roman" w:hAnsi="Times New Roman" w:cs="Times New Roman"/>
          <w:noProof/>
          <w:sz w:val="24"/>
          <w:szCs w:val="24"/>
        </w:rPr>
        <w:t xml:space="preserve"> shall be responsible for the development of the Plan, the programming documents, including the allocation of funds under the Facility and the drawing up of a strategic framework for information and communication activities in relation to the implementation of the Plan. The Directorate shall be responsible for monitoring the implementation of the milestones and targets of the Plan, including progress on common indicators, green and digital contribution of investments etc. The Directorate shall also be responsible for the setting up of the information system with all the functionalities required for the monitoring of the implementation of the Bulgarian RRP as well as for the </w:t>
      </w:r>
      <w:r w:rsidRPr="00BF463B">
        <w:rPr>
          <w:rFonts w:ascii="Times New Roman" w:hAnsi="Times New Roman" w:cs="Times New Roman"/>
          <w:noProof/>
          <w:sz w:val="24"/>
          <w:szCs w:val="24"/>
          <w:lang w:val="en-IE"/>
        </w:rPr>
        <w:t>further upgrades to the Unified Management Information System</w:t>
      </w:r>
      <w:r w:rsidRPr="00BF463B">
        <w:rPr>
          <w:rFonts w:ascii="Times New Roman" w:hAnsi="Times New Roman" w:cs="Times New Roman"/>
          <w:noProof/>
          <w:sz w:val="24"/>
          <w:szCs w:val="24"/>
        </w:rPr>
        <w:t>.</w:t>
      </w:r>
      <w:r w:rsidRPr="00BF463B">
        <w:rPr>
          <w:rFonts w:ascii="Times New Roman" w:hAnsi="Times New Roman" w:cs="Times New Roman"/>
          <w:noProof/>
          <w:color w:val="1F497D"/>
          <w:sz w:val="24"/>
          <w:szCs w:val="24"/>
        </w:rPr>
        <w:t xml:space="preserve"> </w:t>
      </w:r>
    </w:p>
    <w:p w14:paraId="52CA6555" w14:textId="77777777" w:rsidR="000F7947" w:rsidRPr="00BF463B" w:rsidRDefault="000F7947" w:rsidP="000F7947">
      <w:pPr>
        <w:pStyle w:val="ListParagraph"/>
        <w:numPr>
          <w:ilvl w:val="0"/>
          <w:numId w:val="16"/>
        </w:numPr>
        <w:spacing w:before="120" w:after="120" w:line="240" w:lineRule="auto"/>
        <w:ind w:left="284"/>
        <w:jc w:val="both"/>
        <w:rPr>
          <w:rFonts w:ascii="Times New Roman" w:hAnsi="Times New Roman" w:cs="Times New Roman"/>
          <w:noProof/>
          <w:sz w:val="24"/>
          <w:szCs w:val="24"/>
        </w:rPr>
      </w:pPr>
      <w:r w:rsidRPr="00BF463B">
        <w:rPr>
          <w:rFonts w:ascii="Times New Roman" w:hAnsi="Times New Roman" w:cs="Times New Roman"/>
          <w:noProof/>
          <w:sz w:val="24"/>
          <w:szCs w:val="24"/>
        </w:rPr>
        <w:t xml:space="preserve">The </w:t>
      </w:r>
      <w:r w:rsidRPr="00BF463B">
        <w:rPr>
          <w:rFonts w:ascii="Times New Roman" w:hAnsi="Times New Roman" w:cs="Times New Roman"/>
          <w:i/>
          <w:iCs/>
          <w:noProof/>
          <w:sz w:val="24"/>
          <w:szCs w:val="24"/>
        </w:rPr>
        <w:t xml:space="preserve">Executive Agency “Audit of EU Funds”, </w:t>
      </w:r>
      <w:r w:rsidRPr="00BF463B">
        <w:rPr>
          <w:rFonts w:ascii="Times New Roman" w:hAnsi="Times New Roman" w:cs="Times New Roman"/>
          <w:noProof/>
          <w:sz w:val="24"/>
          <w:szCs w:val="24"/>
        </w:rPr>
        <w:t>attached to the Minister of Finance, shall carry out the audit work under the Facility in order to provide assurance on the reliability of the data on the implementation of the milestones and objectives and the way in which they are collected, as well as assurance that the implementation ensures that double funding, fraud, corruption and conflict of interest are prevented and the principle of sound financial management is respected.</w:t>
      </w:r>
    </w:p>
    <w:p w14:paraId="2ECC3320" w14:textId="113C6381" w:rsidR="00B70A7B" w:rsidRPr="00E76013" w:rsidRDefault="0EE754B7" w:rsidP="000F7947">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Bulgaria consulted a wide range of stakeholders</w:t>
      </w:r>
      <w:r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 xml:space="preserve">This included social partners, regional and local authorities, civil society organisations, business community and other relevant stakeholders at the initial </w:t>
      </w:r>
      <w:r w:rsidRPr="35804D96">
        <w:rPr>
          <w:rFonts w:ascii="Times New Roman" w:eastAsia="Times New Roman" w:hAnsi="Times New Roman" w:cs="Times New Roman"/>
          <w:noProof/>
          <w:sz w:val="24"/>
          <w:szCs w:val="24"/>
          <w:lang w:val="en-GB"/>
        </w:rPr>
        <w:t>stages</w:t>
      </w:r>
      <w:r w:rsidRPr="00E76013">
        <w:rPr>
          <w:rFonts w:ascii="Times New Roman" w:eastAsia="Times New Roman" w:hAnsi="Times New Roman" w:cs="Times New Roman"/>
          <w:noProof/>
          <w:sz w:val="24"/>
          <w:szCs w:val="24"/>
          <w:lang w:val="en-GB"/>
        </w:rPr>
        <w:t xml:space="preserve"> of the </w:t>
      </w:r>
      <w:r w:rsidR="00A01018" w:rsidRPr="00E76013">
        <w:rPr>
          <w:rFonts w:ascii="Times New Roman" w:eastAsia="Times New Roman" w:hAnsi="Times New Roman" w:cs="Times New Roman"/>
          <w:noProof/>
          <w:sz w:val="24"/>
          <w:szCs w:val="24"/>
          <w:lang w:val="en-GB"/>
        </w:rPr>
        <w:t xml:space="preserve">Plan’s </w:t>
      </w:r>
      <w:r w:rsidRPr="00E76013">
        <w:rPr>
          <w:rFonts w:ascii="Times New Roman" w:eastAsia="Times New Roman" w:hAnsi="Times New Roman" w:cs="Times New Roman"/>
          <w:noProof/>
          <w:sz w:val="24"/>
          <w:szCs w:val="24"/>
          <w:lang w:val="en-GB"/>
        </w:rPr>
        <w:t xml:space="preserve">preparation. The first draft of the </w:t>
      </w:r>
      <w:r w:rsidR="00A01018" w:rsidRPr="00E76013">
        <w:rPr>
          <w:rFonts w:ascii="Times New Roman" w:eastAsia="Times New Roman" w:hAnsi="Times New Roman" w:cs="Times New Roman"/>
          <w:noProof/>
          <w:sz w:val="24"/>
          <w:szCs w:val="24"/>
          <w:lang w:val="en-GB"/>
        </w:rPr>
        <w:t xml:space="preserve">Plan </w:t>
      </w:r>
      <w:r w:rsidRPr="00E76013">
        <w:rPr>
          <w:rFonts w:ascii="Times New Roman" w:eastAsia="Times New Roman" w:hAnsi="Times New Roman" w:cs="Times New Roman"/>
          <w:noProof/>
          <w:sz w:val="24"/>
          <w:szCs w:val="24"/>
          <w:lang w:val="en-GB"/>
        </w:rPr>
        <w:t xml:space="preserve">was subject to a public consultation which gathered over 90 positions from interest parties. These have provided input to the subsequent versions of the </w:t>
      </w:r>
      <w:r w:rsidR="004B0E68"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Consultation at the later stages has been more targeted, involving mostly the social partners and specific sectoral representatives.</w:t>
      </w:r>
      <w:r w:rsidR="00D23641">
        <w:rPr>
          <w:rFonts w:ascii="Times New Roman" w:eastAsia="Times New Roman" w:hAnsi="Times New Roman" w:cs="Times New Roman"/>
          <w:noProof/>
          <w:sz w:val="24"/>
          <w:szCs w:val="24"/>
          <w:lang w:val="en-GB"/>
        </w:rPr>
        <w:t xml:space="preserve"> </w:t>
      </w:r>
      <w:r w:rsidR="00B70A7B" w:rsidRPr="00B70A7B">
        <w:rPr>
          <w:rFonts w:ascii="Times New Roman" w:eastAsia="Times New Roman" w:hAnsi="Times New Roman" w:cs="Times New Roman"/>
          <w:noProof/>
          <w:sz w:val="24"/>
          <w:szCs w:val="24"/>
          <w:lang w:val="en-GB"/>
        </w:rPr>
        <w:t>The plan does not include cross-border or multi-country projects.</w:t>
      </w:r>
    </w:p>
    <w:p w14:paraId="3768390B" w14:textId="245578E6" w:rsidR="0EE754B7" w:rsidRPr="00E76013" w:rsidRDefault="20901504" w:rsidP="00364198">
      <w:pPr>
        <w:spacing w:after="120"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Bulgarian </w:t>
      </w:r>
      <w:r w:rsidR="006E485B"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provides </w:t>
      </w:r>
      <w:r w:rsidRPr="00E76013">
        <w:rPr>
          <w:rFonts w:ascii="Times New Roman" w:eastAsia="Times New Roman" w:hAnsi="Times New Roman" w:cs="Times New Roman"/>
          <w:b/>
          <w:noProof/>
          <w:sz w:val="24"/>
          <w:szCs w:val="24"/>
          <w:lang w:val="en-GB"/>
        </w:rPr>
        <w:t xml:space="preserve">a security self-assessment </w:t>
      </w:r>
      <w:r w:rsidRPr="00E76013">
        <w:rPr>
          <w:rFonts w:ascii="Times New Roman" w:eastAsia="Times New Roman" w:hAnsi="Times New Roman" w:cs="Times New Roman"/>
          <w:noProof/>
          <w:sz w:val="24"/>
          <w:szCs w:val="24"/>
          <w:lang w:val="en-GB"/>
        </w:rPr>
        <w:t xml:space="preserve">for investments in digital capacities and connectivity, in accordance with Article 18(4), point (g), of Regulation (EU) 2021/241. Throughout the </w:t>
      </w:r>
      <w:r w:rsidR="00A01018"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several components include a section that explains the adherence of the measures to the Union’s open strategic autonomy and security issues.</w:t>
      </w:r>
    </w:p>
    <w:p w14:paraId="3A24757F" w14:textId="29702017" w:rsidR="25D82E8D" w:rsidRPr="00E76013" w:rsidRDefault="71CB3E33" w:rsidP="00364198">
      <w:pPr>
        <w:tabs>
          <w:tab w:val="left" w:pos="1077"/>
        </w:tabs>
        <w:spacing w:after="120"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noProof/>
          <w:sz w:val="24"/>
          <w:szCs w:val="24"/>
          <w:lang w:val="en-GB"/>
        </w:rPr>
        <w:t xml:space="preserve">The </w:t>
      </w:r>
      <w:r w:rsidR="25D82E8D" w:rsidRPr="00E76013">
        <w:rPr>
          <w:rFonts w:ascii="Times New Roman" w:eastAsia="Times New Roman" w:hAnsi="Times New Roman" w:cs="Times New Roman"/>
          <w:b/>
          <w:bCs/>
          <w:noProof/>
          <w:sz w:val="24"/>
          <w:szCs w:val="24"/>
          <w:lang w:val="en-GB"/>
        </w:rPr>
        <w:t>Plan sets out Bulgaria´s communication plans.</w:t>
      </w:r>
      <w:r w:rsidR="25D82E8D" w:rsidRPr="00E76013">
        <w:rPr>
          <w:rFonts w:ascii="Times New Roman" w:eastAsia="Times New Roman" w:hAnsi="Times New Roman" w:cs="Times New Roman"/>
          <w:noProof/>
          <w:sz w:val="24"/>
          <w:szCs w:val="24"/>
          <w:lang w:val="en-GB"/>
        </w:rPr>
        <w:t xml:space="preserve"> The objectives of the country’s communication strategy are in line with the RRF Regulation and aim to raise awareness about the Plan’s contribution to the economic and social recovery and to the twin transition. More specifically, the strategy will aim at ensuring maximum visibility and transparency of the governance and implementation process, informing potential beneficiaries and final recipients about funding opportunities under the </w:t>
      </w:r>
      <w:r w:rsidR="00176605" w:rsidRPr="00E76013">
        <w:rPr>
          <w:rFonts w:ascii="Times New Roman" w:eastAsia="Times New Roman" w:hAnsi="Times New Roman" w:cs="Times New Roman"/>
          <w:noProof/>
          <w:sz w:val="24"/>
          <w:szCs w:val="24"/>
          <w:lang w:val="en-GB"/>
        </w:rPr>
        <w:t>P</w:t>
      </w:r>
      <w:r w:rsidR="25D82E8D" w:rsidRPr="00E76013">
        <w:rPr>
          <w:rFonts w:ascii="Times New Roman" w:eastAsia="Times New Roman" w:hAnsi="Times New Roman" w:cs="Times New Roman"/>
          <w:noProof/>
          <w:sz w:val="24"/>
          <w:szCs w:val="24"/>
          <w:lang w:val="en-GB"/>
        </w:rPr>
        <w:t>lan, as well as ensuring the active involvement of all relevant parties in the implementation. Communication will be targeted to the general public, potential and final beneficiaries, sectoral representatives, media and multipliers.</w:t>
      </w:r>
    </w:p>
    <w:p w14:paraId="7E4CF0A6" w14:textId="683BCB12" w:rsidR="25D82E8D" w:rsidRPr="00E76013" w:rsidRDefault="25D82E8D" w:rsidP="00364198">
      <w:pPr>
        <w:tabs>
          <w:tab w:val="left" w:pos="1077"/>
        </w:tabs>
        <w:spacing w:after="120"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noProof/>
          <w:sz w:val="24"/>
          <w:szCs w:val="24"/>
          <w:lang w:val="en-GB"/>
        </w:rPr>
        <w:t>The communication activities will be carried out via several channels.</w:t>
      </w:r>
      <w:r w:rsidRPr="00E76013">
        <w:rPr>
          <w:rFonts w:ascii="Times New Roman" w:eastAsia="Times New Roman" w:hAnsi="Times New Roman" w:cs="Times New Roman"/>
          <w:noProof/>
          <w:sz w:val="24"/>
          <w:szCs w:val="24"/>
          <w:lang w:val="en-GB"/>
        </w:rPr>
        <w:t xml:space="preserve"> The dedicated web portal</w:t>
      </w:r>
      <w:r w:rsidR="00DF0254">
        <w:rPr>
          <w:rStyle w:val="FootnoteReference"/>
          <w:rFonts w:ascii="Times New Roman" w:eastAsia="Times New Roman" w:hAnsi="Times New Roman" w:cs="Times New Roman"/>
          <w:noProof/>
          <w:sz w:val="24"/>
          <w:szCs w:val="24"/>
          <w:lang w:val="en-GB"/>
        </w:rPr>
        <w:footnoteReference w:id="12"/>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color w:val="000000" w:themeColor="text1"/>
          <w:sz w:val="24"/>
          <w:szCs w:val="24"/>
          <w:lang w:val="en-GB"/>
        </w:rPr>
        <w:t xml:space="preserve">will provide summary information about the </w:t>
      </w:r>
      <w:r w:rsidR="00A01018" w:rsidRPr="00E76013">
        <w:rPr>
          <w:rFonts w:ascii="Times New Roman" w:eastAsia="Times New Roman" w:hAnsi="Times New Roman" w:cs="Times New Roman"/>
          <w:noProof/>
          <w:color w:val="000000" w:themeColor="text1"/>
          <w:sz w:val="24"/>
          <w:szCs w:val="24"/>
          <w:lang w:val="en-GB"/>
        </w:rPr>
        <w:t>Plan</w:t>
      </w:r>
      <w:r w:rsidRPr="00E76013">
        <w:rPr>
          <w:rFonts w:ascii="Times New Roman" w:eastAsia="Times New Roman" w:hAnsi="Times New Roman" w:cs="Times New Roman"/>
          <w:noProof/>
          <w:color w:val="000000" w:themeColor="text1"/>
          <w:sz w:val="24"/>
          <w:szCs w:val="24"/>
          <w:lang w:val="en-GB"/>
        </w:rPr>
        <w:t xml:space="preserve">, links to relevant websites and resources, as well as possibility to signal cases of corruption, fraud, conflict of interest and double funding. Social media channels will be used to disseminate information on the implementation of the </w:t>
      </w:r>
      <w:r w:rsidR="00176605" w:rsidRPr="00E76013">
        <w:rPr>
          <w:rFonts w:ascii="Times New Roman" w:eastAsia="Times New Roman" w:hAnsi="Times New Roman" w:cs="Times New Roman"/>
          <w:noProof/>
          <w:color w:val="000000" w:themeColor="text1"/>
          <w:sz w:val="24"/>
          <w:szCs w:val="24"/>
          <w:lang w:val="en-GB"/>
        </w:rPr>
        <w:t>P</w:t>
      </w:r>
      <w:r w:rsidRPr="00E76013">
        <w:rPr>
          <w:rFonts w:ascii="Times New Roman" w:eastAsia="Times New Roman" w:hAnsi="Times New Roman" w:cs="Times New Roman"/>
          <w:noProof/>
          <w:color w:val="000000" w:themeColor="text1"/>
          <w:sz w:val="24"/>
          <w:szCs w:val="24"/>
          <w:lang w:val="en-GB"/>
        </w:rPr>
        <w:t xml:space="preserve">lan. </w:t>
      </w:r>
      <w:r w:rsidRPr="00E76013">
        <w:rPr>
          <w:rFonts w:ascii="Times New Roman" w:eastAsia="Times New Roman" w:hAnsi="Times New Roman" w:cs="Times New Roman"/>
          <w:noProof/>
          <w:sz w:val="24"/>
          <w:szCs w:val="24"/>
          <w:lang w:val="en-GB"/>
        </w:rPr>
        <w:t>Public</w:t>
      </w:r>
      <w:r w:rsidRPr="00E76013">
        <w:rPr>
          <w:rFonts w:ascii="Times New Roman" w:eastAsia="Times New Roman" w:hAnsi="Times New Roman" w:cs="Times New Roman"/>
          <w:noProof/>
          <w:color w:val="000000" w:themeColor="text1"/>
          <w:sz w:val="24"/>
          <w:szCs w:val="24"/>
          <w:lang w:val="en-GB"/>
        </w:rPr>
        <w:t xml:space="preserve"> outreach activities will be organised for the general public around key stages of the implementation; while key individual projects will be promoted through coordinated communication with the EC, including the EC Representation and the Bureau of the European Parliament in Bulgaria. Projects of high societal relevance will be communicated separately through dedicated press briefings, newsletters, presentations, dedicated internet channels to ensure that messages reach the target audience. Relevant line ministries will act as “spokespersons” on the four pillars of the </w:t>
      </w:r>
      <w:r w:rsidR="00176605" w:rsidRPr="00E76013">
        <w:rPr>
          <w:rFonts w:ascii="Times New Roman" w:eastAsia="Times New Roman" w:hAnsi="Times New Roman" w:cs="Times New Roman"/>
          <w:noProof/>
          <w:color w:val="000000" w:themeColor="text1"/>
          <w:sz w:val="24"/>
          <w:szCs w:val="24"/>
          <w:lang w:val="en-GB"/>
        </w:rPr>
        <w:t>P</w:t>
      </w:r>
      <w:r w:rsidRPr="00E76013">
        <w:rPr>
          <w:rFonts w:ascii="Times New Roman" w:eastAsia="Times New Roman" w:hAnsi="Times New Roman" w:cs="Times New Roman"/>
          <w:noProof/>
          <w:color w:val="000000" w:themeColor="text1"/>
          <w:sz w:val="24"/>
          <w:szCs w:val="24"/>
          <w:lang w:val="en-GB"/>
        </w:rPr>
        <w:t>lan. All communication activities of the ESP will ensure a single visual identity, namely the use of the EU emblem and slogan: “European Union-funded — next generation EU.</w:t>
      </w:r>
    </w:p>
    <w:p w14:paraId="4D5D40E1" w14:textId="22DD97EB" w:rsidR="00260E25" w:rsidRPr="00E76013" w:rsidRDefault="2D7BEF24" w:rsidP="00364198">
      <w:pPr>
        <w:spacing w:after="120" w:line="276" w:lineRule="auto"/>
        <w:jc w:val="both"/>
        <w:rPr>
          <w:rFonts w:ascii="Times New Roman" w:eastAsia="Times New Roman" w:hAnsi="Times New Roman" w:cs="Times New Roman"/>
          <w:noProof/>
          <w:sz w:val="24"/>
          <w:szCs w:val="24"/>
          <w:lang w:val="en-GB"/>
        </w:rPr>
      </w:pPr>
      <w:r w:rsidRPr="36F18C84">
        <w:rPr>
          <w:rFonts w:ascii="Times New Roman" w:eastAsia="Times New Roman" w:hAnsi="Times New Roman" w:cs="Times New Roman"/>
          <w:b/>
          <w:bCs/>
          <w:noProof/>
          <w:sz w:val="24"/>
          <w:szCs w:val="24"/>
          <w:lang w:val="en-GB"/>
        </w:rPr>
        <w:t>State aid and competition rules fully apply to the measures funded by the Recovery and Resilience Facility.</w:t>
      </w:r>
      <w:r w:rsidRPr="00E76013">
        <w:rPr>
          <w:rFonts w:ascii="Times New Roman" w:eastAsia="Times New Roman" w:hAnsi="Times New Roman" w:cs="Times New Roman"/>
          <w:noProof/>
          <w:sz w:val="24"/>
          <w:szCs w:val="24"/>
          <w:lang w:val="en-GB"/>
        </w:rPr>
        <w:t xml:space="preserve"> Union funds channelled through the authorities of Member States, like the RRF funds, become State resources and can constitute State aid if all the other criteria of Article 107(1) TFEU are met. When this is the case and State aid is present, these measures must be notified and approved by the Commission before Member States can grant the aid, unless those measures are covered by an existing aid scheme or comply with the applicable conditions of a block exemption regulation, in particular the General Block Exemption Regulation (GBER) declaring certain categories of aid compatible with the internal market in application of Articles 107 and 108 TFEU</w:t>
      </w:r>
      <w:r w:rsidR="00260E25" w:rsidRPr="00E76013">
        <w:rPr>
          <w:rStyle w:val="FootnoteReference"/>
          <w:rFonts w:ascii="Times New Roman" w:eastAsia="Times New Roman" w:hAnsi="Times New Roman" w:cs="Times New Roman"/>
          <w:noProof/>
          <w:sz w:val="24"/>
          <w:szCs w:val="24"/>
          <w:lang w:val="en-GB"/>
        </w:rPr>
        <w:footnoteReference w:id="13"/>
      </w:r>
      <w:r w:rsidRPr="00E76013">
        <w:rPr>
          <w:rFonts w:ascii="Times New Roman" w:eastAsia="Times New Roman" w:hAnsi="Times New Roman" w:cs="Times New Roman"/>
          <w:noProof/>
          <w:sz w:val="24"/>
          <w:szCs w:val="24"/>
          <w:lang w:val="en-GB"/>
        </w:rPr>
        <w:t xml:space="preserve">. When State aid is present and it requires notification, it is the duty of the Member State to notify State aid measures to the Commission before granting them, in compliance with Article 108(3) TFEU. In this respect, the State aid analysis carried out by Bulgaria in the </w:t>
      </w:r>
      <w:r w:rsidR="40CBB305"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cannot be deemed a State aid notification. In as far as Bulgaria considers that a specific measure contained in the </w:t>
      </w:r>
      <w:r w:rsidR="40CBB305"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entails de minimis aid or aid exempted from the notification requirement, it is the responsibility of Bulgaria to ensure full compliance with the applicable rules.</w:t>
      </w:r>
    </w:p>
    <w:p w14:paraId="17DAB9CD" w14:textId="59689AF2" w:rsidR="53A20BD6" w:rsidRPr="00E76013" w:rsidRDefault="3A9824C1" w:rsidP="00364198">
      <w:pPr>
        <w:spacing w:after="120" w:line="276" w:lineRule="auto"/>
        <w:jc w:val="both"/>
        <w:rPr>
          <w:rFonts w:ascii="Times New Roman" w:eastAsia="Times New Roman" w:hAnsi="Times New Roman" w:cs="Times New Roman"/>
          <w:noProof/>
          <w:sz w:val="24"/>
          <w:szCs w:val="24"/>
        </w:rPr>
      </w:pPr>
      <w:r w:rsidRPr="00364198">
        <w:rPr>
          <w:rFonts w:ascii="Times New Roman" w:eastAsia="Times New Roman" w:hAnsi="Times New Roman" w:cs="Times New Roman"/>
          <w:b/>
          <w:bCs/>
          <w:noProof/>
          <w:sz w:val="24"/>
          <w:szCs w:val="24"/>
        </w:rPr>
        <w:t xml:space="preserve">The </w:t>
      </w:r>
      <w:r w:rsidRPr="3A9824C1">
        <w:rPr>
          <w:rFonts w:ascii="Times New Roman" w:eastAsia="Times New Roman" w:hAnsi="Times New Roman" w:cs="Times New Roman"/>
          <w:b/>
          <w:bCs/>
          <w:noProof/>
          <w:sz w:val="24"/>
          <w:szCs w:val="24"/>
        </w:rPr>
        <w:t xml:space="preserve">Plan </w:t>
      </w:r>
      <w:r w:rsidRPr="00364198">
        <w:rPr>
          <w:rFonts w:ascii="Times New Roman" w:eastAsia="Times New Roman" w:hAnsi="Times New Roman" w:cs="Times New Roman"/>
          <w:b/>
          <w:bCs/>
          <w:noProof/>
          <w:sz w:val="24"/>
          <w:szCs w:val="24"/>
        </w:rPr>
        <w:t>contains measures that are expected to help Bulgaria address the challenges in the area of gender equality and equal opportunities for all</w:t>
      </w:r>
      <w:r w:rsidRPr="3A9824C1">
        <w:rPr>
          <w:rFonts w:ascii="Times New Roman" w:eastAsia="Times New Roman" w:hAnsi="Times New Roman" w:cs="Times New Roman"/>
          <w:b/>
          <w:bCs/>
          <w:noProof/>
          <w:sz w:val="24"/>
          <w:szCs w:val="24"/>
        </w:rPr>
        <w:t xml:space="preserve"> </w:t>
      </w:r>
      <w:r w:rsidR="56206453" w:rsidRPr="2C9B3F24">
        <w:rPr>
          <w:rFonts w:ascii="Times New Roman" w:hAnsi="Times New Roman"/>
          <w:b/>
          <w:bCs/>
          <w:noProof/>
          <w:sz w:val="24"/>
          <w:szCs w:val="24"/>
        </w:rPr>
        <w:t>and</w:t>
      </w:r>
      <w:r w:rsidR="56206453" w:rsidRPr="4671A9FF">
        <w:rPr>
          <w:rFonts w:ascii="Times New Roman" w:hAnsi="Times New Roman"/>
          <w:b/>
          <w:bCs/>
          <w:noProof/>
          <w:sz w:val="24"/>
          <w:szCs w:val="24"/>
        </w:rPr>
        <w:t xml:space="preserve"> </w:t>
      </w:r>
      <w:r w:rsidR="377011C0" w:rsidRPr="00364198">
        <w:rPr>
          <w:rFonts w:ascii="Times New Roman" w:hAnsi="Times New Roman"/>
          <w:b/>
          <w:noProof/>
          <w:sz w:val="24"/>
          <w:szCs w:val="24"/>
        </w:rPr>
        <w:t>describes existing national challenges in the area of gender equality and inclusion of vulnerable groups, including Roma.</w:t>
      </w:r>
      <w:r w:rsidR="377011C0" w:rsidRPr="00E76013">
        <w:rPr>
          <w:rFonts w:ascii="Times New Roman" w:eastAsia="Times New Roman" w:hAnsi="Times New Roman" w:cs="Times New Roman"/>
          <w:noProof/>
          <w:sz w:val="24"/>
          <w:szCs w:val="24"/>
        </w:rPr>
        <w:t xml:space="preserve"> The </w:t>
      </w:r>
      <w:r w:rsidR="00B05B48" w:rsidRPr="00E76013">
        <w:rPr>
          <w:rFonts w:ascii="Times New Roman" w:eastAsia="Times New Roman" w:hAnsi="Times New Roman" w:cs="Times New Roman"/>
          <w:noProof/>
          <w:sz w:val="24"/>
          <w:szCs w:val="24"/>
        </w:rPr>
        <w:t>P</w:t>
      </w:r>
      <w:r w:rsidR="377011C0" w:rsidRPr="00E76013">
        <w:rPr>
          <w:rFonts w:ascii="Times New Roman" w:eastAsia="Times New Roman" w:hAnsi="Times New Roman" w:cs="Times New Roman"/>
          <w:noProof/>
          <w:sz w:val="24"/>
          <w:szCs w:val="24"/>
        </w:rPr>
        <w:t xml:space="preserve">lan also states that equal participation of men and women and non-discrimination based on sex, race, ethnicity, religion or belief, disability, age and sexual orientation will be respected in the implementation of the measures. To monitor the implementation of the </w:t>
      </w:r>
      <w:r w:rsidR="00B05B48" w:rsidRPr="00E76013">
        <w:rPr>
          <w:rFonts w:ascii="Times New Roman" w:eastAsia="Times New Roman" w:hAnsi="Times New Roman" w:cs="Times New Roman"/>
          <w:noProof/>
          <w:sz w:val="24"/>
          <w:szCs w:val="24"/>
        </w:rPr>
        <w:t>P</w:t>
      </w:r>
      <w:r w:rsidR="377011C0" w:rsidRPr="00E76013">
        <w:rPr>
          <w:rFonts w:ascii="Times New Roman" w:eastAsia="Times New Roman" w:hAnsi="Times New Roman" w:cs="Times New Roman"/>
          <w:noProof/>
          <w:sz w:val="24"/>
          <w:szCs w:val="24"/>
        </w:rPr>
        <w:t xml:space="preserve">lan, data will be disaggregated by gender, age, disability and ethnic origin for reporting purposes, where possible. Measures in the </w:t>
      </w:r>
      <w:r w:rsidR="00B05B48" w:rsidRPr="00E76013">
        <w:rPr>
          <w:rFonts w:ascii="Times New Roman" w:eastAsia="Times New Roman" w:hAnsi="Times New Roman" w:cs="Times New Roman"/>
          <w:noProof/>
          <w:sz w:val="24"/>
          <w:szCs w:val="24"/>
        </w:rPr>
        <w:t>P</w:t>
      </w:r>
      <w:r w:rsidR="377011C0" w:rsidRPr="00E76013">
        <w:rPr>
          <w:rFonts w:ascii="Times New Roman" w:eastAsia="Times New Roman" w:hAnsi="Times New Roman" w:cs="Times New Roman"/>
          <w:noProof/>
          <w:sz w:val="24"/>
          <w:szCs w:val="24"/>
        </w:rPr>
        <w:t>lan that contribute</w:t>
      </w:r>
      <w:r w:rsidR="56206453" w:rsidRPr="00E76013">
        <w:rPr>
          <w:rFonts w:ascii="Times New Roman" w:eastAsia="Times New Roman" w:hAnsi="Times New Roman" w:cs="Times New Roman"/>
          <w:noProof/>
          <w:sz w:val="24"/>
          <w:szCs w:val="24"/>
        </w:rPr>
        <w:t xml:space="preserve"> to addressing some of the national challenges on gender equality </w:t>
      </w:r>
      <w:r w:rsidR="46B24DF7" w:rsidRPr="00E76013">
        <w:rPr>
          <w:rFonts w:ascii="Times New Roman" w:eastAsia="Times New Roman" w:hAnsi="Times New Roman" w:cs="Times New Roman"/>
          <w:noProof/>
          <w:sz w:val="24"/>
          <w:szCs w:val="24"/>
        </w:rPr>
        <w:t xml:space="preserve">and access to </w:t>
      </w:r>
      <w:r w:rsidR="56206453" w:rsidRPr="00E76013">
        <w:rPr>
          <w:rFonts w:ascii="Times New Roman" w:eastAsia="Times New Roman" w:hAnsi="Times New Roman" w:cs="Times New Roman"/>
          <w:noProof/>
          <w:sz w:val="24"/>
          <w:szCs w:val="24"/>
        </w:rPr>
        <w:t xml:space="preserve">equal opportunities for some </w:t>
      </w:r>
      <w:r w:rsidR="377011C0" w:rsidRPr="00E76013">
        <w:rPr>
          <w:rFonts w:ascii="Times New Roman" w:eastAsia="Times New Roman" w:hAnsi="Times New Roman" w:cs="Times New Roman"/>
          <w:noProof/>
          <w:sz w:val="24"/>
          <w:szCs w:val="24"/>
        </w:rPr>
        <w:t xml:space="preserve">groups cover the personal development of young people from vulnerable groups, including Roma, the mobility and opportunities for independent living of people with disabilities and the quality of life of </w:t>
      </w:r>
      <w:r w:rsidR="00A037C9">
        <w:rPr>
          <w:rFonts w:ascii="Times New Roman" w:eastAsia="Times New Roman" w:hAnsi="Times New Roman" w:cs="Times New Roman"/>
          <w:noProof/>
          <w:sz w:val="24"/>
          <w:szCs w:val="24"/>
        </w:rPr>
        <w:t>older people</w:t>
      </w:r>
      <w:r w:rsidR="377011C0" w:rsidRPr="00E76013">
        <w:rPr>
          <w:rFonts w:ascii="Times New Roman" w:eastAsia="Times New Roman" w:hAnsi="Times New Roman" w:cs="Times New Roman"/>
          <w:noProof/>
          <w:sz w:val="24"/>
          <w:szCs w:val="24"/>
        </w:rPr>
        <w:t xml:space="preserve">. The </w:t>
      </w:r>
      <w:r w:rsidR="00B05B48" w:rsidRPr="00E76013">
        <w:rPr>
          <w:rFonts w:ascii="Times New Roman" w:eastAsia="Times New Roman" w:hAnsi="Times New Roman" w:cs="Times New Roman"/>
          <w:noProof/>
          <w:sz w:val="24"/>
          <w:szCs w:val="24"/>
        </w:rPr>
        <w:t>P</w:t>
      </w:r>
      <w:r w:rsidR="377011C0" w:rsidRPr="00E76013">
        <w:rPr>
          <w:rFonts w:ascii="Times New Roman" w:eastAsia="Times New Roman" w:hAnsi="Times New Roman" w:cs="Times New Roman"/>
          <w:noProof/>
          <w:sz w:val="24"/>
          <w:szCs w:val="24"/>
        </w:rPr>
        <w:t>lan also covers investments in kindergartens, with implications for the labour market participation of women.</w:t>
      </w:r>
    </w:p>
    <w:p w14:paraId="5B783453" w14:textId="6ED75092" w:rsidR="0073534F" w:rsidRPr="00E76013" w:rsidRDefault="00272CCE" w:rsidP="00E01A1F">
      <w:pPr>
        <w:pStyle w:val="Heading1"/>
        <w:numPr>
          <w:ilvl w:val="0"/>
          <w:numId w:val="7"/>
        </w:numPr>
        <w:rPr>
          <w:noProof/>
          <w:szCs w:val="24"/>
        </w:rPr>
      </w:pPr>
      <w:bookmarkStart w:id="198" w:name="_Toc62579581"/>
      <w:bookmarkStart w:id="199" w:name="_Toc62632633"/>
      <w:bookmarkStart w:id="200" w:name="_Toc62817722"/>
      <w:bookmarkStart w:id="201" w:name="_Toc62820917"/>
      <w:bookmarkStart w:id="202" w:name="_Toc62579582"/>
      <w:bookmarkStart w:id="203" w:name="_Toc62632634"/>
      <w:bookmarkStart w:id="204" w:name="_Toc62817723"/>
      <w:bookmarkStart w:id="205" w:name="_Toc62820918"/>
      <w:bookmarkStart w:id="206" w:name="_Toc62579583"/>
      <w:bookmarkStart w:id="207" w:name="_Toc62632635"/>
      <w:bookmarkStart w:id="208" w:name="_Toc62817724"/>
      <w:bookmarkStart w:id="209" w:name="_Toc62820919"/>
      <w:bookmarkStart w:id="210" w:name="_Toc62579584"/>
      <w:bookmarkStart w:id="211" w:name="_Toc62632636"/>
      <w:bookmarkStart w:id="212" w:name="_Toc62817725"/>
      <w:bookmarkStart w:id="213" w:name="_Toc62820920"/>
      <w:bookmarkStart w:id="214" w:name="_Toc62579585"/>
      <w:bookmarkStart w:id="215" w:name="_Toc62632637"/>
      <w:bookmarkStart w:id="216" w:name="_Toc62817726"/>
      <w:bookmarkStart w:id="217" w:name="_Toc62820921"/>
      <w:bookmarkStart w:id="218" w:name="_Toc62579586"/>
      <w:bookmarkStart w:id="219" w:name="_Toc62632638"/>
      <w:bookmarkStart w:id="220" w:name="_Toc62817727"/>
      <w:bookmarkStart w:id="221" w:name="_Toc62820922"/>
      <w:bookmarkStart w:id="222" w:name="_Toc62579587"/>
      <w:bookmarkStart w:id="223" w:name="_Toc62632639"/>
      <w:bookmarkStart w:id="224" w:name="_Toc62817728"/>
      <w:bookmarkStart w:id="225" w:name="_Toc62818219"/>
      <w:bookmarkStart w:id="226" w:name="_Toc62818766"/>
      <w:bookmarkStart w:id="227" w:name="_Toc62820923"/>
      <w:bookmarkStart w:id="228" w:name="_Toc62823316"/>
      <w:bookmarkStart w:id="229" w:name="_Toc62818220"/>
      <w:bookmarkStart w:id="230" w:name="_Toc62818767"/>
      <w:bookmarkStart w:id="231" w:name="_Toc63417218"/>
      <w:bookmarkStart w:id="232" w:name="_Toc63418908"/>
      <w:bookmarkStart w:id="233" w:name="_Toc63418933"/>
      <w:bookmarkStart w:id="234" w:name="_Toc64281619"/>
      <w:bookmarkStart w:id="235" w:name="_Toc98952823"/>
      <w:bookmarkStart w:id="236" w:name="_Toc98953994"/>
      <w:bookmarkStart w:id="237" w:name="_Toc99399068"/>
      <w:bookmarkStart w:id="238" w:name="_Toc99400001"/>
      <w:bookmarkStart w:id="239" w:name="_Toc99400429"/>
      <w:bookmarkStart w:id="240" w:name="_Toc99719444"/>
      <w:bookmarkStart w:id="241" w:name="_Toc99728657"/>
      <w:bookmarkStart w:id="242" w:name="_Toc99729651"/>
      <w:bookmarkStart w:id="243" w:name="_Toc99730628"/>
      <w:bookmarkStart w:id="244" w:name="_Toc99731352"/>
      <w:bookmarkStart w:id="245" w:name="_Toc99756891"/>
      <w:bookmarkStart w:id="246" w:name="_Toc9990992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E76013">
        <w:rPr>
          <w:noProof/>
        </w:rPr>
        <w:t xml:space="preserve">Summary of the assessment </w:t>
      </w:r>
      <w:r w:rsidR="00EE47E1" w:rsidRPr="00E76013">
        <w:rPr>
          <w:noProof/>
        </w:rPr>
        <w:t>of the plan</w:t>
      </w:r>
      <w:bookmarkEnd w:id="17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D7C3470" w14:textId="13F94DB9" w:rsidR="00AF10AC" w:rsidRPr="004D1291" w:rsidRDefault="00C611A7" w:rsidP="00E01A1F">
      <w:pPr>
        <w:pStyle w:val="Heading2"/>
        <w:numPr>
          <w:ilvl w:val="1"/>
          <w:numId w:val="7"/>
        </w:numPr>
        <w:spacing w:after="160" w:line="276" w:lineRule="auto"/>
        <w:rPr>
          <w:noProof/>
        </w:rPr>
      </w:pPr>
      <w:bookmarkStart w:id="247" w:name="_Toc62455200"/>
      <w:bookmarkStart w:id="248" w:name="_Toc99399069"/>
      <w:bookmarkStart w:id="249" w:name="_Toc99400002"/>
      <w:bookmarkStart w:id="250" w:name="_Toc99400430"/>
      <w:bookmarkStart w:id="251" w:name="_Toc99719445"/>
      <w:bookmarkStart w:id="252" w:name="_Toc99728658"/>
      <w:bookmarkStart w:id="253" w:name="_Toc99729652"/>
      <w:bookmarkStart w:id="254" w:name="_Toc99730629"/>
      <w:bookmarkStart w:id="255" w:name="_Toc99731353"/>
      <w:bookmarkStart w:id="256" w:name="_Toc99756892"/>
      <w:bookmarkStart w:id="257" w:name="_Toc99909922"/>
      <w:bookmarkStart w:id="258" w:name="_Toc63417219"/>
      <w:bookmarkStart w:id="259" w:name="_Toc63418909"/>
      <w:bookmarkStart w:id="260" w:name="_Toc63418934"/>
      <w:bookmarkStart w:id="261" w:name="_Toc64281620"/>
      <w:bookmarkStart w:id="262" w:name="_Toc98952824"/>
      <w:bookmarkStart w:id="263" w:name="_Toc98953995"/>
      <w:bookmarkStart w:id="264" w:name="_Toc62818770"/>
      <w:bookmarkStart w:id="265" w:name="_Toc62818223"/>
      <w:r w:rsidRPr="004D1291">
        <w:rPr>
          <w:noProof/>
        </w:rPr>
        <w:t>Comprehensive</w:t>
      </w:r>
      <w:r w:rsidR="00AF10AC" w:rsidRPr="004D1291">
        <w:rPr>
          <w:noProof/>
        </w:rPr>
        <w:t xml:space="preserve"> and adequate</w:t>
      </w:r>
      <w:r w:rsidRPr="004D1291">
        <w:rPr>
          <w:noProof/>
        </w:rPr>
        <w:t>ly</w:t>
      </w:r>
      <w:r w:rsidR="00AF10AC" w:rsidRPr="004D1291">
        <w:rPr>
          <w:noProof/>
        </w:rPr>
        <w:t xml:space="preserve"> </w:t>
      </w:r>
      <w:r w:rsidR="005077A1" w:rsidRPr="004D1291">
        <w:rPr>
          <w:noProof/>
        </w:rPr>
        <w:t>balanced response</w:t>
      </w:r>
      <w:r w:rsidR="00AF10AC" w:rsidRPr="004D1291">
        <w:rPr>
          <w:noProof/>
        </w:rPr>
        <w:t xml:space="preserve"> to the economic and social situation</w:t>
      </w:r>
      <w:bookmarkEnd w:id="247"/>
      <w:bookmarkEnd w:id="248"/>
      <w:bookmarkEnd w:id="249"/>
      <w:bookmarkEnd w:id="250"/>
      <w:bookmarkEnd w:id="251"/>
      <w:bookmarkEnd w:id="252"/>
      <w:bookmarkEnd w:id="253"/>
      <w:bookmarkEnd w:id="254"/>
      <w:bookmarkEnd w:id="255"/>
      <w:bookmarkEnd w:id="256"/>
      <w:bookmarkEnd w:id="257"/>
      <w:r w:rsidR="00824776" w:rsidRPr="004D1291">
        <w:rPr>
          <w:noProof/>
        </w:rPr>
        <w:t xml:space="preserve"> </w:t>
      </w:r>
      <w:bookmarkEnd w:id="258"/>
      <w:bookmarkEnd w:id="259"/>
      <w:bookmarkEnd w:id="260"/>
      <w:bookmarkEnd w:id="261"/>
      <w:bookmarkEnd w:id="262"/>
      <w:bookmarkEnd w:id="263"/>
    </w:p>
    <w:bookmarkEnd w:id="264"/>
    <w:bookmarkEnd w:id="265"/>
    <w:p w14:paraId="59612FC4" w14:textId="20C00180" w:rsidR="368B4B11" w:rsidRPr="00E76013" w:rsidRDefault="368B4B11" w:rsidP="00364198">
      <w:pPr>
        <w:spacing w:line="276" w:lineRule="auto"/>
        <w:jc w:val="both"/>
        <w:rPr>
          <w:rFonts w:ascii="Times New Roman" w:eastAsia="Times New Roman" w:hAnsi="Times New Roman" w:cs="Times New Roman"/>
          <w:noProof/>
          <w:color w:val="000000" w:themeColor="text1"/>
          <w:sz w:val="24"/>
          <w:szCs w:val="24"/>
          <w:lang w:val="en-GB"/>
        </w:rPr>
      </w:pPr>
      <w:r w:rsidRPr="00E76013">
        <w:rPr>
          <w:rFonts w:ascii="Times New Roman" w:eastAsia="Times New Roman" w:hAnsi="Times New Roman" w:cs="Times New Roman"/>
          <w:b/>
          <w:noProof/>
          <w:sz w:val="24"/>
          <w:szCs w:val="24"/>
          <w:lang w:val="en-GB"/>
        </w:rPr>
        <w:t xml:space="preserve">The Bulgarian recovery and resilience plan amounts to EUR </w:t>
      </w:r>
      <w:r w:rsidR="1997F2FC" w:rsidRPr="00E76013">
        <w:rPr>
          <w:rFonts w:ascii="Times New Roman" w:eastAsia="Times New Roman" w:hAnsi="Times New Roman" w:cs="Times New Roman"/>
          <w:b/>
          <w:bCs/>
          <w:noProof/>
          <w:sz w:val="24"/>
          <w:szCs w:val="24"/>
          <w:lang w:val="en-GB"/>
        </w:rPr>
        <w:t>6</w:t>
      </w:r>
      <w:r w:rsidR="00F93D12">
        <w:rPr>
          <w:rFonts w:ascii="Times New Roman" w:eastAsia="Times New Roman" w:hAnsi="Times New Roman" w:cs="Times New Roman"/>
          <w:b/>
          <w:bCs/>
          <w:noProof/>
          <w:sz w:val="24"/>
          <w:szCs w:val="24"/>
          <w:lang w:val="en-GB"/>
        </w:rPr>
        <w:t> 897.9</w:t>
      </w:r>
      <w:r w:rsidRPr="00E76013">
        <w:rPr>
          <w:rFonts w:ascii="Times New Roman" w:eastAsia="Times New Roman" w:hAnsi="Times New Roman" w:cs="Times New Roman"/>
          <w:b/>
          <w:noProof/>
          <w:sz w:val="24"/>
          <w:szCs w:val="24"/>
          <w:lang w:val="en-GB"/>
        </w:rPr>
        <w:t xml:space="preserve"> </w:t>
      </w:r>
      <w:r w:rsidR="49BC70A0" w:rsidRPr="00E76013">
        <w:rPr>
          <w:rFonts w:ascii="Times New Roman" w:eastAsia="Times New Roman" w:hAnsi="Times New Roman" w:cs="Times New Roman"/>
          <w:b/>
          <w:bCs/>
          <w:noProof/>
          <w:sz w:val="24"/>
          <w:szCs w:val="24"/>
          <w:lang w:val="en-GB"/>
        </w:rPr>
        <w:t>m</w:t>
      </w:r>
      <w:r w:rsidRPr="00E76013">
        <w:rPr>
          <w:rFonts w:ascii="Times New Roman" w:eastAsia="Times New Roman" w:hAnsi="Times New Roman" w:cs="Times New Roman"/>
          <w:b/>
          <w:bCs/>
          <w:noProof/>
          <w:sz w:val="24"/>
          <w:szCs w:val="24"/>
          <w:lang w:val="en-GB"/>
        </w:rPr>
        <w:t>illion</w:t>
      </w:r>
      <w:r w:rsidRPr="00E76013">
        <w:rPr>
          <w:rFonts w:ascii="Times New Roman" w:eastAsia="Times New Roman" w:hAnsi="Times New Roman" w:cs="Times New Roman"/>
          <w:b/>
          <w:noProof/>
          <w:sz w:val="24"/>
          <w:szCs w:val="24"/>
          <w:lang w:val="en-GB"/>
        </w:rPr>
        <w:t xml:space="preserve"> </w:t>
      </w:r>
      <w:r w:rsidR="00EE2D1A" w:rsidRPr="00EE2D1A">
        <w:rPr>
          <w:rFonts w:ascii="Times New Roman" w:eastAsia="Times New Roman" w:hAnsi="Times New Roman" w:cs="Times New Roman"/>
          <w:b/>
          <w:noProof/>
          <w:sz w:val="24"/>
          <w:szCs w:val="24"/>
          <w:lang w:val="en-GB"/>
        </w:rPr>
        <w:t>of estimated costs</w:t>
      </w:r>
      <w:r w:rsidR="00851B58" w:rsidRPr="00E76013">
        <w:rPr>
          <w:rFonts w:ascii="Times New Roman" w:eastAsia="Times New Roman" w:hAnsi="Times New Roman" w:cs="Times New Roman"/>
          <w:b/>
          <w:noProof/>
          <w:sz w:val="24"/>
          <w:szCs w:val="24"/>
          <w:lang w:val="en-GB"/>
        </w:rPr>
        <w:t>.</w:t>
      </w:r>
      <w:r w:rsidRPr="00E76013">
        <w:rPr>
          <w:rFonts w:ascii="Times New Roman" w:eastAsia="Times New Roman" w:hAnsi="Times New Roman" w:cs="Times New Roman"/>
          <w:b/>
          <w:noProof/>
          <w:sz w:val="24"/>
          <w:szCs w:val="24"/>
          <w:lang w:val="en-GB"/>
        </w:rPr>
        <w:t xml:space="preserve"> </w:t>
      </w:r>
      <w:r w:rsidR="00851B58" w:rsidRPr="00E76013">
        <w:rPr>
          <w:rFonts w:ascii="Times New Roman" w:eastAsia="Times New Roman" w:hAnsi="Times New Roman" w:cs="Times New Roman"/>
          <w:noProof/>
          <w:sz w:val="24"/>
          <w:szCs w:val="24"/>
          <w:lang w:val="en-GB"/>
        </w:rPr>
        <w:t>It</w:t>
      </w:r>
      <w:r w:rsidRPr="00E76013">
        <w:rPr>
          <w:rFonts w:ascii="Times New Roman" w:eastAsia="Times New Roman" w:hAnsi="Times New Roman" w:cs="Times New Roman"/>
          <w:noProof/>
          <w:sz w:val="24"/>
          <w:szCs w:val="24"/>
          <w:lang w:val="en-GB"/>
        </w:rPr>
        <w:t xml:space="preserve"> represents a comprehensive and fairly balanced package consisting of </w:t>
      </w:r>
      <w:r w:rsidR="00A70683">
        <w:rPr>
          <w:rFonts w:ascii="Times New Roman" w:eastAsia="Times New Roman" w:hAnsi="Times New Roman" w:cs="Times New Roman"/>
          <w:noProof/>
          <w:color w:val="000000" w:themeColor="text1"/>
          <w:sz w:val="24"/>
          <w:szCs w:val="24"/>
        </w:rPr>
        <w:t>103</w:t>
      </w:r>
      <w:r w:rsidRPr="00E76013">
        <w:rPr>
          <w:rFonts w:ascii="Times New Roman" w:eastAsia="Times New Roman" w:hAnsi="Times New Roman" w:cs="Times New Roman"/>
          <w:noProof/>
          <w:color w:val="000000" w:themeColor="text1"/>
          <w:sz w:val="24"/>
          <w:szCs w:val="24"/>
        </w:rPr>
        <w:t xml:space="preserve"> individual measures </w:t>
      </w:r>
      <w:r w:rsidR="00A70683" w:rsidRPr="00E76013">
        <w:rPr>
          <w:rFonts w:ascii="Times New Roman" w:eastAsia="Times New Roman" w:hAnsi="Times New Roman" w:cs="Times New Roman"/>
          <w:noProof/>
          <w:color w:val="000000" w:themeColor="text1"/>
          <w:sz w:val="24"/>
          <w:szCs w:val="24"/>
        </w:rPr>
        <w:t>(</w:t>
      </w:r>
      <w:r w:rsidR="00A70683">
        <w:rPr>
          <w:rFonts w:ascii="Times New Roman" w:eastAsia="Times New Roman" w:hAnsi="Times New Roman" w:cs="Times New Roman"/>
          <w:noProof/>
          <w:color w:val="000000" w:themeColor="text1"/>
          <w:sz w:val="24"/>
          <w:szCs w:val="24"/>
        </w:rPr>
        <w:t>47</w:t>
      </w:r>
      <w:r w:rsidRPr="00E76013">
        <w:rPr>
          <w:rFonts w:ascii="Times New Roman" w:eastAsia="Times New Roman" w:hAnsi="Times New Roman" w:cs="Times New Roman"/>
          <w:noProof/>
          <w:color w:val="000000" w:themeColor="text1"/>
          <w:sz w:val="24"/>
          <w:szCs w:val="24"/>
        </w:rPr>
        <w:t xml:space="preserve"> reforms and </w:t>
      </w:r>
      <w:r w:rsidR="00A70683">
        <w:rPr>
          <w:rFonts w:ascii="Times New Roman" w:eastAsia="Times New Roman" w:hAnsi="Times New Roman" w:cs="Times New Roman"/>
          <w:noProof/>
          <w:color w:val="000000" w:themeColor="text1"/>
          <w:sz w:val="24"/>
          <w:szCs w:val="24"/>
        </w:rPr>
        <w:t>56</w:t>
      </w:r>
      <w:r w:rsidRPr="00E76013">
        <w:rPr>
          <w:rFonts w:ascii="Times New Roman" w:eastAsia="Times New Roman" w:hAnsi="Times New Roman" w:cs="Times New Roman"/>
          <w:noProof/>
          <w:color w:val="000000" w:themeColor="text1"/>
          <w:sz w:val="24"/>
          <w:szCs w:val="24"/>
        </w:rPr>
        <w:t xml:space="preserve"> investme</w:t>
      </w:r>
      <w:r>
        <w:rPr>
          <w:rFonts w:ascii="Times New Roman" w:eastAsia="Times New Roman" w:hAnsi="Times New Roman" w:cs="Times New Roman"/>
          <w:noProof/>
          <w:color w:val="000000" w:themeColor="text1"/>
          <w:sz w:val="24"/>
          <w:szCs w:val="24"/>
        </w:rPr>
        <w:t>nts)</w:t>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color w:val="000000" w:themeColor="text1"/>
          <w:sz w:val="24"/>
          <w:szCs w:val="24"/>
          <w:lang w:val="en-GB"/>
        </w:rPr>
        <w:t xml:space="preserve">The </w:t>
      </w:r>
      <w:r w:rsidR="00894F60" w:rsidRPr="00E76013">
        <w:rPr>
          <w:rFonts w:ascii="Times New Roman" w:eastAsia="Times New Roman" w:hAnsi="Times New Roman" w:cs="Times New Roman"/>
          <w:noProof/>
          <w:color w:val="000000" w:themeColor="text1"/>
          <w:sz w:val="24"/>
          <w:szCs w:val="24"/>
          <w:lang w:val="en-GB"/>
        </w:rPr>
        <w:t>P</w:t>
      </w:r>
      <w:r w:rsidRPr="00E76013">
        <w:rPr>
          <w:rFonts w:ascii="Times New Roman" w:eastAsia="Times New Roman" w:hAnsi="Times New Roman" w:cs="Times New Roman"/>
          <w:noProof/>
          <w:color w:val="000000" w:themeColor="text1"/>
          <w:sz w:val="24"/>
          <w:szCs w:val="24"/>
          <w:lang w:val="en-GB"/>
        </w:rPr>
        <w:t xml:space="preserve">lan contributes to the general objective of the Facility to promote the Union’s economic, social and territorial cohesion by referring in a comprehensive manner to the six pillars structuring the scope of application of the Recovery and Resilience Facility (Article 3): (i) Green transition, (ii) Digital transformation, (iii) Smart, sustainable and inclusive growth, (iv) Social and territorial cohesion, (v) Health and economic, social and institutional resilience, and (vi) Policies for the next generation. Table 4.1 below summarises the coverage of each of the components in the </w:t>
      </w:r>
      <w:r w:rsidR="00D7040C" w:rsidRPr="00E76013">
        <w:rPr>
          <w:rFonts w:ascii="Times New Roman" w:eastAsia="Times New Roman" w:hAnsi="Times New Roman" w:cs="Times New Roman"/>
          <w:noProof/>
          <w:color w:val="000000" w:themeColor="text1"/>
          <w:sz w:val="24"/>
          <w:szCs w:val="24"/>
          <w:lang w:val="en-GB"/>
        </w:rPr>
        <w:t>Bulgarian</w:t>
      </w:r>
      <w:r w:rsidRPr="00E76013">
        <w:rPr>
          <w:rFonts w:ascii="Times New Roman" w:eastAsia="Times New Roman" w:hAnsi="Times New Roman" w:cs="Times New Roman"/>
          <w:noProof/>
          <w:color w:val="000000" w:themeColor="text1"/>
          <w:sz w:val="24"/>
          <w:szCs w:val="24"/>
          <w:lang w:val="en-GB"/>
        </w:rPr>
        <w:t xml:space="preserve"> </w:t>
      </w:r>
      <w:r w:rsidR="00AD6CB4" w:rsidRPr="00E76013">
        <w:rPr>
          <w:rFonts w:ascii="Times New Roman" w:eastAsia="Times New Roman" w:hAnsi="Times New Roman" w:cs="Times New Roman"/>
          <w:noProof/>
          <w:color w:val="000000" w:themeColor="text1"/>
          <w:sz w:val="24"/>
          <w:szCs w:val="24"/>
          <w:lang w:val="en-GB"/>
        </w:rPr>
        <w:t>P</w:t>
      </w:r>
      <w:r w:rsidRPr="00E76013">
        <w:rPr>
          <w:rFonts w:ascii="Times New Roman" w:eastAsia="Times New Roman" w:hAnsi="Times New Roman" w:cs="Times New Roman"/>
          <w:noProof/>
          <w:color w:val="000000" w:themeColor="text1"/>
          <w:sz w:val="24"/>
          <w:szCs w:val="24"/>
          <w:lang w:val="en-GB"/>
        </w:rPr>
        <w:t>lan to one or more of the six pillars.</w:t>
      </w:r>
      <w:r w:rsidR="004F2DAB">
        <w:rPr>
          <w:rFonts w:ascii="Times New Roman" w:eastAsia="Times New Roman" w:hAnsi="Times New Roman" w:cs="Times New Roman"/>
          <w:noProof/>
          <w:color w:val="000000" w:themeColor="text1"/>
          <w:sz w:val="24"/>
          <w:szCs w:val="24"/>
          <w:lang w:val="en-GB"/>
        </w:rPr>
        <w:t xml:space="preserve"> </w:t>
      </w:r>
    </w:p>
    <w:p w14:paraId="1CFB2825" w14:textId="01098C86" w:rsidR="368B4B11" w:rsidRDefault="368B4B11" w:rsidP="49E96737">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Overall, the </w:t>
      </w:r>
      <w:r w:rsidR="00AD6CB4" w:rsidRPr="00E76013">
        <w:rPr>
          <w:rFonts w:ascii="Times New Roman" w:eastAsia="Times New Roman" w:hAnsi="Times New Roman" w:cs="Times New Roman"/>
          <w:b/>
          <w:noProof/>
          <w:sz w:val="24"/>
          <w:szCs w:val="24"/>
          <w:lang w:val="en-GB"/>
        </w:rPr>
        <w:t>P</w:t>
      </w:r>
      <w:r w:rsidRPr="00E76013">
        <w:rPr>
          <w:rFonts w:ascii="Times New Roman" w:eastAsia="Times New Roman" w:hAnsi="Times New Roman" w:cs="Times New Roman"/>
          <w:b/>
          <w:noProof/>
          <w:sz w:val="24"/>
          <w:szCs w:val="24"/>
          <w:lang w:val="en-GB"/>
        </w:rPr>
        <w:t xml:space="preserve">lan includes an appropriate balance of reforms and investments addressing the six pillars, reflecting the overall financial allocation and the country's challenges. </w:t>
      </w:r>
      <w:r w:rsidRPr="00E76013">
        <w:rPr>
          <w:rFonts w:ascii="Times New Roman" w:eastAsia="Times New Roman" w:hAnsi="Times New Roman" w:cs="Times New Roman"/>
          <w:noProof/>
          <w:sz w:val="24"/>
          <w:szCs w:val="24"/>
          <w:lang w:val="en-GB"/>
        </w:rPr>
        <w:t xml:space="preserve">Allocations to the </w:t>
      </w:r>
      <w:r w:rsidR="111AD0A9" w:rsidRPr="00E76013">
        <w:rPr>
          <w:rFonts w:ascii="Times New Roman" w:eastAsia="Times New Roman" w:hAnsi="Times New Roman" w:cs="Times New Roman"/>
          <w:noProof/>
          <w:sz w:val="24"/>
          <w:szCs w:val="24"/>
          <w:lang w:val="en-GB"/>
        </w:rPr>
        <w:t>g</w:t>
      </w:r>
      <w:r w:rsidRPr="00E76013">
        <w:rPr>
          <w:rFonts w:ascii="Times New Roman" w:eastAsia="Times New Roman" w:hAnsi="Times New Roman" w:cs="Times New Roman"/>
          <w:noProof/>
          <w:sz w:val="24"/>
          <w:szCs w:val="24"/>
          <w:lang w:val="en-GB"/>
        </w:rPr>
        <w:t xml:space="preserve">reen and </w:t>
      </w:r>
      <w:r w:rsidR="111AD0A9" w:rsidRPr="00E76013">
        <w:rPr>
          <w:rFonts w:ascii="Times New Roman" w:eastAsia="Times New Roman" w:hAnsi="Times New Roman" w:cs="Times New Roman"/>
          <w:noProof/>
          <w:sz w:val="24"/>
          <w:szCs w:val="24"/>
          <w:lang w:val="en-GB"/>
        </w:rPr>
        <w:t>d</w:t>
      </w:r>
      <w:r w:rsidRPr="00E76013">
        <w:rPr>
          <w:rFonts w:ascii="Times New Roman" w:eastAsia="Times New Roman" w:hAnsi="Times New Roman" w:cs="Times New Roman"/>
          <w:noProof/>
          <w:sz w:val="24"/>
          <w:szCs w:val="24"/>
          <w:lang w:val="en-GB"/>
        </w:rPr>
        <w:t xml:space="preserve">igital transitions meet the requirements of the Recovery and Resilience Facility Regulation, and the </w:t>
      </w:r>
      <w:r w:rsidR="00AD6CB4"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contributes to these two pillars substantially. The health, economic, social and institutional resilience pillar benefits most prominently from different components; at the same time, a significant number of components also contribute to the </w:t>
      </w:r>
      <w:r w:rsidR="111AD0A9" w:rsidRPr="00E76013">
        <w:rPr>
          <w:rFonts w:ascii="Times New Roman" w:eastAsia="Times New Roman" w:hAnsi="Times New Roman" w:cs="Times New Roman"/>
          <w:noProof/>
          <w:sz w:val="24"/>
          <w:szCs w:val="24"/>
          <w:lang w:val="en-GB"/>
        </w:rPr>
        <w:t>g</w:t>
      </w:r>
      <w:r w:rsidRPr="00E76013">
        <w:rPr>
          <w:rFonts w:ascii="Times New Roman" w:eastAsia="Times New Roman" w:hAnsi="Times New Roman" w:cs="Times New Roman"/>
          <w:noProof/>
          <w:sz w:val="24"/>
          <w:szCs w:val="24"/>
          <w:lang w:val="en-GB"/>
        </w:rPr>
        <w:t xml:space="preserve">reen and </w:t>
      </w:r>
      <w:r w:rsidR="111AD0A9" w:rsidRPr="00E76013">
        <w:rPr>
          <w:rFonts w:ascii="Times New Roman" w:eastAsia="Times New Roman" w:hAnsi="Times New Roman" w:cs="Times New Roman"/>
          <w:noProof/>
          <w:sz w:val="24"/>
          <w:szCs w:val="24"/>
          <w:lang w:val="en-GB"/>
        </w:rPr>
        <w:t>d</w:t>
      </w:r>
      <w:r w:rsidRPr="00E76013">
        <w:rPr>
          <w:rFonts w:ascii="Times New Roman" w:eastAsia="Times New Roman" w:hAnsi="Times New Roman" w:cs="Times New Roman"/>
          <w:noProof/>
          <w:sz w:val="24"/>
          <w:szCs w:val="24"/>
          <w:lang w:val="en-GB"/>
        </w:rPr>
        <w:t xml:space="preserve">igital transitions, the </w:t>
      </w:r>
      <w:r w:rsidR="111AD0A9" w:rsidRPr="00E76013">
        <w:rPr>
          <w:rFonts w:ascii="Times New Roman" w:eastAsia="Times New Roman" w:hAnsi="Times New Roman" w:cs="Times New Roman"/>
          <w:noProof/>
          <w:sz w:val="24"/>
          <w:szCs w:val="24"/>
          <w:lang w:val="en-GB"/>
        </w:rPr>
        <w:t>s</w:t>
      </w:r>
      <w:r w:rsidRPr="00E76013">
        <w:rPr>
          <w:rFonts w:ascii="Times New Roman" w:eastAsia="Times New Roman" w:hAnsi="Times New Roman" w:cs="Times New Roman"/>
          <w:noProof/>
          <w:sz w:val="24"/>
          <w:szCs w:val="24"/>
          <w:lang w:val="en-GB"/>
        </w:rPr>
        <w:t xml:space="preserve">mart, sustainable and inclusive growth, and </w:t>
      </w:r>
      <w:r w:rsidR="008C72CC">
        <w:rPr>
          <w:rFonts w:ascii="Times New Roman" w:eastAsia="Times New Roman" w:hAnsi="Times New Roman" w:cs="Times New Roman"/>
          <w:noProof/>
          <w:sz w:val="24"/>
          <w:szCs w:val="24"/>
          <w:lang w:val="en-GB"/>
        </w:rPr>
        <w:t>s</w:t>
      </w:r>
      <w:r w:rsidR="008C72CC" w:rsidRPr="00E76013">
        <w:rPr>
          <w:rFonts w:ascii="Times New Roman" w:eastAsia="Times New Roman" w:hAnsi="Times New Roman" w:cs="Times New Roman"/>
          <w:noProof/>
          <w:sz w:val="24"/>
          <w:szCs w:val="24"/>
          <w:lang w:val="en-GB"/>
        </w:rPr>
        <w:t xml:space="preserve">ocial </w:t>
      </w:r>
      <w:r w:rsidRPr="00E76013">
        <w:rPr>
          <w:rFonts w:ascii="Times New Roman" w:eastAsia="Times New Roman" w:hAnsi="Times New Roman" w:cs="Times New Roman"/>
          <w:noProof/>
          <w:sz w:val="24"/>
          <w:szCs w:val="24"/>
          <w:lang w:val="en-GB"/>
        </w:rPr>
        <w:t xml:space="preserve">and territorial cohesion pillars. Finally, the two components for education, and research and innovation provide an important contribution to the pillar on </w:t>
      </w:r>
      <w:r w:rsidR="008C72CC">
        <w:rPr>
          <w:rFonts w:ascii="Times New Roman" w:eastAsia="Times New Roman" w:hAnsi="Times New Roman" w:cs="Times New Roman"/>
          <w:noProof/>
          <w:sz w:val="24"/>
          <w:szCs w:val="24"/>
          <w:lang w:val="en-GB"/>
        </w:rPr>
        <w:t>p</w:t>
      </w:r>
      <w:r w:rsidR="008C72CC" w:rsidRPr="00E76013">
        <w:rPr>
          <w:rFonts w:ascii="Times New Roman" w:eastAsia="Times New Roman" w:hAnsi="Times New Roman" w:cs="Times New Roman"/>
          <w:noProof/>
          <w:sz w:val="24"/>
          <w:szCs w:val="24"/>
          <w:lang w:val="en-GB"/>
        </w:rPr>
        <w:t xml:space="preserve">olicies </w:t>
      </w:r>
      <w:r w:rsidRPr="00E76013">
        <w:rPr>
          <w:rFonts w:ascii="Times New Roman" w:eastAsia="Times New Roman" w:hAnsi="Times New Roman" w:cs="Times New Roman"/>
          <w:noProof/>
          <w:sz w:val="24"/>
          <w:szCs w:val="24"/>
          <w:lang w:val="en-GB"/>
        </w:rPr>
        <w:t>for the next generation.</w:t>
      </w:r>
    </w:p>
    <w:p w14:paraId="56444284" w14:textId="65BDC991" w:rsidR="678C5672" w:rsidRPr="00E76013" w:rsidRDefault="00E20589" w:rsidP="00E20589">
      <w:pPr>
        <w:pStyle w:val="Caption"/>
        <w:rPr>
          <w:rFonts w:ascii="Times New Roman" w:eastAsia="Times New Roman" w:hAnsi="Times New Roman" w:cs="Times New Roman"/>
          <w:b/>
          <w:i w:val="0"/>
          <w:noProof/>
          <w:color w:val="auto"/>
          <w:sz w:val="32"/>
          <w:szCs w:val="24"/>
          <w:lang w:val="en-GB"/>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00C84127" w:rsidRPr="00E76013">
        <w:rPr>
          <w:rFonts w:ascii="Times New Roman" w:hAnsi="Times New Roman" w:cs="Times New Roman"/>
          <w:b/>
          <w:i w:val="0"/>
          <w:noProof/>
          <w:color w:val="auto"/>
          <w:sz w:val="22"/>
        </w:rPr>
        <w:t>5</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Coverage of the six pillars of the Facility by the MS RRP components</w:t>
      </w:r>
    </w:p>
    <w:tbl>
      <w:tblPr>
        <w:tblW w:w="9466" w:type="dxa"/>
        <w:tblLayout w:type="fixed"/>
        <w:tblLook w:val="04A0" w:firstRow="1" w:lastRow="0" w:firstColumn="1" w:lastColumn="0" w:noHBand="0" w:noVBand="1"/>
      </w:tblPr>
      <w:tblGrid>
        <w:gridCol w:w="2450"/>
        <w:gridCol w:w="984"/>
        <w:gridCol w:w="1390"/>
        <w:gridCol w:w="1287"/>
        <w:gridCol w:w="1164"/>
        <w:gridCol w:w="1149"/>
        <w:gridCol w:w="1042"/>
      </w:tblGrid>
      <w:tr w:rsidR="14500D06" w:rsidRPr="00C57EEA" w14:paraId="56FEF0DF" w14:textId="77777777" w:rsidTr="009104B7">
        <w:trPr>
          <w:trHeight w:val="975"/>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97B59A" w14:textId="1516CAE5" w:rsidR="14500D06" w:rsidRPr="00C57EEA" w:rsidRDefault="14500D06" w:rsidP="14500D06">
            <w:pPr>
              <w:jc w:val="center"/>
              <w:rPr>
                <w:rFonts w:ascii="Times New Roman" w:eastAsia="Calibri" w:hAnsi="Times New Roman" w:cs="Times New Roman"/>
                <w:b/>
                <w:bCs/>
                <w:noProof/>
                <w:sz w:val="20"/>
                <w:szCs w:val="20"/>
              </w:rPr>
            </w:pP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381BD2A" w14:textId="777BA7AB"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Green transition </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8B9CDA3" w14:textId="385F0F3E"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Digital transformation </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9B0467" w14:textId="2A71BC97"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Smart, sustainable &amp; inclusive growth </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BF31728" w14:textId="61382591"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Social and territorial cohesion </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5096BF" w14:textId="4F50F72D"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Health, and economic, social and institutional resilience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B2F9E79" w14:textId="114A4548" w:rsidR="14500D06" w:rsidRPr="009104B7" w:rsidRDefault="14500D06" w:rsidP="14500D06">
            <w:pPr>
              <w:jc w:val="center"/>
              <w:rPr>
                <w:rFonts w:ascii="Times New Roman" w:hAnsi="Times New Roman" w:cs="Times New Roman"/>
                <w:noProof/>
                <w:sz w:val="18"/>
                <w:szCs w:val="18"/>
              </w:rPr>
            </w:pPr>
            <w:r w:rsidRPr="009104B7">
              <w:rPr>
                <w:rFonts w:ascii="Times New Roman" w:eastAsia="Calibri" w:hAnsi="Times New Roman" w:cs="Times New Roman"/>
                <w:b/>
                <w:bCs/>
                <w:noProof/>
                <w:sz w:val="18"/>
                <w:szCs w:val="18"/>
              </w:rPr>
              <w:t xml:space="preserve">Policies for the next generation </w:t>
            </w:r>
          </w:p>
        </w:tc>
      </w:tr>
      <w:tr w:rsidR="14500D06" w:rsidRPr="00C57EEA" w14:paraId="5CD93730" w14:textId="77777777" w:rsidTr="009104B7">
        <w:trPr>
          <w:trHeight w:val="594"/>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7A78164" w14:textId="5DD2BCE9"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1: Education and skills</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304D53A" w14:textId="3174CAAD" w:rsidR="43343315" w:rsidRPr="00C57EEA" w:rsidRDefault="43343315" w:rsidP="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5EC5CC7" w14:textId="77FE38BE" w:rsidR="14500D06" w:rsidRPr="00C57EEA" w:rsidRDefault="19EE0BCF"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1BD21B0" w14:textId="6AE8D45E" w:rsidR="14500D06" w:rsidRPr="00C57EEA" w:rsidRDefault="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D695B86" w14:textId="30708B16" w:rsidR="14500D06" w:rsidRPr="00C57EEA" w:rsidRDefault="6009DB1A"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DDF8954" w14:textId="2A81066C" w:rsidR="14500D06" w:rsidRPr="00C57EEA" w:rsidRDefault="004F2DAB" w:rsidP="14500D06">
            <w:pP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808EB05" w14:textId="06772925" w:rsidR="14500D06" w:rsidRPr="00C57EEA" w:rsidRDefault="67D0E435"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r>
      <w:tr w:rsidR="14500D06" w:rsidRPr="00C57EEA" w14:paraId="6909C6C6"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A63BB3" w14:textId="7A98919C"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2: Research and innovation</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DF1CB6" w14:textId="781FD46F" w:rsidR="3527FD9E" w:rsidRPr="00C57EEA" w:rsidRDefault="3527FD9E"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A7C891" w14:textId="68CAEFEA" w:rsidR="14500D06" w:rsidRPr="00C57EEA" w:rsidRDefault="3527FD9E" w:rsidP="00C57EEA">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2C863C" w14:textId="013444F8" w:rsidR="14500D06" w:rsidRPr="00C57EEA" w:rsidRDefault="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8A8DF1" w14:textId="212F778B" w:rsidR="14500D06" w:rsidRPr="00C57EEA" w:rsidRDefault="14500D0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01A3A15" w14:textId="5B2FADCB" w:rsidR="14500D06" w:rsidRPr="00C57EEA" w:rsidRDefault="004F2DAB" w:rsidP="14500D06">
            <w:pP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A69B71" w14:textId="1D074AC3" w:rsidR="14500D06" w:rsidRPr="00C57EEA" w:rsidRDefault="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 xml:space="preserve"> </w:t>
            </w:r>
          </w:p>
        </w:tc>
      </w:tr>
      <w:tr w:rsidR="14500D06" w:rsidRPr="00C57EEA" w14:paraId="247AED24" w14:textId="77777777" w:rsidTr="009104B7">
        <w:trPr>
          <w:trHeight w:val="231"/>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2F02FD1" w14:textId="4DBED5C8"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3: Smart industry</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E6AA3A9" w14:textId="545ADD36" w:rsidR="14500D06" w:rsidRPr="00C57EEA" w:rsidRDefault="611D51C5"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D69C293" w14:textId="0C302A85" w:rsidR="14500D06" w:rsidRPr="00C57EEA" w:rsidRDefault="611D51C5"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D72CAF6" w14:textId="01DCB8C4" w:rsidR="37A724C7" w:rsidRPr="00C57EEA" w:rsidRDefault="37A724C7"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C806AF5" w14:textId="1C37823C" w:rsidR="14500D06" w:rsidRPr="00C57EEA" w:rsidRDefault="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86095E3" w14:textId="139D5CDD" w:rsidR="14500D06" w:rsidRPr="00C57EEA" w:rsidRDefault="14500D0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35026F4" w14:textId="5D854B7D" w:rsidR="14500D06" w:rsidRPr="00C57EEA" w:rsidRDefault="14500D0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p>
        </w:tc>
      </w:tr>
      <w:tr w:rsidR="14500D06" w:rsidRPr="00C57EEA" w14:paraId="029767A0"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EC4BA6" w14:textId="44CC5236"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4: Low-carbon economy</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279A5F" w14:textId="101AAE6E" w:rsidR="14500D06" w:rsidRPr="00C57EEA" w:rsidRDefault="725880D7" w:rsidP="00C57EEA">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B0FA9D" w14:textId="7B7F625B" w:rsidR="2B9C68F3" w:rsidRPr="00C57EEA" w:rsidRDefault="2B9C68F3"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291D86" w14:textId="3152F521" w:rsidR="14500D06" w:rsidRPr="00C57EEA" w:rsidRDefault="14500D0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r w:rsidR="00D45F51"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B5EEB4" w14:textId="0A6FA58D" w:rsidR="14500D06" w:rsidRPr="00C57EEA" w:rsidRDefault="14500D06" w:rsidP="14500D06">
            <w:pPr>
              <w:rPr>
                <w:rFonts w:ascii="Times New Roman" w:eastAsia="Calibri" w:hAnsi="Times New Roman" w:cs="Times New Roman"/>
                <w:noProof/>
                <w:sz w:val="20"/>
                <w:szCs w:val="20"/>
              </w:rPr>
            </w:pP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636287" w14:textId="734D80F0" w:rsidR="14500D06" w:rsidRPr="00C57EEA" w:rsidRDefault="00643E6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93E5B6" w14:textId="686AFFEC" w:rsidR="14500D06" w:rsidRPr="00C57EEA" w:rsidRDefault="14500D06" w:rsidP="14500D06">
            <w:pPr>
              <w:rPr>
                <w:rFonts w:ascii="Times New Roman" w:eastAsia="Calibri" w:hAnsi="Times New Roman" w:cs="Times New Roman"/>
                <w:noProof/>
                <w:sz w:val="20"/>
                <w:szCs w:val="20"/>
              </w:rPr>
            </w:pPr>
          </w:p>
        </w:tc>
      </w:tr>
      <w:tr w:rsidR="14500D06" w:rsidRPr="00C57EEA" w14:paraId="1D836B77"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DEFDB50" w14:textId="157DB552"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5: Biodiversity</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4CDD66B" w14:textId="16114F77" w:rsidR="14500D06" w:rsidRPr="00C57EEA" w:rsidRDefault="4FE8A2FE"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8C03264" w14:textId="65BCCF28" w:rsidR="14500D06" w:rsidRPr="00C57EEA" w:rsidRDefault="14500D06" w:rsidP="14500D06">
            <w:pPr>
              <w:rPr>
                <w:rFonts w:ascii="Times New Roman" w:eastAsia="Calibri" w:hAnsi="Times New Roman" w:cs="Times New Roman"/>
                <w:noProof/>
                <w:sz w:val="20"/>
                <w:szCs w:val="20"/>
              </w:rPr>
            </w:pP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CE5DD69" w14:textId="3AE826D8" w:rsidR="14500D06" w:rsidRPr="00C57EEA" w:rsidRDefault="14500D06" w:rsidP="14500D06">
            <w:pPr>
              <w:rPr>
                <w:rFonts w:ascii="Times New Roman" w:eastAsia="Calibri" w:hAnsi="Times New Roman" w:cs="Times New Roman"/>
                <w:noProof/>
                <w:sz w:val="20"/>
                <w:szCs w:val="20"/>
              </w:rPr>
            </w:pP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2E30FD0" w14:textId="25330582" w:rsidR="14500D06" w:rsidRPr="00C57EEA" w:rsidRDefault="14500D06" w:rsidP="14500D06">
            <w:pPr>
              <w:rPr>
                <w:rFonts w:ascii="Times New Roman" w:eastAsia="Calibri" w:hAnsi="Times New Roman" w:cs="Times New Roman"/>
                <w:noProof/>
                <w:sz w:val="20"/>
                <w:szCs w:val="20"/>
              </w:rPr>
            </w:pP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0D77B86" w14:textId="774580E7" w:rsidR="14500D06" w:rsidRPr="00C57EEA" w:rsidRDefault="14500D06" w:rsidP="14500D06">
            <w:pPr>
              <w:rPr>
                <w:rFonts w:ascii="Times New Roman" w:eastAsia="Calibri" w:hAnsi="Times New Roman" w:cs="Times New Roman"/>
                <w:noProof/>
                <w:sz w:val="20"/>
                <w:szCs w:val="20"/>
              </w:rPr>
            </w:pP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3E38100" w14:textId="32CC3136" w:rsidR="14500D06" w:rsidRPr="00C57EEA" w:rsidRDefault="14500D06" w:rsidP="14500D06">
            <w:pPr>
              <w:rPr>
                <w:rFonts w:ascii="Times New Roman" w:eastAsia="Calibri" w:hAnsi="Times New Roman" w:cs="Times New Roman"/>
                <w:noProof/>
                <w:sz w:val="20"/>
                <w:szCs w:val="20"/>
              </w:rPr>
            </w:pPr>
          </w:p>
        </w:tc>
      </w:tr>
      <w:tr w:rsidR="14500D06" w:rsidRPr="00C57EEA" w14:paraId="2FF08F62"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5A3561" w14:textId="32ED225A"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6: Sustainable agriculture</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D1918E" w14:textId="39CF7876" w:rsidR="14500D06" w:rsidRPr="00C57EEA" w:rsidRDefault="204AB030"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FB2B39" w14:textId="23EA4DA3" w:rsidR="51FCE64A" w:rsidRPr="00C57EEA" w:rsidRDefault="51FCE64A"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D72953" w14:textId="1F961DDD" w:rsidR="14500D06" w:rsidRPr="00C57EEA" w:rsidRDefault="14500D06" w:rsidP="14500D06">
            <w:pPr>
              <w:rPr>
                <w:rFonts w:ascii="Times New Roman" w:eastAsia="Calibri" w:hAnsi="Times New Roman" w:cs="Times New Roman"/>
                <w:noProof/>
                <w:sz w:val="20"/>
                <w:szCs w:val="20"/>
              </w:rPr>
            </w:pP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5BFC36" w14:textId="6102602D" w:rsidR="14500D06" w:rsidRPr="00C57EEA" w:rsidRDefault="14500D06" w:rsidP="14500D06">
            <w:pPr>
              <w:rPr>
                <w:rFonts w:ascii="Times New Roman" w:eastAsia="Calibri" w:hAnsi="Times New Roman" w:cs="Times New Roman"/>
                <w:noProof/>
                <w:sz w:val="20"/>
                <w:szCs w:val="20"/>
              </w:rPr>
            </w:pP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A299E4" w14:textId="799BC8D8" w:rsidR="14500D06" w:rsidRPr="00C57EEA" w:rsidRDefault="14500D06" w:rsidP="14500D06">
            <w:pPr>
              <w:rPr>
                <w:rFonts w:ascii="Times New Roman" w:eastAsia="Calibri" w:hAnsi="Times New Roman" w:cs="Times New Roman"/>
                <w:noProof/>
                <w:sz w:val="20"/>
                <w:szCs w:val="20"/>
              </w:rPr>
            </w:pP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914D2A" w14:textId="07B75F7B" w:rsidR="14500D06" w:rsidRPr="00C57EEA" w:rsidRDefault="14500D06" w:rsidP="14500D06">
            <w:pPr>
              <w:rPr>
                <w:rFonts w:ascii="Times New Roman" w:eastAsia="Calibri" w:hAnsi="Times New Roman" w:cs="Times New Roman"/>
                <w:noProof/>
                <w:sz w:val="20"/>
                <w:szCs w:val="20"/>
              </w:rPr>
            </w:pPr>
          </w:p>
        </w:tc>
      </w:tr>
      <w:tr w:rsidR="14500D06" w:rsidRPr="00C57EEA" w14:paraId="28E77B35"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52828DA" w14:textId="131B75C3"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7: Digital connectivity</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5D0033C" w14:textId="18F3F26C" w:rsidR="14500D06" w:rsidRPr="00C57EEA" w:rsidRDefault="14500D06" w:rsidP="14500D06">
            <w:pPr>
              <w:rPr>
                <w:rFonts w:ascii="Times New Roman" w:eastAsia="Calibri" w:hAnsi="Times New Roman" w:cs="Times New Roman"/>
                <w:noProof/>
                <w:sz w:val="20"/>
                <w:szCs w:val="20"/>
              </w:rPr>
            </w:pP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413525E" w14:textId="2B077140" w:rsidR="308782FE" w:rsidRPr="00C57EEA" w:rsidRDefault="308782FE"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9A87AF5" w14:textId="73BC38E9" w:rsidR="1737D632" w:rsidRPr="00C57EEA" w:rsidRDefault="1737D632"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1725491" w14:textId="346BE617" w:rsidR="1737D632" w:rsidRPr="00C57EEA" w:rsidRDefault="1737D632"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A7074F4" w14:textId="1F8C7B94" w:rsidR="14500D06" w:rsidRPr="00C57EEA" w:rsidRDefault="00643E6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5B516E4" w14:textId="71148AEE" w:rsidR="14500D06" w:rsidRPr="00C57EEA" w:rsidRDefault="14500D06" w:rsidP="14500D06">
            <w:pPr>
              <w:rPr>
                <w:rFonts w:ascii="Times New Roman" w:eastAsia="Calibri" w:hAnsi="Times New Roman" w:cs="Times New Roman"/>
                <w:noProof/>
                <w:sz w:val="20"/>
                <w:szCs w:val="20"/>
              </w:rPr>
            </w:pPr>
          </w:p>
        </w:tc>
      </w:tr>
      <w:tr w:rsidR="14500D06" w:rsidRPr="00C57EEA" w14:paraId="705167EE"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F0D54B" w14:textId="411E6E0B" w:rsidR="14500D06" w:rsidRPr="00C57EEA" w:rsidRDefault="18E3C09E">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8: Sustainable transport</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E3945D" w14:textId="6DF03D79" w:rsidR="14500D06" w:rsidRPr="00C57EEA" w:rsidRDefault="2FBC28F6"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E36361" w14:textId="52B239BD" w:rsidR="6A155EF8" w:rsidRPr="00C57EEA" w:rsidRDefault="6A155EF8" w:rsidP="14500D06">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EB2113" w14:textId="06F49DFE" w:rsidR="5D380390" w:rsidRPr="00C57EEA" w:rsidRDefault="5D380390"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3EF794" w14:textId="6D4FE3FF" w:rsidR="14500D06" w:rsidRPr="00C57EEA" w:rsidRDefault="2E13717A"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3EB132" w14:textId="55DA5694" w:rsidR="14500D06" w:rsidRPr="00C57EEA" w:rsidRDefault="14500D06" w:rsidP="14500D06">
            <w:pPr>
              <w:rPr>
                <w:rFonts w:ascii="Times New Roman" w:eastAsia="Calibri" w:hAnsi="Times New Roman" w:cs="Times New Roman"/>
                <w:noProof/>
                <w:sz w:val="20"/>
                <w:szCs w:val="20"/>
              </w:rPr>
            </w:pP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4FB42B" w14:textId="445D6F86" w:rsidR="14500D06" w:rsidRPr="00C57EEA" w:rsidRDefault="14500D06" w:rsidP="14500D06">
            <w:pPr>
              <w:rPr>
                <w:rFonts w:ascii="Times New Roman" w:eastAsia="Calibri" w:hAnsi="Times New Roman" w:cs="Times New Roman"/>
                <w:noProof/>
                <w:sz w:val="20"/>
                <w:szCs w:val="20"/>
              </w:rPr>
            </w:pPr>
          </w:p>
        </w:tc>
      </w:tr>
      <w:tr w:rsidR="14500D06" w:rsidRPr="00C57EEA" w14:paraId="68C5AD61"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605AB0" w14:textId="2FF0FE35"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9: Local development</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25F703C" w14:textId="6660A0E5" w:rsidR="14500D06" w:rsidRPr="00C57EEA" w:rsidRDefault="00265E5B"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48E9B4D" w14:textId="0F4BD23C" w:rsidR="352F2DFC" w:rsidRPr="00C57EEA" w:rsidRDefault="352F2DFC"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918A009" w14:textId="33A0FBC0" w:rsidR="14500D06" w:rsidRPr="00C57EEA" w:rsidRDefault="14500D06"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FBA80A7" w14:textId="6742E054" w:rsidR="14500D06" w:rsidRPr="00C57EEA" w:rsidRDefault="14500D06"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 xml:space="preserve"> </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30B642D" w14:textId="6309F302" w:rsidR="14500D06" w:rsidRPr="00C57EEA" w:rsidRDefault="14500D06" w:rsidP="14500D06">
            <w:pPr>
              <w:rPr>
                <w:rFonts w:ascii="Times New Roman" w:eastAsia="Calibri" w:hAnsi="Times New Roman" w:cs="Times New Roman"/>
                <w:noProof/>
                <w:sz w:val="20"/>
                <w:szCs w:val="20"/>
              </w:rPr>
            </w:pP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0594BF7" w14:textId="3A4F4275" w:rsidR="14500D06" w:rsidRPr="00C57EEA" w:rsidRDefault="14500D06" w:rsidP="14500D06">
            <w:pPr>
              <w:rPr>
                <w:rFonts w:ascii="Times New Roman" w:eastAsia="Calibri" w:hAnsi="Times New Roman" w:cs="Times New Roman"/>
                <w:noProof/>
                <w:sz w:val="20"/>
                <w:szCs w:val="20"/>
              </w:rPr>
            </w:pPr>
          </w:p>
        </w:tc>
      </w:tr>
      <w:tr w:rsidR="14500D06" w:rsidRPr="00C57EEA" w14:paraId="0575493C"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8CB10D" w14:textId="2E132EED"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10: Business environment</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A7AE1C" w14:textId="691620B0" w:rsidR="14500D06" w:rsidRPr="00C57EEA" w:rsidRDefault="14500D06" w:rsidP="00364198">
            <w:pPr>
              <w:rPr>
                <w:rFonts w:ascii="Times New Roman" w:eastAsia="Calibri" w:hAnsi="Times New Roman" w:cs="Times New Roman"/>
                <w:noProof/>
                <w:sz w:val="20"/>
                <w:szCs w:val="20"/>
              </w:rPr>
            </w:pP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865711" w14:textId="240959D5" w:rsidR="13FD6E73" w:rsidRPr="00C57EEA" w:rsidRDefault="00A21817"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E1FCBD" w14:textId="5776D72F" w:rsidR="14500D06" w:rsidRPr="00C57EEA" w:rsidRDefault="00F6441B"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E61095" w14:textId="2CDFDB92" w:rsidR="14500D06" w:rsidRPr="00C57EEA" w:rsidRDefault="008C72CC"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3D619D5" w14:textId="5281A491" w:rsidR="14500D06" w:rsidRPr="00C57EEA" w:rsidRDefault="37312BBF" w:rsidP="00C57EEA">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310E4B" w14:textId="143A01D3" w:rsidR="14500D06" w:rsidRPr="00C57EEA" w:rsidRDefault="14500D06" w:rsidP="14500D06">
            <w:pPr>
              <w:rPr>
                <w:rFonts w:ascii="Times New Roman" w:eastAsia="Calibri" w:hAnsi="Times New Roman" w:cs="Times New Roman"/>
                <w:noProof/>
                <w:sz w:val="20"/>
                <w:szCs w:val="20"/>
              </w:rPr>
            </w:pPr>
          </w:p>
        </w:tc>
      </w:tr>
      <w:tr w:rsidR="14500D06" w:rsidRPr="00C57EEA" w14:paraId="71D80938"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63C54DB" w14:textId="422E1F81"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11: Social inclusion</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57C805E" w14:textId="5B253A59" w:rsidR="14500D06" w:rsidRPr="00C57EEA" w:rsidRDefault="14500D06" w:rsidP="00364198">
            <w:pPr>
              <w:rPr>
                <w:rFonts w:ascii="Times New Roman" w:eastAsia="Calibri" w:hAnsi="Times New Roman" w:cs="Times New Roman"/>
                <w:noProof/>
                <w:sz w:val="20"/>
                <w:szCs w:val="20"/>
              </w:rPr>
            </w:pP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1CFBDC7" w14:textId="4F635553" w:rsidR="4F7624FF" w:rsidRPr="00C57EEA" w:rsidRDefault="4F7624FF"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A86C708" w14:textId="2B35F166" w:rsidR="14500D06" w:rsidRPr="00C57EEA" w:rsidRDefault="295EBC99"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D8D92E4" w14:textId="05AFF79D" w:rsidR="14500D06" w:rsidRPr="00C57EEA" w:rsidRDefault="3560A1FE"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D8F8D7E" w14:textId="62A7C82F" w:rsidR="14500D06" w:rsidRPr="00C57EEA" w:rsidRDefault="73BEC094" w:rsidP="00C57EEA">
            <w:pPr>
              <w:rPr>
                <w:rFonts w:ascii="Times New Roman" w:hAnsi="Times New Roman" w:cs="Times New Roman"/>
                <w:noProof/>
                <w:sz w:val="20"/>
                <w:szCs w:val="20"/>
              </w:rPr>
            </w:pPr>
            <w:r w:rsidRPr="00C57EEA">
              <w:rPr>
                <w:rFonts w:ascii="Times New Roman" w:eastAsia="Calibri" w:hAnsi="Times New Roman" w:cs="Times New Roman"/>
                <w:noProof/>
                <w:sz w:val="20"/>
                <w:szCs w:val="20"/>
              </w:rPr>
              <w:t>○</w:t>
            </w:r>
            <w:r w:rsidR="14500D06" w:rsidRPr="00C57EEA">
              <w:rPr>
                <w:rFonts w:ascii="Times New Roman" w:eastAsia="Calibri" w:hAnsi="Times New Roman" w:cs="Times New Roman"/>
                <w:noProof/>
                <w:sz w:val="20"/>
                <w:szCs w:val="20"/>
              </w:rPr>
              <w:t xml:space="preserve"> </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DAC74A2" w14:textId="57DD5A6F" w:rsidR="14500D06" w:rsidRPr="00C57EEA" w:rsidRDefault="14500D06" w:rsidP="14500D06">
            <w:pPr>
              <w:rPr>
                <w:rFonts w:ascii="Times New Roman" w:eastAsia="Calibri" w:hAnsi="Times New Roman" w:cs="Times New Roman"/>
                <w:noProof/>
                <w:sz w:val="20"/>
                <w:szCs w:val="20"/>
              </w:rPr>
            </w:pPr>
          </w:p>
        </w:tc>
      </w:tr>
      <w:tr w:rsidR="14500D06" w:rsidRPr="00C57EEA" w14:paraId="57603D47" w14:textId="77777777" w:rsidTr="009104B7">
        <w:trPr>
          <w:trHeight w:val="30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3A2164" w14:textId="7085DFB1" w:rsidR="14500D06" w:rsidRPr="00C57EEA" w:rsidRDefault="14500D06">
            <w:pPr>
              <w:rPr>
                <w:rFonts w:ascii="Times New Roman" w:hAnsi="Times New Roman" w:cs="Times New Roman"/>
                <w:noProof/>
                <w:sz w:val="20"/>
                <w:szCs w:val="20"/>
              </w:rPr>
            </w:pPr>
            <w:r w:rsidRPr="00C57EEA">
              <w:rPr>
                <w:rFonts w:ascii="Times New Roman" w:eastAsia="EC Square Sans Pro" w:hAnsi="Times New Roman" w:cs="Times New Roman"/>
                <w:noProof/>
                <w:sz w:val="20"/>
                <w:szCs w:val="20"/>
              </w:rPr>
              <w:t>Component 12: Healthcare.</w:t>
            </w:r>
          </w:p>
        </w:tc>
        <w:tc>
          <w:tcPr>
            <w:tcW w:w="96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EBF2E2" w14:textId="236C7823" w:rsidR="14500D06" w:rsidRPr="00C57EEA" w:rsidRDefault="14500D06" w:rsidP="14500D06">
            <w:pPr>
              <w:rPr>
                <w:rFonts w:ascii="Times New Roman" w:eastAsia="Calibri" w:hAnsi="Times New Roman" w:cs="Times New Roman"/>
                <w:noProof/>
                <w:sz w:val="20"/>
                <w:szCs w:val="20"/>
              </w:rPr>
            </w:pPr>
          </w:p>
        </w:tc>
        <w:tc>
          <w:tcPr>
            <w:tcW w:w="136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28D07D" w14:textId="5F88CAA3" w:rsidR="441F43EB" w:rsidRPr="00C57EEA" w:rsidRDefault="441F43EB" w:rsidP="14500D06">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0D553DB" w14:textId="669DA3CA" w:rsidR="14500D06" w:rsidRPr="00C57EEA" w:rsidRDefault="14500D06" w:rsidP="14500D06">
            <w:pPr>
              <w:rPr>
                <w:rFonts w:ascii="Times New Roman" w:eastAsia="Calibri" w:hAnsi="Times New Roman" w:cs="Times New Roman"/>
                <w:noProof/>
                <w:sz w:val="20"/>
                <w:szCs w:val="20"/>
              </w:rPr>
            </w:pPr>
          </w:p>
        </w:tc>
        <w:tc>
          <w:tcPr>
            <w:tcW w:w="11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615BAF" w14:textId="584BE770" w:rsidR="14500D06" w:rsidRPr="00C57EEA" w:rsidRDefault="441F43EB"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E1893F" w14:textId="612FF50D" w:rsidR="14500D06" w:rsidRPr="00C57EEA" w:rsidRDefault="62358A6F" w:rsidP="00C57EEA">
            <w:pPr>
              <w:rPr>
                <w:rFonts w:ascii="Times New Roman" w:eastAsia="Calibri" w:hAnsi="Times New Roman" w:cs="Times New Roman"/>
                <w:noProof/>
                <w:sz w:val="20"/>
                <w:szCs w:val="20"/>
              </w:rPr>
            </w:pPr>
            <w:r w:rsidRPr="00C57EEA">
              <w:rPr>
                <w:rFonts w:ascii="Times New Roman" w:eastAsia="Calibri" w:hAnsi="Times New Roman" w:cs="Times New Roman"/>
                <w:noProof/>
                <w:sz w:val="20"/>
                <w:szCs w:val="20"/>
              </w:rPr>
              <w:t>●</w:t>
            </w:r>
          </w:p>
        </w:tc>
        <w:tc>
          <w:tcPr>
            <w:tcW w:w="10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A836F3" w14:textId="512A881E" w:rsidR="14500D06" w:rsidRPr="00C57EEA" w:rsidRDefault="14500D06" w:rsidP="14500D06">
            <w:pPr>
              <w:rPr>
                <w:rFonts w:ascii="Times New Roman" w:eastAsia="Calibri" w:hAnsi="Times New Roman" w:cs="Times New Roman"/>
                <w:noProof/>
                <w:sz w:val="20"/>
                <w:szCs w:val="20"/>
              </w:rPr>
            </w:pPr>
          </w:p>
        </w:tc>
      </w:tr>
    </w:tbl>
    <w:p w14:paraId="01FF66CE" w14:textId="42EB1B36" w:rsidR="00577AC3" w:rsidRDefault="0089589C" w:rsidP="00364198">
      <w:pPr>
        <w:spacing w:line="276" w:lineRule="auto"/>
        <w:jc w:val="both"/>
        <w:rPr>
          <w:rFonts w:ascii="Times New Roman" w:hAnsi="Times New Roman" w:cs="Times New Roman"/>
          <w:noProof/>
          <w:sz w:val="20"/>
          <w:szCs w:val="20"/>
        </w:rPr>
      </w:pPr>
      <w:r w:rsidRPr="00C57EEA">
        <w:rPr>
          <w:rFonts w:ascii="Times New Roman" w:hAnsi="Times New Roman" w:cs="Times New Roman"/>
          <w:noProof/>
          <w:sz w:val="20"/>
          <w:szCs w:val="20"/>
        </w:rPr>
        <w:t>Key: “●” investments and reforms of the component significantly contribute to the pillar; “○” the component partially contributes to the pillar</w:t>
      </w:r>
    </w:p>
    <w:p w14:paraId="2536EF63" w14:textId="40FCBBC0" w:rsidR="00851B58" w:rsidRPr="00E76013" w:rsidRDefault="00851B58" w:rsidP="00364198">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Green transition</w:t>
      </w:r>
    </w:p>
    <w:p w14:paraId="70EE7981" w14:textId="4688B7E9" w:rsidR="0046FEC2" w:rsidRPr="00E76013" w:rsidRDefault="16D19C97"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Plan’s reforms and investments addressing the green transition </w:t>
      </w:r>
      <w:r w:rsidR="0046FEC2" w:rsidRPr="00E76013">
        <w:rPr>
          <w:rFonts w:ascii="Times New Roman" w:eastAsia="Times New Roman" w:hAnsi="Times New Roman" w:cs="Times New Roman"/>
          <w:b/>
          <w:bCs/>
          <w:noProof/>
          <w:sz w:val="24"/>
          <w:szCs w:val="24"/>
          <w:lang w:val="en-GB"/>
        </w:rPr>
        <w:t xml:space="preserve">are expected to effectively contribute to the green transition, and to addressing the challenges resulting therefrom. </w:t>
      </w:r>
      <w:r w:rsidR="0015005F">
        <w:rPr>
          <w:rFonts w:ascii="Times New Roman" w:eastAsia="Times New Roman" w:hAnsi="Times New Roman" w:cs="Times New Roman"/>
          <w:noProof/>
          <w:sz w:val="24"/>
          <w:szCs w:val="24"/>
          <w:lang w:val="en-GB"/>
        </w:rPr>
        <w:t>Eight</w:t>
      </w:r>
      <w:r w:rsidR="00E400D7" w:rsidRPr="00481248">
        <w:rPr>
          <w:rFonts w:ascii="Times New Roman" w:eastAsia="Times New Roman" w:hAnsi="Times New Roman" w:cs="Times New Roman"/>
          <w:noProof/>
          <w:sz w:val="24"/>
          <w:szCs w:val="24"/>
          <w:lang w:val="en-GB"/>
        </w:rPr>
        <w:t xml:space="preserve"> out</w:t>
      </w:r>
      <w:r w:rsidR="00E400D7" w:rsidRPr="00481248">
        <w:rPr>
          <w:rFonts w:ascii="Times New Roman" w:eastAsia="Times New Roman" w:hAnsi="Times New Roman" w:cs="Times New Roman"/>
          <w:b/>
          <w:bCs/>
          <w:noProof/>
          <w:sz w:val="24"/>
          <w:szCs w:val="24"/>
          <w:lang w:val="en-GB"/>
        </w:rPr>
        <w:t xml:space="preserve"> </w:t>
      </w:r>
      <w:r w:rsidR="00E400D7" w:rsidRPr="00481248">
        <w:rPr>
          <w:rFonts w:ascii="Times New Roman" w:eastAsia="Times New Roman" w:hAnsi="Times New Roman" w:cs="Times New Roman"/>
          <w:noProof/>
          <w:sz w:val="24"/>
          <w:szCs w:val="24"/>
          <w:lang w:val="en-GB"/>
        </w:rPr>
        <w:t>of the twelve components</w:t>
      </w:r>
      <w:r w:rsidR="004F2DAB">
        <w:rPr>
          <w:rFonts w:ascii="Times New Roman" w:eastAsia="Times New Roman" w:hAnsi="Times New Roman" w:cs="Times New Roman"/>
          <w:noProof/>
          <w:sz w:val="24"/>
          <w:szCs w:val="24"/>
          <w:lang w:val="en-GB"/>
        </w:rPr>
        <w:t xml:space="preserve"> </w:t>
      </w:r>
      <w:r w:rsidR="0046FEC2" w:rsidRPr="00E76013">
        <w:rPr>
          <w:rFonts w:ascii="Times New Roman" w:eastAsia="Times New Roman" w:hAnsi="Times New Roman" w:cs="Times New Roman"/>
          <w:noProof/>
          <w:sz w:val="24"/>
          <w:szCs w:val="24"/>
          <w:lang w:val="en-GB"/>
        </w:rPr>
        <w:t xml:space="preserve">contribute, to different extents, to the green transition. In terms of investments, the </w:t>
      </w:r>
      <w:r w:rsidR="00037D40" w:rsidRPr="00E76013">
        <w:rPr>
          <w:rFonts w:ascii="Times New Roman" w:eastAsia="Times New Roman" w:hAnsi="Times New Roman" w:cs="Times New Roman"/>
          <w:noProof/>
          <w:sz w:val="24"/>
          <w:szCs w:val="24"/>
          <w:lang w:val="en-GB"/>
        </w:rPr>
        <w:t xml:space="preserve">Plan </w:t>
      </w:r>
      <w:r w:rsidR="0046FEC2" w:rsidRPr="00E76013">
        <w:rPr>
          <w:rFonts w:ascii="Times New Roman" w:eastAsia="Times New Roman" w:hAnsi="Times New Roman" w:cs="Times New Roman"/>
          <w:noProof/>
          <w:sz w:val="24"/>
          <w:szCs w:val="24"/>
          <w:lang w:val="en-GB"/>
        </w:rPr>
        <w:t xml:space="preserve">arrives at a climate tracking contribution of over 58%. The energy and climate measure include a large package of reforms, notably in relation to setting out a date for the coal phase-out and enshrining this in a law/strategy to be approved in 2023 by the Bulgarian Parliament, </w:t>
      </w:r>
      <w:r w:rsidR="00E70F22">
        <w:rPr>
          <w:rFonts w:ascii="Times New Roman" w:eastAsia="Times New Roman" w:hAnsi="Times New Roman" w:cs="Times New Roman"/>
          <w:noProof/>
          <w:sz w:val="24"/>
          <w:szCs w:val="24"/>
          <w:lang w:val="en-GB"/>
        </w:rPr>
        <w:t xml:space="preserve">establishing a mechanism to cut the greenhouse gas emissions from the electricity sector nearly in half on a permanent basis, </w:t>
      </w:r>
      <w:r w:rsidR="0046FEC2" w:rsidRPr="00E76013">
        <w:rPr>
          <w:rFonts w:ascii="Times New Roman" w:eastAsia="Times New Roman" w:hAnsi="Times New Roman" w:cs="Times New Roman"/>
          <w:noProof/>
          <w:sz w:val="24"/>
          <w:szCs w:val="24"/>
          <w:lang w:val="en-GB"/>
        </w:rPr>
        <w:t xml:space="preserve">reforms to </w:t>
      </w:r>
      <w:r w:rsidR="00E70F22">
        <w:rPr>
          <w:rFonts w:ascii="Times New Roman" w:eastAsia="Times New Roman" w:hAnsi="Times New Roman" w:cs="Times New Roman"/>
          <w:noProof/>
          <w:sz w:val="24"/>
          <w:szCs w:val="24"/>
          <w:lang w:val="en-GB"/>
        </w:rPr>
        <w:t xml:space="preserve">facilitate and </w:t>
      </w:r>
      <w:r w:rsidR="0046FEC2" w:rsidRPr="00E76013">
        <w:rPr>
          <w:rFonts w:ascii="Times New Roman" w:eastAsia="Times New Roman" w:hAnsi="Times New Roman" w:cs="Times New Roman"/>
          <w:noProof/>
          <w:sz w:val="24"/>
          <w:szCs w:val="24"/>
          <w:lang w:val="en-GB"/>
        </w:rPr>
        <w:t xml:space="preserve">speed up deployment of RES </w:t>
      </w:r>
      <w:r w:rsidR="00E70F22">
        <w:rPr>
          <w:rFonts w:ascii="Times New Roman" w:eastAsia="Times New Roman" w:hAnsi="Times New Roman" w:cs="Times New Roman"/>
          <w:noProof/>
          <w:sz w:val="24"/>
          <w:szCs w:val="24"/>
          <w:lang w:val="en-GB"/>
        </w:rPr>
        <w:t xml:space="preserve">as well as laying out the regulatory framework for off-shore wind power </w:t>
      </w:r>
      <w:r w:rsidR="0046FEC2" w:rsidRPr="00E76013">
        <w:rPr>
          <w:rFonts w:ascii="Times New Roman" w:eastAsia="Times New Roman" w:hAnsi="Times New Roman" w:cs="Times New Roman"/>
          <w:noProof/>
          <w:sz w:val="24"/>
          <w:szCs w:val="24"/>
          <w:lang w:val="en-GB"/>
        </w:rPr>
        <w:t>and commitments to more than tripling RES installed capacity within four years, and a series of market liberalization reforms on wholesale and retail markets</w:t>
      </w:r>
      <w:r w:rsidR="00E70F22">
        <w:rPr>
          <w:rFonts w:ascii="Times New Roman" w:eastAsia="Times New Roman" w:hAnsi="Times New Roman" w:cs="Times New Roman"/>
          <w:noProof/>
          <w:sz w:val="24"/>
          <w:szCs w:val="24"/>
          <w:lang w:val="en-GB"/>
        </w:rPr>
        <w:t xml:space="preserve"> to allow for easy market access for renewables</w:t>
      </w:r>
      <w:r w:rsidR="0046FEC2" w:rsidRPr="00E76013">
        <w:rPr>
          <w:rFonts w:ascii="Times New Roman" w:eastAsia="Times New Roman" w:hAnsi="Times New Roman" w:cs="Times New Roman"/>
          <w:noProof/>
          <w:sz w:val="24"/>
          <w:szCs w:val="24"/>
          <w:lang w:val="en-GB"/>
        </w:rPr>
        <w:t>, among others.</w:t>
      </w:r>
    </w:p>
    <w:p w14:paraId="31A826CC" w14:textId="6D0F9DB0" w:rsidR="0046FEC2" w:rsidRPr="00E76013" w:rsidRDefault="0046FEC2"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007D326F"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includes reforms and investments to support deployment of </w:t>
      </w:r>
      <w:r w:rsidRPr="00D45F51">
        <w:rPr>
          <w:rFonts w:ascii="Times New Roman" w:eastAsia="Times New Roman" w:hAnsi="Times New Roman" w:cs="Times New Roman"/>
          <w:b/>
          <w:noProof/>
          <w:sz w:val="24"/>
          <w:szCs w:val="24"/>
          <w:lang w:val="en-GB"/>
        </w:rPr>
        <w:t>r</w:t>
      </w:r>
      <w:r w:rsidRPr="00D45F51">
        <w:rPr>
          <w:rFonts w:ascii="Times New Roman" w:eastAsia="Times New Roman" w:hAnsi="Times New Roman" w:cs="Times New Roman"/>
          <w:b/>
          <w:bCs/>
          <w:noProof/>
          <w:sz w:val="24"/>
          <w:szCs w:val="24"/>
          <w:lang w:val="en-GB"/>
        </w:rPr>
        <w:t>enewable electricity generation</w:t>
      </w:r>
      <w:r w:rsidR="00D45F51" w:rsidRPr="00364198">
        <w:rPr>
          <w:rFonts w:ascii="Times New Roman" w:eastAsia="Times New Roman" w:hAnsi="Times New Roman" w:cs="Times New Roman"/>
          <w:bCs/>
          <w:noProof/>
          <w:sz w:val="24"/>
          <w:szCs w:val="24"/>
          <w:lang w:val="en-GB"/>
        </w:rPr>
        <w:t>. They contain</w:t>
      </w:r>
      <w:r w:rsidRPr="00D45F51">
        <w:rPr>
          <w:rFonts w:ascii="Times New Roman" w:eastAsia="Times New Roman" w:hAnsi="Times New Roman" w:cs="Times New Roman"/>
          <w:noProof/>
          <w:sz w:val="24"/>
          <w:szCs w:val="24"/>
          <w:lang w:val="en-GB"/>
        </w:rPr>
        <w:t xml:space="preserve"> ambitious</w:t>
      </w:r>
      <w:r w:rsidRPr="00E76013">
        <w:rPr>
          <w:rFonts w:ascii="Times New Roman" w:eastAsia="Times New Roman" w:hAnsi="Times New Roman" w:cs="Times New Roman"/>
          <w:noProof/>
          <w:sz w:val="24"/>
          <w:szCs w:val="24"/>
          <w:lang w:val="en-GB"/>
        </w:rPr>
        <w:t xml:space="preserve"> targets for expanded generation and storage capacity for solar and geothermal electricity.</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w:t>
      </w:r>
      <w:r w:rsidR="007D326F"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also includes a dedicated measure to support the development of pilot projects enabling the introduction of green hydrogen and biogas for industrial applications, as well as for their future use in transport and for the production of electricity and heat.</w:t>
      </w:r>
    </w:p>
    <w:p w14:paraId="26D7E20F" w14:textId="7AA669F0" w:rsidR="0046FEC2" w:rsidRPr="00E76013" w:rsidRDefault="0046FEC2"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Bulgarian </w:t>
      </w:r>
      <w:r w:rsidR="007D326F"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includes an investment in </w:t>
      </w:r>
      <w:r w:rsidRPr="00D45F51">
        <w:rPr>
          <w:rFonts w:ascii="Times New Roman" w:eastAsia="Times New Roman" w:hAnsi="Times New Roman" w:cs="Times New Roman"/>
          <w:b/>
          <w:noProof/>
          <w:sz w:val="24"/>
          <w:szCs w:val="24"/>
          <w:lang w:val="en-GB"/>
        </w:rPr>
        <w:t xml:space="preserve">electricity network </w:t>
      </w:r>
      <w:r w:rsidRPr="00364198">
        <w:rPr>
          <w:rFonts w:ascii="Times New Roman" w:eastAsia="Times New Roman" w:hAnsi="Times New Roman" w:cs="Times New Roman"/>
          <w:b/>
          <w:noProof/>
          <w:sz w:val="24"/>
          <w:szCs w:val="24"/>
          <w:lang w:val="en-GB"/>
        </w:rPr>
        <w:t>infrastructure</w:t>
      </w:r>
      <w:r w:rsidR="00D45F51">
        <w:rPr>
          <w:rFonts w:ascii="Times New Roman" w:eastAsia="Times New Roman" w:hAnsi="Times New Roman" w:cs="Times New Roman"/>
          <w:noProof/>
          <w:sz w:val="24"/>
          <w:szCs w:val="24"/>
          <w:lang w:val="en-GB"/>
        </w:rPr>
        <w:t>. This is</w:t>
      </w:r>
      <w:r w:rsidRPr="00E76013">
        <w:rPr>
          <w:rFonts w:ascii="Times New Roman" w:eastAsia="Times New Roman" w:hAnsi="Times New Roman" w:cs="Times New Roman"/>
          <w:noProof/>
          <w:sz w:val="24"/>
          <w:szCs w:val="24"/>
          <w:lang w:val="en-GB"/>
        </w:rPr>
        <w:t xml:space="preserve"> with a view to modernising the electricity grid through the introduction of </w:t>
      </w:r>
      <w:r w:rsidR="00D45F51">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state-of-the-art digital tools and methods to provide the necessary tools for the management of the electricity system and to increase its flexibility to allow for increased penetration of electricity from renewable sources. </w:t>
      </w:r>
    </w:p>
    <w:p w14:paraId="224325EE" w14:textId="649C51C5" w:rsidR="0046FEC2" w:rsidRPr="00E76013" w:rsidRDefault="0046FEC2"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The plan includes significant investment in</w:t>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b/>
          <w:noProof/>
          <w:sz w:val="24"/>
          <w:szCs w:val="24"/>
          <w:lang w:val="en-GB"/>
        </w:rPr>
        <w:t>energy renovation of buildings</w:t>
      </w:r>
      <w:r w:rsidRPr="00E76013">
        <w:rPr>
          <w:rFonts w:ascii="Times New Roman" w:eastAsia="Times New Roman" w:hAnsi="Times New Roman" w:cs="Times New Roman"/>
          <w:noProof/>
          <w:sz w:val="24"/>
          <w:szCs w:val="24"/>
          <w:lang w:val="en-GB"/>
        </w:rPr>
        <w:t>. The investments will finance energy renovations of residential and public/private buildings, street lightning and renewables for households not connected to natural gas and/or heat transmission networks.</w:t>
      </w:r>
    </w:p>
    <w:p w14:paraId="25170538" w14:textId="1855A164" w:rsidR="0046FEC2" w:rsidRPr="00E76013" w:rsidRDefault="0046FEC2"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007D326F"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includes a sizeable allocation to </w:t>
      </w:r>
      <w:r w:rsidRPr="00D45F51">
        <w:rPr>
          <w:rFonts w:ascii="Times New Roman" w:eastAsia="Times New Roman" w:hAnsi="Times New Roman" w:cs="Times New Roman"/>
          <w:b/>
          <w:noProof/>
          <w:sz w:val="24"/>
          <w:szCs w:val="24"/>
          <w:lang w:val="en-GB"/>
        </w:rPr>
        <w:t xml:space="preserve">sustainable </w:t>
      </w:r>
      <w:r w:rsidR="446D7AB2" w:rsidRPr="00D45F51">
        <w:rPr>
          <w:rFonts w:ascii="Times New Roman" w:eastAsia="Times New Roman" w:hAnsi="Times New Roman" w:cs="Times New Roman"/>
          <w:b/>
          <w:bCs/>
          <w:noProof/>
          <w:sz w:val="24"/>
          <w:szCs w:val="24"/>
          <w:lang w:val="en-GB"/>
        </w:rPr>
        <w:t xml:space="preserve">transport </w:t>
      </w:r>
      <w:r w:rsidRPr="00364198">
        <w:rPr>
          <w:rFonts w:ascii="Times New Roman" w:eastAsia="Times New Roman" w:hAnsi="Times New Roman" w:cs="Times New Roman"/>
          <w:b/>
          <w:noProof/>
          <w:sz w:val="24"/>
          <w:szCs w:val="24"/>
          <w:lang w:val="en-GB"/>
        </w:rPr>
        <w:t xml:space="preserve">(EUR </w:t>
      </w:r>
      <w:r w:rsidR="696EAEFF" w:rsidRPr="00364198">
        <w:rPr>
          <w:rFonts w:ascii="Times New Roman" w:eastAsia="Times New Roman" w:hAnsi="Times New Roman" w:cs="Times New Roman"/>
          <w:b/>
          <w:noProof/>
          <w:sz w:val="24"/>
          <w:szCs w:val="24"/>
          <w:lang w:val="en-GB"/>
        </w:rPr>
        <w:t>66</w:t>
      </w:r>
      <w:r w:rsidR="000A0C35">
        <w:rPr>
          <w:rFonts w:ascii="Times New Roman" w:eastAsia="Times New Roman" w:hAnsi="Times New Roman" w:cs="Times New Roman"/>
          <w:b/>
          <w:noProof/>
          <w:sz w:val="24"/>
          <w:szCs w:val="24"/>
          <w:lang w:val="en-GB"/>
        </w:rPr>
        <w:t>5.8</w:t>
      </w:r>
      <w:r w:rsidRPr="00364198">
        <w:rPr>
          <w:rFonts w:ascii="Times New Roman" w:eastAsia="Times New Roman" w:hAnsi="Times New Roman" w:cs="Times New Roman"/>
          <w:b/>
          <w:noProof/>
          <w:sz w:val="24"/>
          <w:szCs w:val="24"/>
          <w:lang w:val="en-GB"/>
        </w:rPr>
        <w:t xml:space="preserve"> million).</w:t>
      </w:r>
      <w:r w:rsidRPr="00E76013">
        <w:rPr>
          <w:rFonts w:ascii="Times New Roman" w:eastAsia="Times New Roman" w:hAnsi="Times New Roman" w:cs="Times New Roman"/>
          <w:noProof/>
          <w:sz w:val="24"/>
          <w:szCs w:val="24"/>
          <w:lang w:val="en-GB"/>
        </w:rPr>
        <w:t xml:space="preserve"> Several important </w:t>
      </w:r>
      <w:r w:rsidR="446D7AB2" w:rsidRPr="00E76013">
        <w:rPr>
          <w:rFonts w:ascii="Times New Roman" w:eastAsia="Times New Roman" w:hAnsi="Times New Roman" w:cs="Times New Roman"/>
          <w:noProof/>
          <w:sz w:val="24"/>
          <w:szCs w:val="24"/>
          <w:lang w:val="en-GB"/>
        </w:rPr>
        <w:t>reforms</w:t>
      </w:r>
      <w:r w:rsidR="00241779" w:rsidRPr="00E76013">
        <w:rPr>
          <w:rFonts w:ascii="Times New Roman" w:eastAsia="Times New Roman" w:hAnsi="Times New Roman" w:cs="Times New Roman"/>
          <w:noProof/>
          <w:sz w:val="24"/>
          <w:szCs w:val="24"/>
          <w:lang w:val="en-GB"/>
        </w:rPr>
        <w:t xml:space="preserve"> </w:t>
      </w:r>
      <w:r w:rsidR="446D7AB2" w:rsidRPr="00E76013">
        <w:rPr>
          <w:rFonts w:ascii="Times New Roman" w:eastAsia="Times New Roman" w:hAnsi="Times New Roman" w:cs="Times New Roman"/>
          <w:noProof/>
          <w:sz w:val="24"/>
          <w:szCs w:val="24"/>
          <w:lang w:val="en-GB"/>
        </w:rPr>
        <w:t>are</w:t>
      </w:r>
      <w:r w:rsidRPr="00E76013">
        <w:rPr>
          <w:rFonts w:ascii="Times New Roman" w:eastAsia="Times New Roman" w:hAnsi="Times New Roman" w:cs="Times New Roman"/>
          <w:noProof/>
          <w:sz w:val="24"/>
          <w:szCs w:val="24"/>
          <w:lang w:val="en-GB"/>
        </w:rPr>
        <w:t xml:space="preserve"> included in the </w:t>
      </w:r>
      <w:r w:rsidR="00A94271"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such as </w:t>
      </w:r>
      <w:r w:rsidR="1461E41B" w:rsidRPr="00E76013">
        <w:rPr>
          <w:rFonts w:ascii="Times New Roman" w:eastAsia="Times New Roman" w:hAnsi="Times New Roman" w:cs="Times New Roman"/>
          <w:noProof/>
          <w:sz w:val="24"/>
          <w:szCs w:val="24"/>
          <w:lang w:val="en-GB"/>
        </w:rPr>
        <w:t xml:space="preserve">regulatory measures to strengthen the capacity to implement TEN-T projects, increase </w:t>
      </w:r>
      <w:r w:rsidR="006E2FB2">
        <w:rPr>
          <w:rFonts w:ascii="Times New Roman" w:eastAsia="Times New Roman" w:hAnsi="Times New Roman" w:cs="Times New Roman"/>
          <w:noProof/>
          <w:sz w:val="24"/>
          <w:szCs w:val="24"/>
          <w:lang w:val="en-GB"/>
        </w:rPr>
        <w:t xml:space="preserve">the </w:t>
      </w:r>
      <w:r w:rsidR="006E2FB2" w:rsidRPr="006E2FB2">
        <w:rPr>
          <w:rFonts w:ascii="Times New Roman" w:eastAsia="Times New Roman" w:hAnsi="Times New Roman" w:cs="Times New Roman"/>
          <w:noProof/>
          <w:sz w:val="24"/>
          <w:szCs w:val="24"/>
          <w:lang w:val="en-GB"/>
        </w:rPr>
        <w:t>European Rail Traffic Management System</w:t>
      </w:r>
      <w:r w:rsidR="006E2FB2">
        <w:rPr>
          <w:rFonts w:ascii="Times New Roman" w:eastAsia="Times New Roman" w:hAnsi="Times New Roman" w:cs="Times New Roman"/>
          <w:noProof/>
          <w:sz w:val="24"/>
          <w:szCs w:val="24"/>
          <w:lang w:val="en-GB"/>
        </w:rPr>
        <w:t xml:space="preserve"> (ERTMS)</w:t>
      </w:r>
      <w:r w:rsidR="006E2FB2" w:rsidRPr="00E76013">
        <w:rPr>
          <w:rFonts w:ascii="Times New Roman" w:eastAsia="Times New Roman" w:hAnsi="Times New Roman" w:cs="Times New Roman"/>
          <w:noProof/>
          <w:sz w:val="24"/>
          <w:szCs w:val="24"/>
          <w:lang w:val="en-GB"/>
        </w:rPr>
        <w:t xml:space="preserve"> </w:t>
      </w:r>
      <w:r w:rsidR="1461E41B" w:rsidRPr="00E76013">
        <w:rPr>
          <w:rFonts w:ascii="Times New Roman" w:eastAsia="Times New Roman" w:hAnsi="Times New Roman" w:cs="Times New Roman"/>
          <w:noProof/>
          <w:sz w:val="24"/>
          <w:szCs w:val="24"/>
          <w:lang w:val="en-GB"/>
        </w:rPr>
        <w:t xml:space="preserve">coverage of the </w:t>
      </w:r>
      <w:r w:rsidR="40AC93AA" w:rsidRPr="00E76013">
        <w:rPr>
          <w:rFonts w:ascii="Times New Roman" w:eastAsia="Times New Roman" w:hAnsi="Times New Roman" w:cs="Times New Roman"/>
          <w:noProof/>
          <w:sz w:val="24"/>
          <w:szCs w:val="24"/>
          <w:lang w:val="en-GB"/>
        </w:rPr>
        <w:t>rail</w:t>
      </w:r>
      <w:r w:rsidR="1461E41B" w:rsidRPr="00E76013">
        <w:rPr>
          <w:rFonts w:ascii="Times New Roman" w:eastAsia="Times New Roman" w:hAnsi="Times New Roman" w:cs="Times New Roman"/>
          <w:noProof/>
          <w:sz w:val="24"/>
          <w:szCs w:val="24"/>
          <w:lang w:val="en-GB"/>
        </w:rPr>
        <w:t xml:space="preserve"> network, create a legal framework for a single transport ticketing system and single integrated transport scheme, as well as the law on promoting electric mobility, aiming at accelerating the electrification of road transport in Bulgaria and reducing related greenhouse gas emissions and air pollution.</w:t>
      </w:r>
      <w:r w:rsidR="434973E0" w:rsidRPr="00E76013">
        <w:rPr>
          <w:rFonts w:ascii="Times New Roman" w:eastAsia="Times New Roman" w:hAnsi="Times New Roman" w:cs="Times New Roman"/>
          <w:noProof/>
          <w:sz w:val="24"/>
          <w:szCs w:val="24"/>
          <w:lang w:val="en-GB"/>
        </w:rPr>
        <w:t xml:space="preserve"> This is expected to deliver 10 000 electric charging stations and a total of 30 000 zero-emission and low-emission vehicles, and a 50% reduction in road safety blackspots. The investments include </w:t>
      </w:r>
      <w:r w:rsidRPr="00E76013">
        <w:rPr>
          <w:rFonts w:ascii="Times New Roman" w:eastAsia="Times New Roman" w:hAnsi="Times New Roman" w:cs="Times New Roman"/>
          <w:noProof/>
          <w:sz w:val="24"/>
          <w:szCs w:val="24"/>
          <w:lang w:val="en-GB"/>
        </w:rPr>
        <w:t>the acquisition of electric rolling stock for sub-urban and interregional rail transport</w:t>
      </w:r>
      <w:r w:rsidR="446D7AB2" w:rsidRPr="00E76013">
        <w:rPr>
          <w:rFonts w:ascii="Times New Roman" w:eastAsia="Times New Roman" w:hAnsi="Times New Roman" w:cs="Times New Roman"/>
          <w:noProof/>
          <w:sz w:val="24"/>
          <w:szCs w:val="24"/>
          <w:lang w:val="en-GB"/>
        </w:rPr>
        <w:t>, upgrade of existing railways infrastructure with ERTMS and digital systems, the extension</w:t>
      </w:r>
      <w:r w:rsidRPr="00E76013">
        <w:rPr>
          <w:rFonts w:ascii="Times New Roman" w:eastAsia="Times New Roman" w:hAnsi="Times New Roman" w:cs="Times New Roman"/>
          <w:noProof/>
          <w:sz w:val="24"/>
          <w:szCs w:val="24"/>
          <w:lang w:val="en-GB"/>
        </w:rPr>
        <w:t xml:space="preserve"> of Sofia metro</w:t>
      </w:r>
      <w:r w:rsidR="446D7AB2" w:rsidRPr="00E76013">
        <w:rPr>
          <w:rFonts w:ascii="Times New Roman" w:eastAsia="Times New Roman" w:hAnsi="Times New Roman" w:cs="Times New Roman"/>
          <w:noProof/>
          <w:sz w:val="24"/>
          <w:szCs w:val="24"/>
          <w:lang w:val="en-GB"/>
        </w:rPr>
        <w:t xml:space="preserve"> line 3, a new inter</w:t>
      </w:r>
      <w:r w:rsidR="00AE681C">
        <w:rPr>
          <w:rFonts w:ascii="Times New Roman" w:eastAsia="Times New Roman" w:hAnsi="Times New Roman" w:cs="Times New Roman"/>
          <w:noProof/>
          <w:sz w:val="24"/>
          <w:szCs w:val="24"/>
          <w:lang w:val="en-GB"/>
        </w:rPr>
        <w:t>m</w:t>
      </w:r>
      <w:r w:rsidR="446D7AB2" w:rsidRPr="00E76013">
        <w:rPr>
          <w:rFonts w:ascii="Times New Roman" w:eastAsia="Times New Roman" w:hAnsi="Times New Roman" w:cs="Times New Roman"/>
          <w:noProof/>
          <w:sz w:val="24"/>
          <w:szCs w:val="24"/>
          <w:lang w:val="en-GB"/>
        </w:rPr>
        <w:t>odal terminal in Ruse, the</w:t>
      </w:r>
      <w:r w:rsidRPr="00E76013">
        <w:rPr>
          <w:rFonts w:ascii="Times New Roman" w:eastAsia="Times New Roman" w:hAnsi="Times New Roman" w:cs="Times New Roman"/>
          <w:noProof/>
          <w:sz w:val="24"/>
          <w:szCs w:val="24"/>
          <w:lang w:val="en-GB"/>
        </w:rPr>
        <w:t xml:space="preserve"> digitalisation of rail transport with deployment of European Rail Traffic Management System; a sustainable urban mobility pilot scheme including zero-emission public transport vehicles and charging station infrastructure</w:t>
      </w:r>
      <w:r w:rsidR="446D7AB2" w:rsidRPr="00E76013">
        <w:rPr>
          <w:rFonts w:ascii="Times New Roman" w:eastAsia="Times New Roman" w:hAnsi="Times New Roman" w:cs="Times New Roman"/>
          <w:noProof/>
          <w:sz w:val="24"/>
          <w:szCs w:val="24"/>
          <w:lang w:val="en-GB"/>
        </w:rPr>
        <w:t>.</w:t>
      </w:r>
    </w:p>
    <w:p w14:paraId="366000AC" w14:textId="3B95A874" w:rsidR="0046FEC2" w:rsidRPr="00E76013" w:rsidRDefault="3CE624B1"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In order to improve </w:t>
      </w:r>
      <w:r w:rsidRPr="00D45F51">
        <w:rPr>
          <w:rFonts w:ascii="Times New Roman" w:eastAsia="Times New Roman" w:hAnsi="Times New Roman" w:cs="Times New Roman"/>
          <w:b/>
          <w:bCs/>
          <w:noProof/>
          <w:sz w:val="24"/>
          <w:szCs w:val="24"/>
          <w:lang w:val="en-GB"/>
        </w:rPr>
        <w:t>water management</w:t>
      </w:r>
      <w:r w:rsidRPr="00364198">
        <w:rPr>
          <w:rFonts w:ascii="Times New Roman" w:eastAsia="Times New Roman" w:hAnsi="Times New Roman" w:cs="Times New Roman"/>
          <w:b/>
          <w:noProof/>
          <w:sz w:val="24"/>
          <w:szCs w:val="24"/>
          <w:lang w:val="en-GB"/>
        </w:rPr>
        <w:t xml:space="preserve">, the water sector reform included in the </w:t>
      </w:r>
      <w:r w:rsidR="571CECF2"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lan is expected to optimise the regulatory framework for water supply and sewerage services.</w:t>
      </w:r>
      <w:r w:rsidRPr="00E76013">
        <w:rPr>
          <w:rFonts w:ascii="Times New Roman" w:eastAsia="Times New Roman" w:hAnsi="Times New Roman" w:cs="Times New Roman"/>
          <w:noProof/>
          <w:sz w:val="24"/>
          <w:szCs w:val="24"/>
          <w:lang w:val="en-GB"/>
        </w:rPr>
        <w:t xml:space="preserve"> The new legislation aims at refining the tariff setting mechanisms, ensuring cost-based pricing for the use of the systems and the consumed services while also ensuring financial sustainability of the operators. Investments in this area include of the construction, reconstruction and modernisation of water supply and sewerage systems, and drinking and waste water treatment plants, as well as the digitalization of water management and improving the control of water use.</w:t>
      </w:r>
    </w:p>
    <w:p w14:paraId="58113406" w14:textId="281D3892" w:rsidR="0046FEC2" w:rsidRPr="00E76013" w:rsidRDefault="0046FEC2"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Pr="00D45F51">
        <w:rPr>
          <w:rFonts w:ascii="Times New Roman" w:eastAsia="Times New Roman" w:hAnsi="Times New Roman" w:cs="Times New Roman"/>
          <w:b/>
          <w:noProof/>
          <w:sz w:val="24"/>
          <w:szCs w:val="24"/>
          <w:lang w:val="en-GB"/>
        </w:rPr>
        <w:t xml:space="preserve">biodiversity </w:t>
      </w:r>
      <w:r w:rsidRPr="00364198">
        <w:rPr>
          <w:rFonts w:ascii="Times New Roman" w:eastAsia="Times New Roman" w:hAnsi="Times New Roman" w:cs="Times New Roman"/>
          <w:b/>
          <w:noProof/>
          <w:sz w:val="24"/>
          <w:szCs w:val="24"/>
          <w:lang w:val="en-GB"/>
        </w:rPr>
        <w:t xml:space="preserve">component of the </w:t>
      </w:r>
      <w:r w:rsidR="00A122FE"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lan contains measures aiming at protecting and restoring ecosystems and natural habitats and species of European and national importance.</w:t>
      </w:r>
      <w:r w:rsidRPr="00E76013">
        <w:rPr>
          <w:rFonts w:ascii="Times New Roman" w:eastAsia="Times New Roman" w:hAnsi="Times New Roman" w:cs="Times New Roman"/>
          <w:noProof/>
          <w:sz w:val="24"/>
          <w:szCs w:val="24"/>
          <w:lang w:val="en-GB"/>
        </w:rPr>
        <w:t xml:space="preserve"> The reforms and investments in this component are expected to contribute to building </w:t>
      </w:r>
      <w:r w:rsidR="006E2FB2">
        <w:rPr>
          <w:rFonts w:ascii="Times New Roman" w:eastAsia="Times New Roman" w:hAnsi="Times New Roman" w:cs="Times New Roman"/>
          <w:noProof/>
          <w:sz w:val="24"/>
          <w:szCs w:val="24"/>
          <w:lang w:val="en-GB"/>
        </w:rPr>
        <w:t xml:space="preserve">an </w:t>
      </w:r>
      <w:r w:rsidRPr="00E76013">
        <w:rPr>
          <w:rFonts w:ascii="Times New Roman" w:eastAsia="Times New Roman" w:hAnsi="Times New Roman" w:cs="Times New Roman"/>
          <w:noProof/>
          <w:sz w:val="24"/>
          <w:szCs w:val="24"/>
          <w:lang w:val="en-GB"/>
        </w:rPr>
        <w:t>effective Natura 2000 management structures in the country, as well as to restoring climate-related ecosystems and protecting biodiversity.</w:t>
      </w:r>
    </w:p>
    <w:p w14:paraId="5DB79AD5" w14:textId="3F6FA6D3" w:rsidR="0046FEC2" w:rsidRPr="00E76013" w:rsidRDefault="3CE624B1"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423B586D" w:rsidRPr="00364198">
        <w:rPr>
          <w:rFonts w:ascii="Times New Roman" w:eastAsia="Times New Roman" w:hAnsi="Times New Roman" w:cs="Times New Roman"/>
          <w:b/>
          <w:noProof/>
          <w:sz w:val="24"/>
          <w:szCs w:val="24"/>
          <w:lang w:val="en-GB"/>
        </w:rPr>
        <w:t>Plan</w:t>
      </w:r>
      <w:r w:rsidRPr="00364198">
        <w:rPr>
          <w:rFonts w:ascii="Times New Roman" w:eastAsia="Times New Roman" w:hAnsi="Times New Roman" w:cs="Times New Roman"/>
          <w:b/>
          <w:noProof/>
          <w:sz w:val="24"/>
          <w:szCs w:val="24"/>
          <w:lang w:val="en-GB"/>
        </w:rPr>
        <w:t xml:space="preserve"> includes measures that aim at enhancing the sustainable management and competitiveness of the Bulgarian </w:t>
      </w:r>
      <w:r w:rsidRPr="00D45F51">
        <w:rPr>
          <w:rFonts w:ascii="Times New Roman" w:eastAsia="Times New Roman" w:hAnsi="Times New Roman" w:cs="Times New Roman"/>
          <w:b/>
          <w:bCs/>
          <w:noProof/>
          <w:sz w:val="24"/>
          <w:szCs w:val="24"/>
          <w:lang w:val="en-GB"/>
        </w:rPr>
        <w:t>agricultural sector</w:t>
      </w:r>
      <w:r w:rsidRPr="00364198">
        <w:rPr>
          <w:rFonts w:ascii="Times New Roman" w:eastAsia="Times New Roman" w:hAnsi="Times New Roman" w:cs="Times New Roman"/>
          <w:b/>
          <w:noProof/>
          <w:sz w:val="24"/>
          <w:szCs w:val="24"/>
          <w:lang w:val="en-GB"/>
        </w:rPr>
        <w:t xml:space="preserve"> in the context of the green transition.</w:t>
      </w:r>
      <w:r w:rsidRPr="00E76013">
        <w:rPr>
          <w:rFonts w:ascii="Times New Roman" w:eastAsia="Times New Roman" w:hAnsi="Times New Roman" w:cs="Times New Roman"/>
          <w:noProof/>
          <w:sz w:val="24"/>
          <w:szCs w:val="24"/>
          <w:lang w:val="en-GB"/>
        </w:rPr>
        <w:t xml:space="preserve"> In particular, the </w:t>
      </w:r>
      <w:r w:rsidR="282A4DB0"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includes a reform for adopting a National Action Programme, which is expected to set out a framework for the management and protection of the environment and natural resources in the field of agriculture. The </w:t>
      </w:r>
      <w:r w:rsidR="282A4DB0"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also includes dedicated investments that consist of setting up a Fund for promoting the technological and ecological transition of the Bulgarian agricultural sector, as well as a digitalisation measure that is expected to facilitate the automated data exchange between the administration and farmers.</w:t>
      </w:r>
    </w:p>
    <w:p w14:paraId="2A389545" w14:textId="1BC87C08" w:rsidR="0FB3E7AA" w:rsidRPr="00E76013" w:rsidRDefault="0FB3E7AA"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00767F6E"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further supports </w:t>
      </w:r>
      <w:r w:rsidRPr="00D45F51">
        <w:rPr>
          <w:rFonts w:ascii="Times New Roman" w:eastAsia="Times New Roman" w:hAnsi="Times New Roman" w:cs="Times New Roman"/>
          <w:b/>
          <w:noProof/>
          <w:sz w:val="24"/>
          <w:szCs w:val="24"/>
          <w:lang w:val="en-GB"/>
        </w:rPr>
        <w:t>research and innovation</w:t>
      </w:r>
      <w:r w:rsidRPr="00364198">
        <w:rPr>
          <w:rFonts w:ascii="Times New Roman" w:eastAsia="Times New Roman" w:hAnsi="Times New Roman" w:cs="Times New Roman"/>
          <w:b/>
          <w:noProof/>
          <w:sz w:val="24"/>
          <w:szCs w:val="24"/>
          <w:lang w:val="en-GB"/>
        </w:rPr>
        <w:t xml:space="preserve"> in the field of green and digital technologies and includes measure for the support of businesses in their sustainability enhancing investments.</w:t>
      </w:r>
      <w:r w:rsidRPr="00E76013">
        <w:rPr>
          <w:rFonts w:ascii="Times New Roman" w:eastAsia="Times New Roman" w:hAnsi="Times New Roman" w:cs="Times New Roman"/>
          <w:noProof/>
          <w:sz w:val="24"/>
          <w:szCs w:val="24"/>
          <w:lang w:val="en-GB"/>
        </w:rPr>
        <w:t xml:space="preserve"> In particular, the </w:t>
      </w:r>
      <w:r w:rsidR="00767F6E"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includes the following measures: a grant investment scheme for combining renewable electricity with local storage (EUR </w:t>
      </w:r>
      <w:r w:rsidR="6F86208E" w:rsidRPr="00E76013">
        <w:rPr>
          <w:rFonts w:ascii="Times New Roman" w:eastAsia="Times New Roman" w:hAnsi="Times New Roman" w:cs="Times New Roman"/>
          <w:noProof/>
          <w:sz w:val="24"/>
          <w:szCs w:val="24"/>
          <w:lang w:val="en-GB"/>
        </w:rPr>
        <w:t xml:space="preserve">102 </w:t>
      </w:r>
      <w:r w:rsidRPr="00E76013">
        <w:rPr>
          <w:rFonts w:ascii="Times New Roman" w:eastAsia="Times New Roman" w:hAnsi="Times New Roman" w:cs="Times New Roman"/>
          <w:noProof/>
          <w:sz w:val="24"/>
          <w:szCs w:val="24"/>
          <w:lang w:val="en-GB"/>
        </w:rPr>
        <w:t xml:space="preserve">million), a grant scheme for the transition to circular economy (EUR </w:t>
      </w:r>
      <w:r w:rsidR="6F86208E" w:rsidRPr="00E76013">
        <w:rPr>
          <w:rFonts w:ascii="Times New Roman" w:eastAsia="Times New Roman" w:hAnsi="Times New Roman" w:cs="Times New Roman"/>
          <w:noProof/>
          <w:sz w:val="24"/>
          <w:szCs w:val="24"/>
          <w:lang w:val="en-GB"/>
        </w:rPr>
        <w:t xml:space="preserve">73.6 </w:t>
      </w:r>
      <w:r w:rsidRPr="00E76013">
        <w:rPr>
          <w:rFonts w:ascii="Times New Roman" w:eastAsia="Times New Roman" w:hAnsi="Times New Roman" w:cs="Times New Roman"/>
          <w:noProof/>
          <w:sz w:val="24"/>
          <w:szCs w:val="24"/>
          <w:lang w:val="en-GB"/>
        </w:rPr>
        <w:t>million), a guarantee financial instrument for energy efficiency and renewable energy (EUR 75 million), and an equity instruments for climate neutrality and digital transformation investments (EUR 30 million).</w:t>
      </w:r>
      <w:r w:rsidR="004F2DAB">
        <w:rPr>
          <w:rFonts w:ascii="Times New Roman" w:eastAsia="Times New Roman" w:hAnsi="Times New Roman" w:cs="Times New Roman"/>
          <w:noProof/>
          <w:sz w:val="24"/>
          <w:szCs w:val="24"/>
          <w:lang w:val="en-GB"/>
        </w:rPr>
        <w:t xml:space="preserve"> </w:t>
      </w:r>
    </w:p>
    <w:p w14:paraId="6E012B71" w14:textId="3DC3F8DA" w:rsidR="00851B58" w:rsidRPr="00E76013" w:rsidRDefault="00851B58"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GB"/>
        </w:rPr>
        <w:t>Digital transformation</w:t>
      </w:r>
    </w:p>
    <w:p w14:paraId="1835E7AE" w14:textId="59E4ECE1" w:rsidR="009E2567" w:rsidRPr="00E76013" w:rsidRDefault="16D19C97"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T</w:t>
      </w:r>
      <w:r w:rsidR="00415B98" w:rsidRPr="00E76013">
        <w:rPr>
          <w:rFonts w:ascii="Times New Roman" w:eastAsia="Times New Roman" w:hAnsi="Times New Roman" w:cs="Times New Roman"/>
          <w:b/>
          <w:bCs/>
          <w:noProof/>
          <w:sz w:val="24"/>
          <w:szCs w:val="24"/>
          <w:lang w:val="en-GB"/>
        </w:rPr>
        <w:t>he</w:t>
      </w:r>
      <w:r w:rsidR="00415B98" w:rsidRPr="00E76013">
        <w:rPr>
          <w:noProof/>
        </w:rPr>
        <w:t xml:space="preserve"> </w:t>
      </w:r>
      <w:r w:rsidR="00415B98" w:rsidRPr="00E76013">
        <w:rPr>
          <w:rFonts w:ascii="Times New Roman" w:eastAsia="Times New Roman" w:hAnsi="Times New Roman" w:cs="Times New Roman"/>
          <w:b/>
          <w:bCs/>
          <w:noProof/>
          <w:sz w:val="24"/>
          <w:szCs w:val="24"/>
          <w:lang w:val="en-GB"/>
        </w:rPr>
        <w:t>Plan’s reforms and investments are expected to effectively contribute to the digital transition</w:t>
      </w:r>
      <w:r w:rsidR="00415B98" w:rsidRPr="00364198">
        <w:rPr>
          <w:rFonts w:ascii="Times New Roman" w:eastAsia="Times New Roman" w:hAnsi="Times New Roman" w:cs="Times New Roman"/>
          <w:bCs/>
          <w:noProof/>
          <w:sz w:val="24"/>
          <w:szCs w:val="24"/>
          <w:lang w:val="en-GB"/>
        </w:rPr>
        <w:t>.</w:t>
      </w:r>
      <w:r w:rsidR="004F2DAB">
        <w:rPr>
          <w:rFonts w:ascii="Times New Roman" w:eastAsia="Times New Roman" w:hAnsi="Times New Roman" w:cs="Times New Roman"/>
          <w:bCs/>
          <w:noProof/>
          <w:sz w:val="24"/>
          <w:szCs w:val="24"/>
          <w:lang w:val="en-GB"/>
        </w:rPr>
        <w:t xml:space="preserve"> </w:t>
      </w:r>
      <w:r w:rsidRPr="00364198">
        <w:rPr>
          <w:rFonts w:ascii="Times New Roman" w:eastAsia="Times New Roman" w:hAnsi="Times New Roman" w:cs="Times New Roman"/>
          <w:bCs/>
          <w:noProof/>
          <w:sz w:val="24"/>
          <w:szCs w:val="24"/>
          <w:lang w:val="en-GB"/>
        </w:rPr>
        <w:t xml:space="preserve">Digital measures are included in </w:t>
      </w:r>
      <w:r w:rsidR="00193D0D" w:rsidRPr="00364198">
        <w:rPr>
          <w:rFonts w:ascii="Times New Roman" w:eastAsia="Times New Roman" w:hAnsi="Times New Roman" w:cs="Times New Roman"/>
          <w:bCs/>
          <w:noProof/>
          <w:sz w:val="24"/>
          <w:szCs w:val="24"/>
          <w:lang w:val="en-GB"/>
        </w:rPr>
        <w:t>eleven out of twelve</w:t>
      </w:r>
      <w:r w:rsidRPr="00364198">
        <w:rPr>
          <w:rFonts w:ascii="Times New Roman" w:eastAsia="Times New Roman" w:hAnsi="Times New Roman" w:cs="Times New Roman"/>
          <w:bCs/>
          <w:noProof/>
          <w:sz w:val="24"/>
          <w:szCs w:val="24"/>
          <w:lang w:val="en-GB"/>
        </w:rPr>
        <w:t xml:space="preserve"> components of the Bulgarian </w:t>
      </w:r>
      <w:r w:rsidR="00B65896" w:rsidRPr="00364198">
        <w:rPr>
          <w:rFonts w:ascii="Times New Roman" w:eastAsia="Times New Roman" w:hAnsi="Times New Roman" w:cs="Times New Roman"/>
          <w:bCs/>
          <w:noProof/>
          <w:sz w:val="24"/>
          <w:szCs w:val="24"/>
          <w:lang w:val="en-GB"/>
        </w:rPr>
        <w:t>P</w:t>
      </w:r>
      <w:r w:rsidRPr="00364198">
        <w:rPr>
          <w:rFonts w:ascii="Times New Roman" w:eastAsia="Times New Roman" w:hAnsi="Times New Roman" w:cs="Times New Roman"/>
          <w:bCs/>
          <w:noProof/>
          <w:sz w:val="24"/>
          <w:szCs w:val="24"/>
          <w:lang w:val="en-GB"/>
        </w:rPr>
        <w:t>lan reflecting the broad and crosscutting nature of the envisaged digitalisation efforts</w:t>
      </w:r>
      <w:r w:rsidRPr="0006440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A significant allocation to the digital transition is </w:t>
      </w:r>
      <w:r w:rsidR="00777B28" w:rsidRPr="00E76013">
        <w:rPr>
          <w:rFonts w:ascii="Times New Roman" w:eastAsia="Times New Roman" w:hAnsi="Times New Roman" w:cs="Times New Roman"/>
          <w:noProof/>
          <w:sz w:val="24"/>
          <w:szCs w:val="24"/>
          <w:lang w:val="en-GB"/>
        </w:rPr>
        <w:t>included</w:t>
      </w:r>
      <w:r w:rsidRPr="00E76013">
        <w:rPr>
          <w:rFonts w:ascii="Times New Roman" w:eastAsia="Times New Roman" w:hAnsi="Times New Roman" w:cs="Times New Roman"/>
          <w:noProof/>
          <w:sz w:val="24"/>
          <w:szCs w:val="24"/>
          <w:lang w:val="en-GB"/>
        </w:rPr>
        <w:t xml:space="preserve"> in component 7 (Digital Connectivity). Investments </w:t>
      </w:r>
      <w:r w:rsidR="0083665C" w:rsidRPr="00E76013">
        <w:rPr>
          <w:rFonts w:ascii="Times New Roman" w:eastAsia="Times New Roman" w:hAnsi="Times New Roman" w:cs="Times New Roman"/>
          <w:noProof/>
          <w:sz w:val="24"/>
          <w:szCs w:val="24"/>
          <w:lang w:val="en-GB"/>
        </w:rPr>
        <w:t xml:space="preserve">and reforms </w:t>
      </w:r>
      <w:r w:rsidRPr="00E76013">
        <w:rPr>
          <w:rFonts w:ascii="Times New Roman" w:eastAsia="Times New Roman" w:hAnsi="Times New Roman" w:cs="Times New Roman"/>
          <w:noProof/>
          <w:sz w:val="24"/>
          <w:szCs w:val="24"/>
          <w:lang w:val="en-GB"/>
        </w:rPr>
        <w:t xml:space="preserve">in digital connectivity include the roll-out of very high capacity networks in rural and sparsely populated areas, which are lagging behind in terms of digital inclusion. </w:t>
      </w:r>
      <w:r w:rsidR="009E2567" w:rsidRPr="00E76013">
        <w:rPr>
          <w:rFonts w:ascii="Times New Roman" w:eastAsia="Times New Roman" w:hAnsi="Times New Roman" w:cs="Times New Roman"/>
          <w:noProof/>
          <w:sz w:val="24"/>
          <w:szCs w:val="24"/>
          <w:lang w:val="en-GB"/>
        </w:rPr>
        <w:t xml:space="preserve">The measures thus contribute </w:t>
      </w:r>
      <w:r w:rsidR="009E4E56" w:rsidRPr="00E76013">
        <w:rPr>
          <w:rFonts w:ascii="Times New Roman" w:eastAsia="Times New Roman" w:hAnsi="Times New Roman" w:cs="Times New Roman"/>
          <w:noProof/>
          <w:sz w:val="24"/>
          <w:szCs w:val="24"/>
          <w:lang w:val="en-GB"/>
        </w:rPr>
        <w:t>to</w:t>
      </w:r>
      <w:r w:rsidR="009E2567" w:rsidRPr="00E76013">
        <w:rPr>
          <w:rFonts w:ascii="Times New Roman" w:eastAsia="Times New Roman" w:hAnsi="Times New Roman" w:cs="Times New Roman"/>
          <w:noProof/>
          <w:sz w:val="24"/>
          <w:szCs w:val="24"/>
          <w:lang w:val="en-GB"/>
        </w:rPr>
        <w:t xml:space="preserve"> reducing the urban-rural divide in connectivity and increase the national broadband coverage. </w:t>
      </w:r>
      <w:r w:rsidR="00C15A7D" w:rsidRPr="00E76013">
        <w:rPr>
          <w:rFonts w:ascii="Times New Roman" w:eastAsia="Times New Roman" w:hAnsi="Times New Roman" w:cs="Times New Roman"/>
          <w:noProof/>
          <w:sz w:val="24"/>
          <w:szCs w:val="24"/>
          <w:lang w:val="en-GB"/>
        </w:rPr>
        <w:t xml:space="preserve">The reforms included in the Plan aim to contribute to the development and implementation of an effective policy and regulatory framework, the efficient use of the radio frequency spectrum for the development of 5G networks and services and the creation of a favourable investment environment. </w:t>
      </w:r>
      <w:r w:rsidR="00317838" w:rsidRPr="00E76013">
        <w:rPr>
          <w:rFonts w:ascii="Times New Roman" w:eastAsia="Times New Roman" w:hAnsi="Times New Roman" w:cs="Times New Roman"/>
          <w:noProof/>
          <w:sz w:val="24"/>
          <w:szCs w:val="24"/>
          <w:lang w:val="en-GB"/>
        </w:rPr>
        <w:t xml:space="preserve">The Plan also </w:t>
      </w:r>
      <w:r w:rsidR="0085754E" w:rsidRPr="00E76013">
        <w:rPr>
          <w:rFonts w:ascii="Times New Roman" w:eastAsia="Times New Roman" w:hAnsi="Times New Roman" w:cs="Times New Roman"/>
          <w:noProof/>
          <w:sz w:val="24"/>
          <w:szCs w:val="24"/>
          <w:lang w:val="en-GB"/>
        </w:rPr>
        <w:t xml:space="preserve">features an investment in the digitalisation and modernisation of the Bulgarian Post Office with the aim to provide e-government in rural and remote areas where the public administration is not present and other services (such as capturing biometric data for Bulgarian Identity Documents), thus contributing to enhancing territorial cohesion and access to </w:t>
      </w:r>
      <w:r w:rsidR="00D97420" w:rsidRPr="00E76013">
        <w:rPr>
          <w:rFonts w:ascii="Times New Roman" w:eastAsia="Times New Roman" w:hAnsi="Times New Roman" w:cs="Times New Roman"/>
          <w:noProof/>
          <w:sz w:val="24"/>
          <w:szCs w:val="24"/>
          <w:lang w:val="en-GB"/>
        </w:rPr>
        <w:t xml:space="preserve">e-government as well as other complex </w:t>
      </w:r>
      <w:r w:rsidR="0085754E" w:rsidRPr="00E76013">
        <w:rPr>
          <w:rFonts w:ascii="Times New Roman" w:eastAsia="Times New Roman" w:hAnsi="Times New Roman" w:cs="Times New Roman"/>
          <w:noProof/>
          <w:sz w:val="24"/>
          <w:szCs w:val="24"/>
          <w:lang w:val="en-GB"/>
        </w:rPr>
        <w:t>services across the whole territory of Bulgaria.</w:t>
      </w:r>
    </w:p>
    <w:p w14:paraId="57DFEE90" w14:textId="7E60E4D2" w:rsidR="00EA11D8" w:rsidRPr="00E76013" w:rsidRDefault="50A322D8"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A strong focus of the Plan is the acquisition of</w:t>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b/>
          <w:bCs/>
          <w:noProof/>
          <w:sz w:val="24"/>
          <w:szCs w:val="24"/>
          <w:lang w:val="en-GB"/>
        </w:rPr>
        <w:t>digital skills</w:t>
      </w:r>
      <w:r w:rsidRPr="00E76013">
        <w:rPr>
          <w:rFonts w:ascii="Times New Roman" w:eastAsia="Times New Roman" w:hAnsi="Times New Roman" w:cs="Times New Roman"/>
          <w:noProof/>
          <w:sz w:val="24"/>
          <w:szCs w:val="24"/>
          <w:lang w:val="en-GB"/>
        </w:rPr>
        <w:t>.</w:t>
      </w:r>
      <w:r w:rsidR="2C17564A" w:rsidRPr="00E76013">
        <w:rPr>
          <w:rFonts w:ascii="Times New Roman" w:eastAsia="Times New Roman" w:hAnsi="Times New Roman" w:cs="Times New Roman"/>
          <w:noProof/>
          <w:sz w:val="24"/>
          <w:szCs w:val="24"/>
          <w:lang w:val="en-GB"/>
        </w:rPr>
        <w:t xml:space="preserve"> </w:t>
      </w:r>
      <w:r w:rsidR="16D19C97" w:rsidRPr="00E76013">
        <w:rPr>
          <w:rFonts w:ascii="Times New Roman" w:eastAsia="Times New Roman" w:hAnsi="Times New Roman" w:cs="Times New Roman"/>
          <w:noProof/>
          <w:sz w:val="24"/>
          <w:szCs w:val="24"/>
          <w:lang w:val="en-GB"/>
        </w:rPr>
        <w:t xml:space="preserve">Component </w:t>
      </w:r>
      <w:r w:rsidR="2C17564A" w:rsidRPr="00E76013">
        <w:rPr>
          <w:rFonts w:ascii="Times New Roman" w:eastAsia="Times New Roman" w:hAnsi="Times New Roman" w:cs="Times New Roman"/>
          <w:noProof/>
          <w:sz w:val="24"/>
          <w:szCs w:val="24"/>
          <w:lang w:val="en-GB"/>
        </w:rPr>
        <w:t xml:space="preserve">1 (Education and Skills) includes significant measures such as creating </w:t>
      </w:r>
      <w:r w:rsidR="41CEBAA0" w:rsidRPr="00E76013">
        <w:rPr>
          <w:rFonts w:ascii="Times New Roman" w:eastAsia="Times New Roman" w:hAnsi="Times New Roman" w:cs="Times New Roman"/>
          <w:noProof/>
          <w:sz w:val="24"/>
          <w:szCs w:val="24"/>
          <w:lang w:val="en-GB"/>
        </w:rPr>
        <w:t xml:space="preserve">STEM laboratories in schools, including high-tech classrooms, </w:t>
      </w:r>
      <w:r w:rsidR="619B2F91" w:rsidRPr="00E76013">
        <w:rPr>
          <w:rFonts w:ascii="Times New Roman" w:eastAsia="Times New Roman" w:hAnsi="Times New Roman" w:cs="Times New Roman"/>
          <w:noProof/>
          <w:sz w:val="24"/>
          <w:szCs w:val="24"/>
          <w:lang w:val="en-GB"/>
        </w:rPr>
        <w:t>is expected to</w:t>
      </w:r>
      <w:r w:rsidR="41CEBAA0" w:rsidRPr="00E76013">
        <w:rPr>
          <w:rFonts w:ascii="Times New Roman" w:eastAsia="Times New Roman" w:hAnsi="Times New Roman" w:cs="Times New Roman"/>
          <w:noProof/>
          <w:sz w:val="24"/>
          <w:szCs w:val="24"/>
          <w:lang w:val="en-GB"/>
        </w:rPr>
        <w:t xml:space="preserve"> promote digital literacy and enhance teaching methods of STEM subjects</w:t>
      </w:r>
      <w:r w:rsidR="2C17564A" w:rsidRPr="00E76013">
        <w:rPr>
          <w:rFonts w:ascii="Times New Roman" w:eastAsia="Times New Roman" w:hAnsi="Times New Roman" w:cs="Times New Roman"/>
          <w:noProof/>
          <w:sz w:val="24"/>
          <w:szCs w:val="24"/>
          <w:lang w:val="en-GB"/>
        </w:rPr>
        <w:t xml:space="preserve">. </w:t>
      </w:r>
      <w:r w:rsidR="089556A5" w:rsidRPr="00E76013">
        <w:rPr>
          <w:rFonts w:ascii="Times New Roman" w:eastAsia="Times New Roman" w:hAnsi="Times New Roman" w:cs="Times New Roman"/>
          <w:noProof/>
          <w:sz w:val="24"/>
          <w:szCs w:val="24"/>
          <w:lang w:val="en-GB"/>
        </w:rPr>
        <w:t>The setting up of</w:t>
      </w:r>
      <w:r w:rsidR="089556A5" w:rsidRPr="00E76013">
        <w:rPr>
          <w:noProof/>
        </w:rPr>
        <w:t xml:space="preserve"> </w:t>
      </w:r>
      <w:r w:rsidR="089556A5" w:rsidRPr="00E76013">
        <w:rPr>
          <w:rFonts w:ascii="Times New Roman" w:eastAsia="Times New Roman" w:hAnsi="Times New Roman" w:cs="Times New Roman"/>
          <w:noProof/>
          <w:sz w:val="24"/>
          <w:szCs w:val="24"/>
          <w:lang w:val="en-GB"/>
        </w:rPr>
        <w:t>youth centres are expected</w:t>
      </w:r>
      <w:r w:rsidR="16D19C97" w:rsidRPr="00E76013">
        <w:rPr>
          <w:rFonts w:ascii="Times New Roman" w:eastAsia="Times New Roman" w:hAnsi="Times New Roman" w:cs="Times New Roman"/>
          <w:noProof/>
          <w:sz w:val="24"/>
          <w:szCs w:val="24"/>
          <w:lang w:val="en-GB"/>
        </w:rPr>
        <w:t xml:space="preserve"> to </w:t>
      </w:r>
      <w:r w:rsidR="089556A5" w:rsidRPr="00E76013">
        <w:rPr>
          <w:rFonts w:ascii="Times New Roman" w:eastAsia="Times New Roman" w:hAnsi="Times New Roman" w:cs="Times New Roman"/>
          <w:noProof/>
          <w:sz w:val="24"/>
          <w:szCs w:val="24"/>
          <w:lang w:val="en-GB"/>
        </w:rPr>
        <w:t>foster young people</w:t>
      </w:r>
      <w:r w:rsidR="6F25FADF" w:rsidRPr="00E76013">
        <w:rPr>
          <w:rFonts w:ascii="Times New Roman" w:eastAsia="Times New Roman" w:hAnsi="Times New Roman" w:cs="Times New Roman"/>
          <w:noProof/>
          <w:sz w:val="24"/>
          <w:szCs w:val="24"/>
          <w:lang w:val="en-GB"/>
        </w:rPr>
        <w:t>’s skills, including digital skills.</w:t>
      </w:r>
      <w:r w:rsidR="089556A5" w:rsidRPr="00E76013">
        <w:rPr>
          <w:rFonts w:ascii="Times New Roman" w:eastAsia="Times New Roman" w:hAnsi="Times New Roman" w:cs="Times New Roman"/>
          <w:noProof/>
          <w:sz w:val="24"/>
          <w:szCs w:val="24"/>
          <w:lang w:val="en-GB"/>
        </w:rPr>
        <w:t xml:space="preserve"> </w:t>
      </w:r>
      <w:r w:rsidR="2C17564A" w:rsidRPr="00E76013">
        <w:rPr>
          <w:rFonts w:ascii="Times New Roman" w:eastAsia="Times New Roman" w:hAnsi="Times New Roman" w:cs="Times New Roman"/>
          <w:noProof/>
          <w:sz w:val="24"/>
          <w:szCs w:val="24"/>
          <w:lang w:val="en-GB"/>
        </w:rPr>
        <w:t xml:space="preserve">Other targeted investments include digital skills trainings and the establishment of a national online platform for adult learning. Measures aimed at re-skilling and upskilling and adult learning are expected to contribute to increasing employability by enhancing skills, including digital skills, and increasing the quality and inclusiveness of education, which can in turn support the digital transition. </w:t>
      </w:r>
    </w:p>
    <w:p w14:paraId="2CB03F71" w14:textId="76B7DEBD" w:rsidR="000D4D4C" w:rsidRPr="00E76013" w:rsidRDefault="16D19C97" w:rsidP="000D4D4C">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Measures included in </w:t>
      </w:r>
      <w:r w:rsidR="00376B38">
        <w:rPr>
          <w:rFonts w:ascii="Times New Roman" w:eastAsia="Times New Roman" w:hAnsi="Times New Roman" w:cs="Times New Roman"/>
          <w:b/>
          <w:noProof/>
          <w:sz w:val="24"/>
          <w:szCs w:val="24"/>
          <w:lang w:val="en-GB"/>
        </w:rPr>
        <w:t xml:space="preserve">many </w:t>
      </w:r>
      <w:r w:rsidRPr="00364198">
        <w:rPr>
          <w:rFonts w:ascii="Times New Roman" w:eastAsia="Times New Roman" w:hAnsi="Times New Roman" w:cs="Times New Roman"/>
          <w:b/>
          <w:noProof/>
          <w:sz w:val="24"/>
          <w:szCs w:val="24"/>
          <w:lang w:val="en-GB"/>
        </w:rPr>
        <w:t>component</w:t>
      </w:r>
      <w:r w:rsidR="00376B38">
        <w:rPr>
          <w:rFonts w:ascii="Times New Roman" w:eastAsia="Times New Roman" w:hAnsi="Times New Roman" w:cs="Times New Roman"/>
          <w:b/>
          <w:noProof/>
          <w:sz w:val="24"/>
          <w:szCs w:val="24"/>
          <w:lang w:val="en-GB"/>
        </w:rPr>
        <w:t>s</w:t>
      </w:r>
      <w:r w:rsidRPr="00364198">
        <w:rPr>
          <w:rFonts w:ascii="Times New Roman" w:eastAsia="Times New Roman" w:hAnsi="Times New Roman" w:cs="Times New Roman"/>
          <w:b/>
          <w:noProof/>
          <w:sz w:val="24"/>
          <w:szCs w:val="24"/>
          <w:lang w:val="en-GB"/>
        </w:rPr>
        <w:t xml:space="preserve"> </w:t>
      </w:r>
      <w:r w:rsidR="00376B38">
        <w:rPr>
          <w:rFonts w:ascii="Times New Roman" w:eastAsia="Times New Roman" w:hAnsi="Times New Roman" w:cs="Times New Roman"/>
          <w:b/>
          <w:noProof/>
          <w:sz w:val="24"/>
          <w:szCs w:val="24"/>
          <w:lang w:val="en-GB"/>
        </w:rPr>
        <w:t>across the Plan</w:t>
      </w:r>
      <w:r w:rsidRPr="00364198">
        <w:rPr>
          <w:rFonts w:ascii="Times New Roman" w:eastAsia="Times New Roman" w:hAnsi="Times New Roman" w:cs="Times New Roman"/>
          <w:b/>
          <w:noProof/>
          <w:sz w:val="24"/>
          <w:szCs w:val="24"/>
          <w:lang w:val="en-GB"/>
        </w:rPr>
        <w:t xml:space="preserve"> repr</w:t>
      </w:r>
      <w:r w:rsidRPr="2C9B3F24">
        <w:rPr>
          <w:rFonts w:ascii="Times New Roman" w:eastAsia="Times New Roman" w:hAnsi="Times New Roman" w:cs="Times New Roman"/>
          <w:b/>
          <w:noProof/>
          <w:sz w:val="24"/>
          <w:szCs w:val="24"/>
          <w:lang w:val="en-GB"/>
        </w:rPr>
        <w:t>esent a very significant effort to</w:t>
      </w:r>
      <w:r w:rsidR="00064403" w:rsidRPr="00364198">
        <w:rPr>
          <w:rFonts w:ascii="Times New Roman" w:eastAsia="Times New Roman" w:hAnsi="Times New Roman" w:cs="Times New Roman"/>
          <w:b/>
          <w:noProof/>
          <w:sz w:val="24"/>
          <w:szCs w:val="24"/>
          <w:lang w:val="en-GB"/>
        </w:rPr>
        <w:t xml:space="preserve">wards </w:t>
      </w:r>
      <w:r w:rsidRPr="00364198">
        <w:rPr>
          <w:rFonts w:ascii="Times New Roman" w:eastAsia="Times New Roman" w:hAnsi="Times New Roman" w:cs="Times New Roman"/>
          <w:b/>
          <w:noProof/>
          <w:sz w:val="24"/>
          <w:szCs w:val="24"/>
          <w:lang w:val="en-GB"/>
        </w:rPr>
        <w:t xml:space="preserve">the </w:t>
      </w:r>
      <w:r w:rsidR="00FB2069">
        <w:rPr>
          <w:rFonts w:ascii="Times New Roman" w:eastAsia="Times New Roman" w:hAnsi="Times New Roman" w:cs="Times New Roman"/>
          <w:b/>
          <w:noProof/>
          <w:sz w:val="24"/>
          <w:szCs w:val="24"/>
          <w:lang w:val="en-GB"/>
        </w:rPr>
        <w:t xml:space="preserve">provision of digital public services, </w:t>
      </w:r>
      <w:r w:rsidRPr="00064403">
        <w:rPr>
          <w:rFonts w:ascii="Times New Roman" w:eastAsia="Times New Roman" w:hAnsi="Times New Roman" w:cs="Times New Roman"/>
          <w:b/>
          <w:noProof/>
          <w:sz w:val="24"/>
          <w:szCs w:val="24"/>
          <w:lang w:val="en-GB"/>
        </w:rPr>
        <w:t>digitalisation of public administration</w:t>
      </w:r>
      <w:r w:rsidR="00ED09FA">
        <w:rPr>
          <w:rFonts w:ascii="Times New Roman" w:eastAsia="Times New Roman" w:hAnsi="Times New Roman" w:cs="Times New Roman"/>
          <w:b/>
          <w:noProof/>
          <w:sz w:val="24"/>
          <w:szCs w:val="24"/>
          <w:lang w:val="en-GB"/>
        </w:rPr>
        <w:t>, including the judiciary,</w:t>
      </w:r>
      <w:r w:rsidRPr="00064403">
        <w:rPr>
          <w:rFonts w:ascii="Times New Roman" w:eastAsia="Times New Roman" w:hAnsi="Times New Roman" w:cs="Times New Roman"/>
          <w:b/>
          <w:noProof/>
          <w:sz w:val="24"/>
          <w:szCs w:val="24"/>
          <w:lang w:val="en-GB"/>
        </w:rPr>
        <w:t xml:space="preserve"> and raising digital administrative capacity</w:t>
      </w:r>
      <w:r w:rsidRPr="00E76013">
        <w:rPr>
          <w:rFonts w:ascii="Times New Roman" w:eastAsia="Times New Roman" w:hAnsi="Times New Roman" w:cs="Times New Roman"/>
          <w:noProof/>
          <w:sz w:val="24"/>
          <w:szCs w:val="24"/>
          <w:lang w:val="en-GB"/>
        </w:rPr>
        <w:t xml:space="preserve">. In particular, the component </w:t>
      </w:r>
      <w:r w:rsidR="0019630F">
        <w:rPr>
          <w:rFonts w:ascii="Times New Roman" w:eastAsia="Times New Roman" w:hAnsi="Times New Roman" w:cs="Times New Roman"/>
          <w:noProof/>
          <w:sz w:val="24"/>
          <w:szCs w:val="24"/>
          <w:lang w:val="en-GB"/>
        </w:rPr>
        <w:t xml:space="preserve">on business environment </w:t>
      </w:r>
      <w:r w:rsidRPr="00E76013">
        <w:rPr>
          <w:rFonts w:ascii="Times New Roman" w:eastAsia="Times New Roman" w:hAnsi="Times New Roman" w:cs="Times New Roman"/>
          <w:noProof/>
          <w:sz w:val="24"/>
          <w:szCs w:val="24"/>
          <w:lang w:val="en-GB"/>
        </w:rPr>
        <w:t xml:space="preserve">includes measures aimed at the digitalisation of </w:t>
      </w:r>
      <w:r w:rsidR="000D4D4C">
        <w:rPr>
          <w:rFonts w:ascii="Times New Roman" w:eastAsia="Times New Roman" w:hAnsi="Times New Roman" w:cs="Times New Roman"/>
          <w:noProof/>
          <w:sz w:val="24"/>
          <w:szCs w:val="24"/>
          <w:lang w:val="en-GB"/>
        </w:rPr>
        <w:t>the construction sector, the judiciary</w:t>
      </w:r>
      <w:r w:rsidR="0083665C" w:rsidRPr="00E76013">
        <w:rPr>
          <w:rFonts w:ascii="Times New Roman" w:eastAsia="Times New Roman" w:hAnsi="Times New Roman" w:cs="Times New Roman"/>
          <w:noProof/>
          <w:sz w:val="24"/>
          <w:szCs w:val="24"/>
          <w:lang w:val="en-GB"/>
        </w:rPr>
        <w:t>,</w:t>
      </w:r>
      <w:r w:rsidR="7631576F" w:rsidRPr="00E76013">
        <w:rPr>
          <w:rFonts w:ascii="Times New Roman" w:eastAsia="Times New Roman" w:hAnsi="Times New Roman" w:cs="Times New Roman"/>
          <w:noProof/>
          <w:sz w:val="24"/>
          <w:szCs w:val="24"/>
          <w:lang w:val="en-GB"/>
        </w:rPr>
        <w:t xml:space="preserve"> the digitalisation of data </w:t>
      </w:r>
      <w:r w:rsidR="00A34633" w:rsidRPr="00E76013">
        <w:rPr>
          <w:rFonts w:ascii="Times New Roman" w:eastAsia="Times New Roman" w:hAnsi="Times New Roman" w:cs="Times New Roman"/>
          <w:noProof/>
          <w:sz w:val="24"/>
          <w:szCs w:val="24"/>
          <w:lang w:val="en-GB"/>
        </w:rPr>
        <w:t>and registries</w:t>
      </w:r>
      <w:r w:rsidR="7631576F" w:rsidRPr="00E76013">
        <w:rPr>
          <w:rFonts w:ascii="Times New Roman" w:eastAsia="Times New Roman" w:hAnsi="Times New Roman" w:cs="Times New Roman"/>
          <w:noProof/>
          <w:sz w:val="24"/>
          <w:szCs w:val="24"/>
          <w:lang w:val="en-GB"/>
        </w:rPr>
        <w:t xml:space="preserve"> in the public administration</w:t>
      </w:r>
      <w:r w:rsidR="0083665C" w:rsidRPr="00E7601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and the provision of digital public services to citizens and businesses. </w:t>
      </w:r>
      <w:r w:rsidR="00A34633" w:rsidRPr="00E76013">
        <w:rPr>
          <w:rFonts w:ascii="Times New Roman" w:eastAsia="Times New Roman" w:hAnsi="Times New Roman" w:cs="Times New Roman"/>
          <w:noProof/>
          <w:sz w:val="24"/>
          <w:szCs w:val="24"/>
          <w:lang w:val="en-GB"/>
        </w:rPr>
        <w:t>The i</w:t>
      </w:r>
      <w:r w:rsidR="00F339C6" w:rsidRPr="00E76013">
        <w:rPr>
          <w:rFonts w:ascii="Times New Roman" w:eastAsia="Times New Roman" w:hAnsi="Times New Roman" w:cs="Times New Roman"/>
          <w:noProof/>
          <w:sz w:val="24"/>
          <w:szCs w:val="24"/>
          <w:lang w:val="en-GB"/>
        </w:rPr>
        <w:t xml:space="preserve">nvestment in Component </w:t>
      </w:r>
      <w:r w:rsidR="000C08F1" w:rsidRPr="00E76013">
        <w:rPr>
          <w:rFonts w:ascii="Times New Roman" w:eastAsia="Times New Roman" w:hAnsi="Times New Roman" w:cs="Times New Roman"/>
          <w:noProof/>
          <w:sz w:val="24"/>
          <w:szCs w:val="24"/>
          <w:lang w:val="en-GB"/>
        </w:rPr>
        <w:t xml:space="preserve">7 </w:t>
      </w:r>
      <w:r w:rsidR="00F339C6" w:rsidRPr="00E76013">
        <w:rPr>
          <w:rFonts w:ascii="Times New Roman" w:eastAsia="Times New Roman" w:hAnsi="Times New Roman" w:cs="Times New Roman"/>
          <w:noProof/>
          <w:sz w:val="24"/>
          <w:szCs w:val="24"/>
          <w:lang w:val="en-GB"/>
        </w:rPr>
        <w:t xml:space="preserve">concerning the digitalisation and modernisation of the Bulgarian Post Offices will enable the provision of e-government and administrative services </w:t>
      </w:r>
      <w:r w:rsidR="000C08F1" w:rsidRPr="00E76013">
        <w:rPr>
          <w:rFonts w:ascii="Times New Roman" w:eastAsia="Times New Roman" w:hAnsi="Times New Roman" w:cs="Times New Roman"/>
          <w:noProof/>
          <w:sz w:val="24"/>
          <w:szCs w:val="24"/>
          <w:lang w:val="en-GB"/>
        </w:rPr>
        <w:t>also in remote and sparsely populated areas.</w:t>
      </w:r>
      <w:r w:rsidR="7631576F" w:rsidRPr="00E76013">
        <w:rPr>
          <w:rFonts w:ascii="Times New Roman" w:eastAsia="Times New Roman" w:hAnsi="Times New Roman" w:cs="Times New Roman"/>
          <w:noProof/>
          <w:sz w:val="24"/>
          <w:szCs w:val="24"/>
          <w:lang w:val="en-GB"/>
        </w:rPr>
        <w:t xml:space="preserve"> Component 11 (Social Inclusion) also includes measures</w:t>
      </w:r>
      <w:r w:rsidR="2E14132E" w:rsidRPr="00E76013">
        <w:rPr>
          <w:rFonts w:ascii="Times New Roman" w:eastAsia="Times New Roman" w:hAnsi="Times New Roman" w:cs="Times New Roman"/>
          <w:noProof/>
          <w:sz w:val="24"/>
          <w:szCs w:val="24"/>
          <w:lang w:val="en-GB"/>
        </w:rPr>
        <w:t xml:space="preserve"> targeting the digitisation</w:t>
      </w:r>
      <w:r w:rsidR="2689ACAD" w:rsidRPr="00E76013">
        <w:rPr>
          <w:rFonts w:ascii="Times New Roman" w:eastAsia="Times New Roman" w:hAnsi="Times New Roman" w:cs="Times New Roman"/>
          <w:noProof/>
          <w:sz w:val="24"/>
          <w:szCs w:val="24"/>
          <w:lang w:val="en-GB"/>
        </w:rPr>
        <w:t xml:space="preserve"> of museum, library and audiovisual </w:t>
      </w:r>
      <w:r w:rsidR="2E14132E" w:rsidRPr="00E76013">
        <w:rPr>
          <w:rFonts w:ascii="Times New Roman" w:eastAsia="Times New Roman" w:hAnsi="Times New Roman" w:cs="Times New Roman"/>
          <w:noProof/>
          <w:sz w:val="24"/>
          <w:szCs w:val="24"/>
          <w:lang w:val="en-GB"/>
        </w:rPr>
        <w:t>funds</w:t>
      </w:r>
      <w:r w:rsidR="5CF1525E" w:rsidRPr="00E76013">
        <w:rPr>
          <w:rFonts w:ascii="Times New Roman" w:eastAsia="Times New Roman" w:hAnsi="Times New Roman" w:cs="Times New Roman"/>
          <w:noProof/>
          <w:sz w:val="24"/>
          <w:szCs w:val="24"/>
          <w:lang w:val="en-GB"/>
        </w:rPr>
        <w:t xml:space="preserve"> and</w:t>
      </w:r>
      <w:r w:rsidR="7631576F" w:rsidRPr="00E76013">
        <w:rPr>
          <w:rFonts w:ascii="Times New Roman" w:eastAsia="Times New Roman" w:hAnsi="Times New Roman" w:cs="Times New Roman"/>
          <w:noProof/>
          <w:sz w:val="24"/>
          <w:szCs w:val="24"/>
          <w:lang w:val="en-GB"/>
        </w:rPr>
        <w:t xml:space="preserve"> aimed at digitalisation of the related systems for the provision of employment services</w:t>
      </w:r>
      <w:r w:rsidR="51B68D3D" w:rsidRPr="00E76013">
        <w:rPr>
          <w:rFonts w:ascii="Times New Roman" w:eastAsia="Times New Roman" w:hAnsi="Times New Roman" w:cs="Times New Roman"/>
          <w:noProof/>
          <w:sz w:val="24"/>
          <w:szCs w:val="24"/>
          <w:lang w:val="en-GB"/>
        </w:rPr>
        <w:t xml:space="preserve"> and </w:t>
      </w:r>
      <w:r w:rsidR="7631576F" w:rsidRPr="00E76013">
        <w:rPr>
          <w:rFonts w:ascii="Times New Roman" w:eastAsia="Times New Roman" w:hAnsi="Times New Roman" w:cs="Times New Roman"/>
          <w:noProof/>
          <w:sz w:val="24"/>
          <w:szCs w:val="24"/>
          <w:lang w:val="en-GB"/>
        </w:rPr>
        <w:t>of the business processes</w:t>
      </w:r>
      <w:r w:rsidR="51B68D3D" w:rsidRPr="00E76013">
        <w:rPr>
          <w:rFonts w:ascii="Times New Roman" w:eastAsia="Times New Roman" w:hAnsi="Times New Roman" w:cs="Times New Roman"/>
          <w:noProof/>
          <w:sz w:val="24"/>
          <w:szCs w:val="24"/>
          <w:lang w:val="en-GB"/>
        </w:rPr>
        <w:t xml:space="preserve"> of the social and solidarity economy enterprises and organisations</w:t>
      </w:r>
      <w:r w:rsidR="0FD7A031" w:rsidRPr="00E76013">
        <w:rPr>
          <w:rFonts w:ascii="Times New Roman" w:eastAsia="Times New Roman" w:hAnsi="Times New Roman" w:cs="Times New Roman"/>
          <w:noProof/>
          <w:sz w:val="24"/>
          <w:szCs w:val="24"/>
          <w:lang w:val="en-GB"/>
        </w:rPr>
        <w:t>.</w:t>
      </w:r>
      <w:r w:rsidR="7631576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The healthcare component features measures that contribute to the digitalisation of systems and platforms used for the provision of healthcare services (such as a digital platform for medical diagnosis</w:t>
      </w:r>
      <w:r w:rsidR="6EE5164A" w:rsidRPr="00E76013">
        <w:rPr>
          <w:rFonts w:ascii="Times New Roman" w:eastAsia="Times New Roman" w:hAnsi="Times New Roman" w:cs="Times New Roman"/>
          <w:noProof/>
          <w:sz w:val="24"/>
          <w:szCs w:val="24"/>
          <w:lang w:val="en-GB"/>
        </w:rPr>
        <w:t>, a telemedicine platform</w:t>
      </w:r>
      <w:r w:rsidRPr="00E76013">
        <w:rPr>
          <w:rFonts w:ascii="Times New Roman" w:eastAsia="Times New Roman" w:hAnsi="Times New Roman" w:cs="Times New Roman"/>
          <w:noProof/>
          <w:sz w:val="24"/>
          <w:szCs w:val="24"/>
          <w:lang w:val="en-GB"/>
        </w:rPr>
        <w:t xml:space="preserve"> and a digital platform to improve emergency 112 number communication) and improving the resilience of the healthcare system. </w:t>
      </w:r>
      <w:r w:rsidR="00790298" w:rsidRPr="00E76013">
        <w:rPr>
          <w:rFonts w:ascii="Times New Roman" w:eastAsia="Times New Roman" w:hAnsi="Times New Roman" w:cs="Times New Roman"/>
          <w:noProof/>
          <w:sz w:val="24"/>
          <w:szCs w:val="24"/>
          <w:lang w:val="en-GB"/>
        </w:rPr>
        <w:t xml:space="preserve">The Plan also supports the extension of the national coverage of the TETRA system </w:t>
      </w:r>
      <w:r w:rsidR="007B027D" w:rsidRPr="00E76013">
        <w:rPr>
          <w:rFonts w:ascii="Times New Roman" w:eastAsia="Times New Roman" w:hAnsi="Times New Roman" w:cs="Times New Roman"/>
          <w:noProof/>
          <w:sz w:val="24"/>
          <w:szCs w:val="24"/>
          <w:lang w:val="en-GB"/>
        </w:rPr>
        <w:t xml:space="preserve">to enhance the capabilities for coordination and </w:t>
      </w:r>
      <w:r w:rsidR="00CE525C" w:rsidRPr="00E76013">
        <w:rPr>
          <w:rFonts w:ascii="Times New Roman" w:eastAsia="Times New Roman" w:hAnsi="Times New Roman" w:cs="Times New Roman"/>
          <w:noProof/>
          <w:sz w:val="24"/>
          <w:szCs w:val="24"/>
          <w:lang w:val="en-GB"/>
        </w:rPr>
        <w:t xml:space="preserve">management of crisis prevention and other national security issues. </w:t>
      </w:r>
      <w:r w:rsidR="000D4D4C" w:rsidRPr="00E76013">
        <w:rPr>
          <w:rFonts w:ascii="Times New Roman" w:eastAsia="Times New Roman" w:hAnsi="Times New Roman" w:cs="Times New Roman"/>
          <w:noProof/>
          <w:sz w:val="24"/>
          <w:szCs w:val="24"/>
          <w:lang w:val="en-GB"/>
        </w:rPr>
        <w:t>The Plan also includes measures aimed at improving the quality and output of research and innovation also through the investment in digital technologies at research institutions and at supporting the digitalisation of businesses, in particular small and medium-sized enterprises, through a grant scheme for ICT solutions and cybersecurity in SMEs.</w:t>
      </w:r>
    </w:p>
    <w:p w14:paraId="16228028" w14:textId="4C173496" w:rsidR="16D19C97" w:rsidRPr="00064403" w:rsidRDefault="16D19C97"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Significant contributions to the digital objectives are also included in component 8 (Sustainable Transport)</w:t>
      </w:r>
      <w:r w:rsidR="004B0279" w:rsidRPr="00364198">
        <w:rPr>
          <w:rFonts w:ascii="Times New Roman" w:eastAsia="Times New Roman" w:hAnsi="Times New Roman" w:cs="Times New Roman"/>
          <w:b/>
          <w:noProof/>
          <w:sz w:val="24"/>
          <w:szCs w:val="24"/>
          <w:lang w:val="en-GB"/>
        </w:rPr>
        <w:t>.</w:t>
      </w:r>
      <w:r w:rsidR="00064403" w:rsidRPr="00364198">
        <w:rPr>
          <w:rFonts w:ascii="Times New Roman" w:eastAsia="Times New Roman" w:hAnsi="Times New Roman" w:cs="Times New Roman"/>
          <w:b/>
          <w:noProof/>
          <w:sz w:val="24"/>
          <w:szCs w:val="24"/>
          <w:lang w:val="en-GB"/>
        </w:rPr>
        <w:t xml:space="preserve"> </w:t>
      </w:r>
      <w:r w:rsidR="00064403">
        <w:rPr>
          <w:rFonts w:ascii="Times New Roman" w:eastAsia="Times New Roman" w:hAnsi="Times New Roman" w:cs="Times New Roman"/>
          <w:noProof/>
          <w:sz w:val="24"/>
          <w:szCs w:val="24"/>
          <w:lang w:val="en-GB"/>
        </w:rPr>
        <w:t>It has</w:t>
      </w:r>
      <w:r w:rsidRPr="00E76013">
        <w:rPr>
          <w:rFonts w:ascii="Times New Roman" w:eastAsia="Times New Roman" w:hAnsi="Times New Roman" w:cs="Times New Roman"/>
          <w:noProof/>
          <w:sz w:val="24"/>
          <w:szCs w:val="24"/>
          <w:lang w:val="en-GB"/>
        </w:rPr>
        <w:t xml:space="preserve"> </w:t>
      </w:r>
      <w:r w:rsidRPr="00064403">
        <w:rPr>
          <w:rFonts w:ascii="Times New Roman" w:eastAsia="Times New Roman" w:hAnsi="Times New Roman" w:cs="Times New Roman"/>
          <w:noProof/>
          <w:sz w:val="24"/>
          <w:szCs w:val="24"/>
          <w:lang w:val="en-GB"/>
        </w:rPr>
        <w:t xml:space="preserve">investments in the </w:t>
      </w:r>
      <w:r w:rsidRPr="00364198">
        <w:rPr>
          <w:rFonts w:ascii="Times New Roman" w:eastAsia="Times New Roman" w:hAnsi="Times New Roman" w:cs="Times New Roman"/>
          <w:noProof/>
          <w:sz w:val="24"/>
          <w:szCs w:val="24"/>
          <w:lang w:val="en-GB"/>
        </w:rPr>
        <w:t xml:space="preserve">digitalisation of rail transport, road safety and </w:t>
      </w:r>
      <w:r w:rsidR="7631576F" w:rsidRPr="00364198">
        <w:rPr>
          <w:rFonts w:ascii="Times New Roman" w:eastAsia="Times New Roman" w:hAnsi="Times New Roman" w:cs="Times New Roman"/>
          <w:noProof/>
          <w:sz w:val="24"/>
          <w:szCs w:val="24"/>
          <w:lang w:val="en-GB"/>
        </w:rPr>
        <w:t>sustainable transport</w:t>
      </w:r>
      <w:r w:rsidRPr="00064403">
        <w:rPr>
          <w:rFonts w:ascii="Times New Roman" w:eastAsia="Times New Roman" w:hAnsi="Times New Roman" w:cs="Times New Roman"/>
          <w:noProof/>
          <w:sz w:val="24"/>
          <w:szCs w:val="24"/>
          <w:lang w:val="en-GB"/>
        </w:rPr>
        <w:t xml:space="preserve">, component 9 (Local Development) with investments in the </w:t>
      </w:r>
      <w:r w:rsidRPr="00364198">
        <w:rPr>
          <w:rFonts w:ascii="Times New Roman" w:eastAsia="Times New Roman" w:hAnsi="Times New Roman" w:cs="Times New Roman"/>
          <w:noProof/>
          <w:sz w:val="24"/>
          <w:szCs w:val="24"/>
          <w:lang w:val="en-GB"/>
        </w:rPr>
        <w:t xml:space="preserve">digitalisation of the control, management and efficient use of water </w:t>
      </w:r>
      <w:r w:rsidRPr="00064403">
        <w:rPr>
          <w:rFonts w:ascii="Times New Roman" w:eastAsia="Times New Roman" w:hAnsi="Times New Roman" w:cs="Times New Roman"/>
          <w:noProof/>
          <w:sz w:val="24"/>
          <w:szCs w:val="24"/>
          <w:lang w:val="en-GB"/>
        </w:rPr>
        <w:t xml:space="preserve">and in component 4 (Low-carbon economy), with investments in the </w:t>
      </w:r>
      <w:r w:rsidRPr="00364198">
        <w:rPr>
          <w:rFonts w:ascii="Times New Roman" w:eastAsia="Times New Roman" w:hAnsi="Times New Roman" w:cs="Times New Roman"/>
          <w:noProof/>
          <w:sz w:val="24"/>
          <w:szCs w:val="24"/>
          <w:lang w:val="en-GB"/>
        </w:rPr>
        <w:t>digital transformation</w:t>
      </w:r>
      <w:r w:rsidRPr="00064403">
        <w:rPr>
          <w:rFonts w:ascii="Times New Roman" w:eastAsia="Times New Roman" w:hAnsi="Times New Roman" w:cs="Times New Roman"/>
          <w:noProof/>
          <w:sz w:val="24"/>
          <w:szCs w:val="24"/>
          <w:lang w:val="en-GB"/>
        </w:rPr>
        <w:t xml:space="preserve"> of the Energy System Operator and </w:t>
      </w:r>
      <w:r w:rsidR="00DF6874" w:rsidRPr="00064403">
        <w:rPr>
          <w:rFonts w:ascii="Times New Roman" w:eastAsia="Times New Roman" w:hAnsi="Times New Roman" w:cs="Times New Roman"/>
          <w:noProof/>
          <w:sz w:val="24"/>
          <w:szCs w:val="24"/>
          <w:lang w:val="en-GB"/>
        </w:rPr>
        <w:t xml:space="preserve">with significant investments </w:t>
      </w:r>
      <w:r w:rsidRPr="00064403">
        <w:rPr>
          <w:rFonts w:ascii="Times New Roman" w:eastAsia="Times New Roman" w:hAnsi="Times New Roman" w:cs="Times New Roman"/>
          <w:noProof/>
          <w:sz w:val="24"/>
          <w:szCs w:val="24"/>
          <w:lang w:val="en-GB"/>
        </w:rPr>
        <w:t xml:space="preserve">in national </w:t>
      </w:r>
      <w:r w:rsidR="00DF6874" w:rsidRPr="00064403">
        <w:rPr>
          <w:rFonts w:ascii="Times New Roman" w:eastAsia="Times New Roman" w:hAnsi="Times New Roman" w:cs="Times New Roman"/>
          <w:noProof/>
          <w:sz w:val="24"/>
          <w:szCs w:val="24"/>
          <w:lang w:val="en-GB"/>
        </w:rPr>
        <w:t>electricity</w:t>
      </w:r>
      <w:r w:rsidRPr="00064403">
        <w:rPr>
          <w:rFonts w:ascii="Times New Roman" w:eastAsia="Times New Roman" w:hAnsi="Times New Roman" w:cs="Times New Roman"/>
          <w:noProof/>
          <w:sz w:val="24"/>
          <w:szCs w:val="24"/>
          <w:lang w:val="en-GB"/>
        </w:rPr>
        <w:t xml:space="preserve"> storage energy infrastructure. </w:t>
      </w:r>
    </w:p>
    <w:p w14:paraId="6B36AA96" w14:textId="500C8EA5" w:rsidR="00C85C16" w:rsidRPr="00E76013" w:rsidRDefault="00C85C16" w:rsidP="00D00A56">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Smart, sustainable and inclusive growth, including economic cohesion, jobs, productivity, competitiveness, research, development and innovation, and a well-functioning single market with strong SMEs</w:t>
      </w:r>
    </w:p>
    <w:p w14:paraId="4ABF499F" w14:textId="72786F99" w:rsidR="00CF6244" w:rsidRDefault="4132243E"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rPr>
        <w:t xml:space="preserve">The </w:t>
      </w:r>
      <w:r w:rsidR="008836A2" w:rsidRPr="00E76013">
        <w:rPr>
          <w:rFonts w:ascii="Times New Roman" w:eastAsia="Times New Roman" w:hAnsi="Times New Roman" w:cs="Times New Roman"/>
          <w:b/>
          <w:noProof/>
          <w:sz w:val="24"/>
          <w:szCs w:val="24"/>
        </w:rPr>
        <w:t>P</w:t>
      </w:r>
      <w:r w:rsidRPr="00E76013">
        <w:rPr>
          <w:rFonts w:ascii="Times New Roman" w:eastAsia="Times New Roman" w:hAnsi="Times New Roman" w:cs="Times New Roman"/>
          <w:b/>
          <w:noProof/>
          <w:sz w:val="24"/>
          <w:szCs w:val="24"/>
        </w:rPr>
        <w:t>lan covers the third pillar effectively</w:t>
      </w:r>
      <w:r w:rsidRPr="00E76013">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b/>
          <w:noProof/>
          <w:sz w:val="24"/>
          <w:szCs w:val="24"/>
        </w:rPr>
        <w:t>including a series of important reforms and investment</w:t>
      </w:r>
      <w:r w:rsidR="000D4D4C">
        <w:rPr>
          <w:rFonts w:ascii="Times New Roman" w:eastAsia="Times New Roman" w:hAnsi="Times New Roman" w:cs="Times New Roman"/>
          <w:b/>
          <w:noProof/>
          <w:sz w:val="24"/>
          <w:szCs w:val="24"/>
        </w:rPr>
        <w:t xml:space="preserve">s. </w:t>
      </w:r>
      <w:r w:rsidR="000D4D4C" w:rsidRPr="004F2DAB">
        <w:rPr>
          <w:rFonts w:ascii="Times New Roman" w:eastAsia="Times New Roman" w:hAnsi="Times New Roman" w:cs="Times New Roman"/>
          <w:noProof/>
          <w:sz w:val="24"/>
          <w:szCs w:val="24"/>
        </w:rPr>
        <w:t>These are</w:t>
      </w:r>
      <w:r w:rsidRPr="00E76013">
        <w:rPr>
          <w:rFonts w:ascii="Times New Roman" w:eastAsia="Times New Roman" w:hAnsi="Times New Roman" w:cs="Times New Roman"/>
          <w:b/>
          <w:noProof/>
          <w:sz w:val="24"/>
          <w:szCs w:val="24"/>
        </w:rPr>
        <w:t xml:space="preserve"> </w:t>
      </w:r>
      <w:r w:rsidRPr="00E76013">
        <w:rPr>
          <w:rFonts w:ascii="Times New Roman" w:eastAsia="Times New Roman" w:hAnsi="Times New Roman" w:cs="Times New Roman"/>
          <w:noProof/>
          <w:sz w:val="24"/>
          <w:szCs w:val="24"/>
        </w:rPr>
        <w:t xml:space="preserve">aimed </w:t>
      </w:r>
      <w:r w:rsidR="00F8603C" w:rsidRPr="00E76013">
        <w:rPr>
          <w:rFonts w:ascii="Times New Roman" w:eastAsia="Times New Roman" w:hAnsi="Times New Roman" w:cs="Times New Roman"/>
          <w:noProof/>
          <w:sz w:val="24"/>
          <w:szCs w:val="24"/>
        </w:rPr>
        <w:t>at improving</w:t>
      </w:r>
      <w:r w:rsidRPr="00E76013">
        <w:rPr>
          <w:rFonts w:ascii="Times New Roman" w:eastAsia="Times New Roman" w:hAnsi="Times New Roman" w:cs="Times New Roman"/>
          <w:noProof/>
          <w:sz w:val="24"/>
          <w:szCs w:val="24"/>
        </w:rPr>
        <w:t xml:space="preserve"> the research and innovation ecosystem</w:t>
      </w:r>
      <w:r w:rsidR="4B397722" w:rsidRPr="00E76013">
        <w:rPr>
          <w:rFonts w:ascii="Times New Roman" w:eastAsia="Times New Roman" w:hAnsi="Times New Roman" w:cs="Times New Roman"/>
          <w:noProof/>
          <w:sz w:val="24"/>
          <w:szCs w:val="24"/>
        </w:rPr>
        <w:t xml:space="preserve">, </w:t>
      </w:r>
      <w:r w:rsidR="00F8603C" w:rsidRPr="00E76013">
        <w:rPr>
          <w:rFonts w:ascii="Times New Roman" w:eastAsia="Times New Roman" w:hAnsi="Times New Roman" w:cs="Times New Roman"/>
          <w:noProof/>
          <w:sz w:val="24"/>
          <w:szCs w:val="24"/>
        </w:rPr>
        <w:t xml:space="preserve">further developing e-government services, digitalizing the construction sector by introducing Building Information Modelling, </w:t>
      </w:r>
      <w:r w:rsidR="4B397722" w:rsidRPr="00E76013">
        <w:rPr>
          <w:rFonts w:ascii="Times New Roman" w:eastAsia="Times New Roman" w:hAnsi="Times New Roman" w:cs="Times New Roman"/>
          <w:noProof/>
          <w:sz w:val="24"/>
          <w:szCs w:val="24"/>
        </w:rPr>
        <w:t xml:space="preserve">creating </w:t>
      </w:r>
      <w:r w:rsidR="002D624D" w:rsidRPr="00E76013">
        <w:rPr>
          <w:rFonts w:ascii="Times New Roman" w:eastAsia="Times New Roman" w:hAnsi="Times New Roman" w:cs="Times New Roman"/>
          <w:noProof/>
          <w:sz w:val="24"/>
          <w:szCs w:val="24"/>
        </w:rPr>
        <w:t>favorable</w:t>
      </w:r>
      <w:r w:rsidR="4B397722" w:rsidRPr="00E76013">
        <w:rPr>
          <w:rFonts w:ascii="Times New Roman" w:eastAsia="Times New Roman" w:hAnsi="Times New Roman" w:cs="Times New Roman"/>
          <w:noProof/>
          <w:sz w:val="24"/>
          <w:szCs w:val="24"/>
        </w:rPr>
        <w:t xml:space="preserve"> conditions for private investment and </w:t>
      </w:r>
      <w:r w:rsidRPr="00E76013">
        <w:rPr>
          <w:rFonts w:ascii="Times New Roman" w:eastAsia="Times New Roman" w:hAnsi="Times New Roman" w:cs="Times New Roman"/>
          <w:noProof/>
          <w:sz w:val="24"/>
          <w:szCs w:val="24"/>
        </w:rPr>
        <w:t xml:space="preserve">supporting businesses, in particular small and medium </w:t>
      </w:r>
      <w:r w:rsidR="006B4EED">
        <w:rPr>
          <w:rFonts w:ascii="Times New Roman" w:eastAsia="Times New Roman" w:hAnsi="Times New Roman" w:cs="Times New Roman"/>
          <w:noProof/>
          <w:sz w:val="24"/>
          <w:szCs w:val="24"/>
        </w:rPr>
        <w:t xml:space="preserve">sized </w:t>
      </w:r>
      <w:r w:rsidRPr="00E76013">
        <w:rPr>
          <w:rFonts w:ascii="Times New Roman" w:eastAsia="Times New Roman" w:hAnsi="Times New Roman" w:cs="Times New Roman"/>
          <w:noProof/>
          <w:sz w:val="24"/>
          <w:szCs w:val="24"/>
        </w:rPr>
        <w:t xml:space="preserve">enterprises </w:t>
      </w:r>
      <w:r w:rsidR="78A9172D" w:rsidRPr="00E76013">
        <w:rPr>
          <w:rFonts w:ascii="Times New Roman" w:eastAsia="Times New Roman" w:hAnsi="Times New Roman" w:cs="Times New Roman"/>
          <w:noProof/>
          <w:sz w:val="24"/>
          <w:szCs w:val="24"/>
        </w:rPr>
        <w:t>and</w:t>
      </w:r>
      <w:r w:rsidR="5CF1525E" w:rsidRPr="00E76013">
        <w:rPr>
          <w:rFonts w:ascii="Times New Roman" w:eastAsia="Times New Roman" w:hAnsi="Times New Roman" w:cs="Times New Roman"/>
          <w:noProof/>
          <w:sz w:val="24"/>
          <w:szCs w:val="24"/>
        </w:rPr>
        <w:t xml:space="preserve"> enterprises and </w:t>
      </w:r>
      <w:r w:rsidR="47EB08CC" w:rsidRPr="00E76013">
        <w:rPr>
          <w:rFonts w:ascii="Times New Roman" w:eastAsia="Times New Roman" w:hAnsi="Times New Roman" w:cs="Times New Roman"/>
          <w:noProof/>
          <w:sz w:val="24"/>
          <w:szCs w:val="24"/>
        </w:rPr>
        <w:t>auto-entrepreneurs of</w:t>
      </w:r>
      <w:r w:rsidR="5CF1525E" w:rsidRPr="00E76013">
        <w:rPr>
          <w:rFonts w:ascii="Times New Roman" w:eastAsia="Times New Roman" w:hAnsi="Times New Roman" w:cs="Times New Roman"/>
          <w:noProof/>
          <w:sz w:val="24"/>
          <w:szCs w:val="24"/>
        </w:rPr>
        <w:t xml:space="preserve"> the creative and cultural sectors</w:t>
      </w:r>
    </w:p>
    <w:p w14:paraId="45236FF0" w14:textId="13D7070A" w:rsidR="00591B0A" w:rsidRPr="00E76013" w:rsidRDefault="236C9040" w:rsidP="00D00A56">
      <w:pPr>
        <w:spacing w:line="276" w:lineRule="auto"/>
        <w:jc w:val="both"/>
        <w:rPr>
          <w:rFonts w:ascii="Times New Roman" w:eastAsia="Times New Roman" w:hAnsi="Times New Roman" w:cs="Times New Roman"/>
          <w:noProof/>
          <w:sz w:val="24"/>
          <w:szCs w:val="24"/>
          <w:lang w:val="en-GB"/>
        </w:rPr>
      </w:pPr>
      <w:r w:rsidRPr="00364198">
        <w:rPr>
          <w:rFonts w:ascii="Times New Roman" w:eastAsia="Times New Roman" w:hAnsi="Times New Roman" w:cs="Times New Roman"/>
          <w:b/>
          <w:noProof/>
          <w:sz w:val="24"/>
          <w:szCs w:val="24"/>
          <w:lang w:val="en-GB"/>
        </w:rPr>
        <w:t xml:space="preserve">The </w:t>
      </w:r>
      <w:r w:rsidR="12616710" w:rsidRPr="00364198">
        <w:rPr>
          <w:rFonts w:ascii="Times New Roman" w:eastAsia="Times New Roman" w:hAnsi="Times New Roman" w:cs="Times New Roman"/>
          <w:b/>
          <w:noProof/>
          <w:sz w:val="24"/>
          <w:szCs w:val="24"/>
          <w:lang w:val="en-GB"/>
        </w:rPr>
        <w:t>P</w:t>
      </w:r>
      <w:r w:rsidRPr="00364198">
        <w:rPr>
          <w:rFonts w:ascii="Times New Roman" w:eastAsia="Times New Roman" w:hAnsi="Times New Roman" w:cs="Times New Roman"/>
          <w:b/>
          <w:noProof/>
          <w:sz w:val="24"/>
          <w:szCs w:val="24"/>
          <w:lang w:val="en-GB"/>
        </w:rPr>
        <w:t xml:space="preserve">lan includes measures aimed at </w:t>
      </w:r>
      <w:r w:rsidRPr="00E76013">
        <w:rPr>
          <w:rFonts w:ascii="Times New Roman" w:eastAsia="Times New Roman" w:hAnsi="Times New Roman" w:cs="Times New Roman"/>
          <w:b/>
          <w:bCs/>
          <w:noProof/>
          <w:sz w:val="24"/>
          <w:szCs w:val="24"/>
          <w:lang w:val="en-GB"/>
        </w:rPr>
        <w:t xml:space="preserve">improving the innovation output of Bulgaria, fostering </w:t>
      </w:r>
      <w:r w:rsidR="000D4D4C">
        <w:rPr>
          <w:rFonts w:ascii="Times New Roman" w:eastAsia="Times New Roman" w:hAnsi="Times New Roman" w:cs="Times New Roman"/>
          <w:b/>
          <w:bCs/>
          <w:noProof/>
          <w:sz w:val="24"/>
          <w:szCs w:val="24"/>
          <w:lang w:val="en-GB"/>
        </w:rPr>
        <w:t xml:space="preserve">the </w:t>
      </w:r>
      <w:r w:rsidRPr="00E76013">
        <w:rPr>
          <w:rFonts w:ascii="Times New Roman" w:eastAsia="Times New Roman" w:hAnsi="Times New Roman" w:cs="Times New Roman"/>
          <w:b/>
          <w:bCs/>
          <w:noProof/>
          <w:sz w:val="24"/>
          <w:szCs w:val="24"/>
          <w:lang w:val="en-GB"/>
        </w:rPr>
        <w:t>technology transfer and commercialization of research results, thus spurring its economic growth in the medium and long term.</w:t>
      </w:r>
      <w:r w:rsidRPr="00E76013">
        <w:rPr>
          <w:rFonts w:ascii="Times New Roman" w:eastAsia="Times New Roman" w:hAnsi="Times New Roman" w:cs="Times New Roman"/>
          <w:noProof/>
          <w:sz w:val="24"/>
          <w:szCs w:val="24"/>
          <w:lang w:val="en-GB"/>
        </w:rPr>
        <w:t xml:space="preserve"> In terms of reforms, the research and innovation component includes the establishment of the Ministry of Innovation and Growth, with the mandate to define the innovation policy, supporting the enhancement of innovation output and innovation-driven culture, the transfer of technology and knowledge, and the promotion of scientific development in the industry. The newly established Ministry shall steer, together with the Ministry of Education and Science, the preparation of the Research and Innovation Act, which, once entered into force, </w:t>
      </w:r>
      <w:r w:rsidR="002218CC">
        <w:rPr>
          <w:rFonts w:ascii="Times New Roman" w:eastAsia="Times New Roman" w:hAnsi="Times New Roman" w:cs="Times New Roman"/>
          <w:noProof/>
          <w:sz w:val="24"/>
          <w:szCs w:val="24"/>
          <w:lang w:val="en-GB"/>
        </w:rPr>
        <w:t xml:space="preserve">will </w:t>
      </w:r>
      <w:r w:rsidRPr="00E76013">
        <w:rPr>
          <w:rFonts w:ascii="Times New Roman" w:eastAsia="Times New Roman" w:hAnsi="Times New Roman" w:cs="Times New Roman"/>
          <w:noProof/>
          <w:sz w:val="24"/>
          <w:szCs w:val="24"/>
          <w:lang w:val="en-GB"/>
        </w:rPr>
        <w:t xml:space="preserve">define the legislative parameters of the national policy for the development and financing of research, innovation and technology and regulate the role of each of the institutions involved in research and innovation policy. The creation of an Innovation Board composed of experts, with advisory functions, is expected to support the definition and implementation of innovation policy and ensure effective involvement of all the relevant stakeholders. The </w:t>
      </w:r>
      <w:r w:rsidR="7FF2F71E"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further contains investment measures aimed at providing funds for research and innovation activities by SMEs and higher education institutions and at </w:t>
      </w:r>
      <w:r w:rsidR="7F314668" w:rsidRPr="00E76013">
        <w:rPr>
          <w:rFonts w:ascii="Times New Roman" w:eastAsia="Times New Roman" w:hAnsi="Times New Roman" w:cs="Times New Roman"/>
          <w:noProof/>
          <w:sz w:val="24"/>
          <w:szCs w:val="24"/>
          <w:lang w:val="en-GB"/>
        </w:rPr>
        <w:t xml:space="preserve">enhancing the innovation capacity of the Bulgarian Academy of Science, by upgrading and renovating its infrastructure and by financing research projects in particular in the field of green and digital technologies. </w:t>
      </w:r>
      <w:r w:rsidR="75D5A8A9" w:rsidRPr="00E76013">
        <w:rPr>
          <w:rFonts w:ascii="Times New Roman" w:eastAsia="Times New Roman" w:hAnsi="Times New Roman" w:cs="Times New Roman"/>
          <w:noProof/>
          <w:sz w:val="24"/>
          <w:szCs w:val="24"/>
          <w:lang w:val="en-GB"/>
        </w:rPr>
        <w:t xml:space="preserve">Measures in the Plan also support the promotion of </w:t>
      </w:r>
      <w:r w:rsidR="2FFDC3EA" w:rsidRPr="00E76013">
        <w:rPr>
          <w:rFonts w:ascii="Times New Roman" w:eastAsia="Times New Roman" w:hAnsi="Times New Roman" w:cs="Times New Roman"/>
          <w:noProof/>
          <w:sz w:val="24"/>
          <w:szCs w:val="24"/>
          <w:lang w:val="en-GB"/>
        </w:rPr>
        <w:t xml:space="preserve">the products and services of </w:t>
      </w:r>
      <w:r w:rsidR="75D5A8A9" w:rsidRPr="00E76013">
        <w:rPr>
          <w:rFonts w:ascii="Times New Roman" w:eastAsia="Times New Roman" w:hAnsi="Times New Roman" w:cs="Times New Roman"/>
          <w:noProof/>
          <w:sz w:val="24"/>
          <w:szCs w:val="24"/>
          <w:lang w:val="en-GB"/>
        </w:rPr>
        <w:t>the cultural and creative sectors</w:t>
      </w:r>
      <w:r w:rsidR="2642C804" w:rsidRPr="00E76013">
        <w:rPr>
          <w:rFonts w:ascii="Times New Roman" w:eastAsia="Times New Roman" w:hAnsi="Times New Roman" w:cs="Times New Roman"/>
          <w:noProof/>
          <w:sz w:val="24"/>
          <w:szCs w:val="24"/>
          <w:lang w:val="en-GB"/>
        </w:rPr>
        <w:t>.</w:t>
      </w:r>
      <w:r w:rsidR="004F2DAB">
        <w:rPr>
          <w:rFonts w:ascii="Times New Roman" w:eastAsia="Times New Roman" w:hAnsi="Times New Roman" w:cs="Times New Roman"/>
          <w:noProof/>
          <w:sz w:val="24"/>
          <w:szCs w:val="24"/>
          <w:lang w:val="en-GB"/>
        </w:rPr>
        <w:t xml:space="preserve"> </w:t>
      </w:r>
    </w:p>
    <w:p w14:paraId="219D1886" w14:textId="2678B5DA" w:rsidR="006B4EED" w:rsidRPr="00E76013" w:rsidRDefault="7DB7B270" w:rsidP="006B4EED">
      <w:pPr>
        <w:spacing w:line="276" w:lineRule="auto"/>
        <w:jc w:val="both"/>
        <w:rPr>
          <w:rFonts w:ascii="Times New Roman" w:eastAsia="Times New Roman" w:hAnsi="Times New Roman" w:cs="Times New Roman"/>
          <w:noProof/>
          <w:sz w:val="24"/>
          <w:szCs w:val="24"/>
          <w:lang w:val="en-GB"/>
        </w:rPr>
      </w:pPr>
      <w:r w:rsidRPr="2C9B3F24">
        <w:rPr>
          <w:rFonts w:ascii="Times New Roman" w:eastAsia="Times New Roman" w:hAnsi="Times New Roman" w:cs="Times New Roman"/>
          <w:b/>
          <w:bCs/>
          <w:noProof/>
          <w:sz w:val="24"/>
          <w:szCs w:val="24"/>
          <w:lang w:val="en-GB"/>
        </w:rPr>
        <w:t>A</w:t>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b/>
          <w:bCs/>
          <w:noProof/>
          <w:sz w:val="24"/>
          <w:szCs w:val="24"/>
          <w:lang w:val="en-GB"/>
        </w:rPr>
        <w:t xml:space="preserve">coherent package </w:t>
      </w:r>
      <w:r w:rsidRPr="2C9B3F24">
        <w:rPr>
          <w:rFonts w:ascii="Times New Roman" w:eastAsia="Times New Roman" w:hAnsi="Times New Roman" w:cs="Times New Roman"/>
          <w:b/>
          <w:bCs/>
          <w:noProof/>
          <w:sz w:val="24"/>
          <w:szCs w:val="24"/>
          <w:lang w:val="en-GB"/>
        </w:rPr>
        <w:t>of measures in the Plan aim to create</w:t>
      </w:r>
      <w:r w:rsidRPr="00E76013">
        <w:rPr>
          <w:rFonts w:ascii="Times New Roman" w:eastAsia="Times New Roman" w:hAnsi="Times New Roman" w:cs="Times New Roman"/>
          <w:b/>
          <w:bCs/>
          <w:noProof/>
          <w:sz w:val="24"/>
          <w:szCs w:val="24"/>
          <w:lang w:val="en-GB"/>
        </w:rPr>
        <w:t xml:space="preserve"> favourable conditions for investments in industrial parks and zones.</w:t>
      </w:r>
      <w:r w:rsidRPr="00E76013">
        <w:rPr>
          <w:rFonts w:ascii="Times New Roman" w:eastAsia="Times New Roman" w:hAnsi="Times New Roman" w:cs="Times New Roman"/>
          <w:noProof/>
          <w:sz w:val="24"/>
          <w:szCs w:val="24"/>
          <w:lang w:val="en-GB"/>
        </w:rPr>
        <w:t xml:space="preserve"> This is achieved first trough the entry into force of the Industrial Parks Act, which aims at defining, among other things, the rules governing the parks and the benefits for investors. In addition, a dedicated competitive grant scheme addressed at parks and zones operators is expected to support the creation of the infrastructure for the effective establishment of businesses. </w:t>
      </w:r>
      <w:r w:rsidRPr="36F18C84">
        <w:rPr>
          <w:rFonts w:ascii="Times New Roman" w:eastAsia="Times New Roman" w:hAnsi="Times New Roman" w:cs="Times New Roman"/>
          <w:noProof/>
          <w:sz w:val="24"/>
          <w:szCs w:val="24"/>
          <w:lang w:val="en-GB"/>
        </w:rPr>
        <w:t>Furthermore, t</w:t>
      </w:r>
      <w:r w:rsidRPr="00E76013">
        <w:rPr>
          <w:rFonts w:ascii="Times New Roman" w:eastAsia="Times New Roman" w:hAnsi="Times New Roman" w:cs="Times New Roman"/>
          <w:noProof/>
          <w:sz w:val="24"/>
          <w:szCs w:val="24"/>
          <w:lang w:val="en-GB"/>
        </w:rPr>
        <w:t xml:space="preserve">he Plan contains an extensive programme for supporting the innovation and growth of Bulgarian businesses in their green and digital transition. The programme, mainly addressed at SMEs and mid-capitalization companies, is composed of a guarantee schemes, equity instruments and competitive grants, including dedicated support schemes for growth and technological modernization, for innovation, for information and communication technology and cybersecurity in SMEs, for renewable </w:t>
      </w:r>
      <w:r w:rsidRPr="36F18C84">
        <w:rPr>
          <w:rFonts w:ascii="Times New Roman" w:eastAsia="Times New Roman" w:hAnsi="Times New Roman" w:cs="Times New Roman"/>
          <w:noProof/>
          <w:sz w:val="24"/>
          <w:szCs w:val="24"/>
          <w:lang w:val="en-GB"/>
        </w:rPr>
        <w:t xml:space="preserve">energy </w:t>
      </w:r>
      <w:r w:rsidRPr="00E76013">
        <w:rPr>
          <w:rFonts w:ascii="Times New Roman" w:eastAsia="Times New Roman" w:hAnsi="Times New Roman" w:cs="Times New Roman"/>
          <w:noProof/>
          <w:sz w:val="24"/>
          <w:szCs w:val="24"/>
          <w:lang w:val="en-GB"/>
        </w:rPr>
        <w:t>systems and energy storage facilities, for energy efficiency and renewable energy, for climate neutrality and digital transformation investments.</w:t>
      </w:r>
      <w:r w:rsidRPr="36F18C84">
        <w:rPr>
          <w:rFonts w:ascii="Times New Roman" w:eastAsia="Times New Roman" w:hAnsi="Times New Roman" w:cs="Times New Roman"/>
          <w:noProof/>
          <w:sz w:val="24"/>
          <w:szCs w:val="24"/>
          <w:lang w:val="en-GB"/>
        </w:rPr>
        <w:t xml:space="preserve"> Overall, the plan will contribute to achieving the objectives of the updated Industrial Strategy</w:t>
      </w:r>
      <w:r w:rsidR="006B4EED" w:rsidRPr="00D538E6">
        <w:rPr>
          <w:rFonts w:ascii="Times New Roman" w:eastAsia="Times New Roman" w:hAnsi="Times New Roman" w:cs="Times New Roman"/>
          <w:noProof/>
          <w:sz w:val="24"/>
          <w:szCs w:val="24"/>
          <w:vertAlign w:val="superscript"/>
          <w:lang w:val="en-GB"/>
        </w:rPr>
        <w:footnoteReference w:id="14"/>
      </w:r>
      <w:r w:rsidRPr="36F18C84">
        <w:rPr>
          <w:rFonts w:ascii="Times New Roman" w:eastAsia="Times New Roman" w:hAnsi="Times New Roman" w:cs="Times New Roman"/>
          <w:noProof/>
          <w:sz w:val="24"/>
          <w:szCs w:val="24"/>
          <w:lang w:val="en-GB"/>
        </w:rPr>
        <w:t xml:space="preserve"> for making the EU industry more competitive globally, enhancing open strategic autonomy and fostering the twin transition.</w:t>
      </w:r>
    </w:p>
    <w:p w14:paraId="1804EEF1" w14:textId="4BA84FEE" w:rsidR="00C85C16" w:rsidRPr="00E76013" w:rsidRDefault="00C85C16" w:rsidP="00D00A56">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Social and territorial cohesion</w:t>
      </w:r>
    </w:p>
    <w:p w14:paraId="16448DF4" w14:textId="6A850648" w:rsidR="00591B0A" w:rsidRPr="00E76013" w:rsidRDefault="6BEFE1C0"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w:t>
      </w:r>
      <w:r w:rsidR="23352C2A"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 extensively covers the fourth pillar, contributing adequately to its overall coherence.</w:t>
      </w:r>
      <w:r w:rsidRPr="00E76013">
        <w:rPr>
          <w:rFonts w:ascii="Times New Roman" w:eastAsia="Times New Roman" w:hAnsi="Times New Roman" w:cs="Times New Roman"/>
          <w:noProof/>
          <w:sz w:val="24"/>
          <w:szCs w:val="24"/>
          <w:lang w:val="en-GB"/>
        </w:rPr>
        <w:t xml:space="preserve"> </w:t>
      </w:r>
      <w:r w:rsidR="4FD32E9B" w:rsidRPr="00E76013">
        <w:rPr>
          <w:rFonts w:ascii="Times New Roman" w:eastAsia="Times New Roman" w:hAnsi="Times New Roman" w:cs="Times New Roman"/>
          <w:noProof/>
          <w:sz w:val="24"/>
          <w:szCs w:val="24"/>
          <w:lang w:val="en-GB"/>
        </w:rPr>
        <w:t xml:space="preserve">The </w:t>
      </w:r>
      <w:r w:rsidR="23352C2A" w:rsidRPr="00E76013">
        <w:rPr>
          <w:rFonts w:ascii="Times New Roman" w:eastAsia="Times New Roman" w:hAnsi="Times New Roman" w:cs="Times New Roman"/>
          <w:noProof/>
          <w:sz w:val="24"/>
          <w:szCs w:val="24"/>
          <w:lang w:val="en-GB"/>
        </w:rPr>
        <w:t>P</w:t>
      </w:r>
      <w:r w:rsidR="4FD32E9B" w:rsidRPr="00E76013">
        <w:rPr>
          <w:rFonts w:ascii="Times New Roman" w:eastAsia="Times New Roman" w:hAnsi="Times New Roman" w:cs="Times New Roman"/>
          <w:noProof/>
          <w:sz w:val="24"/>
          <w:szCs w:val="24"/>
          <w:lang w:val="en-GB"/>
        </w:rPr>
        <w:t xml:space="preserve">lan contains some measures that are expected to contribute to addressing the country’s challenges in the area of </w:t>
      </w:r>
      <w:r w:rsidR="20EC895B" w:rsidRPr="00E76013">
        <w:rPr>
          <w:rFonts w:ascii="Times New Roman" w:eastAsia="Times New Roman" w:hAnsi="Times New Roman" w:cs="Times New Roman"/>
          <w:noProof/>
          <w:sz w:val="24"/>
          <w:szCs w:val="24"/>
          <w:lang w:val="en-GB"/>
        </w:rPr>
        <w:t xml:space="preserve">up- and re-skilling, with a focus on vulnerable groups. </w:t>
      </w:r>
      <w:r w:rsidR="4FD32E9B" w:rsidRPr="00E76013">
        <w:rPr>
          <w:rFonts w:ascii="Times New Roman" w:eastAsia="Times New Roman" w:hAnsi="Times New Roman" w:cs="Times New Roman"/>
          <w:noProof/>
          <w:sz w:val="24"/>
          <w:szCs w:val="24"/>
          <w:lang w:val="en-GB"/>
        </w:rPr>
        <w:t>The education and skills component is expected to contribute to improving labour market inclusion by providing trainings addressing skills shortages, including digital skills, of a large fraction of the Bulgarian population. Trainings are expected to be carried out in person and through an online</w:t>
      </w:r>
      <w:r w:rsidR="20EC895B" w:rsidRPr="00E76013">
        <w:rPr>
          <w:rFonts w:ascii="Times New Roman" w:eastAsia="Times New Roman" w:hAnsi="Times New Roman" w:cs="Times New Roman"/>
          <w:noProof/>
          <w:sz w:val="24"/>
          <w:szCs w:val="24"/>
          <w:lang w:val="en-GB"/>
        </w:rPr>
        <w:t xml:space="preserve"> platform for adult learning linked to the public employment services. Support to attend trainings, with a focus on vulnerable groups, is expected to be provided throughout the country via the establishment of a network of digital clubs, where access will be granted free of charges. Similarly, the investment in youth </w:t>
      </w:r>
      <w:r w:rsidR="006F3F3A" w:rsidRPr="00E76013">
        <w:rPr>
          <w:rFonts w:ascii="Times New Roman" w:eastAsia="Times New Roman" w:hAnsi="Times New Roman" w:cs="Times New Roman"/>
          <w:noProof/>
          <w:sz w:val="24"/>
          <w:szCs w:val="24"/>
          <w:lang w:val="en-GB"/>
        </w:rPr>
        <w:t>centres</w:t>
      </w:r>
      <w:r w:rsidR="20EC895B" w:rsidRPr="00E76013">
        <w:rPr>
          <w:rFonts w:ascii="Times New Roman" w:eastAsia="Times New Roman" w:hAnsi="Times New Roman" w:cs="Times New Roman"/>
          <w:noProof/>
          <w:sz w:val="24"/>
          <w:szCs w:val="24"/>
          <w:lang w:val="en-GB"/>
        </w:rPr>
        <w:t xml:space="preserve"> targets the labour market integration and skill development of young people, with a focus on the youth from vulnerable groups, including Roma. Additional measures are expected to increase the labour market relevance of the educational and training systems, notably a reform of </w:t>
      </w:r>
      <w:r w:rsidR="4CC0D468" w:rsidRPr="00E76013">
        <w:rPr>
          <w:rFonts w:ascii="Times New Roman" w:eastAsia="Times New Roman" w:hAnsi="Times New Roman" w:cs="Times New Roman"/>
          <w:noProof/>
          <w:sz w:val="24"/>
          <w:szCs w:val="24"/>
          <w:lang w:val="en-GB"/>
        </w:rPr>
        <w:t>the regulatory frameworks for higher and vocational education and training, complemented by an investment in educational infrastructures, which also covers vocational upper secondary schools</w:t>
      </w:r>
      <w:r w:rsidR="4FD32E9B" w:rsidRPr="00E76013">
        <w:rPr>
          <w:rFonts w:ascii="Times New Roman" w:eastAsia="Times New Roman" w:hAnsi="Times New Roman" w:cs="Times New Roman"/>
          <w:noProof/>
          <w:sz w:val="24"/>
          <w:szCs w:val="24"/>
          <w:lang w:val="en-GB"/>
        </w:rPr>
        <w:t xml:space="preserve">. </w:t>
      </w:r>
    </w:p>
    <w:p w14:paraId="687CF73B" w14:textId="5EADE7DF" w:rsidR="00591B0A" w:rsidRPr="00E76013" w:rsidRDefault="6739B502" w:rsidP="00D00A56">
      <w:pPr>
        <w:spacing w:line="276" w:lineRule="auto"/>
        <w:jc w:val="both"/>
        <w:rPr>
          <w:rFonts w:ascii="Times New Roman" w:eastAsia="Times New Roman" w:hAnsi="Times New Roman" w:cs="Times New Roman"/>
          <w:noProof/>
          <w:sz w:val="24"/>
          <w:szCs w:val="24"/>
          <w:lang w:val="en-GB"/>
        </w:rPr>
      </w:pPr>
      <w:r w:rsidRPr="43EBFC6F">
        <w:rPr>
          <w:rFonts w:ascii="Times New Roman" w:eastAsia="Times New Roman" w:hAnsi="Times New Roman" w:cs="Times New Roman"/>
          <w:b/>
          <w:bCs/>
          <w:noProof/>
          <w:sz w:val="24"/>
          <w:szCs w:val="24"/>
          <w:lang w:val="en-GB"/>
        </w:rPr>
        <w:t>A number of measures in t</w:t>
      </w:r>
      <w:r w:rsidRPr="00E76013">
        <w:rPr>
          <w:rFonts w:ascii="Times New Roman" w:eastAsia="Times New Roman" w:hAnsi="Times New Roman" w:cs="Times New Roman"/>
          <w:b/>
          <w:bCs/>
          <w:noProof/>
          <w:sz w:val="24"/>
          <w:szCs w:val="24"/>
          <w:lang w:val="en-GB"/>
        </w:rPr>
        <w:t xml:space="preserve">he </w:t>
      </w:r>
      <w:r w:rsidR="720D596E"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w:t>
      </w:r>
      <w:r w:rsidRPr="43EBFC6F">
        <w:rPr>
          <w:rFonts w:ascii="Times New Roman" w:eastAsia="Times New Roman" w:hAnsi="Times New Roman" w:cs="Times New Roman"/>
          <w:b/>
          <w:bCs/>
          <w:noProof/>
          <w:sz w:val="24"/>
          <w:szCs w:val="24"/>
          <w:lang w:val="en-GB"/>
        </w:rPr>
        <w:t xml:space="preserve"> are expected to</w:t>
      </w:r>
      <w:r w:rsidRPr="00E76013">
        <w:rPr>
          <w:rFonts w:ascii="Times New Roman" w:eastAsia="Times New Roman" w:hAnsi="Times New Roman" w:cs="Times New Roman"/>
          <w:b/>
          <w:bCs/>
          <w:noProof/>
          <w:sz w:val="24"/>
          <w:szCs w:val="24"/>
          <w:lang w:val="en-GB"/>
        </w:rPr>
        <w:t xml:space="preserve"> strengthen social cohesion, </w:t>
      </w:r>
      <w:r w:rsidRPr="00E76013">
        <w:rPr>
          <w:rFonts w:ascii="Times New Roman" w:eastAsia="Times New Roman" w:hAnsi="Times New Roman" w:cs="Times New Roman"/>
          <w:noProof/>
          <w:sz w:val="24"/>
          <w:szCs w:val="24"/>
          <w:lang w:val="en-GB"/>
        </w:rPr>
        <w:t xml:space="preserve">with the potential to contribute to addressing the shortcomings in the </w:t>
      </w:r>
      <w:r w:rsidR="3203BB6A" w:rsidRPr="00E76013">
        <w:rPr>
          <w:rFonts w:ascii="Times New Roman" w:eastAsia="Times New Roman" w:hAnsi="Times New Roman" w:cs="Times New Roman"/>
          <w:noProof/>
          <w:sz w:val="24"/>
          <w:szCs w:val="24"/>
          <w:lang w:val="en-GB"/>
        </w:rPr>
        <w:t xml:space="preserve">provision of employment services and of the Bulgarian social protection system. </w:t>
      </w:r>
      <w:r w:rsidR="4FD32E9B" w:rsidRPr="00E76013">
        <w:rPr>
          <w:rFonts w:ascii="Times New Roman" w:eastAsia="Times New Roman" w:hAnsi="Times New Roman" w:cs="Times New Roman"/>
          <w:noProof/>
          <w:sz w:val="24"/>
          <w:szCs w:val="24"/>
          <w:lang w:val="en-GB"/>
        </w:rPr>
        <w:t>Employment services are expected to improve as a result of the implementation of measures included in the social inclusion component, namely</w:t>
      </w:r>
      <w:r w:rsidR="58C5613D" w:rsidRPr="00E76013">
        <w:rPr>
          <w:rFonts w:ascii="Times New Roman" w:eastAsia="Times New Roman" w:hAnsi="Times New Roman" w:cs="Times New Roman"/>
          <w:noProof/>
          <w:sz w:val="24"/>
          <w:szCs w:val="24"/>
          <w:lang w:val="en-GB"/>
        </w:rPr>
        <w:t xml:space="preserve"> an investment targeting the modernisation of the IT systems of the Employment Agency, with positive implications for the quality of the service provision of the Agency. The social inclusion component also includes </w:t>
      </w:r>
      <w:r w:rsidR="3203BB6A" w:rsidRPr="00E76013">
        <w:rPr>
          <w:rFonts w:ascii="Times New Roman" w:eastAsia="Times New Roman" w:hAnsi="Times New Roman" w:cs="Times New Roman"/>
          <w:noProof/>
          <w:sz w:val="24"/>
          <w:szCs w:val="24"/>
          <w:lang w:val="en-GB"/>
        </w:rPr>
        <w:t>a reform of the minimum income scheme</w:t>
      </w:r>
      <w:r w:rsidR="00A07B3E">
        <w:rPr>
          <w:rFonts w:ascii="Times New Roman" w:eastAsia="Times New Roman" w:hAnsi="Times New Roman" w:cs="Times New Roman"/>
          <w:noProof/>
          <w:sz w:val="24"/>
          <w:szCs w:val="24"/>
          <w:lang w:val="en-GB"/>
        </w:rPr>
        <w:t xml:space="preserve"> benefitting adults and children</w:t>
      </w:r>
      <w:r w:rsidR="3203BB6A" w:rsidRPr="00E76013">
        <w:rPr>
          <w:rFonts w:ascii="Times New Roman" w:eastAsia="Times New Roman" w:hAnsi="Times New Roman" w:cs="Times New Roman"/>
          <w:noProof/>
          <w:sz w:val="24"/>
          <w:szCs w:val="24"/>
          <w:lang w:val="en-GB"/>
        </w:rPr>
        <w:t xml:space="preserve">, which is expected to contribute to addressing social challenges observed in the areas of poverty, social exclusion and income inequality, and </w:t>
      </w:r>
      <w:r w:rsidR="58C5613D" w:rsidRPr="00E76013">
        <w:rPr>
          <w:rFonts w:ascii="Times New Roman" w:eastAsia="Times New Roman" w:hAnsi="Times New Roman" w:cs="Times New Roman"/>
          <w:noProof/>
          <w:sz w:val="24"/>
          <w:szCs w:val="24"/>
          <w:lang w:val="en-GB"/>
        </w:rPr>
        <w:t>an investment to promote</w:t>
      </w:r>
      <w:r w:rsidR="436BFEFC" w:rsidRPr="00E76013">
        <w:rPr>
          <w:rFonts w:ascii="Times New Roman" w:eastAsia="Times New Roman" w:hAnsi="Times New Roman" w:cs="Times New Roman"/>
          <w:noProof/>
          <w:sz w:val="24"/>
          <w:szCs w:val="24"/>
          <w:lang w:val="en-GB"/>
        </w:rPr>
        <w:t xml:space="preserve"> the products and services of the social and solidarity economy enterprises and organisations, thus supporting the further development of the social economy.</w:t>
      </w:r>
      <w:r w:rsidR="6BEFE1C0" w:rsidRPr="00E76013">
        <w:rPr>
          <w:rFonts w:ascii="Times New Roman" w:eastAsia="Times New Roman" w:hAnsi="Times New Roman" w:cs="Times New Roman"/>
          <w:noProof/>
          <w:sz w:val="24"/>
          <w:szCs w:val="24"/>
          <w:lang w:val="en-GB"/>
        </w:rPr>
        <w:t xml:space="preserve"> </w:t>
      </w:r>
    </w:p>
    <w:p w14:paraId="3D7307F8" w14:textId="17860CF3" w:rsidR="00FC35AB" w:rsidRDefault="6BEFE1C0" w:rsidP="007F72DC">
      <w:pPr>
        <w:spacing w:line="276" w:lineRule="auto"/>
        <w:jc w:val="both"/>
        <w:rPr>
          <w:rFonts w:ascii="Times New Roman" w:eastAsia="Times New Roman" w:hAnsi="Times New Roman" w:cs="Times New Roman"/>
          <w:noProof/>
          <w:sz w:val="24"/>
          <w:szCs w:val="24"/>
          <w:lang w:val="en-GB"/>
        </w:rPr>
      </w:pPr>
      <w:r w:rsidRPr="4A220FD4">
        <w:rPr>
          <w:rFonts w:ascii="Times New Roman" w:eastAsia="Times New Roman" w:hAnsi="Times New Roman" w:cs="Times New Roman"/>
          <w:b/>
          <w:bCs/>
          <w:noProof/>
          <w:sz w:val="24"/>
          <w:szCs w:val="24"/>
          <w:lang w:val="en-GB"/>
        </w:rPr>
        <w:t xml:space="preserve">Further territorial cohesion is expected to be fostered by a number of measures which focus on providing services to underserviced areas. </w:t>
      </w:r>
      <w:r w:rsidRPr="4A220FD4">
        <w:rPr>
          <w:rFonts w:ascii="Times New Roman" w:eastAsia="Times New Roman" w:hAnsi="Times New Roman" w:cs="Times New Roman"/>
          <w:noProof/>
          <w:sz w:val="24"/>
          <w:szCs w:val="24"/>
          <w:lang w:val="en-GB"/>
        </w:rPr>
        <w:t>The digital transformation of Bulgarian posts</w:t>
      </w:r>
      <w:r w:rsidR="000F442C" w:rsidRPr="4A220FD4">
        <w:rPr>
          <w:rFonts w:ascii="Times New Roman" w:eastAsia="Times New Roman" w:hAnsi="Times New Roman" w:cs="Times New Roman"/>
          <w:noProof/>
          <w:sz w:val="24"/>
          <w:szCs w:val="24"/>
          <w:lang w:val="en-GB"/>
        </w:rPr>
        <w:t>,</w:t>
      </w:r>
      <w:r w:rsidRPr="4A220FD4">
        <w:rPr>
          <w:rFonts w:ascii="Times New Roman" w:eastAsia="Times New Roman" w:hAnsi="Times New Roman" w:cs="Times New Roman"/>
          <w:noProof/>
          <w:sz w:val="24"/>
          <w:szCs w:val="24"/>
          <w:lang w:val="en-GB"/>
        </w:rPr>
        <w:t xml:space="preserve"> under the Digital Connectivity component</w:t>
      </w:r>
      <w:r w:rsidR="000F442C" w:rsidRPr="4A220FD4">
        <w:rPr>
          <w:rFonts w:ascii="Times New Roman" w:eastAsia="Times New Roman" w:hAnsi="Times New Roman" w:cs="Times New Roman"/>
          <w:noProof/>
          <w:sz w:val="24"/>
          <w:szCs w:val="24"/>
          <w:lang w:val="en-GB"/>
        </w:rPr>
        <w:t>,</w:t>
      </w:r>
      <w:r w:rsidRPr="4A220FD4">
        <w:rPr>
          <w:rFonts w:ascii="Times New Roman" w:eastAsia="Times New Roman" w:hAnsi="Times New Roman" w:cs="Times New Roman"/>
          <w:noProof/>
          <w:sz w:val="24"/>
          <w:szCs w:val="24"/>
          <w:lang w:val="en-GB"/>
        </w:rPr>
        <w:t xml:space="preserve"> aims at providing </w:t>
      </w:r>
      <w:r w:rsidR="008F24AB" w:rsidRPr="4A220FD4">
        <w:rPr>
          <w:rFonts w:ascii="Times New Roman" w:eastAsia="Times New Roman" w:hAnsi="Times New Roman" w:cs="Times New Roman"/>
          <w:noProof/>
          <w:sz w:val="24"/>
          <w:szCs w:val="24"/>
          <w:lang w:val="en-GB"/>
        </w:rPr>
        <w:t>comprehensive administrative and e-government services, including telemedicine, in modernised postal offices located in remote and rural areas, with limited access to the public administration. Similarly, the Plan includes an investment aiming at deploying broadband connection</w:t>
      </w:r>
      <w:r w:rsidR="4CC0D468" w:rsidRPr="4A220FD4">
        <w:rPr>
          <w:rFonts w:ascii="Times New Roman" w:eastAsia="Times New Roman" w:hAnsi="Times New Roman" w:cs="Times New Roman"/>
          <w:noProof/>
          <w:sz w:val="24"/>
          <w:szCs w:val="24"/>
          <w:lang w:val="en-GB"/>
        </w:rPr>
        <w:t xml:space="preserve"> in rural and sparsely populated areas, under the Digital Connectivity component, and, within the Healthcare component, the set-up of outpatient units in remote areas.</w:t>
      </w:r>
      <w:r w:rsidR="004F2DAB">
        <w:rPr>
          <w:rFonts w:ascii="Times New Roman" w:eastAsia="Times New Roman" w:hAnsi="Times New Roman" w:cs="Times New Roman"/>
          <w:noProof/>
          <w:sz w:val="24"/>
          <w:szCs w:val="24"/>
          <w:lang w:val="en-GB"/>
        </w:rPr>
        <w:t xml:space="preserve"> </w:t>
      </w:r>
      <w:r w:rsidR="008F24AB" w:rsidRPr="4A220FD4">
        <w:rPr>
          <w:rFonts w:ascii="Times New Roman" w:eastAsia="Times New Roman" w:hAnsi="Times New Roman" w:cs="Times New Roman"/>
          <w:noProof/>
          <w:sz w:val="24"/>
          <w:szCs w:val="24"/>
          <w:lang w:val="en-GB"/>
        </w:rPr>
        <w:t>In addition, component 10 – Business Environment aims at improving the accessibility of citizens to the justice system by broadening the scope of free legal assistance and exemptions from court fees</w:t>
      </w:r>
      <w:r w:rsidR="007A5985" w:rsidRPr="4A220FD4">
        <w:rPr>
          <w:rFonts w:ascii="Times New Roman" w:eastAsia="Times New Roman" w:hAnsi="Times New Roman" w:cs="Times New Roman"/>
          <w:noProof/>
          <w:sz w:val="24"/>
          <w:szCs w:val="24"/>
          <w:lang w:val="en-GB"/>
        </w:rPr>
        <w:t xml:space="preserve"> and by enabling remote hearings and electronic submission of documents</w:t>
      </w:r>
      <w:r w:rsidR="008F24AB" w:rsidRPr="4A220FD4">
        <w:rPr>
          <w:rFonts w:ascii="Times New Roman" w:eastAsia="Times New Roman" w:hAnsi="Times New Roman" w:cs="Times New Roman"/>
          <w:noProof/>
          <w:sz w:val="24"/>
          <w:szCs w:val="24"/>
          <w:lang w:val="en-GB"/>
        </w:rPr>
        <w:t xml:space="preserve">. </w:t>
      </w:r>
      <w:r w:rsidR="007F72DC" w:rsidRPr="4A220FD4">
        <w:rPr>
          <w:rFonts w:ascii="Times New Roman" w:eastAsia="Times New Roman" w:hAnsi="Times New Roman" w:cs="Times New Roman"/>
          <w:noProof/>
          <w:sz w:val="24"/>
          <w:szCs w:val="24"/>
          <w:lang w:val="en-GB"/>
        </w:rPr>
        <w:t xml:space="preserve"> </w:t>
      </w:r>
      <w:r w:rsidR="008F24AB" w:rsidRPr="4A220FD4">
        <w:rPr>
          <w:rFonts w:ascii="Times New Roman" w:eastAsia="Times New Roman" w:hAnsi="Times New Roman" w:cs="Times New Roman"/>
          <w:noProof/>
          <w:sz w:val="24"/>
          <w:szCs w:val="24"/>
          <w:lang w:val="en-GB"/>
        </w:rPr>
        <w:t xml:space="preserve">Territorial cohesion is also expected to benefit from the establishment of an air ambulance system, which will allow for the transportation of people affected by a situation of emergency throughout the country, including in hard-to-reach areas. </w:t>
      </w:r>
      <w:r w:rsidR="00FC35AB" w:rsidRPr="4A220FD4">
        <w:rPr>
          <w:rFonts w:ascii="Times New Roman" w:eastAsia="Times New Roman" w:hAnsi="Times New Roman" w:cs="Times New Roman"/>
          <w:noProof/>
          <w:sz w:val="24"/>
          <w:szCs w:val="24"/>
          <w:lang w:val="en-GB"/>
        </w:rPr>
        <w:t>In addition, the Plan should further contribute to reducing territorial disparities through reforms supporting a place-based, bottom-up approach as well as dedicated infrastructure investments in the water sector in regions outside of the capital. Moreover, specific investments are planned to cover smaller agglomerations across the country and in rural areas and Natura 2000 protected sites, through the biodiversity and sustainable agriculture components.</w:t>
      </w:r>
      <w:r w:rsidR="008F24AB" w:rsidRPr="4A220FD4">
        <w:rPr>
          <w:rFonts w:ascii="Times New Roman" w:eastAsia="Times New Roman" w:hAnsi="Times New Roman" w:cs="Times New Roman"/>
          <w:noProof/>
          <w:sz w:val="24"/>
          <w:szCs w:val="24"/>
          <w:lang w:val="en-GB"/>
        </w:rPr>
        <w:t xml:space="preserve"> </w:t>
      </w:r>
    </w:p>
    <w:p w14:paraId="4E276104" w14:textId="457DD3C7" w:rsidR="00591B0A" w:rsidRPr="00E76013" w:rsidRDefault="00FC35AB" w:rsidP="00D00A56">
      <w:pPr>
        <w:spacing w:line="276" w:lineRule="auto"/>
        <w:jc w:val="both"/>
        <w:rPr>
          <w:rFonts w:ascii="Times New Roman" w:eastAsia="Times New Roman" w:hAnsi="Times New Roman" w:cs="Times New Roman"/>
          <w:noProof/>
          <w:sz w:val="24"/>
          <w:szCs w:val="24"/>
          <w:lang w:val="en-GB"/>
        </w:rPr>
      </w:pPr>
      <w:r w:rsidRPr="004F2DAB">
        <w:rPr>
          <w:rFonts w:ascii="Times New Roman" w:eastAsia="Times New Roman" w:hAnsi="Times New Roman" w:cs="Times New Roman"/>
          <w:b/>
          <w:noProof/>
          <w:sz w:val="24"/>
          <w:szCs w:val="24"/>
          <w:lang w:val="en-GB"/>
        </w:rPr>
        <w:t>T</w:t>
      </w:r>
      <w:r w:rsidR="4C8A68A3" w:rsidRPr="004F2DAB">
        <w:rPr>
          <w:rFonts w:ascii="Times New Roman" w:eastAsia="Times New Roman" w:hAnsi="Times New Roman" w:cs="Times New Roman"/>
          <w:b/>
          <w:noProof/>
          <w:sz w:val="24"/>
          <w:szCs w:val="24"/>
          <w:lang w:val="en-GB"/>
        </w:rPr>
        <w:t xml:space="preserve">he Low-carbon economy and </w:t>
      </w:r>
      <w:r w:rsidR="0041107B">
        <w:rPr>
          <w:rFonts w:ascii="Times New Roman" w:eastAsia="Times New Roman" w:hAnsi="Times New Roman" w:cs="Times New Roman"/>
          <w:b/>
          <w:noProof/>
          <w:sz w:val="24"/>
          <w:szCs w:val="24"/>
          <w:lang w:val="en-GB"/>
        </w:rPr>
        <w:t>s</w:t>
      </w:r>
      <w:r w:rsidR="0041107B" w:rsidRPr="004F2DAB">
        <w:rPr>
          <w:rFonts w:ascii="Times New Roman" w:eastAsia="Times New Roman" w:hAnsi="Times New Roman" w:cs="Times New Roman"/>
          <w:b/>
          <w:noProof/>
          <w:sz w:val="24"/>
          <w:szCs w:val="24"/>
          <w:lang w:val="en-GB"/>
        </w:rPr>
        <w:t xml:space="preserve">ustainable </w:t>
      </w:r>
      <w:r w:rsidR="4C8A68A3" w:rsidRPr="004F2DAB">
        <w:rPr>
          <w:rFonts w:ascii="Times New Roman" w:eastAsia="Times New Roman" w:hAnsi="Times New Roman" w:cs="Times New Roman"/>
          <w:b/>
          <w:noProof/>
          <w:sz w:val="24"/>
          <w:szCs w:val="24"/>
          <w:lang w:val="en-GB"/>
        </w:rPr>
        <w:t xml:space="preserve">transport components have a solid territorial approach in terms of investments in infrastructure, covering several regions of the country. </w:t>
      </w:r>
      <w:r w:rsidR="4C8A68A3" w:rsidRPr="00E76013">
        <w:rPr>
          <w:rFonts w:ascii="Times New Roman" w:eastAsia="Times New Roman" w:hAnsi="Times New Roman" w:cs="Times New Roman"/>
          <w:noProof/>
          <w:sz w:val="24"/>
          <w:szCs w:val="24"/>
          <w:lang w:val="en-GB"/>
        </w:rPr>
        <w:t xml:space="preserve">While investments related to energy efficiency of the building stock are expected to </w:t>
      </w:r>
      <w:r w:rsidR="00C659A7">
        <w:rPr>
          <w:rFonts w:ascii="Times New Roman" w:eastAsia="Times New Roman" w:hAnsi="Times New Roman" w:cs="Times New Roman"/>
          <w:noProof/>
          <w:sz w:val="24"/>
          <w:szCs w:val="24"/>
          <w:lang w:val="en-GB"/>
        </w:rPr>
        <w:t>be</w:t>
      </w:r>
      <w:r w:rsidR="4C8A68A3" w:rsidRPr="00E76013">
        <w:rPr>
          <w:rFonts w:ascii="Times New Roman" w:eastAsia="Times New Roman" w:hAnsi="Times New Roman" w:cs="Times New Roman"/>
          <w:noProof/>
          <w:sz w:val="24"/>
          <w:szCs w:val="24"/>
          <w:lang w:val="en-GB"/>
        </w:rPr>
        <w:t xml:space="preserve"> spread across the country, railway digitalisation is expected to be improved in the Ruse-Caspichan section, along with the on-board equipment that is expected to operate in the TEN-T comprehensive network. The construction of an intermodal terminal in Ruse and the improvement of conditions regarding road safety are other examples of decentralized investments with a strong territorial dimension. </w:t>
      </w:r>
      <w:r w:rsidRPr="00FC35AB">
        <w:rPr>
          <w:rFonts w:ascii="Times New Roman" w:hAnsi="Times New Roman" w:cs="Times New Roman"/>
          <w:noProof/>
          <w:sz w:val="24"/>
          <w:szCs w:val="24"/>
        </w:rPr>
        <w:t>In addition,</w:t>
      </w:r>
      <w:r>
        <w:rPr>
          <w:rFonts w:ascii="Times New Roman" w:hAnsi="Times New Roman" w:cs="Times New Roman"/>
          <w:noProof/>
          <w:sz w:val="24"/>
          <w:szCs w:val="24"/>
        </w:rPr>
        <w:t xml:space="preserve"> </w:t>
      </w:r>
      <w:r w:rsidRPr="00FC35AB">
        <w:rPr>
          <w:rFonts w:ascii="Times New Roman" w:eastAsia="Times New Roman" w:hAnsi="Times New Roman" w:cs="Times New Roman"/>
          <w:noProof/>
          <w:sz w:val="24"/>
          <w:szCs w:val="24"/>
          <w:lang w:val="en-GB"/>
        </w:rPr>
        <w:t>to ensure that the coal regions are supported through the transition and that no one is left behind</w:t>
      </w:r>
      <w:r>
        <w:rPr>
          <w:rFonts w:ascii="Times New Roman" w:eastAsia="Times New Roman" w:hAnsi="Times New Roman" w:cs="Times New Roman"/>
          <w:noProof/>
          <w:sz w:val="24"/>
          <w:szCs w:val="24"/>
          <w:lang w:val="en-GB"/>
        </w:rPr>
        <w:t>,</w:t>
      </w:r>
      <w:r>
        <w:rPr>
          <w:noProof/>
        </w:rPr>
        <w:t xml:space="preserve"> </w:t>
      </w:r>
      <w:r w:rsidRPr="00FC35AB">
        <w:rPr>
          <w:rFonts w:ascii="Times New Roman" w:eastAsia="Times New Roman" w:hAnsi="Times New Roman" w:cs="Times New Roman"/>
          <w:noProof/>
          <w:sz w:val="24"/>
          <w:szCs w:val="24"/>
          <w:lang w:val="en-GB"/>
        </w:rPr>
        <w:t>the reforms and investments towards decarbonisation of the economy will set the ground for cohesion policy investments notably through the JTF.</w:t>
      </w:r>
      <w:r w:rsidR="4C8A68A3" w:rsidRPr="00E76013">
        <w:rPr>
          <w:rFonts w:ascii="Times New Roman" w:eastAsia="Times New Roman" w:hAnsi="Times New Roman" w:cs="Times New Roman"/>
          <w:noProof/>
          <w:sz w:val="24"/>
          <w:szCs w:val="24"/>
          <w:lang w:val="en-GB"/>
        </w:rPr>
        <w:t xml:space="preserve"> </w:t>
      </w:r>
    </w:p>
    <w:p w14:paraId="1946D96A" w14:textId="40FCBBC0" w:rsidR="00C85C16" w:rsidRPr="00E76013" w:rsidRDefault="00C85C16" w:rsidP="00D00A56">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Health, and economic, social and institutional resilience, with the aim of, inter alia, increasing crisis preparedness and crisis reaction capacity</w:t>
      </w:r>
    </w:p>
    <w:p w14:paraId="1DB02481" w14:textId="3CED6086" w:rsidR="00591B0A" w:rsidRPr="00E76013" w:rsidRDefault="3962AEB4"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w:t>
      </w:r>
      <w:r w:rsidR="720D596E"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 covers the fifth pillar</w:t>
      </w:r>
      <w:r w:rsidR="59015E22" w:rsidRPr="00E76013">
        <w:rPr>
          <w:rFonts w:ascii="Times New Roman" w:eastAsia="Times New Roman" w:hAnsi="Times New Roman" w:cs="Times New Roman"/>
          <w:b/>
          <w:bCs/>
          <w:noProof/>
          <w:sz w:val="24"/>
          <w:szCs w:val="24"/>
          <w:lang w:val="en-GB"/>
        </w:rPr>
        <w:t xml:space="preserve"> with a number of important investment and reforms that are expected </w:t>
      </w:r>
      <w:r w:rsidRPr="00E76013">
        <w:rPr>
          <w:rFonts w:ascii="Times New Roman" w:eastAsia="Times New Roman" w:hAnsi="Times New Roman" w:cs="Times New Roman"/>
          <w:b/>
          <w:bCs/>
          <w:noProof/>
          <w:sz w:val="24"/>
          <w:szCs w:val="24"/>
          <w:lang w:val="en-GB"/>
        </w:rPr>
        <w:t xml:space="preserve">to </w:t>
      </w:r>
      <w:r w:rsidR="59015E22" w:rsidRPr="00E76013">
        <w:rPr>
          <w:rFonts w:ascii="Times New Roman" w:eastAsia="Times New Roman" w:hAnsi="Times New Roman" w:cs="Times New Roman"/>
          <w:b/>
          <w:bCs/>
          <w:noProof/>
          <w:sz w:val="24"/>
          <w:szCs w:val="24"/>
          <w:lang w:val="en-GB"/>
        </w:rPr>
        <w:t>increase health</w:t>
      </w:r>
      <w:r w:rsidR="7B463015"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b/>
          <w:bCs/>
          <w:noProof/>
          <w:sz w:val="24"/>
          <w:szCs w:val="24"/>
          <w:lang w:val="en-GB"/>
        </w:rPr>
        <w:t>resilience.</w:t>
      </w:r>
      <w:r w:rsidR="67CCC496"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The Plan includes a coherent package</w:t>
      </w:r>
      <w:r w:rsidR="59015E22" w:rsidRPr="00E76013">
        <w:rPr>
          <w:rFonts w:ascii="Times New Roman" w:eastAsia="Times New Roman" w:hAnsi="Times New Roman" w:cs="Times New Roman"/>
          <w:noProof/>
          <w:sz w:val="24"/>
          <w:szCs w:val="24"/>
          <w:lang w:val="en-GB"/>
        </w:rPr>
        <w:t xml:space="preserve"> </w:t>
      </w:r>
      <w:r w:rsidR="1AC057E9" w:rsidRPr="00E76013">
        <w:rPr>
          <w:rFonts w:ascii="Times New Roman" w:eastAsia="Times New Roman" w:hAnsi="Times New Roman" w:cs="Times New Roman"/>
          <w:noProof/>
          <w:sz w:val="24"/>
          <w:szCs w:val="24"/>
          <w:lang w:val="en-GB"/>
        </w:rPr>
        <w:t>contributing</w:t>
      </w:r>
      <w:r w:rsidR="59015E22" w:rsidRPr="00E76013">
        <w:rPr>
          <w:rFonts w:ascii="Times New Roman" w:eastAsia="Times New Roman" w:hAnsi="Times New Roman" w:cs="Times New Roman"/>
          <w:noProof/>
          <w:sz w:val="24"/>
          <w:szCs w:val="24"/>
          <w:lang w:val="en-GB"/>
        </w:rPr>
        <w:t xml:space="preserve"> to</w:t>
      </w:r>
      <w:r w:rsidRPr="00E76013">
        <w:rPr>
          <w:rFonts w:ascii="Times New Roman" w:eastAsia="Times New Roman" w:hAnsi="Times New Roman" w:cs="Times New Roman"/>
          <w:noProof/>
          <w:sz w:val="24"/>
          <w:szCs w:val="24"/>
          <w:lang w:val="en-GB"/>
        </w:rPr>
        <w:t xml:space="preserve"> addressing the challenges of the Bulgarian health system. Notably, a new national strategy on health, and measures that aim at strengthening the accessibility of the health system </w:t>
      </w:r>
      <w:r w:rsidR="00451ADD">
        <w:rPr>
          <w:rFonts w:ascii="Times New Roman" w:eastAsia="Times New Roman" w:hAnsi="Times New Roman" w:cs="Times New Roman"/>
          <w:noProof/>
          <w:sz w:val="24"/>
          <w:szCs w:val="24"/>
          <w:lang w:val="en-GB"/>
        </w:rPr>
        <w:t>by improving</w:t>
      </w:r>
      <w:r w:rsidRPr="00E76013">
        <w:rPr>
          <w:rFonts w:ascii="Times New Roman" w:eastAsia="Times New Roman" w:hAnsi="Times New Roman" w:cs="Times New Roman"/>
          <w:noProof/>
          <w:sz w:val="24"/>
          <w:szCs w:val="24"/>
          <w:lang w:val="en-GB"/>
        </w:rPr>
        <w:t xml:space="preserve"> access to quality healthcare services across the country, including in remote and rural regions; developing outpatient care further; introducing a legislative package and other actions to promote a more balanced distribution of healthcare professionals and establishing an air ambulance system.</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In addition, t</w:t>
      </w:r>
      <w:r w:rsidR="5DC431DE" w:rsidRPr="00E76013">
        <w:rPr>
          <w:rFonts w:ascii="Times New Roman" w:eastAsia="Times New Roman" w:hAnsi="Times New Roman" w:cs="Times New Roman"/>
          <w:noProof/>
          <w:sz w:val="24"/>
          <w:szCs w:val="24"/>
          <w:lang w:val="en-GB"/>
        </w:rPr>
        <w:t xml:space="preserve">he plan envisages measures </w:t>
      </w:r>
      <w:r w:rsidR="323A3FC7" w:rsidRPr="00E76013">
        <w:rPr>
          <w:rFonts w:ascii="Times New Roman" w:eastAsia="Times New Roman" w:hAnsi="Times New Roman" w:cs="Times New Roman"/>
          <w:noProof/>
          <w:sz w:val="24"/>
          <w:szCs w:val="24"/>
          <w:lang w:val="en-GB"/>
        </w:rPr>
        <w:t xml:space="preserve">that are expected to improve </w:t>
      </w:r>
      <w:r w:rsidR="5DC431DE" w:rsidRPr="00E76013">
        <w:rPr>
          <w:rFonts w:ascii="Times New Roman" w:eastAsia="Times New Roman" w:hAnsi="Times New Roman" w:cs="Times New Roman"/>
          <w:noProof/>
          <w:sz w:val="24"/>
          <w:szCs w:val="24"/>
          <w:lang w:val="en-GB"/>
        </w:rPr>
        <w:t>access to quality paediatric care, to modernise cancer treatment, and to develop e-health further. In particular, the further development of digitalisation in healthcare and of e-health services are the focus of a dedicated reform, which is complemented by the completion of the National Health Information System and the set-up of medical platforms covering a number of healthcare areas, including medical diagnostics and the provision of telemedicine services.</w:t>
      </w:r>
      <w:r w:rsidR="000B6475">
        <w:rPr>
          <w:rFonts w:ascii="Times New Roman" w:eastAsia="Times New Roman" w:hAnsi="Times New Roman" w:cs="Times New Roman"/>
          <w:noProof/>
          <w:sz w:val="24"/>
          <w:szCs w:val="24"/>
          <w:lang w:val="en-GB"/>
        </w:rPr>
        <w:t xml:space="preserve"> </w:t>
      </w:r>
    </w:p>
    <w:p w14:paraId="3E2D8B18" w14:textId="414C7C53" w:rsidR="00591B0A" w:rsidRPr="00E76013" w:rsidRDefault="3962AEB4" w:rsidP="00D00A56">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w:t>
      </w:r>
      <w:r w:rsidR="559B375A"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 xml:space="preserve">lan also strengthens Bulgaria’s </w:t>
      </w:r>
      <w:r w:rsidR="4FAD5EAF" w:rsidRPr="00E76013">
        <w:rPr>
          <w:rFonts w:ascii="Times New Roman" w:eastAsia="Times New Roman" w:hAnsi="Times New Roman" w:cs="Times New Roman"/>
          <w:b/>
          <w:bCs/>
          <w:noProof/>
          <w:sz w:val="24"/>
          <w:szCs w:val="24"/>
          <w:lang w:val="en-GB"/>
        </w:rPr>
        <w:t>social resilience and</w:t>
      </w:r>
      <w:r w:rsidRPr="00E76013">
        <w:rPr>
          <w:rFonts w:ascii="Times New Roman" w:eastAsia="Times New Roman" w:hAnsi="Times New Roman" w:cs="Times New Roman"/>
          <w:b/>
          <w:bCs/>
          <w:noProof/>
          <w:sz w:val="24"/>
          <w:szCs w:val="24"/>
          <w:lang w:val="en-GB"/>
        </w:rPr>
        <w:t xml:space="preserve"> crisis preparedness.</w:t>
      </w:r>
      <w:r w:rsidR="004F2DAB">
        <w:rPr>
          <w:rFonts w:ascii="Times New Roman" w:eastAsia="Times New Roman" w:hAnsi="Times New Roman" w:cs="Times New Roman"/>
          <w:noProof/>
          <w:sz w:val="24"/>
          <w:szCs w:val="24"/>
          <w:lang w:val="en-GB"/>
        </w:rPr>
        <w:t xml:space="preserve"> </w:t>
      </w:r>
      <w:r w:rsidR="630C48D2" w:rsidRPr="00E76013">
        <w:rPr>
          <w:rFonts w:ascii="Times New Roman" w:eastAsia="Times New Roman" w:hAnsi="Times New Roman" w:cs="Times New Roman"/>
          <w:noProof/>
          <w:sz w:val="24"/>
          <w:szCs w:val="24"/>
          <w:lang w:val="en-GB"/>
        </w:rPr>
        <w:t>Under the Social Inclusion component, social resilience is expected to be strengthened via</w:t>
      </w:r>
      <w:r w:rsidR="4CC0D468" w:rsidRPr="00E76013">
        <w:rPr>
          <w:rFonts w:ascii="Times New Roman" w:eastAsia="Times New Roman" w:hAnsi="Times New Roman" w:cs="Times New Roman"/>
          <w:noProof/>
          <w:sz w:val="24"/>
          <w:szCs w:val="24"/>
          <w:lang w:val="en-GB"/>
        </w:rPr>
        <w:t xml:space="preserve"> the modernisation of the provision of social services, including long-term care, which are expected to contribute to moving the deinstitutionalisation process forward</w:t>
      </w:r>
      <w:r w:rsidR="7B463015" w:rsidRPr="00E76013">
        <w:rPr>
          <w:rFonts w:ascii="Times New Roman" w:eastAsia="Times New Roman" w:hAnsi="Times New Roman" w:cs="Times New Roman"/>
          <w:noProof/>
          <w:sz w:val="24"/>
          <w:szCs w:val="24"/>
          <w:lang w:val="en-GB"/>
        </w:rPr>
        <w:t>, as well as by the provision of support to people with disabilities and the promotion of the social economy and the cultural and creative sectors.</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In addition, the set-up of an air ambulance system and the upgrade and further development of the radio</w:t>
      </w:r>
      <w:r w:rsidR="00D82B47">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communication system TETRA and of the national emergency number are expected to increase the crisis preparedness and reaction capacity of Bulgaria. </w:t>
      </w:r>
    </w:p>
    <w:p w14:paraId="3FA4BBC2" w14:textId="0944072F" w:rsidR="007C517E" w:rsidRPr="00E76013" w:rsidRDefault="7B463015" w:rsidP="00D00A56">
      <w:pPr>
        <w:spacing w:line="276" w:lineRule="auto"/>
        <w:jc w:val="both"/>
        <w:rPr>
          <w:rFonts w:ascii="Times New Roman" w:eastAsia="Times New Roman" w:hAnsi="Times New Roman" w:cs="Times New Roman"/>
          <w:b/>
          <w:bCs/>
          <w:noProof/>
          <w:sz w:val="24"/>
          <w:szCs w:val="24"/>
          <w:lang w:val="en-GB"/>
        </w:rPr>
      </w:pPr>
      <w:r w:rsidRPr="00E76013">
        <w:rPr>
          <w:rFonts w:ascii="Times New Roman" w:eastAsia="Times New Roman" w:hAnsi="Times New Roman" w:cs="Times New Roman"/>
          <w:b/>
          <w:bCs/>
          <w:noProof/>
          <w:sz w:val="24"/>
          <w:szCs w:val="24"/>
          <w:lang w:val="en-GB"/>
        </w:rPr>
        <w:t xml:space="preserve">In addition, the </w:t>
      </w:r>
      <w:r w:rsidR="1F839F41"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 fosters Bulgaria’s institutional and economic resilience.</w:t>
      </w:r>
      <w:r w:rsidR="6619D4F1" w:rsidRPr="00E76013">
        <w:rPr>
          <w:rFonts w:ascii="Times New Roman" w:eastAsia="Times New Roman" w:hAnsi="Times New Roman" w:cs="Times New Roman"/>
          <w:b/>
          <w:bCs/>
          <w:noProof/>
          <w:sz w:val="24"/>
          <w:szCs w:val="24"/>
          <w:lang w:val="en-GB"/>
        </w:rPr>
        <w:t xml:space="preserve"> </w:t>
      </w:r>
      <w:r w:rsidR="3962AEB4" w:rsidRPr="00E76013">
        <w:rPr>
          <w:rFonts w:ascii="Times New Roman" w:eastAsia="Times New Roman" w:hAnsi="Times New Roman" w:cs="Times New Roman"/>
          <w:noProof/>
          <w:sz w:val="24"/>
          <w:szCs w:val="24"/>
          <w:lang w:val="en-GB"/>
        </w:rPr>
        <w:t>Measures under the business environment component should effectively strengthen the potential for sustainable growth and increase the resilience of the Bulgarian economy by addressing disincentives in the business environment</w:t>
      </w:r>
      <w:r w:rsidR="630C48D2" w:rsidRPr="00E76013">
        <w:rPr>
          <w:rFonts w:ascii="Times New Roman" w:eastAsia="Times New Roman" w:hAnsi="Times New Roman" w:cs="Times New Roman"/>
          <w:noProof/>
          <w:sz w:val="24"/>
          <w:szCs w:val="24"/>
          <w:lang w:val="en-GB"/>
        </w:rPr>
        <w:t xml:space="preserve"> and</w:t>
      </w:r>
      <w:r w:rsidRPr="00E76013">
        <w:rPr>
          <w:rFonts w:ascii="Times New Roman" w:eastAsia="Times New Roman" w:hAnsi="Times New Roman" w:cs="Times New Roman"/>
          <w:noProof/>
          <w:sz w:val="24"/>
          <w:szCs w:val="24"/>
          <w:lang w:val="en-GB"/>
        </w:rPr>
        <w:t xml:space="preserve"> </w:t>
      </w:r>
      <w:r w:rsidR="3DAA4ED4" w:rsidRPr="00E76013">
        <w:rPr>
          <w:rFonts w:ascii="Times New Roman" w:eastAsia="Times New Roman" w:hAnsi="Times New Roman" w:cs="Times New Roman"/>
          <w:noProof/>
          <w:sz w:val="24"/>
          <w:szCs w:val="24"/>
          <w:lang w:val="en-GB"/>
        </w:rPr>
        <w:t>by increasing</w:t>
      </w:r>
      <w:r w:rsidR="630C48D2" w:rsidRPr="00E76013">
        <w:rPr>
          <w:rFonts w:ascii="Times New Roman" w:eastAsia="Times New Roman" w:hAnsi="Times New Roman" w:cs="Times New Roman"/>
          <w:noProof/>
          <w:sz w:val="24"/>
          <w:szCs w:val="24"/>
          <w:lang w:val="en-GB"/>
        </w:rPr>
        <w:t xml:space="preserve"> the efficiency of the judicial system and insolvency procedures, </w:t>
      </w:r>
      <w:r w:rsidR="3962AEB4" w:rsidRPr="00E76013">
        <w:rPr>
          <w:rFonts w:ascii="Times New Roman" w:eastAsia="Times New Roman" w:hAnsi="Times New Roman" w:cs="Times New Roman"/>
          <w:noProof/>
          <w:sz w:val="24"/>
          <w:szCs w:val="24"/>
          <w:lang w:val="en-GB"/>
        </w:rPr>
        <w:t>also benefitting from the opportunities provided by digital transition.</w:t>
      </w:r>
      <w:r w:rsidR="4CC0D468" w:rsidRPr="00E76013">
        <w:rPr>
          <w:rFonts w:ascii="Times New Roman" w:eastAsia="Times New Roman" w:hAnsi="Times New Roman" w:cs="Times New Roman"/>
          <w:noProof/>
          <w:sz w:val="24"/>
          <w:szCs w:val="24"/>
          <w:lang w:val="en-GB"/>
        </w:rPr>
        <w:t xml:space="preserve"> </w:t>
      </w:r>
      <w:r w:rsidR="6619D4F1" w:rsidRPr="00E76013">
        <w:rPr>
          <w:rFonts w:ascii="Times New Roman" w:eastAsia="Times New Roman" w:hAnsi="Times New Roman" w:cs="Times New Roman"/>
          <w:noProof/>
          <w:sz w:val="24"/>
          <w:szCs w:val="24"/>
          <w:lang w:val="en-GB"/>
        </w:rPr>
        <w:t>A significant number of</w:t>
      </w:r>
      <w:r w:rsidR="6619D4F1" w:rsidRPr="00E76013">
        <w:rPr>
          <w:rFonts w:ascii="Times New Roman" w:eastAsia="Times New Roman" w:hAnsi="Times New Roman" w:cs="Times New Roman"/>
          <w:b/>
          <w:bCs/>
          <w:noProof/>
          <w:sz w:val="24"/>
          <w:szCs w:val="24"/>
          <w:lang w:val="en-GB"/>
        </w:rPr>
        <w:t xml:space="preserve"> </w:t>
      </w:r>
      <w:r w:rsidR="6619D4F1" w:rsidRPr="00E76013">
        <w:rPr>
          <w:rFonts w:ascii="Times New Roman" w:eastAsia="Times New Roman" w:hAnsi="Times New Roman" w:cs="Times New Roman"/>
          <w:noProof/>
          <w:sz w:val="24"/>
          <w:szCs w:val="24"/>
          <w:lang w:val="en-GB"/>
        </w:rPr>
        <w:t xml:space="preserve">reforms and investments are expected to reinforce the </w:t>
      </w:r>
      <w:r w:rsidR="2C645D38" w:rsidRPr="00E76013">
        <w:rPr>
          <w:rFonts w:ascii="Times New Roman" w:eastAsia="Times New Roman" w:hAnsi="Times New Roman" w:cs="Times New Roman"/>
          <w:noProof/>
          <w:sz w:val="24"/>
          <w:szCs w:val="24"/>
          <w:lang w:val="en-GB"/>
        </w:rPr>
        <w:t>institutional framework. T</w:t>
      </w:r>
      <w:r w:rsidR="6619D4F1" w:rsidRPr="00E76013">
        <w:rPr>
          <w:rFonts w:ascii="Times New Roman" w:eastAsia="Times New Roman" w:hAnsi="Times New Roman" w:cs="Times New Roman"/>
          <w:noProof/>
          <w:sz w:val="24"/>
          <w:szCs w:val="24"/>
          <w:lang w:val="en-GB"/>
        </w:rPr>
        <w:t>hese</w:t>
      </w:r>
      <w:r w:rsidR="2C645D38" w:rsidRPr="00E76013">
        <w:rPr>
          <w:rFonts w:ascii="Times New Roman" w:eastAsia="Times New Roman" w:hAnsi="Times New Roman" w:cs="Times New Roman"/>
          <w:noProof/>
          <w:sz w:val="24"/>
          <w:szCs w:val="24"/>
          <w:lang w:val="en-GB"/>
        </w:rPr>
        <w:t xml:space="preserve"> include, among others, </w:t>
      </w:r>
      <w:r w:rsidR="00064403">
        <w:rPr>
          <w:rFonts w:ascii="Times New Roman" w:eastAsia="Times New Roman" w:hAnsi="Times New Roman" w:cs="Times New Roman"/>
          <w:noProof/>
          <w:sz w:val="24"/>
          <w:szCs w:val="24"/>
          <w:lang w:val="en-GB"/>
        </w:rPr>
        <w:t xml:space="preserve">reforms to </w:t>
      </w:r>
      <w:r w:rsidR="00ED09FA">
        <w:rPr>
          <w:rFonts w:ascii="Times New Roman" w:eastAsia="Times New Roman" w:hAnsi="Times New Roman" w:cs="Times New Roman"/>
          <w:noProof/>
          <w:sz w:val="24"/>
          <w:szCs w:val="24"/>
          <w:lang w:val="en-GB"/>
        </w:rPr>
        <w:t xml:space="preserve">create a mechanism for </w:t>
      </w:r>
      <w:r w:rsidR="00064403">
        <w:rPr>
          <w:rFonts w:ascii="Times New Roman" w:eastAsia="Times New Roman" w:hAnsi="Times New Roman" w:cs="Times New Roman"/>
          <w:noProof/>
          <w:sz w:val="24"/>
          <w:szCs w:val="24"/>
          <w:lang w:val="en-GB"/>
        </w:rPr>
        <w:t xml:space="preserve">the accountability and criminal liability of the Prosecutor General, </w:t>
      </w:r>
      <w:r w:rsidR="2C645D38" w:rsidRPr="00E76013">
        <w:rPr>
          <w:rFonts w:ascii="Times New Roman" w:eastAsia="Times New Roman" w:hAnsi="Times New Roman" w:cs="Times New Roman"/>
          <w:noProof/>
          <w:sz w:val="24"/>
          <w:szCs w:val="24"/>
          <w:lang w:val="en-GB"/>
        </w:rPr>
        <w:t>the</w:t>
      </w:r>
      <w:r w:rsidR="6619D4F1" w:rsidRPr="00E76013">
        <w:rPr>
          <w:rFonts w:ascii="Times New Roman" w:eastAsia="Times New Roman" w:hAnsi="Times New Roman" w:cs="Times New Roman"/>
          <w:noProof/>
          <w:sz w:val="24"/>
          <w:szCs w:val="24"/>
          <w:lang w:val="en-GB"/>
        </w:rPr>
        <w:t xml:space="preserve"> </w:t>
      </w:r>
      <w:r w:rsidR="2C645D38" w:rsidRPr="00E76013">
        <w:rPr>
          <w:rFonts w:ascii="Times New Roman" w:eastAsia="Times New Roman" w:hAnsi="Times New Roman" w:cs="Times New Roman"/>
          <w:noProof/>
          <w:sz w:val="24"/>
          <w:szCs w:val="24"/>
          <w:lang w:val="en-GB"/>
        </w:rPr>
        <w:t>improvement of accessibility, effectiveness and predictability of the justice system</w:t>
      </w:r>
      <w:r w:rsidR="11EDE018" w:rsidRPr="00E76013">
        <w:rPr>
          <w:rFonts w:ascii="Times New Roman" w:eastAsia="Times New Roman" w:hAnsi="Times New Roman" w:cs="Times New Roman"/>
          <w:noProof/>
          <w:sz w:val="24"/>
          <w:szCs w:val="24"/>
          <w:lang w:val="en-GB"/>
        </w:rPr>
        <w:t>;</w:t>
      </w:r>
      <w:r w:rsidR="2C645D38" w:rsidRPr="00E76013">
        <w:rPr>
          <w:rFonts w:ascii="Times New Roman" w:eastAsia="Times New Roman" w:hAnsi="Times New Roman" w:cs="Times New Roman"/>
          <w:noProof/>
          <w:sz w:val="24"/>
          <w:szCs w:val="24"/>
          <w:lang w:val="en-GB"/>
        </w:rPr>
        <w:t xml:space="preserve"> the enhancement</w:t>
      </w:r>
      <w:r w:rsidR="2C645D38" w:rsidRPr="00E76013">
        <w:rPr>
          <w:rFonts w:ascii="Times New Roman" w:eastAsia="Calibri" w:hAnsi="Times New Roman" w:cs="Times New Roman"/>
          <w:noProof/>
          <w:sz w:val="24"/>
          <w:szCs w:val="24"/>
        </w:rPr>
        <w:t xml:space="preserve"> of the role of the Inspectorate of the Supreme Judicial Council in the prevention and counteracting corruption</w:t>
      </w:r>
      <w:r w:rsidR="11EDE018" w:rsidRPr="00E76013">
        <w:rPr>
          <w:rFonts w:ascii="Times New Roman" w:eastAsia="Times New Roman" w:hAnsi="Times New Roman" w:cs="Times New Roman"/>
          <w:noProof/>
          <w:sz w:val="24"/>
          <w:szCs w:val="24"/>
          <w:lang w:val="en-GB"/>
        </w:rPr>
        <w:t>;</w:t>
      </w:r>
      <w:r w:rsidR="2C645D38" w:rsidRPr="00E76013">
        <w:rPr>
          <w:rFonts w:ascii="Times New Roman" w:eastAsia="Times New Roman" w:hAnsi="Times New Roman" w:cs="Times New Roman"/>
          <w:noProof/>
          <w:sz w:val="24"/>
          <w:szCs w:val="24"/>
          <w:lang w:val="en-GB"/>
        </w:rPr>
        <w:t xml:space="preserve"> the establishment</w:t>
      </w:r>
      <w:r w:rsidR="11EDE018" w:rsidRPr="00E76013">
        <w:rPr>
          <w:rFonts w:ascii="Times New Roman" w:eastAsia="Times New Roman" w:hAnsi="Times New Roman" w:cs="Times New Roman"/>
          <w:noProof/>
          <w:sz w:val="24"/>
          <w:szCs w:val="24"/>
          <w:lang w:val="en-GB"/>
        </w:rPr>
        <w:t xml:space="preserve"> of a new anti-corruption body; the introduction of mandator</w:t>
      </w:r>
      <w:r w:rsidR="2C645D38" w:rsidRPr="00E76013">
        <w:rPr>
          <w:rFonts w:ascii="Times New Roman" w:eastAsia="Times New Roman" w:hAnsi="Times New Roman" w:cs="Times New Roman"/>
          <w:noProof/>
          <w:sz w:val="24"/>
          <w:szCs w:val="24"/>
          <w:lang w:val="en-GB"/>
        </w:rPr>
        <w:t>y judicial mediation</w:t>
      </w:r>
      <w:r w:rsidR="11EDE018" w:rsidRPr="00E76013">
        <w:rPr>
          <w:rFonts w:ascii="Times New Roman" w:eastAsia="Times New Roman" w:hAnsi="Times New Roman" w:cs="Times New Roman"/>
          <w:noProof/>
          <w:sz w:val="24"/>
          <w:szCs w:val="24"/>
          <w:lang w:val="en-GB"/>
        </w:rPr>
        <w:t>;</w:t>
      </w:r>
      <w:r w:rsidR="2C645D38" w:rsidRPr="00E76013">
        <w:rPr>
          <w:rFonts w:ascii="Times New Roman" w:eastAsia="Times New Roman" w:hAnsi="Times New Roman" w:cs="Times New Roman"/>
          <w:noProof/>
          <w:sz w:val="24"/>
          <w:szCs w:val="24"/>
          <w:lang w:val="en-GB"/>
        </w:rPr>
        <w:t xml:space="preserve"> and the improvement of the insolvency procedure. Furthermore, reforms and investments </w:t>
      </w:r>
      <w:r w:rsidR="6619D4F1" w:rsidRPr="00E76013">
        <w:rPr>
          <w:rFonts w:ascii="Times New Roman" w:eastAsia="Times New Roman" w:hAnsi="Times New Roman" w:cs="Times New Roman"/>
          <w:noProof/>
          <w:sz w:val="24"/>
          <w:szCs w:val="24"/>
          <w:lang w:val="en-GB"/>
        </w:rPr>
        <w:t xml:space="preserve">cover areas such as the digitalisation of the public administration, anti-money laundering, </w:t>
      </w:r>
      <w:r w:rsidR="2C645D38" w:rsidRPr="00E76013">
        <w:rPr>
          <w:rFonts w:ascii="Times New Roman" w:eastAsia="Times New Roman" w:hAnsi="Times New Roman" w:cs="Times New Roman"/>
          <w:noProof/>
          <w:sz w:val="24"/>
          <w:szCs w:val="24"/>
          <w:lang w:val="en-GB"/>
        </w:rPr>
        <w:t xml:space="preserve">the </w:t>
      </w:r>
      <w:r w:rsidR="6619D4F1" w:rsidRPr="00E76013">
        <w:rPr>
          <w:rFonts w:ascii="Times New Roman" w:eastAsia="Times New Roman" w:hAnsi="Times New Roman" w:cs="Times New Roman"/>
          <w:noProof/>
          <w:sz w:val="24"/>
          <w:szCs w:val="24"/>
          <w:lang w:val="en-GB"/>
        </w:rPr>
        <w:t>quality of legislative processes, public procurement, and audit and control mechanisms</w:t>
      </w:r>
      <w:r w:rsidR="7D5D4F13" w:rsidRPr="00E76013">
        <w:rPr>
          <w:rFonts w:ascii="Times New Roman" w:eastAsia="Times New Roman" w:hAnsi="Times New Roman" w:cs="Times New Roman"/>
          <w:noProof/>
          <w:sz w:val="24"/>
          <w:szCs w:val="24"/>
          <w:lang w:val="en-GB"/>
        </w:rPr>
        <w:t xml:space="preserve">. </w:t>
      </w:r>
    </w:p>
    <w:p w14:paraId="7996D2B4" w14:textId="5AA00467" w:rsidR="00591B0A" w:rsidRPr="00E76013" w:rsidRDefault="00C85C16" w:rsidP="00D00A56">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Policies for the next generation, children and the youth, such as education and skills</w:t>
      </w:r>
      <w:r w:rsidR="00591B0A" w:rsidRPr="00E76013">
        <w:rPr>
          <w:rFonts w:ascii="Times New Roman" w:eastAsia="Times New Roman" w:hAnsi="Times New Roman" w:cs="Times New Roman"/>
          <w:i/>
          <w:noProof/>
          <w:sz w:val="24"/>
          <w:szCs w:val="24"/>
          <w:lang w:val="en-GB"/>
        </w:rPr>
        <w:t xml:space="preserve"> </w:t>
      </w:r>
    </w:p>
    <w:p w14:paraId="6F60AD0D" w14:textId="6EEB556C" w:rsidR="1699D526" w:rsidRPr="00E76013" w:rsidRDefault="3962AEB4" w:rsidP="00D00A56">
      <w:pPr>
        <w:spacing w:line="276" w:lineRule="auto"/>
        <w:jc w:val="both"/>
        <w:rPr>
          <w:rFonts w:ascii="Times New Roman" w:hAnsi="Times New Roman" w:cs="Times New Roman"/>
          <w:noProof/>
          <w:sz w:val="24"/>
          <w:szCs w:val="24"/>
          <w:lang w:val="en-GB"/>
        </w:rPr>
      </w:pPr>
      <w:r w:rsidRPr="06B8FE51">
        <w:rPr>
          <w:rFonts w:ascii="Times New Roman" w:eastAsia="Times New Roman" w:hAnsi="Times New Roman" w:cs="Times New Roman"/>
          <w:b/>
          <w:bCs/>
          <w:noProof/>
          <w:sz w:val="24"/>
          <w:szCs w:val="24"/>
          <w:lang w:val="en-GB"/>
        </w:rPr>
        <w:t xml:space="preserve">The </w:t>
      </w:r>
      <w:r w:rsidR="720D596E" w:rsidRPr="06B8FE51">
        <w:rPr>
          <w:rFonts w:ascii="Times New Roman" w:eastAsia="Times New Roman" w:hAnsi="Times New Roman" w:cs="Times New Roman"/>
          <w:b/>
          <w:bCs/>
          <w:noProof/>
          <w:sz w:val="24"/>
          <w:szCs w:val="24"/>
          <w:lang w:val="en-GB"/>
        </w:rPr>
        <w:t>P</w:t>
      </w:r>
      <w:r w:rsidRPr="06B8FE51">
        <w:rPr>
          <w:rFonts w:ascii="Times New Roman" w:eastAsia="Times New Roman" w:hAnsi="Times New Roman" w:cs="Times New Roman"/>
          <w:b/>
          <w:bCs/>
          <w:noProof/>
          <w:sz w:val="24"/>
          <w:szCs w:val="24"/>
          <w:lang w:val="en-GB"/>
        </w:rPr>
        <w:t>lan covers the sixth pillar</w:t>
      </w:r>
      <w:r w:rsidR="59015E22" w:rsidRPr="06B8FE51">
        <w:rPr>
          <w:rFonts w:ascii="Times New Roman" w:eastAsia="Times New Roman" w:hAnsi="Times New Roman" w:cs="Times New Roman"/>
          <w:b/>
          <w:bCs/>
          <w:noProof/>
          <w:sz w:val="24"/>
          <w:szCs w:val="24"/>
          <w:lang w:val="en-GB"/>
        </w:rPr>
        <w:t xml:space="preserve"> through m</w:t>
      </w:r>
      <w:r w:rsidR="7B0EA8CE" w:rsidRPr="00E76013">
        <w:rPr>
          <w:rFonts w:ascii="Times New Roman" w:hAnsi="Times New Roman" w:cs="Times New Roman"/>
          <w:b/>
          <w:bCs/>
          <w:noProof/>
          <w:sz w:val="24"/>
          <w:szCs w:val="24"/>
          <w:lang w:val="en-GB"/>
        </w:rPr>
        <w:t xml:space="preserve">easures in the </w:t>
      </w:r>
      <w:r w:rsidR="7B0EA8CE" w:rsidRPr="06B8FE51">
        <w:rPr>
          <w:rFonts w:ascii="Times New Roman" w:hAnsi="Times New Roman" w:cs="Times New Roman"/>
          <w:b/>
          <w:bCs/>
          <w:noProof/>
          <w:sz w:val="24"/>
          <w:szCs w:val="24"/>
          <w:lang w:val="en-GB"/>
        </w:rPr>
        <w:t>areas</w:t>
      </w:r>
      <w:r w:rsidR="7B0EA8CE" w:rsidRPr="00E76013">
        <w:rPr>
          <w:rFonts w:ascii="Times New Roman" w:hAnsi="Times New Roman" w:cs="Times New Roman"/>
          <w:b/>
          <w:bCs/>
          <w:noProof/>
          <w:sz w:val="24"/>
          <w:szCs w:val="24"/>
          <w:lang w:val="en-GB"/>
        </w:rPr>
        <w:t xml:space="preserve"> of education and skills </w:t>
      </w:r>
      <w:r w:rsidR="7B0EA8CE" w:rsidRPr="06B8FE51">
        <w:rPr>
          <w:rFonts w:ascii="Times New Roman" w:hAnsi="Times New Roman" w:cs="Times New Roman"/>
          <w:b/>
          <w:bCs/>
          <w:noProof/>
          <w:sz w:val="24"/>
          <w:szCs w:val="24"/>
          <w:lang w:val="en-GB"/>
        </w:rPr>
        <w:t xml:space="preserve">which </w:t>
      </w:r>
      <w:r w:rsidR="051DFCB6" w:rsidRPr="00E76013">
        <w:rPr>
          <w:rFonts w:ascii="Times New Roman" w:hAnsi="Times New Roman" w:cs="Times New Roman"/>
          <w:b/>
          <w:bCs/>
          <w:noProof/>
          <w:sz w:val="24"/>
          <w:szCs w:val="24"/>
          <w:lang w:val="en-GB"/>
        </w:rPr>
        <w:t xml:space="preserve">are expected to improve access to quality education and skill development. </w:t>
      </w:r>
      <w:r w:rsidR="4C7860B5" w:rsidRPr="00E76013">
        <w:rPr>
          <w:rFonts w:ascii="Times New Roman" w:hAnsi="Times New Roman" w:cs="Times New Roman"/>
          <w:noProof/>
          <w:sz w:val="24"/>
          <w:szCs w:val="24"/>
          <w:lang w:val="en-GB"/>
        </w:rPr>
        <w:t xml:space="preserve">The </w:t>
      </w:r>
      <w:r w:rsidR="00193AF9" w:rsidRPr="00E76013">
        <w:rPr>
          <w:rFonts w:ascii="Times New Roman" w:hAnsi="Times New Roman" w:cs="Times New Roman"/>
          <w:noProof/>
          <w:sz w:val="24"/>
          <w:szCs w:val="24"/>
          <w:lang w:val="en-GB"/>
        </w:rPr>
        <w:t>P</w:t>
      </w:r>
      <w:r w:rsidR="4C7860B5" w:rsidRPr="00E76013">
        <w:rPr>
          <w:rFonts w:ascii="Times New Roman" w:hAnsi="Times New Roman" w:cs="Times New Roman"/>
          <w:noProof/>
          <w:sz w:val="24"/>
          <w:szCs w:val="24"/>
          <w:lang w:val="en-GB"/>
        </w:rPr>
        <w:t xml:space="preserve">lan </w:t>
      </w:r>
      <w:r w:rsidR="1F8D6898" w:rsidRPr="00E76013">
        <w:rPr>
          <w:rFonts w:ascii="Times New Roman" w:hAnsi="Times New Roman" w:cs="Times New Roman"/>
          <w:noProof/>
          <w:sz w:val="24"/>
          <w:szCs w:val="24"/>
          <w:lang w:val="en-GB"/>
        </w:rPr>
        <w:t>aims</w:t>
      </w:r>
      <w:r w:rsidR="4C7860B5" w:rsidRPr="00E76013">
        <w:rPr>
          <w:rFonts w:ascii="Times New Roman" w:hAnsi="Times New Roman" w:cs="Times New Roman"/>
          <w:noProof/>
          <w:sz w:val="24"/>
          <w:szCs w:val="24"/>
          <w:lang w:val="en-GB"/>
        </w:rPr>
        <w:t xml:space="preserve"> at improving the accessibility, quality and effectiveness of the education and training systems through the construction and renovation of educational </w:t>
      </w:r>
      <w:r w:rsidR="1F8D6898" w:rsidRPr="00E76013">
        <w:rPr>
          <w:rFonts w:ascii="Times New Roman" w:hAnsi="Times New Roman" w:cs="Times New Roman"/>
          <w:noProof/>
          <w:sz w:val="24"/>
          <w:szCs w:val="24"/>
          <w:lang w:val="en-GB"/>
        </w:rPr>
        <w:t>infrastructures</w:t>
      </w:r>
      <w:r w:rsidR="4C7860B5" w:rsidRPr="00E76013">
        <w:rPr>
          <w:rFonts w:ascii="Times New Roman" w:hAnsi="Times New Roman" w:cs="Times New Roman"/>
          <w:noProof/>
          <w:sz w:val="24"/>
          <w:szCs w:val="24"/>
          <w:lang w:val="en-GB"/>
        </w:rPr>
        <w:t xml:space="preserve"> and youth centres across the territory. The promotion of science, technology, engineering and mathematics (STEM) fields in Bulgarian schools, envisaged under the plan, is also </w:t>
      </w:r>
      <w:r w:rsidR="01A5277E" w:rsidRPr="00E76013">
        <w:rPr>
          <w:rFonts w:ascii="Times New Roman" w:hAnsi="Times New Roman" w:cs="Times New Roman"/>
          <w:noProof/>
          <w:sz w:val="24"/>
          <w:szCs w:val="24"/>
          <w:lang w:val="en-GB"/>
        </w:rPr>
        <w:t>expected to make an important contribution</w:t>
      </w:r>
      <w:r w:rsidR="4C7860B5" w:rsidRPr="00E76013">
        <w:rPr>
          <w:rFonts w:ascii="Times New Roman" w:hAnsi="Times New Roman" w:cs="Times New Roman"/>
          <w:noProof/>
          <w:sz w:val="24"/>
          <w:szCs w:val="24"/>
          <w:lang w:val="en-GB"/>
        </w:rPr>
        <w:t xml:space="preserve"> to improve the quality</w:t>
      </w:r>
      <w:r w:rsidR="006B642A">
        <w:rPr>
          <w:rFonts w:ascii="Times New Roman" w:hAnsi="Times New Roman" w:cs="Times New Roman"/>
          <w:noProof/>
          <w:sz w:val="24"/>
          <w:szCs w:val="24"/>
          <w:lang w:val="en-GB"/>
        </w:rPr>
        <w:t xml:space="preserve"> </w:t>
      </w:r>
      <w:r w:rsidR="006B642A" w:rsidRPr="58605E46">
        <w:rPr>
          <w:rFonts w:ascii="Times New Roman" w:eastAsia="Times New Roman" w:hAnsi="Times New Roman" w:cs="Times New Roman"/>
          <w:noProof/>
          <w:sz w:val="24"/>
          <w:szCs w:val="24"/>
          <w:lang w:val="en-GB"/>
        </w:rPr>
        <w:t>and labour market relevance</w:t>
      </w:r>
      <w:r w:rsidR="006B642A" w:rsidRPr="58605E46">
        <w:rPr>
          <w:rFonts w:ascii="Times New Roman" w:hAnsi="Times New Roman" w:cs="Times New Roman"/>
          <w:noProof/>
          <w:sz w:val="24"/>
          <w:szCs w:val="24"/>
          <w:lang w:val="en-GB"/>
        </w:rPr>
        <w:t xml:space="preserve"> </w:t>
      </w:r>
      <w:r w:rsidR="4C7860B5" w:rsidRPr="00E76013">
        <w:rPr>
          <w:rFonts w:ascii="Times New Roman" w:hAnsi="Times New Roman" w:cs="Times New Roman"/>
          <w:noProof/>
          <w:sz w:val="24"/>
          <w:szCs w:val="24"/>
          <w:lang w:val="en-GB"/>
        </w:rPr>
        <w:t>of the education system</w:t>
      </w:r>
      <w:r w:rsidR="1F8D6898" w:rsidRPr="00E76013">
        <w:rPr>
          <w:rFonts w:ascii="Times New Roman" w:hAnsi="Times New Roman" w:cs="Times New Roman"/>
          <w:noProof/>
          <w:sz w:val="24"/>
          <w:szCs w:val="24"/>
          <w:lang w:val="en-GB"/>
        </w:rPr>
        <w:t xml:space="preserve">. </w:t>
      </w:r>
      <w:r w:rsidR="4C7860B5" w:rsidRPr="00E76013">
        <w:rPr>
          <w:rFonts w:ascii="Times New Roman" w:hAnsi="Times New Roman" w:cs="Times New Roman"/>
          <w:noProof/>
          <w:sz w:val="24"/>
          <w:szCs w:val="24"/>
          <w:lang w:val="en-GB"/>
        </w:rPr>
        <w:t xml:space="preserve">In addition, an additional number of children are expected to be reached by the educational system as a result of the progressive inclusion of four-year-olds in the educational system. The implementation of distance and hybrid forms of learning, which is covered by a reform in the </w:t>
      </w:r>
      <w:r w:rsidR="00D82B47">
        <w:rPr>
          <w:rFonts w:ascii="Times New Roman" w:hAnsi="Times New Roman" w:cs="Times New Roman"/>
          <w:noProof/>
          <w:sz w:val="24"/>
          <w:szCs w:val="24"/>
          <w:lang w:val="en-GB"/>
        </w:rPr>
        <w:t>P</w:t>
      </w:r>
      <w:r w:rsidR="4C7860B5" w:rsidRPr="00E76013">
        <w:rPr>
          <w:rFonts w:ascii="Times New Roman" w:hAnsi="Times New Roman" w:cs="Times New Roman"/>
          <w:noProof/>
          <w:sz w:val="24"/>
          <w:szCs w:val="24"/>
          <w:lang w:val="en-GB"/>
        </w:rPr>
        <w:t>lan, is also expected to contribute to the further improvement of the educational system, for its potential to ensure the continuity of the educational offer targeting children and students.</w:t>
      </w:r>
    </w:p>
    <w:p w14:paraId="3BCD3E5C" w14:textId="30E3487A" w:rsidR="1699D526" w:rsidRPr="00E76013" w:rsidRDefault="006E415B" w:rsidP="00D00A56">
      <w:pPr>
        <w:spacing w:line="276" w:lineRule="auto"/>
        <w:jc w:val="both"/>
        <w:rPr>
          <w:rFonts w:ascii="Times New Roman" w:hAnsi="Times New Roman" w:cs="Times New Roman"/>
          <w:i/>
          <w:noProof/>
          <w:sz w:val="24"/>
          <w:szCs w:val="24"/>
          <w:lang w:val="en-GB"/>
        </w:rPr>
      </w:pPr>
      <w:r w:rsidRPr="00E76013">
        <w:rPr>
          <w:rFonts w:ascii="Times New Roman" w:hAnsi="Times New Roman" w:cs="Times New Roman"/>
          <w:i/>
          <w:noProof/>
          <w:sz w:val="24"/>
          <w:szCs w:val="24"/>
          <w:lang w:val="en-GB"/>
        </w:rPr>
        <w:t xml:space="preserve">Taking into consideration all reforms and investments envisaged by </w:t>
      </w:r>
      <w:r w:rsidRPr="00E76013">
        <w:rPr>
          <w:rFonts w:ascii="Times New Roman" w:hAnsi="Times New Roman" w:cs="Times New Roman"/>
          <w:i/>
          <w:iCs/>
          <w:noProof/>
          <w:sz w:val="24"/>
          <w:szCs w:val="24"/>
          <w:lang w:val="en-GB"/>
        </w:rPr>
        <w:t>Bulgaria,</w:t>
      </w:r>
      <w:r w:rsidRPr="00E76013">
        <w:rPr>
          <w:rFonts w:ascii="Times New Roman" w:hAnsi="Times New Roman" w:cs="Times New Roman"/>
          <w:i/>
          <w:noProof/>
          <w:sz w:val="24"/>
          <w:szCs w:val="24"/>
          <w:lang w:val="en-GB"/>
        </w:rPr>
        <w:t xml:space="preserve"> its </w:t>
      </w:r>
      <w:r w:rsidR="00F55E6B">
        <w:rPr>
          <w:rFonts w:ascii="Times New Roman" w:hAnsi="Times New Roman" w:cs="Times New Roman"/>
          <w:i/>
          <w:noProof/>
          <w:sz w:val="24"/>
          <w:szCs w:val="24"/>
          <w:lang w:val="en-GB"/>
        </w:rPr>
        <w:t>P</w:t>
      </w:r>
      <w:r w:rsidRPr="00E76013">
        <w:rPr>
          <w:rFonts w:ascii="Times New Roman" w:hAnsi="Times New Roman" w:cs="Times New Roman"/>
          <w:i/>
          <w:noProof/>
          <w:sz w:val="24"/>
          <w:szCs w:val="24"/>
          <w:lang w:val="en-GB"/>
        </w:rPr>
        <w:t xml:space="preserve">lan represents, to a large extent a comprehensive and adequately balanced response to the economic and social situation, thereby contributing appropriately to all six pillars referred to in Article 3 of the RRF Regulation, taking the specific challenges and the financial allocation of </w:t>
      </w:r>
      <w:r w:rsidR="0056237B" w:rsidRPr="00E76013">
        <w:rPr>
          <w:rFonts w:ascii="Times New Roman" w:hAnsi="Times New Roman" w:cs="Times New Roman"/>
          <w:i/>
          <w:noProof/>
          <w:sz w:val="24"/>
          <w:szCs w:val="24"/>
          <w:lang w:val="en-GB"/>
        </w:rPr>
        <w:t>Bulgaria</w:t>
      </w:r>
      <w:r w:rsidRPr="00E76013">
        <w:rPr>
          <w:rFonts w:ascii="Times New Roman" w:hAnsi="Times New Roman" w:cs="Times New Roman"/>
          <w:i/>
          <w:noProof/>
          <w:sz w:val="24"/>
          <w:szCs w:val="24"/>
          <w:lang w:val="en-GB"/>
        </w:rPr>
        <w:t xml:space="preserve"> into account. This would warrant a rating of A under the assessment criterion 2.1 in Annex V </w:t>
      </w:r>
      <w:r w:rsidR="00610B86">
        <w:rPr>
          <w:rFonts w:ascii="Times New Roman" w:hAnsi="Times New Roman" w:cs="Times New Roman"/>
          <w:i/>
          <w:noProof/>
          <w:sz w:val="24"/>
          <w:szCs w:val="24"/>
          <w:lang w:val="en-GB"/>
        </w:rPr>
        <w:t>to</w:t>
      </w:r>
      <w:r w:rsidR="00610B86" w:rsidRPr="00E76013">
        <w:rPr>
          <w:rFonts w:ascii="Times New Roman" w:hAnsi="Times New Roman" w:cs="Times New Roman"/>
          <w:i/>
          <w:noProof/>
          <w:sz w:val="24"/>
          <w:szCs w:val="24"/>
          <w:lang w:val="en-GB"/>
        </w:rPr>
        <w:t xml:space="preserve"> </w:t>
      </w:r>
      <w:r w:rsidRPr="00E76013">
        <w:rPr>
          <w:rFonts w:ascii="Times New Roman" w:hAnsi="Times New Roman" w:cs="Times New Roman"/>
          <w:i/>
          <w:noProof/>
          <w:sz w:val="24"/>
          <w:szCs w:val="24"/>
          <w:lang w:val="en-GB"/>
        </w:rPr>
        <w:t>the RRF Regulation.</w:t>
      </w:r>
    </w:p>
    <w:p w14:paraId="5DB75126" w14:textId="14FB0355" w:rsidR="005B610E" w:rsidRPr="006F3F3A" w:rsidRDefault="7CF650C0" w:rsidP="00E01A1F">
      <w:pPr>
        <w:pStyle w:val="Heading2"/>
        <w:numPr>
          <w:ilvl w:val="1"/>
          <w:numId w:val="7"/>
        </w:numPr>
        <w:spacing w:after="160" w:line="276" w:lineRule="auto"/>
        <w:rPr>
          <w:noProof/>
        </w:rPr>
      </w:pPr>
      <w:bookmarkStart w:id="266" w:name="_Toc62455201"/>
      <w:bookmarkStart w:id="267" w:name="_Toc99399070"/>
      <w:bookmarkStart w:id="268" w:name="_Toc99400003"/>
      <w:bookmarkStart w:id="269" w:name="_Toc99400431"/>
      <w:bookmarkStart w:id="270" w:name="_Toc99719446"/>
      <w:bookmarkStart w:id="271" w:name="_Toc99728659"/>
      <w:bookmarkStart w:id="272" w:name="_Toc99729653"/>
      <w:bookmarkStart w:id="273" w:name="_Toc99730630"/>
      <w:bookmarkStart w:id="274" w:name="_Toc99731354"/>
      <w:bookmarkStart w:id="275" w:name="_Toc99756893"/>
      <w:bookmarkStart w:id="276" w:name="_Toc99909923"/>
      <w:bookmarkStart w:id="277" w:name="_Toc62818224"/>
      <w:bookmarkStart w:id="278" w:name="_Toc63417220"/>
      <w:bookmarkStart w:id="279" w:name="_Toc63418910"/>
      <w:bookmarkStart w:id="280" w:name="_Toc63418935"/>
      <w:bookmarkStart w:id="281" w:name="_Toc64281621"/>
      <w:bookmarkStart w:id="282" w:name="_Toc98952825"/>
      <w:bookmarkStart w:id="283" w:name="_Toc98953996"/>
      <w:bookmarkStart w:id="284" w:name="_Toc62818771"/>
      <w:r w:rsidRPr="006F3F3A">
        <w:rPr>
          <w:noProof/>
        </w:rPr>
        <w:t>Link with country-specific recommendations</w:t>
      </w:r>
      <w:r w:rsidR="0C060988" w:rsidRPr="006F3F3A">
        <w:rPr>
          <w:noProof/>
        </w:rPr>
        <w:t xml:space="preserve"> and the European Semester</w:t>
      </w:r>
      <w:bookmarkEnd w:id="266"/>
      <w:bookmarkEnd w:id="267"/>
      <w:bookmarkEnd w:id="268"/>
      <w:bookmarkEnd w:id="269"/>
      <w:bookmarkEnd w:id="270"/>
      <w:bookmarkEnd w:id="271"/>
      <w:bookmarkEnd w:id="272"/>
      <w:bookmarkEnd w:id="273"/>
      <w:bookmarkEnd w:id="274"/>
      <w:bookmarkEnd w:id="275"/>
      <w:bookmarkEnd w:id="276"/>
      <w:r w:rsidR="303172CE" w:rsidRPr="006F3F3A">
        <w:rPr>
          <w:noProof/>
        </w:rPr>
        <w:t xml:space="preserve"> </w:t>
      </w:r>
      <w:bookmarkEnd w:id="277"/>
      <w:bookmarkEnd w:id="278"/>
      <w:bookmarkEnd w:id="279"/>
      <w:bookmarkEnd w:id="280"/>
      <w:bookmarkEnd w:id="281"/>
      <w:bookmarkEnd w:id="282"/>
      <w:bookmarkEnd w:id="283"/>
    </w:p>
    <w:bookmarkEnd w:id="284"/>
    <w:p w14:paraId="47F410CA" w14:textId="76F3EA5F" w:rsidR="00325619" w:rsidRPr="00E76013" w:rsidRDefault="00BD1DA3" w:rsidP="008637B5">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rPr>
        <w:t>According to the Regulation, t</w:t>
      </w:r>
      <w:r w:rsidR="00325619" w:rsidRPr="00E76013">
        <w:rPr>
          <w:rFonts w:ascii="Times New Roman" w:eastAsia="Times New Roman" w:hAnsi="Times New Roman" w:cs="Times New Roman"/>
          <w:b/>
          <w:bCs/>
          <w:noProof/>
          <w:sz w:val="24"/>
          <w:szCs w:val="24"/>
        </w:rPr>
        <w:t>he Plan is expected to address a significant subset of</w:t>
      </w:r>
      <w:r w:rsidR="00861380">
        <w:rPr>
          <w:rFonts w:ascii="Times New Roman" w:eastAsia="Times New Roman" w:hAnsi="Times New Roman" w:cs="Times New Roman"/>
          <w:b/>
          <w:bCs/>
          <w:noProof/>
          <w:sz w:val="24"/>
          <w:szCs w:val="24"/>
        </w:rPr>
        <w:t xml:space="preserve"> </w:t>
      </w:r>
      <w:r w:rsidR="00861380" w:rsidRPr="00861380">
        <w:rPr>
          <w:rFonts w:ascii="Times New Roman" w:eastAsia="Times New Roman" w:hAnsi="Times New Roman" w:cs="Times New Roman"/>
          <w:b/>
          <w:bCs/>
          <w:noProof/>
          <w:sz w:val="24"/>
          <w:szCs w:val="24"/>
        </w:rPr>
        <w:t>challenges identified in</w:t>
      </w:r>
      <w:r w:rsidR="004F2DAB">
        <w:rPr>
          <w:rFonts w:ascii="Times New Roman" w:eastAsia="Times New Roman" w:hAnsi="Times New Roman" w:cs="Times New Roman"/>
          <w:b/>
          <w:bCs/>
          <w:noProof/>
          <w:sz w:val="24"/>
          <w:szCs w:val="24"/>
        </w:rPr>
        <w:t xml:space="preserve"> </w:t>
      </w:r>
      <w:r w:rsidR="00325619" w:rsidRPr="00E76013">
        <w:rPr>
          <w:rFonts w:ascii="Times New Roman" w:eastAsia="Times New Roman" w:hAnsi="Times New Roman" w:cs="Times New Roman"/>
          <w:b/>
          <w:bCs/>
          <w:noProof/>
          <w:sz w:val="24"/>
          <w:szCs w:val="24"/>
        </w:rPr>
        <w:t xml:space="preserve">the relevant country-specific recommendations issued to Bulgaria both in 2019 and 2020. </w:t>
      </w:r>
      <w:r w:rsidR="00325619" w:rsidRPr="00E76013">
        <w:rPr>
          <w:rFonts w:ascii="Times New Roman" w:eastAsia="Times New Roman" w:hAnsi="Times New Roman" w:cs="Times New Roman"/>
          <w:noProof/>
          <w:sz w:val="24"/>
          <w:szCs w:val="24"/>
        </w:rPr>
        <w:t xml:space="preserve">The Plan puts forward an ambitious reform and investment agenda, with the potential to strengthen sustainable growth and increase the overall resilience of the Bulgarian economy. </w:t>
      </w:r>
    </w:p>
    <w:p w14:paraId="47C308AB" w14:textId="6A242B44" w:rsidR="00E31251" w:rsidRPr="00E76013" w:rsidRDefault="00E31251" w:rsidP="06B8FE51">
      <w:pPr>
        <w:spacing w:before="120" w:after="120" w:line="276" w:lineRule="auto"/>
        <w:jc w:val="both"/>
        <w:rPr>
          <w:rFonts w:ascii="Times New Roman" w:eastAsia="Calibri" w:hAnsi="Times New Roman" w:cs="Times New Roman"/>
          <w:noProof/>
          <w:sz w:val="24"/>
          <w:szCs w:val="24"/>
        </w:rPr>
      </w:pPr>
      <w:r w:rsidRPr="00E76013">
        <w:rPr>
          <w:rFonts w:ascii="Times New Roman" w:eastAsia="Times New Roman" w:hAnsi="Times New Roman" w:cs="Times New Roman"/>
          <w:b/>
          <w:bCs/>
          <w:noProof/>
          <w:sz w:val="24"/>
          <w:szCs w:val="24"/>
        </w:rPr>
        <w:t xml:space="preserve">Reforms and investments under the business environment component </w:t>
      </w:r>
      <w:r w:rsidR="1D31C668" w:rsidRPr="00E76013">
        <w:rPr>
          <w:rFonts w:ascii="Times New Roman" w:eastAsia="Times New Roman" w:hAnsi="Times New Roman" w:cs="Times New Roman"/>
          <w:b/>
          <w:bCs/>
          <w:noProof/>
          <w:sz w:val="24"/>
          <w:szCs w:val="24"/>
        </w:rPr>
        <w:t>contribute to addressing</w:t>
      </w:r>
      <w:r w:rsidRPr="00E76013">
        <w:rPr>
          <w:rFonts w:ascii="Times New Roman" w:eastAsia="Times New Roman" w:hAnsi="Times New Roman" w:cs="Times New Roman"/>
          <w:b/>
          <w:bCs/>
          <w:noProof/>
          <w:sz w:val="24"/>
          <w:szCs w:val="24"/>
        </w:rPr>
        <w:t xml:space="preserve"> several country-specific recommendations. </w:t>
      </w:r>
      <w:r w:rsidRPr="00E76013">
        <w:rPr>
          <w:rFonts w:ascii="Times New Roman" w:eastAsia="Times New Roman" w:hAnsi="Times New Roman" w:cs="Times New Roman"/>
          <w:noProof/>
          <w:sz w:val="24"/>
          <w:szCs w:val="24"/>
        </w:rPr>
        <w:t>The measures included in the component contribute to addressing country-specific recommendation 3 of 2019</w:t>
      </w:r>
      <w:r w:rsidR="004F2DAB">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noProof/>
          <w:sz w:val="24"/>
          <w:szCs w:val="24"/>
        </w:rPr>
        <w:t xml:space="preserve">in relation to improving business environment, and country-specific recommendation 4 of 2020 in relation to minimising administrative burden to the companies by improving the effectiveness of public administration and reinforcing digital government; ensuring an effective functioning of the insolvency framework; improving the governance of state owned enterprises, strenghtening public procurement and figting corruption. </w:t>
      </w:r>
      <w:r w:rsidRPr="00E76013">
        <w:rPr>
          <w:rFonts w:ascii="Times New Roman" w:eastAsia="Calibri" w:hAnsi="Times New Roman" w:cs="Times New Roman"/>
          <w:noProof/>
          <w:sz w:val="24"/>
          <w:szCs w:val="24"/>
        </w:rPr>
        <w:t>Among the proposed measures are also the amendments to the Rules of Procedure of the National Assembly that aim to increase both the quality and predictability of the legislative process</w:t>
      </w:r>
      <w:r w:rsidR="002A372F" w:rsidRPr="00E76013">
        <w:rPr>
          <w:rFonts w:ascii="Times New Roman" w:eastAsia="Calibri" w:hAnsi="Times New Roman" w:cs="Times New Roman"/>
          <w:noProof/>
          <w:sz w:val="24"/>
          <w:szCs w:val="24"/>
        </w:rPr>
        <w:t xml:space="preserve"> by introducing </w:t>
      </w:r>
      <w:r w:rsidR="00071554" w:rsidRPr="00E76013">
        <w:rPr>
          <w:rFonts w:ascii="Times New Roman" w:eastAsia="Calibri" w:hAnsi="Times New Roman" w:cs="Times New Roman"/>
          <w:noProof/>
          <w:sz w:val="24"/>
          <w:szCs w:val="24"/>
        </w:rPr>
        <w:t xml:space="preserve">impact assessments for all draft legislation proposed by Members of Parliament, increasing transparency, and establishing rules to limit proposals for amendments and supplements that refer to </w:t>
      </w:r>
      <w:r w:rsidR="007C5A7D" w:rsidRPr="00E76013">
        <w:rPr>
          <w:rFonts w:ascii="Times New Roman" w:eastAsia="Calibri" w:hAnsi="Times New Roman" w:cs="Times New Roman"/>
          <w:noProof/>
          <w:sz w:val="24"/>
          <w:szCs w:val="24"/>
        </w:rPr>
        <w:t xml:space="preserve">other </w:t>
      </w:r>
      <w:r w:rsidR="00071554" w:rsidRPr="00E76013">
        <w:rPr>
          <w:rFonts w:ascii="Times New Roman" w:eastAsia="Calibri" w:hAnsi="Times New Roman" w:cs="Times New Roman"/>
          <w:noProof/>
          <w:sz w:val="24"/>
          <w:szCs w:val="24"/>
        </w:rPr>
        <w:t>legislative acts.</w:t>
      </w:r>
      <w:r w:rsidRPr="00E76013">
        <w:rPr>
          <w:rFonts w:ascii="Times New Roman" w:eastAsia="Calibri" w:hAnsi="Times New Roman" w:cs="Times New Roman"/>
          <w:noProof/>
          <w:sz w:val="24"/>
          <w:szCs w:val="24"/>
        </w:rPr>
        <w:t xml:space="preserve"> In addition to that, a number of reforms aim to enhance the potential of e-government</w:t>
      </w:r>
      <w:r w:rsidR="00ED09FA">
        <w:rPr>
          <w:rFonts w:ascii="Times New Roman" w:eastAsia="Calibri" w:hAnsi="Times New Roman" w:cs="Times New Roman"/>
          <w:noProof/>
          <w:sz w:val="24"/>
          <w:szCs w:val="24"/>
        </w:rPr>
        <w:t xml:space="preserve"> </w:t>
      </w:r>
      <w:r w:rsidR="00ED09FA">
        <w:rPr>
          <w:rFonts w:ascii="Times New Roman" w:eastAsia="Calibri" w:hAnsi="Times New Roman" w:cs="Times New Roman"/>
          <w:noProof/>
          <w:sz w:val="24"/>
          <w:szCs w:val="24"/>
          <w:lang w:val="en-IE"/>
        </w:rPr>
        <w:t>and e-justice</w:t>
      </w:r>
      <w:r w:rsidRPr="00E76013">
        <w:rPr>
          <w:rFonts w:ascii="Times New Roman" w:eastAsia="Calibri" w:hAnsi="Times New Roman" w:cs="Times New Roman"/>
          <w:noProof/>
          <w:sz w:val="24"/>
          <w:szCs w:val="24"/>
        </w:rPr>
        <w:t>, such as</w:t>
      </w:r>
      <w:r w:rsidR="00ED09FA">
        <w:rPr>
          <w:rFonts w:ascii="Times New Roman" w:eastAsia="Calibri" w:hAnsi="Times New Roman" w:cs="Times New Roman"/>
          <w:noProof/>
          <w:sz w:val="24"/>
          <w:szCs w:val="24"/>
        </w:rPr>
        <w:t xml:space="preserve"> the</w:t>
      </w:r>
      <w:r w:rsidRPr="00E76013">
        <w:rPr>
          <w:rFonts w:ascii="Times New Roman" w:eastAsia="Calibri" w:hAnsi="Times New Roman" w:cs="Times New Roman"/>
          <w:noProof/>
          <w:sz w:val="24"/>
          <w:szCs w:val="24"/>
        </w:rPr>
        <w:t xml:space="preserve"> </w:t>
      </w:r>
      <w:r w:rsidR="40D09485" w:rsidRPr="00E76013">
        <w:rPr>
          <w:rFonts w:ascii="Times New Roman" w:eastAsia="Calibri" w:hAnsi="Times New Roman" w:cs="Times New Roman"/>
          <w:noProof/>
          <w:sz w:val="24"/>
          <w:szCs w:val="24"/>
        </w:rPr>
        <w:t>digitalisation</w:t>
      </w:r>
      <w:r w:rsidRPr="00E76013">
        <w:rPr>
          <w:rFonts w:ascii="Times New Roman" w:eastAsia="Calibri" w:hAnsi="Times New Roman" w:cs="Times New Roman"/>
          <w:noProof/>
          <w:sz w:val="24"/>
          <w:szCs w:val="24"/>
        </w:rPr>
        <w:t xml:space="preserve"> of </w:t>
      </w:r>
      <w:r w:rsidR="00ED09FA">
        <w:rPr>
          <w:rFonts w:ascii="Times New Roman" w:eastAsia="Calibri" w:hAnsi="Times New Roman" w:cs="Times New Roman"/>
          <w:noProof/>
          <w:sz w:val="24"/>
          <w:szCs w:val="24"/>
        </w:rPr>
        <w:t xml:space="preserve">the </w:t>
      </w:r>
      <w:r w:rsidRPr="00E76013">
        <w:rPr>
          <w:rFonts w:ascii="Times New Roman" w:eastAsia="Calibri" w:hAnsi="Times New Roman" w:cs="Times New Roman"/>
          <w:noProof/>
          <w:sz w:val="24"/>
          <w:szCs w:val="24"/>
        </w:rPr>
        <w:t xml:space="preserve">judiciary that would enable judicial acts to be drafted as electronic documents, a fully electronic submission of documents and </w:t>
      </w:r>
      <w:r w:rsidR="00ED09FA">
        <w:rPr>
          <w:rFonts w:ascii="Times New Roman" w:eastAsia="Calibri" w:hAnsi="Times New Roman" w:cs="Times New Roman"/>
          <w:noProof/>
          <w:sz w:val="24"/>
          <w:szCs w:val="24"/>
          <w:lang w:val="en-IE"/>
        </w:rPr>
        <w:t xml:space="preserve">holding </w:t>
      </w:r>
      <w:r w:rsidRPr="00E76013">
        <w:rPr>
          <w:rFonts w:ascii="Times New Roman" w:eastAsia="Calibri" w:hAnsi="Times New Roman" w:cs="Times New Roman"/>
          <w:noProof/>
          <w:sz w:val="24"/>
          <w:szCs w:val="24"/>
        </w:rPr>
        <w:t xml:space="preserve">remote court sessions. All these measures should help to </w:t>
      </w:r>
      <w:r w:rsidR="00851106" w:rsidRPr="00E76013">
        <w:rPr>
          <w:rFonts w:ascii="Times New Roman" w:eastAsia="Calibri" w:hAnsi="Times New Roman" w:cs="Times New Roman"/>
          <w:noProof/>
          <w:sz w:val="24"/>
          <w:szCs w:val="24"/>
        </w:rPr>
        <w:t xml:space="preserve">increase transparency, lower the administrative burden and in general </w:t>
      </w:r>
      <w:r w:rsidRPr="00E76013">
        <w:rPr>
          <w:rFonts w:ascii="Times New Roman" w:eastAsia="Calibri" w:hAnsi="Times New Roman" w:cs="Times New Roman"/>
          <w:noProof/>
          <w:sz w:val="24"/>
          <w:szCs w:val="24"/>
        </w:rPr>
        <w:t>foster a better investment climate.</w:t>
      </w:r>
      <w:r w:rsidR="00172616" w:rsidRPr="00E76013">
        <w:rPr>
          <w:rFonts w:ascii="Times New Roman" w:eastAsia="Calibri" w:hAnsi="Times New Roman" w:cs="Times New Roman"/>
          <w:noProof/>
          <w:sz w:val="24"/>
          <w:szCs w:val="24"/>
        </w:rPr>
        <w:t xml:space="preserve"> Some progress has been made with the recommendation</w:t>
      </w:r>
      <w:r w:rsidR="00887559">
        <w:rPr>
          <w:rFonts w:ascii="Times New Roman" w:eastAsia="Calibri" w:hAnsi="Times New Roman" w:cs="Times New Roman"/>
          <w:noProof/>
          <w:sz w:val="24"/>
          <w:szCs w:val="24"/>
        </w:rPr>
        <w:t>s</w:t>
      </w:r>
      <w:r w:rsidR="00172616" w:rsidRPr="00E76013">
        <w:rPr>
          <w:rFonts w:ascii="Times New Roman" w:eastAsia="Calibri" w:hAnsi="Times New Roman" w:cs="Times New Roman"/>
          <w:noProof/>
          <w:sz w:val="24"/>
          <w:szCs w:val="24"/>
        </w:rPr>
        <w:t xml:space="preserve"> on the improvement of the tax collection, particularly in the context of labour and fuel taxes, and there are several </w:t>
      </w:r>
      <w:r w:rsidR="003A7205">
        <w:rPr>
          <w:rFonts w:ascii="Times New Roman" w:eastAsia="Calibri" w:hAnsi="Times New Roman" w:cs="Times New Roman"/>
          <w:noProof/>
          <w:sz w:val="24"/>
          <w:szCs w:val="24"/>
        </w:rPr>
        <w:t>ongoing</w:t>
      </w:r>
      <w:r w:rsidR="00172616" w:rsidRPr="00E76013">
        <w:rPr>
          <w:rFonts w:ascii="Times New Roman" w:eastAsia="Calibri" w:hAnsi="Times New Roman" w:cs="Times New Roman"/>
          <w:noProof/>
          <w:sz w:val="24"/>
          <w:szCs w:val="24"/>
        </w:rPr>
        <w:t xml:space="preserve"> projects under the Technical Support Instrument involving the National </w:t>
      </w:r>
      <w:r w:rsidR="003A7205">
        <w:rPr>
          <w:rFonts w:ascii="Times New Roman" w:eastAsia="Calibri" w:hAnsi="Times New Roman" w:cs="Times New Roman"/>
          <w:noProof/>
          <w:sz w:val="24"/>
          <w:szCs w:val="24"/>
        </w:rPr>
        <w:t>Revenue Agency</w:t>
      </w:r>
      <w:r w:rsidR="00172616" w:rsidRPr="00E76013">
        <w:rPr>
          <w:rFonts w:ascii="Times New Roman" w:eastAsia="Calibri" w:hAnsi="Times New Roman" w:cs="Times New Roman"/>
          <w:noProof/>
          <w:sz w:val="24"/>
          <w:szCs w:val="24"/>
        </w:rPr>
        <w:t xml:space="preserve"> and targeting this </w:t>
      </w:r>
      <w:r w:rsidR="009F4158">
        <w:rPr>
          <w:rFonts w:ascii="Times New Roman" w:eastAsia="Calibri" w:hAnsi="Times New Roman" w:cs="Times New Roman"/>
          <w:noProof/>
          <w:sz w:val="24"/>
          <w:szCs w:val="24"/>
        </w:rPr>
        <w:t>are</w:t>
      </w:r>
      <w:r w:rsidR="00D03C9D">
        <w:rPr>
          <w:rFonts w:ascii="Times New Roman" w:eastAsia="Calibri" w:hAnsi="Times New Roman" w:cs="Times New Roman"/>
          <w:noProof/>
          <w:sz w:val="24"/>
          <w:szCs w:val="24"/>
        </w:rPr>
        <w:t>a</w:t>
      </w:r>
      <w:r w:rsidR="00887559">
        <w:rPr>
          <w:rFonts w:ascii="Times New Roman" w:eastAsia="Calibri" w:hAnsi="Times New Roman" w:cs="Times New Roman"/>
          <w:noProof/>
          <w:sz w:val="24"/>
          <w:szCs w:val="24"/>
        </w:rPr>
        <w:t>.</w:t>
      </w:r>
      <w:r w:rsidR="00887559" w:rsidRPr="00887559">
        <w:rPr>
          <w:noProof/>
        </w:rPr>
        <w:t xml:space="preserve"> </w:t>
      </w:r>
      <w:r w:rsidR="00887559" w:rsidRPr="00887559">
        <w:rPr>
          <w:rFonts w:ascii="Times New Roman" w:eastAsia="Calibri" w:hAnsi="Times New Roman" w:cs="Times New Roman"/>
          <w:noProof/>
          <w:sz w:val="24"/>
          <w:szCs w:val="24"/>
        </w:rPr>
        <w:t xml:space="preserve">However, they </w:t>
      </w:r>
      <w:r w:rsidR="00887559" w:rsidRPr="2BB4B08B">
        <w:rPr>
          <w:rFonts w:ascii="Times New Roman" w:eastAsia="Calibri" w:hAnsi="Times New Roman" w:cs="Times New Roman"/>
          <w:noProof/>
          <w:sz w:val="24"/>
          <w:szCs w:val="24"/>
        </w:rPr>
        <w:t>are not expected to</w:t>
      </w:r>
      <w:r w:rsidR="00887559" w:rsidRPr="00887559">
        <w:rPr>
          <w:rFonts w:ascii="Times New Roman" w:eastAsia="Calibri" w:hAnsi="Times New Roman" w:cs="Times New Roman"/>
          <w:noProof/>
          <w:sz w:val="24"/>
          <w:szCs w:val="24"/>
        </w:rPr>
        <w:t xml:space="preserve"> fully address the</w:t>
      </w:r>
      <w:r w:rsidR="006D588F">
        <w:rPr>
          <w:rFonts w:ascii="Times New Roman" w:eastAsia="Calibri" w:hAnsi="Times New Roman" w:cs="Times New Roman"/>
          <w:noProof/>
          <w:sz w:val="24"/>
          <w:szCs w:val="24"/>
        </w:rPr>
        <w:t xml:space="preserve"> country specific </w:t>
      </w:r>
      <w:r w:rsidR="00887559" w:rsidRPr="00887559">
        <w:rPr>
          <w:rFonts w:ascii="Times New Roman" w:eastAsia="Calibri" w:hAnsi="Times New Roman" w:cs="Times New Roman"/>
          <w:noProof/>
          <w:sz w:val="24"/>
          <w:szCs w:val="24"/>
        </w:rPr>
        <w:t>recommendation</w:t>
      </w:r>
      <w:r w:rsidR="00887559">
        <w:rPr>
          <w:rFonts w:ascii="Times New Roman" w:eastAsia="Calibri" w:hAnsi="Times New Roman" w:cs="Times New Roman"/>
          <w:noProof/>
          <w:sz w:val="24"/>
          <w:szCs w:val="24"/>
        </w:rPr>
        <w:t xml:space="preserve"> </w:t>
      </w:r>
      <w:r w:rsidR="006D588F">
        <w:rPr>
          <w:rFonts w:ascii="Times New Roman" w:eastAsia="Calibri" w:hAnsi="Times New Roman" w:cs="Times New Roman"/>
          <w:noProof/>
          <w:sz w:val="24"/>
          <w:szCs w:val="24"/>
        </w:rPr>
        <w:t>on tax collection</w:t>
      </w:r>
      <w:r w:rsidR="004B71C1">
        <w:rPr>
          <w:rFonts w:ascii="Times New Roman" w:eastAsia="Calibri" w:hAnsi="Times New Roman" w:cs="Times New Roman"/>
          <w:noProof/>
          <w:sz w:val="24"/>
          <w:szCs w:val="24"/>
        </w:rPr>
        <w:t xml:space="preserve"> </w:t>
      </w:r>
      <w:r w:rsidR="00887559">
        <w:rPr>
          <w:rFonts w:ascii="Times New Roman" w:eastAsia="Calibri" w:hAnsi="Times New Roman" w:cs="Times New Roman"/>
          <w:noProof/>
          <w:sz w:val="24"/>
          <w:szCs w:val="24"/>
        </w:rPr>
        <w:t>(CSR 1, 2019)</w:t>
      </w:r>
      <w:r w:rsidR="00887559" w:rsidRPr="00887559">
        <w:rPr>
          <w:rFonts w:ascii="Times New Roman" w:eastAsia="Calibri" w:hAnsi="Times New Roman" w:cs="Times New Roman"/>
          <w:noProof/>
          <w:sz w:val="24"/>
          <w:szCs w:val="24"/>
        </w:rPr>
        <w:t xml:space="preserve">, and no specific measures to address </w:t>
      </w:r>
      <w:r w:rsidR="006D588F">
        <w:rPr>
          <w:rFonts w:ascii="Times New Roman" w:eastAsia="Calibri" w:hAnsi="Times New Roman" w:cs="Times New Roman"/>
          <w:noProof/>
          <w:sz w:val="24"/>
          <w:szCs w:val="24"/>
        </w:rPr>
        <w:t>it</w:t>
      </w:r>
      <w:r w:rsidR="00887559" w:rsidRPr="00887559">
        <w:rPr>
          <w:rFonts w:ascii="Times New Roman" w:eastAsia="Calibri" w:hAnsi="Times New Roman" w:cs="Times New Roman"/>
          <w:noProof/>
          <w:sz w:val="24"/>
          <w:szCs w:val="24"/>
        </w:rPr>
        <w:t xml:space="preserve"> are included</w:t>
      </w:r>
      <w:r w:rsidR="00172616" w:rsidRPr="00E76013">
        <w:rPr>
          <w:rFonts w:ascii="Times New Roman" w:eastAsia="Calibri" w:hAnsi="Times New Roman" w:cs="Times New Roman"/>
          <w:noProof/>
          <w:sz w:val="24"/>
          <w:szCs w:val="24"/>
        </w:rPr>
        <w:t xml:space="preserve"> in the Plan.</w:t>
      </w:r>
      <w:r w:rsidR="004F2DAB">
        <w:rPr>
          <w:rFonts w:ascii="Times New Roman" w:eastAsia="Calibri" w:hAnsi="Times New Roman" w:cs="Times New Roman"/>
          <w:noProof/>
          <w:sz w:val="24"/>
          <w:szCs w:val="24"/>
        </w:rPr>
        <w:t xml:space="preserve"> </w:t>
      </w:r>
      <w:r w:rsidR="00432C97">
        <w:rPr>
          <w:rFonts w:ascii="Times New Roman" w:eastAsia="Calibri" w:hAnsi="Times New Roman" w:cs="Times New Roman"/>
          <w:noProof/>
          <w:sz w:val="24"/>
          <w:szCs w:val="24"/>
        </w:rPr>
        <w:t>Finally, in the country</w:t>
      </w:r>
      <w:r w:rsidR="00432C97" w:rsidRPr="06B8FE51">
        <w:rPr>
          <w:rFonts w:ascii="Times New Roman" w:eastAsia="Calibri" w:hAnsi="Times New Roman" w:cs="Times New Roman"/>
          <w:noProof/>
          <w:sz w:val="24"/>
          <w:szCs w:val="24"/>
        </w:rPr>
        <w:t>-</w:t>
      </w:r>
      <w:r w:rsidR="00432C97">
        <w:rPr>
          <w:rFonts w:ascii="Times New Roman" w:eastAsia="Calibri" w:hAnsi="Times New Roman" w:cs="Times New Roman"/>
          <w:noProof/>
          <w:sz w:val="24"/>
          <w:szCs w:val="24"/>
        </w:rPr>
        <w:t xml:space="preserve">specific </w:t>
      </w:r>
      <w:r w:rsidR="00432C97" w:rsidRPr="06B8FE51">
        <w:rPr>
          <w:rFonts w:ascii="Times New Roman" w:eastAsia="Calibri" w:hAnsi="Times New Roman" w:cs="Times New Roman"/>
          <w:noProof/>
          <w:sz w:val="24"/>
          <w:szCs w:val="24"/>
        </w:rPr>
        <w:t>recommendations</w:t>
      </w:r>
      <w:r w:rsidR="00432C97">
        <w:rPr>
          <w:rFonts w:ascii="Times New Roman" w:eastAsia="Calibri" w:hAnsi="Times New Roman" w:cs="Times New Roman"/>
          <w:noProof/>
          <w:sz w:val="24"/>
          <w:szCs w:val="24"/>
        </w:rPr>
        <w:t xml:space="preserve"> for 2019, the financial sector features prominently but this has not been taken up in the Plan as there has been substantial progress with the banking and insurance sector supervision. Also, </w:t>
      </w:r>
      <w:r w:rsidR="00F1298F">
        <w:rPr>
          <w:rFonts w:ascii="Times New Roman" w:eastAsia="Calibri" w:hAnsi="Times New Roman" w:cs="Times New Roman"/>
          <w:noProof/>
          <w:sz w:val="24"/>
          <w:szCs w:val="24"/>
        </w:rPr>
        <w:t>o</w:t>
      </w:r>
      <w:r w:rsidR="00F1298F" w:rsidRPr="00F1298F">
        <w:rPr>
          <w:rFonts w:ascii="Times New Roman" w:eastAsia="Calibri" w:hAnsi="Times New Roman" w:cs="Times New Roman"/>
          <w:noProof/>
          <w:sz w:val="24"/>
          <w:szCs w:val="24"/>
        </w:rPr>
        <w:t>n 10 July 2019, following the fulfilment of the necessary supervisory and legislative prerequisites, the European Central Bank and the Bulgarian National Bank established close cooperation</w:t>
      </w:r>
      <w:r w:rsidR="00F1298F">
        <w:rPr>
          <w:rFonts w:ascii="Times New Roman" w:eastAsia="Calibri" w:hAnsi="Times New Roman" w:cs="Times New Roman"/>
          <w:noProof/>
          <w:sz w:val="24"/>
          <w:szCs w:val="24"/>
        </w:rPr>
        <w:t xml:space="preserve"> and</w:t>
      </w:r>
      <w:r w:rsidR="00F1298F" w:rsidRPr="00F1298F">
        <w:rPr>
          <w:rFonts w:ascii="Times New Roman" w:eastAsia="Calibri" w:hAnsi="Times New Roman" w:cs="Times New Roman"/>
          <w:noProof/>
          <w:sz w:val="24"/>
          <w:szCs w:val="24"/>
        </w:rPr>
        <w:t xml:space="preserve"> Bulgaria entered into the Banking Union.</w:t>
      </w:r>
    </w:p>
    <w:p w14:paraId="20307080" w14:textId="6CF893EA" w:rsidR="00E31251" w:rsidRPr="00E76013" w:rsidRDefault="00E31251" w:rsidP="06B8FE51">
      <w:pPr>
        <w:spacing w:before="120" w:after="120" w:line="276" w:lineRule="auto"/>
        <w:jc w:val="both"/>
        <w:rPr>
          <w:rFonts w:ascii="Times New Roman" w:eastAsia="Calibri" w:hAnsi="Times New Roman" w:cs="Times New Roman"/>
          <w:noProof/>
          <w:sz w:val="24"/>
          <w:szCs w:val="24"/>
        </w:rPr>
      </w:pPr>
      <w:r w:rsidRPr="00E76013">
        <w:rPr>
          <w:rFonts w:ascii="Times New Roman" w:eastAsia="Times New Roman" w:hAnsi="Times New Roman" w:cs="Times New Roman"/>
          <w:b/>
          <w:noProof/>
          <w:sz w:val="24"/>
          <w:szCs w:val="24"/>
        </w:rPr>
        <w:t xml:space="preserve">An important set of measures address challenges identified in the </w:t>
      </w:r>
      <w:r w:rsidR="536011D3" w:rsidRPr="00E76013">
        <w:rPr>
          <w:rFonts w:ascii="Times New Roman" w:eastAsia="Times New Roman" w:hAnsi="Times New Roman" w:cs="Times New Roman"/>
          <w:b/>
          <w:bCs/>
          <w:noProof/>
          <w:sz w:val="24"/>
          <w:szCs w:val="24"/>
        </w:rPr>
        <w:t xml:space="preserve">country-specific recommendations </w:t>
      </w:r>
      <w:r w:rsidRPr="00E76013">
        <w:rPr>
          <w:rFonts w:ascii="Times New Roman" w:eastAsia="Times New Roman" w:hAnsi="Times New Roman" w:cs="Times New Roman"/>
          <w:b/>
          <w:noProof/>
          <w:sz w:val="24"/>
          <w:szCs w:val="24"/>
        </w:rPr>
        <w:t xml:space="preserve">that are also covered by the </w:t>
      </w:r>
      <w:r w:rsidR="003F32A7">
        <w:rPr>
          <w:rFonts w:ascii="Times New Roman" w:eastAsia="Times New Roman" w:hAnsi="Times New Roman" w:cs="Times New Roman"/>
          <w:b/>
          <w:noProof/>
          <w:sz w:val="24"/>
          <w:szCs w:val="24"/>
        </w:rPr>
        <w:t xml:space="preserve">commitments taken by Bulgaria upon its entry in the </w:t>
      </w:r>
      <w:r w:rsidRPr="00E76013">
        <w:rPr>
          <w:rFonts w:ascii="Times New Roman" w:eastAsia="Times New Roman" w:hAnsi="Times New Roman" w:cs="Times New Roman"/>
          <w:b/>
          <w:noProof/>
          <w:sz w:val="24"/>
          <w:szCs w:val="24"/>
        </w:rPr>
        <w:t>Exchange</w:t>
      </w:r>
      <w:r w:rsidRPr="00E76013">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b/>
          <w:noProof/>
          <w:sz w:val="24"/>
          <w:szCs w:val="24"/>
        </w:rPr>
        <w:t>Rate Mechanism (ERM II).</w:t>
      </w:r>
      <w:r w:rsidRPr="00E76013">
        <w:rPr>
          <w:rFonts w:ascii="Times New Roman" w:eastAsia="Calibri" w:hAnsi="Times New Roman" w:cs="Times New Roman"/>
          <w:noProof/>
          <w:sz w:val="24"/>
          <w:szCs w:val="24"/>
        </w:rPr>
        <w:t xml:space="preserve"> </w:t>
      </w:r>
      <w:r w:rsidR="1D31C668" w:rsidRPr="00E76013">
        <w:rPr>
          <w:rFonts w:ascii="Times New Roman" w:eastAsia="Calibri" w:hAnsi="Times New Roman" w:cs="Times New Roman"/>
          <w:noProof/>
          <w:sz w:val="24"/>
          <w:szCs w:val="24"/>
        </w:rPr>
        <w:t>The</w:t>
      </w:r>
      <w:r w:rsidRPr="00E76013">
        <w:rPr>
          <w:rFonts w:ascii="Times New Roman" w:eastAsia="Calibri" w:hAnsi="Times New Roman" w:cs="Times New Roman"/>
          <w:noProof/>
          <w:sz w:val="24"/>
          <w:szCs w:val="24"/>
        </w:rPr>
        <w:t xml:space="preserve"> reforms </w:t>
      </w:r>
      <w:r w:rsidR="1D31C668" w:rsidRPr="00E76013">
        <w:rPr>
          <w:rFonts w:ascii="Times New Roman" w:eastAsia="Calibri" w:hAnsi="Times New Roman" w:cs="Times New Roman"/>
          <w:noProof/>
          <w:sz w:val="24"/>
          <w:szCs w:val="24"/>
        </w:rPr>
        <w:t>are expected</w:t>
      </w:r>
      <w:r w:rsidRPr="00E76013">
        <w:rPr>
          <w:rFonts w:ascii="Times New Roman" w:eastAsia="Calibri" w:hAnsi="Times New Roman" w:cs="Times New Roman"/>
          <w:noProof/>
          <w:sz w:val="24"/>
          <w:szCs w:val="24"/>
        </w:rPr>
        <w:t xml:space="preserve"> to improve the governance of the state-owned enterprises by ensuring consistency between the composition of the boards and the selection procedures set out in the Law on Public Enterprises as well as adopting a state ownership policy that would maximize benefits to society through an efficient allocation of resources. In addition to that, the effectiveness of insolvency procedures will be increased thanks to the adoption of the Law on Insolvency of Individuals as well as adopting legislative amendments to the Commercial Law on the Insolvency Framework including full transposition of Directive 2019/1023. There are also measures aiming to improve the implementation of the anti-money laundering framework</w:t>
      </w:r>
      <w:r w:rsidR="1D31C668" w:rsidRPr="00E76013">
        <w:rPr>
          <w:rFonts w:ascii="Times New Roman" w:eastAsia="Calibri" w:hAnsi="Times New Roman" w:cs="Times New Roman"/>
          <w:noProof/>
          <w:sz w:val="24"/>
          <w:szCs w:val="24"/>
        </w:rPr>
        <w:t>, including by</w:t>
      </w:r>
      <w:r w:rsidRPr="00E76013">
        <w:rPr>
          <w:rFonts w:ascii="Times New Roman" w:eastAsia="Calibri" w:hAnsi="Times New Roman" w:cs="Times New Roman"/>
          <w:noProof/>
          <w:sz w:val="24"/>
          <w:szCs w:val="24"/>
        </w:rPr>
        <w:t xml:space="preserve"> </w:t>
      </w:r>
      <w:r w:rsidR="1D31C668" w:rsidRPr="00E76013">
        <w:rPr>
          <w:rFonts w:ascii="Times New Roman" w:eastAsia="Calibri" w:hAnsi="Times New Roman" w:cs="Times New Roman"/>
          <w:noProof/>
          <w:sz w:val="24"/>
          <w:szCs w:val="24"/>
        </w:rPr>
        <w:t>enhancing</w:t>
      </w:r>
      <w:r w:rsidRPr="00E76013">
        <w:rPr>
          <w:rFonts w:ascii="Times New Roman" w:eastAsia="Calibri" w:hAnsi="Times New Roman" w:cs="Times New Roman"/>
          <w:noProof/>
          <w:sz w:val="24"/>
          <w:szCs w:val="24"/>
        </w:rPr>
        <w:t xml:space="preserve"> the capacity as well as the analytical capabilities of supervisors. For this purpose, the </w:t>
      </w:r>
      <w:r w:rsidR="0005035D" w:rsidRPr="00E76013">
        <w:rPr>
          <w:rFonts w:ascii="Times New Roman" w:eastAsia="Calibri" w:hAnsi="Times New Roman" w:cs="Times New Roman"/>
          <w:noProof/>
          <w:sz w:val="24"/>
          <w:szCs w:val="24"/>
        </w:rPr>
        <w:t>P</w:t>
      </w:r>
      <w:r w:rsidRPr="00E76013">
        <w:rPr>
          <w:rFonts w:ascii="Times New Roman" w:eastAsia="Calibri" w:hAnsi="Times New Roman" w:cs="Times New Roman"/>
          <w:noProof/>
          <w:sz w:val="24"/>
          <w:szCs w:val="24"/>
        </w:rPr>
        <w:t xml:space="preserve">lan foresees, among others, the adoption and monitoring of a supervisory strategy as well as screening procedures for employees in management positions. In addition to that, an IT tool for processing and </w:t>
      </w:r>
      <w:r w:rsidRPr="00610B86">
        <w:rPr>
          <w:rFonts w:ascii="Times New Roman" w:eastAsia="Calibri" w:hAnsi="Times New Roman" w:cs="Times New Roman"/>
          <w:noProof/>
          <w:sz w:val="24"/>
          <w:szCs w:val="24"/>
          <w:lang w:val="en-GB"/>
        </w:rPr>
        <w:t>analy</w:t>
      </w:r>
      <w:r w:rsidR="00610B86">
        <w:rPr>
          <w:rFonts w:ascii="Times New Roman" w:eastAsia="Calibri" w:hAnsi="Times New Roman" w:cs="Times New Roman"/>
          <w:noProof/>
          <w:sz w:val="24"/>
          <w:szCs w:val="24"/>
          <w:lang w:val="en-GB"/>
        </w:rPr>
        <w:t>s</w:t>
      </w:r>
      <w:r w:rsidRPr="00610B86">
        <w:rPr>
          <w:rFonts w:ascii="Times New Roman" w:eastAsia="Calibri" w:hAnsi="Times New Roman" w:cs="Times New Roman"/>
          <w:noProof/>
          <w:sz w:val="24"/>
          <w:szCs w:val="24"/>
          <w:lang w:val="en-GB"/>
        </w:rPr>
        <w:t>ing</w:t>
      </w:r>
      <w:r w:rsidRPr="00E76013">
        <w:rPr>
          <w:rFonts w:ascii="Times New Roman" w:eastAsia="Calibri" w:hAnsi="Times New Roman" w:cs="Times New Roman"/>
          <w:noProof/>
          <w:sz w:val="24"/>
          <w:szCs w:val="24"/>
        </w:rPr>
        <w:t xml:space="preserve"> suspicious transaction reports will be put in place together with action plan to monitor the money laundering and terrorist financing risks. </w:t>
      </w:r>
    </w:p>
    <w:p w14:paraId="60CF2E1E" w14:textId="4219A455" w:rsidR="00E31251" w:rsidRPr="00E76013" w:rsidRDefault="6E30C835" w:rsidP="06B8FE51">
      <w:pPr>
        <w:spacing w:before="120" w:after="120" w:line="276" w:lineRule="auto"/>
        <w:jc w:val="both"/>
        <w:rPr>
          <w:rFonts w:ascii="Times New Roman" w:eastAsia="Times New Roman" w:hAnsi="Times New Roman" w:cs="Times New Roman"/>
          <w:noProof/>
          <w:sz w:val="24"/>
          <w:szCs w:val="24"/>
        </w:rPr>
      </w:pPr>
      <w:r w:rsidRPr="00E76013">
        <w:rPr>
          <w:rFonts w:ascii="Times New Roman" w:eastAsia="Calibri" w:hAnsi="Times New Roman" w:cs="Times New Roman"/>
          <w:b/>
          <w:bCs/>
          <w:noProof/>
          <w:sz w:val="24"/>
          <w:szCs w:val="24"/>
        </w:rPr>
        <w:t xml:space="preserve">The rule of law challenges in Bulgaria are monitored through the Cooperation and Verification Mechanism (CVM) and the Rule of Law </w:t>
      </w:r>
      <w:r w:rsidR="00ED09FA">
        <w:rPr>
          <w:rFonts w:ascii="Times New Roman" w:eastAsia="Calibri" w:hAnsi="Times New Roman" w:cs="Times New Roman"/>
          <w:b/>
          <w:bCs/>
          <w:noProof/>
          <w:sz w:val="24"/>
          <w:szCs w:val="24"/>
        </w:rPr>
        <w:t>R</w:t>
      </w:r>
      <w:r w:rsidRPr="00E76013">
        <w:rPr>
          <w:rFonts w:ascii="Times New Roman" w:eastAsia="Calibri" w:hAnsi="Times New Roman" w:cs="Times New Roman"/>
          <w:b/>
          <w:bCs/>
          <w:noProof/>
          <w:sz w:val="24"/>
          <w:szCs w:val="24"/>
        </w:rPr>
        <w:t>eport.</w:t>
      </w:r>
      <w:r w:rsidRPr="00E76013">
        <w:rPr>
          <w:rFonts w:ascii="Times New Roman" w:eastAsia="Calibri" w:hAnsi="Times New Roman" w:cs="Times New Roman"/>
          <w:noProof/>
          <w:sz w:val="24"/>
          <w:szCs w:val="24"/>
        </w:rPr>
        <w:t xml:space="preserve"> Due to </w:t>
      </w:r>
      <w:r w:rsidR="006B18F3" w:rsidRPr="00E76013">
        <w:rPr>
          <w:rFonts w:ascii="Times New Roman" w:eastAsia="Calibri" w:hAnsi="Times New Roman" w:cs="Times New Roman"/>
          <w:noProof/>
          <w:sz w:val="24"/>
          <w:szCs w:val="24"/>
        </w:rPr>
        <w:t>th</w:t>
      </w:r>
      <w:r w:rsidR="006B18F3">
        <w:rPr>
          <w:rFonts w:ascii="Times New Roman" w:eastAsia="Calibri" w:hAnsi="Times New Roman" w:cs="Times New Roman"/>
          <w:noProof/>
          <w:sz w:val="24"/>
          <w:szCs w:val="24"/>
        </w:rPr>
        <w:t>is</w:t>
      </w:r>
      <w:r w:rsidR="006B18F3" w:rsidRPr="00E76013">
        <w:rPr>
          <w:rFonts w:ascii="Times New Roman" w:eastAsia="Calibri" w:hAnsi="Times New Roman" w:cs="Times New Roman"/>
          <w:noProof/>
          <w:sz w:val="24"/>
          <w:szCs w:val="24"/>
        </w:rPr>
        <w:t xml:space="preserve"> </w:t>
      </w:r>
      <w:r w:rsidRPr="00E76013">
        <w:rPr>
          <w:rFonts w:ascii="Times New Roman" w:eastAsia="Calibri" w:hAnsi="Times New Roman" w:cs="Times New Roman"/>
          <w:noProof/>
          <w:sz w:val="24"/>
          <w:szCs w:val="24"/>
        </w:rPr>
        <w:t>specific monitoring regime</w:t>
      </w:r>
      <w:r w:rsidR="00ED09FA">
        <w:rPr>
          <w:rFonts w:ascii="Times New Roman" w:eastAsia="Calibri" w:hAnsi="Times New Roman" w:cs="Times New Roman"/>
          <w:noProof/>
          <w:sz w:val="24"/>
          <w:szCs w:val="24"/>
        </w:rPr>
        <w:t xml:space="preserve"> of the CVM</w:t>
      </w:r>
      <w:r w:rsidRPr="00E76013">
        <w:rPr>
          <w:rFonts w:ascii="Times New Roman" w:eastAsia="Calibri" w:hAnsi="Times New Roman" w:cs="Times New Roman"/>
          <w:noProof/>
          <w:sz w:val="24"/>
          <w:szCs w:val="24"/>
        </w:rPr>
        <w:t>, this area is covered in the European Semester only as a part of a dedicated recital to the country-specific recommendations and also as a part of the Country Report analysis.</w:t>
      </w:r>
      <w:r w:rsidR="004F2DAB">
        <w:rPr>
          <w:rFonts w:ascii="Times New Roman" w:eastAsia="Calibri" w:hAnsi="Times New Roman" w:cs="Times New Roman"/>
          <w:noProof/>
          <w:sz w:val="24"/>
          <w:szCs w:val="24"/>
        </w:rPr>
        <w:t xml:space="preserve"> </w:t>
      </w:r>
      <w:r w:rsidRPr="00E76013">
        <w:rPr>
          <w:rFonts w:ascii="Times New Roman" w:eastAsia="Calibri" w:hAnsi="Times New Roman" w:cs="Times New Roman"/>
          <w:noProof/>
          <w:sz w:val="24"/>
          <w:szCs w:val="24"/>
        </w:rPr>
        <w:t xml:space="preserve">The </w:t>
      </w:r>
      <w:r w:rsidR="00345E56" w:rsidRPr="00E76013">
        <w:rPr>
          <w:rFonts w:ascii="Times New Roman" w:eastAsia="Calibri" w:hAnsi="Times New Roman" w:cs="Times New Roman"/>
          <w:noProof/>
          <w:sz w:val="24"/>
          <w:szCs w:val="24"/>
        </w:rPr>
        <w:t>Plan</w:t>
      </w:r>
      <w:r w:rsidRPr="00E76013">
        <w:rPr>
          <w:rFonts w:ascii="Times New Roman" w:eastAsia="Calibri" w:hAnsi="Times New Roman" w:cs="Times New Roman"/>
          <w:noProof/>
          <w:sz w:val="24"/>
          <w:szCs w:val="24"/>
        </w:rPr>
        <w:t xml:space="preserve"> addresses a number of challenges identified in the CVM, the Rule of Law Report and also the recitals to the </w:t>
      </w:r>
      <w:r w:rsidR="7BA5923A" w:rsidRPr="00E76013">
        <w:rPr>
          <w:rFonts w:ascii="Times New Roman" w:eastAsia="Calibri" w:hAnsi="Times New Roman" w:cs="Times New Roman"/>
          <w:noProof/>
          <w:sz w:val="24"/>
          <w:szCs w:val="24"/>
        </w:rPr>
        <w:t>country-specific recommendations</w:t>
      </w:r>
      <w:r w:rsidRPr="00E76013">
        <w:rPr>
          <w:rFonts w:ascii="Times New Roman" w:eastAsia="Calibri" w:hAnsi="Times New Roman" w:cs="Times New Roman"/>
          <w:noProof/>
          <w:sz w:val="24"/>
          <w:szCs w:val="24"/>
        </w:rPr>
        <w:t xml:space="preserve">, such as: </w:t>
      </w:r>
      <w:r w:rsidRPr="00E76013">
        <w:rPr>
          <w:rFonts w:ascii="Times New Roman" w:eastAsia="Times New Roman" w:hAnsi="Times New Roman" w:cs="Times New Roman"/>
          <w:noProof/>
          <w:sz w:val="24"/>
          <w:szCs w:val="24"/>
        </w:rPr>
        <w:t>problems with the functioning of the judiciary,</w:t>
      </w:r>
      <w:r w:rsidR="004F2DAB">
        <w:rPr>
          <w:rFonts w:ascii="Times New Roman" w:eastAsia="Times New Roman" w:hAnsi="Times New Roman" w:cs="Times New Roman"/>
          <w:noProof/>
          <w:sz w:val="24"/>
          <w:szCs w:val="24"/>
        </w:rPr>
        <w:t xml:space="preserve"> </w:t>
      </w:r>
      <w:r w:rsidR="00B97580" w:rsidRPr="00E76013">
        <w:rPr>
          <w:rFonts w:ascii="Times New Roman" w:eastAsia="Times New Roman" w:hAnsi="Times New Roman" w:cs="Times New Roman"/>
          <w:noProof/>
          <w:sz w:val="24"/>
          <w:szCs w:val="24"/>
        </w:rPr>
        <w:t xml:space="preserve">corruption and </w:t>
      </w:r>
      <w:r w:rsidRPr="00E76013">
        <w:rPr>
          <w:rFonts w:ascii="Times New Roman" w:eastAsia="Times New Roman" w:hAnsi="Times New Roman" w:cs="Times New Roman"/>
          <w:noProof/>
          <w:sz w:val="24"/>
          <w:szCs w:val="24"/>
        </w:rPr>
        <w:t xml:space="preserve">issues with the accountability and criminal liability of the Prosecutor General. </w:t>
      </w:r>
      <w:r w:rsidR="005E1906" w:rsidRPr="00E76013">
        <w:rPr>
          <w:rFonts w:ascii="Times New Roman" w:eastAsia="Times New Roman" w:hAnsi="Times New Roman" w:cs="Times New Roman"/>
          <w:noProof/>
          <w:sz w:val="24"/>
          <w:szCs w:val="24"/>
        </w:rPr>
        <w:t>For the latter, important elements are the introduction of</w:t>
      </w:r>
      <w:r w:rsidR="002A372F" w:rsidRPr="00E76013">
        <w:rPr>
          <w:rFonts w:ascii="Times New Roman" w:eastAsia="Times New Roman" w:hAnsi="Times New Roman" w:cs="Times New Roman"/>
          <w:noProof/>
          <w:sz w:val="24"/>
          <w:szCs w:val="24"/>
        </w:rPr>
        <w:t xml:space="preserve"> necessary safeguards and guarantees for an independent investigation of the Prosecutor General and his/her deputies; </w:t>
      </w:r>
      <w:r w:rsidR="005E1906" w:rsidRPr="00E76013">
        <w:rPr>
          <w:rFonts w:ascii="Times New Roman" w:eastAsia="Times New Roman" w:hAnsi="Times New Roman" w:cs="Times New Roman"/>
          <w:noProof/>
          <w:sz w:val="24"/>
          <w:szCs w:val="24"/>
        </w:rPr>
        <w:t xml:space="preserve">possibility for a </w:t>
      </w:r>
      <w:r w:rsidR="002A372F" w:rsidRPr="00E76013">
        <w:rPr>
          <w:rFonts w:ascii="Times New Roman" w:eastAsia="Times New Roman" w:hAnsi="Times New Roman" w:cs="Times New Roman"/>
          <w:noProof/>
          <w:sz w:val="24"/>
          <w:szCs w:val="24"/>
        </w:rPr>
        <w:t xml:space="preserve">judicial review of a prosecutor’s decision not to open an investigation, and annual reporting by the Prosecutor General on investigations and convictions in corruption cases. </w:t>
      </w:r>
      <w:r w:rsidRPr="00E76013">
        <w:rPr>
          <w:rFonts w:ascii="Times New Roman" w:eastAsia="Times New Roman" w:hAnsi="Times New Roman" w:cs="Times New Roman"/>
          <w:noProof/>
          <w:sz w:val="24"/>
          <w:szCs w:val="24"/>
        </w:rPr>
        <w:t xml:space="preserve">Anti-corruption measures, include the set-up of a new anti-corruption body with criminal investigation powers, introduction of </w:t>
      </w:r>
      <w:r w:rsidRPr="00E76013">
        <w:rPr>
          <w:rFonts w:ascii="Times New Roman" w:eastAsia="Calibri" w:hAnsi="Times New Roman" w:cs="Times New Roman"/>
          <w:noProof/>
          <w:sz w:val="24"/>
          <w:szCs w:val="24"/>
        </w:rPr>
        <w:t>legislative measures to protect whistle-blowers and to regulate lobbying activities, and establishment of an integrity verification mechanism for civil servants occupying positions that have a high corruption risk.</w:t>
      </w:r>
      <w:r w:rsidRPr="00E76013">
        <w:rPr>
          <w:rFonts w:ascii="Times New Roman" w:eastAsia="Times New Roman" w:hAnsi="Times New Roman" w:cs="Times New Roman"/>
          <w:noProof/>
          <w:sz w:val="24"/>
          <w:szCs w:val="24"/>
        </w:rPr>
        <w:t xml:space="preserve"> </w:t>
      </w:r>
    </w:p>
    <w:p w14:paraId="5BE0FD39" w14:textId="26A253F6" w:rsidR="00EE4A0C" w:rsidRPr="00E76013" w:rsidRDefault="00EE4A0C"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bCs/>
          <w:noProof/>
          <w:sz w:val="24"/>
          <w:szCs w:val="24"/>
        </w:rPr>
        <w:t>A number of measures in the Plan are expected to address the main challenges of the Bulgarian energy and transport sector</w:t>
      </w:r>
      <w:r w:rsidR="00CA12A9" w:rsidRPr="00E76013">
        <w:rPr>
          <w:rFonts w:ascii="Times New Roman" w:hAnsi="Times New Roman" w:cs="Times New Roman"/>
          <w:b/>
          <w:bCs/>
          <w:noProof/>
          <w:sz w:val="24"/>
          <w:szCs w:val="24"/>
        </w:rPr>
        <w:t>s</w:t>
      </w:r>
      <w:r w:rsidRPr="00E76013">
        <w:rPr>
          <w:rFonts w:ascii="Times New Roman" w:hAnsi="Times New Roman" w:cs="Times New Roman"/>
          <w:noProof/>
          <w:sz w:val="24"/>
          <w:szCs w:val="24"/>
        </w:rPr>
        <w:t>.</w:t>
      </w:r>
      <w:r w:rsidR="00CA12A9" w:rsidRPr="00E76013">
        <w:rPr>
          <w:rFonts w:ascii="Times New Roman" w:hAnsi="Times New Roman" w:cs="Times New Roman"/>
          <w:noProof/>
          <w:sz w:val="24"/>
          <w:szCs w:val="24"/>
        </w:rPr>
        <w:t xml:space="preserve"> These investments and reforms address the country-specific recommendations of 2019 and 2020 to focus investment-related economic policy on energy infrastructure and energy efficiency (</w:t>
      </w:r>
      <w:r w:rsidR="009416CE" w:rsidRPr="00E76013">
        <w:rPr>
          <w:rFonts w:ascii="Times New Roman" w:hAnsi="Times New Roman" w:cs="Times New Roman"/>
          <w:noProof/>
          <w:sz w:val="24"/>
          <w:szCs w:val="24"/>
        </w:rPr>
        <w:t>CSR</w:t>
      </w:r>
      <w:r w:rsidR="00CA12A9" w:rsidRPr="00E76013">
        <w:rPr>
          <w:rFonts w:ascii="Times New Roman" w:hAnsi="Times New Roman" w:cs="Times New Roman"/>
          <w:noProof/>
          <w:sz w:val="24"/>
          <w:szCs w:val="24"/>
        </w:rPr>
        <w:t xml:space="preserve"> 3, 2019) and to focus investment on the green and digital transition, in particular on clean and efficient production and use of energy and resources, environmental infrastructure</w:t>
      </w:r>
      <w:r w:rsidR="008A37D1" w:rsidRPr="00E76013">
        <w:rPr>
          <w:rFonts w:ascii="Times New Roman" w:hAnsi="Times New Roman" w:cs="Times New Roman"/>
          <w:noProof/>
          <w:sz w:val="24"/>
          <w:szCs w:val="24"/>
        </w:rPr>
        <w:t xml:space="preserve"> and on sustainable transport</w:t>
      </w:r>
      <w:r w:rsidR="00CA12A9" w:rsidRPr="00E76013">
        <w:rPr>
          <w:rFonts w:ascii="Times New Roman" w:hAnsi="Times New Roman" w:cs="Times New Roman"/>
          <w:noProof/>
          <w:sz w:val="24"/>
          <w:szCs w:val="24"/>
        </w:rPr>
        <w:t>, contributing to a progressive decarbonisation of the economy, including in the coal regions (</w:t>
      </w:r>
      <w:r w:rsidR="009416CE" w:rsidRPr="00E76013">
        <w:rPr>
          <w:rFonts w:ascii="Times New Roman" w:hAnsi="Times New Roman" w:cs="Times New Roman"/>
          <w:noProof/>
          <w:sz w:val="24"/>
          <w:szCs w:val="24"/>
        </w:rPr>
        <w:t>CSR</w:t>
      </w:r>
      <w:r w:rsidR="00CA12A9" w:rsidRPr="00E76013">
        <w:rPr>
          <w:rFonts w:ascii="Times New Roman" w:hAnsi="Times New Roman" w:cs="Times New Roman"/>
          <w:noProof/>
          <w:sz w:val="24"/>
          <w:szCs w:val="24"/>
        </w:rPr>
        <w:t xml:space="preserve"> 3, 2020).</w:t>
      </w:r>
      <w:r w:rsidR="004F2DAB">
        <w:rPr>
          <w:rFonts w:ascii="Times New Roman" w:hAnsi="Times New Roman" w:cs="Times New Roman"/>
          <w:noProof/>
          <w:sz w:val="24"/>
          <w:szCs w:val="24"/>
        </w:rPr>
        <w:t xml:space="preserve"> </w:t>
      </w:r>
      <w:r w:rsidR="000E489F" w:rsidRPr="00E76013">
        <w:rPr>
          <w:rFonts w:ascii="Times New Roman" w:hAnsi="Times New Roman" w:cs="Times New Roman"/>
          <w:noProof/>
          <w:sz w:val="24"/>
          <w:szCs w:val="24"/>
        </w:rPr>
        <w:t xml:space="preserve">In particular, measures included in the Plan are expected to </w:t>
      </w:r>
      <w:r w:rsidR="008D46C9">
        <w:rPr>
          <w:rFonts w:ascii="Times New Roman" w:hAnsi="Times New Roman" w:cs="Times New Roman"/>
          <w:noProof/>
          <w:sz w:val="24"/>
          <w:szCs w:val="24"/>
        </w:rPr>
        <w:t xml:space="preserve">facilitate and </w:t>
      </w:r>
      <w:r w:rsidR="000E489F" w:rsidRPr="00E76013">
        <w:rPr>
          <w:rFonts w:ascii="Times New Roman" w:hAnsi="Times New Roman" w:cs="Times New Roman"/>
          <w:noProof/>
          <w:sz w:val="24"/>
          <w:szCs w:val="24"/>
        </w:rPr>
        <w:t>accelerate the deployment of renewable energy sources and storage and result in a significant reduction of greenhouse gas emissions from power production thus contributing to the progressive decarbonisation of the economy.</w:t>
      </w:r>
      <w:r w:rsidR="004F2DAB">
        <w:rPr>
          <w:rFonts w:ascii="Times New Roman" w:hAnsi="Times New Roman" w:cs="Times New Roman"/>
          <w:noProof/>
          <w:sz w:val="24"/>
          <w:szCs w:val="24"/>
        </w:rPr>
        <w:t xml:space="preserve"> </w:t>
      </w:r>
      <w:r w:rsidR="56875D22" w:rsidRPr="1764B9C2">
        <w:rPr>
          <w:rFonts w:ascii="Times New Roman" w:hAnsi="Times New Roman" w:cs="Times New Roman"/>
          <w:noProof/>
          <w:sz w:val="24"/>
          <w:szCs w:val="24"/>
        </w:rPr>
        <w:t xml:space="preserve">In particular, the Plan envisages the adoption of a legislative framework for the decarbonisation of electricity, including a binding timetable for the phase out of coal and lignite use and targets and regulatory CO2 emission cap ensuring by 2026 a 40% emission reduction compared to 2019. </w:t>
      </w:r>
      <w:r w:rsidR="1764B9C2" w:rsidRPr="1764B9C2">
        <w:rPr>
          <w:rFonts w:ascii="Times New Roman" w:hAnsi="Times New Roman" w:cs="Times New Roman"/>
          <w:noProof/>
          <w:sz w:val="24"/>
          <w:szCs w:val="24"/>
        </w:rPr>
        <w:t xml:space="preserve">Important reforms are also envisaged to remove bottlenecks for the deployment of renewables (e.g. simplify licensing and permitting procedures for RES, introduction dedicated ‘go-to’ areas where onshore wind parks would be compliant with environmental legislation) and energy efficiency investment (e.g. amendments to the Condominium Act and one stop shop). </w:t>
      </w:r>
      <w:r w:rsidR="000E489F" w:rsidRPr="00E76013">
        <w:rPr>
          <w:rFonts w:ascii="Times New Roman" w:hAnsi="Times New Roman" w:cs="Times New Roman"/>
          <w:noProof/>
          <w:sz w:val="24"/>
          <w:szCs w:val="24"/>
        </w:rPr>
        <w:t xml:space="preserve">The Plan also includes </w:t>
      </w:r>
      <w:r w:rsidR="000E489F" w:rsidRPr="1764B9C2">
        <w:rPr>
          <w:rFonts w:ascii="Times New Roman" w:hAnsi="Times New Roman" w:cs="Times New Roman"/>
          <w:noProof/>
          <w:sz w:val="24"/>
          <w:szCs w:val="24"/>
        </w:rPr>
        <w:t xml:space="preserve">a </w:t>
      </w:r>
      <w:r w:rsidR="00653249" w:rsidRPr="00E76013">
        <w:rPr>
          <w:rFonts w:ascii="Times New Roman" w:hAnsi="Times New Roman" w:cs="Times New Roman"/>
          <w:noProof/>
          <w:sz w:val="24"/>
          <w:szCs w:val="24"/>
        </w:rPr>
        <w:t xml:space="preserve">key </w:t>
      </w:r>
      <w:r w:rsidR="000E489F" w:rsidRPr="00E76013">
        <w:rPr>
          <w:rFonts w:ascii="Times New Roman" w:hAnsi="Times New Roman" w:cs="Times New Roman"/>
          <w:noProof/>
          <w:sz w:val="24"/>
          <w:szCs w:val="24"/>
        </w:rPr>
        <w:t>reform aiming to establish a competitive wholesale and retail markets</w:t>
      </w:r>
      <w:r w:rsidR="008D46C9">
        <w:rPr>
          <w:rFonts w:ascii="Times New Roman" w:hAnsi="Times New Roman" w:cs="Times New Roman"/>
          <w:noProof/>
          <w:sz w:val="24"/>
          <w:szCs w:val="24"/>
        </w:rPr>
        <w:t>, which also facilitates access of renewables to the electricity markets,</w:t>
      </w:r>
      <w:r w:rsidR="000E489F" w:rsidRPr="00E76013">
        <w:rPr>
          <w:rFonts w:ascii="Times New Roman" w:hAnsi="Times New Roman" w:cs="Times New Roman"/>
          <w:noProof/>
          <w:sz w:val="24"/>
          <w:szCs w:val="24"/>
        </w:rPr>
        <w:t xml:space="preserve"> </w:t>
      </w:r>
      <w:r w:rsidR="00653249" w:rsidRPr="00E76013">
        <w:rPr>
          <w:rFonts w:ascii="Times New Roman" w:hAnsi="Times New Roman" w:cs="Times New Roman"/>
          <w:noProof/>
          <w:sz w:val="24"/>
          <w:szCs w:val="24"/>
        </w:rPr>
        <w:t>and improving the corporate governance in the energy sector</w:t>
      </w:r>
      <w:r w:rsidR="00653249" w:rsidRPr="1764B9C2">
        <w:rPr>
          <w:rFonts w:ascii="Times New Roman" w:hAnsi="Times New Roman" w:cs="Times New Roman"/>
          <w:noProof/>
          <w:sz w:val="24"/>
          <w:szCs w:val="24"/>
        </w:rPr>
        <w:t xml:space="preserve"> to ensure more transparency and a level playing field.</w:t>
      </w:r>
      <w:r w:rsidR="000E489F" w:rsidRPr="00E76013">
        <w:rPr>
          <w:rFonts w:ascii="Times New Roman" w:hAnsi="Times New Roman" w:cs="Times New Roman"/>
          <w:noProof/>
          <w:sz w:val="24"/>
          <w:szCs w:val="24"/>
        </w:rPr>
        <w:t xml:space="preserve"> The</w:t>
      </w:r>
      <w:r w:rsidRPr="00E76013">
        <w:rPr>
          <w:rFonts w:ascii="Times New Roman" w:hAnsi="Times New Roman" w:cs="Times New Roman"/>
          <w:noProof/>
          <w:sz w:val="24"/>
          <w:szCs w:val="24"/>
        </w:rPr>
        <w:t xml:space="preserve"> carbon footprint of the transport sector is also expected to be reduced by reforming the road and railways sectors and investing in the modernisation and digitalisation of the railways and sustainable urban mobility. This includes railways investments focused on new zero-emission rolling stock, the European Rail Traffic Management System deployment,</w:t>
      </w:r>
      <w:r w:rsidR="399568B0" w:rsidRPr="00E76013">
        <w:rPr>
          <w:rFonts w:ascii="Times New Roman" w:hAnsi="Times New Roman" w:cs="Times New Roman"/>
          <w:noProof/>
          <w:sz w:val="24"/>
          <w:szCs w:val="24"/>
        </w:rPr>
        <w:t xml:space="preserve"> a</w:t>
      </w:r>
      <w:r w:rsidR="35B5A287" w:rsidRPr="00E76013">
        <w:rPr>
          <w:rFonts w:ascii="Times New Roman" w:eastAsia="Times New Roman" w:hAnsi="Times New Roman" w:cs="Times New Roman"/>
          <w:noProof/>
          <w:sz w:val="24"/>
          <w:szCs w:val="24"/>
        </w:rPr>
        <w:t>s well as the incentives for the registration of zero-emission vehicles and the introduction of the low-emission zones in the biggest and most polluted district cities</w:t>
      </w:r>
      <w:r w:rsidR="001253CF" w:rsidRPr="00E76013">
        <w:rPr>
          <w:rFonts w:ascii="Times New Roman" w:eastAsia="Times New Roman" w:hAnsi="Times New Roman" w:cs="Times New Roman"/>
          <w:noProof/>
          <w:sz w:val="24"/>
          <w:szCs w:val="24"/>
        </w:rPr>
        <w:t>.</w:t>
      </w:r>
      <w:r w:rsidRPr="00E76013">
        <w:rPr>
          <w:rFonts w:ascii="Times New Roman" w:hAnsi="Times New Roman" w:cs="Times New Roman"/>
          <w:noProof/>
          <w:sz w:val="24"/>
          <w:szCs w:val="24"/>
        </w:rPr>
        <w:t xml:space="preserve"> Finally, the </w:t>
      </w:r>
      <w:r w:rsidR="0005035D" w:rsidRPr="00E76013">
        <w:rPr>
          <w:rFonts w:ascii="Times New Roman" w:hAnsi="Times New Roman" w:cs="Times New Roman"/>
          <w:noProof/>
          <w:sz w:val="24"/>
          <w:szCs w:val="24"/>
        </w:rPr>
        <w:t>P</w:t>
      </w:r>
      <w:r w:rsidRPr="00E76013">
        <w:rPr>
          <w:rFonts w:ascii="Times New Roman" w:hAnsi="Times New Roman" w:cs="Times New Roman"/>
          <w:noProof/>
          <w:sz w:val="24"/>
          <w:szCs w:val="24"/>
        </w:rPr>
        <w:t>lan includes important measures to enhance road safety and reduce the number of victims from road accidents by 30% between 2019 and 2025.</w:t>
      </w:r>
    </w:p>
    <w:p w14:paraId="615F5783" w14:textId="3C04C69D" w:rsidR="00EE4A0C" w:rsidRPr="00E76013" w:rsidRDefault="1F6718F9"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bCs/>
          <w:noProof/>
          <w:sz w:val="24"/>
          <w:szCs w:val="24"/>
        </w:rPr>
        <w:t>The Plan includes reforms and investments fostering the green and digital transitions and promoting energy efficiency and the requalification of environmental infrastructures.</w:t>
      </w:r>
      <w:r w:rsidRPr="00E76013">
        <w:rPr>
          <w:rFonts w:ascii="Times New Roman" w:hAnsi="Times New Roman" w:cs="Times New Roman"/>
          <w:noProof/>
          <w:sz w:val="24"/>
          <w:szCs w:val="24"/>
        </w:rPr>
        <w:t xml:space="preserve"> Besides the measures focused on the transition to green, circular and digital-oriented business practices for small and medium-size enterprises, the </w:t>
      </w:r>
      <w:r w:rsidR="009E6037" w:rsidRPr="00E76013">
        <w:rPr>
          <w:rFonts w:ascii="Times New Roman" w:hAnsi="Times New Roman" w:cs="Times New Roman"/>
          <w:noProof/>
          <w:sz w:val="24"/>
          <w:szCs w:val="24"/>
        </w:rPr>
        <w:t>P</w:t>
      </w:r>
      <w:r w:rsidRPr="00E76013">
        <w:rPr>
          <w:rFonts w:ascii="Times New Roman" w:hAnsi="Times New Roman" w:cs="Times New Roman"/>
          <w:noProof/>
          <w:sz w:val="24"/>
          <w:szCs w:val="24"/>
        </w:rPr>
        <w:t>lan includes the financing of research projects to enhance the innovation output of the Bulgarian Academy of Science, with a particular focus in the field of green and digital technologies. The Plan also aims to reduce both primary and final energy consumption via the renovation of the national stock of residential and non-residential buildings, both public and private. There is also a focus on the competitiveness and sustainable development of the regions of the country and promoting local development. This includes a revision of the management of the water and agricultural sectors, as well as the construction and/or renovation of the water supply and sewerage system.</w:t>
      </w:r>
      <w:r w:rsidR="00671A91">
        <w:rPr>
          <w:rFonts w:ascii="Times New Roman" w:hAnsi="Times New Roman" w:cs="Times New Roman"/>
          <w:noProof/>
          <w:sz w:val="24"/>
          <w:szCs w:val="24"/>
        </w:rPr>
        <w:t xml:space="preserve"> </w:t>
      </w:r>
      <w:r w:rsidR="00671A91" w:rsidRPr="00AD7B41">
        <w:rPr>
          <w:rFonts w:ascii="Times New Roman" w:hAnsi="Times New Roman" w:cs="Times New Roman"/>
          <w:noProof/>
          <w:sz w:val="24"/>
          <w:szCs w:val="24"/>
        </w:rPr>
        <w:t xml:space="preserve">It should be noted however, that </w:t>
      </w:r>
      <w:r w:rsidR="00671A91" w:rsidRPr="7C84D552">
        <w:rPr>
          <w:rFonts w:ascii="Times New Roman" w:hAnsi="Times New Roman" w:cs="Times New Roman"/>
          <w:noProof/>
          <w:sz w:val="24"/>
          <w:szCs w:val="24"/>
        </w:rPr>
        <w:t xml:space="preserve">alone </w:t>
      </w:r>
      <w:r w:rsidR="00671A91" w:rsidRPr="00AD7B41">
        <w:rPr>
          <w:rFonts w:ascii="Times New Roman" w:hAnsi="Times New Roman" w:cs="Times New Roman"/>
          <w:noProof/>
          <w:sz w:val="24"/>
          <w:szCs w:val="24"/>
        </w:rPr>
        <w:t>t</w:t>
      </w:r>
      <w:r w:rsidR="00671A91" w:rsidRPr="00740EF1">
        <w:rPr>
          <w:rFonts w:ascii="Times New Roman" w:hAnsi="Times New Roman" w:cs="Times New Roman"/>
          <w:noProof/>
          <w:sz w:val="24"/>
          <w:szCs w:val="24"/>
        </w:rPr>
        <w:t>he measures</w:t>
      </w:r>
      <w:r w:rsidR="00671A91">
        <w:rPr>
          <w:rFonts w:ascii="Times New Roman" w:hAnsi="Times New Roman" w:cs="Times New Roman"/>
          <w:noProof/>
          <w:sz w:val="24"/>
          <w:szCs w:val="24"/>
        </w:rPr>
        <w:t xml:space="preserve"> </w:t>
      </w:r>
      <w:r w:rsidR="00671A91" w:rsidRPr="00AD7B41">
        <w:rPr>
          <w:rFonts w:ascii="Times New Roman" w:hAnsi="Times New Roman" w:cs="Times New Roman"/>
          <w:noProof/>
          <w:sz w:val="24"/>
          <w:szCs w:val="24"/>
        </w:rPr>
        <w:t xml:space="preserve">included in the Plan, which address </w:t>
      </w:r>
      <w:r w:rsidR="00671A91">
        <w:rPr>
          <w:rFonts w:ascii="Times New Roman" w:hAnsi="Times New Roman" w:cs="Times New Roman"/>
          <w:noProof/>
          <w:sz w:val="24"/>
          <w:szCs w:val="24"/>
        </w:rPr>
        <w:t xml:space="preserve">Bulgaria’s </w:t>
      </w:r>
      <w:r w:rsidR="00671A91" w:rsidRPr="00740EF1">
        <w:rPr>
          <w:rFonts w:ascii="Times New Roman" w:hAnsi="Times New Roman" w:cs="Times New Roman"/>
          <w:noProof/>
          <w:sz w:val="24"/>
          <w:szCs w:val="24"/>
        </w:rPr>
        <w:t xml:space="preserve">weak performance in </w:t>
      </w:r>
      <w:r w:rsidR="00671A91" w:rsidRPr="00AD7B41">
        <w:rPr>
          <w:rFonts w:ascii="Times New Roman" w:hAnsi="Times New Roman" w:cs="Times New Roman"/>
          <w:noProof/>
          <w:sz w:val="24"/>
          <w:szCs w:val="24"/>
        </w:rPr>
        <w:t>resource productivity and circular economy, are not of the</w:t>
      </w:r>
      <w:r w:rsidR="00671A91">
        <w:rPr>
          <w:rFonts w:ascii="Times New Roman" w:hAnsi="Times New Roman" w:cs="Times New Roman"/>
          <w:noProof/>
          <w:sz w:val="24"/>
          <w:szCs w:val="24"/>
          <w:lang w:val="en-IE"/>
        </w:rPr>
        <w:t xml:space="preserve"> magnitude required to reduce the gap </w:t>
      </w:r>
      <w:r w:rsidR="00671A91" w:rsidRPr="00740EF1">
        <w:rPr>
          <w:rFonts w:ascii="Times New Roman" w:hAnsi="Times New Roman" w:cs="Times New Roman"/>
          <w:noProof/>
          <w:sz w:val="24"/>
          <w:szCs w:val="24"/>
        </w:rPr>
        <w:t>with the EU average.</w:t>
      </w:r>
    </w:p>
    <w:p w14:paraId="3645EB94" w14:textId="10517D84" w:rsidR="00EE4A0C" w:rsidRPr="00E76013" w:rsidRDefault="1F6718F9"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bCs/>
          <w:noProof/>
          <w:sz w:val="24"/>
          <w:szCs w:val="24"/>
        </w:rPr>
        <w:t>Measures fostering the availability of digital infrastructures, access to distance working and the enhancement of digital skills are expected to support the digital transition.</w:t>
      </w:r>
      <w:r w:rsidRPr="00E76013">
        <w:rPr>
          <w:rFonts w:ascii="Times New Roman" w:hAnsi="Times New Roman" w:cs="Times New Roman"/>
          <w:noProof/>
          <w:sz w:val="24"/>
          <w:szCs w:val="24"/>
        </w:rPr>
        <w:t xml:space="preserve"> </w:t>
      </w:r>
      <w:r w:rsidR="5E0BFE2A" w:rsidRPr="00E76013">
        <w:rPr>
          <w:rFonts w:ascii="Times New Roman" w:hAnsi="Times New Roman" w:cs="Times New Roman"/>
          <w:noProof/>
          <w:sz w:val="24"/>
          <w:szCs w:val="24"/>
        </w:rPr>
        <w:t>They help to address the 2019 and 2020 country-specific recommendations. In particular, strengthen</w:t>
      </w:r>
      <w:r w:rsidR="77905CE3" w:rsidRPr="00E76013">
        <w:rPr>
          <w:rFonts w:ascii="Times New Roman" w:hAnsi="Times New Roman" w:cs="Times New Roman"/>
          <w:noProof/>
          <w:sz w:val="24"/>
          <w:szCs w:val="24"/>
        </w:rPr>
        <w:t>ing</w:t>
      </w:r>
      <w:r w:rsidR="5E0BFE2A" w:rsidRPr="00E76013">
        <w:rPr>
          <w:rFonts w:ascii="Times New Roman" w:hAnsi="Times New Roman" w:cs="Times New Roman"/>
          <w:noProof/>
          <w:sz w:val="24"/>
          <w:szCs w:val="24"/>
        </w:rPr>
        <w:t xml:space="preserve"> employability by reinforcing digital skills (CSR 4, 2019), improv</w:t>
      </w:r>
      <w:r w:rsidR="77905CE3" w:rsidRPr="00E76013">
        <w:rPr>
          <w:rFonts w:ascii="Times New Roman" w:hAnsi="Times New Roman" w:cs="Times New Roman"/>
          <w:noProof/>
          <w:sz w:val="24"/>
          <w:szCs w:val="24"/>
        </w:rPr>
        <w:t>ing</w:t>
      </w:r>
      <w:r w:rsidR="5E0BFE2A" w:rsidRPr="00E76013">
        <w:rPr>
          <w:rFonts w:ascii="Times New Roman" w:hAnsi="Times New Roman" w:cs="Times New Roman"/>
          <w:noProof/>
          <w:sz w:val="24"/>
          <w:szCs w:val="24"/>
        </w:rPr>
        <w:t xml:space="preserve"> access to distance working and promot</w:t>
      </w:r>
      <w:r w:rsidR="77905CE3" w:rsidRPr="00E76013">
        <w:rPr>
          <w:rFonts w:ascii="Times New Roman" w:hAnsi="Times New Roman" w:cs="Times New Roman"/>
          <w:noProof/>
          <w:sz w:val="24"/>
          <w:szCs w:val="24"/>
        </w:rPr>
        <w:t>ing</w:t>
      </w:r>
      <w:r w:rsidR="5E0BFE2A" w:rsidRPr="00E76013">
        <w:rPr>
          <w:rFonts w:ascii="Times New Roman" w:hAnsi="Times New Roman" w:cs="Times New Roman"/>
          <w:noProof/>
          <w:sz w:val="24"/>
          <w:szCs w:val="24"/>
        </w:rPr>
        <w:t xml:space="preserve"> digital skills and equal access to education (CSR 2, 2020), </w:t>
      </w:r>
      <w:r w:rsidR="77905CE3" w:rsidRPr="00E76013">
        <w:rPr>
          <w:rFonts w:ascii="Times New Roman" w:hAnsi="Times New Roman" w:cs="Times New Roman"/>
          <w:noProof/>
          <w:sz w:val="24"/>
          <w:szCs w:val="24"/>
        </w:rPr>
        <w:t>focusing</w:t>
      </w:r>
      <w:r w:rsidR="5E0BFE2A" w:rsidRPr="00E76013">
        <w:rPr>
          <w:rFonts w:ascii="Times New Roman" w:hAnsi="Times New Roman" w:cs="Times New Roman"/>
          <w:noProof/>
          <w:sz w:val="24"/>
          <w:szCs w:val="24"/>
        </w:rPr>
        <w:t xml:space="preserve"> investments on the green and digital transition (CSR 3, 2020), and minimis</w:t>
      </w:r>
      <w:r w:rsidR="77905CE3" w:rsidRPr="00E76013">
        <w:rPr>
          <w:rFonts w:ascii="Times New Roman" w:hAnsi="Times New Roman" w:cs="Times New Roman"/>
          <w:noProof/>
          <w:sz w:val="24"/>
          <w:szCs w:val="24"/>
        </w:rPr>
        <w:t xml:space="preserve">ing </w:t>
      </w:r>
      <w:r w:rsidR="5E0BFE2A" w:rsidRPr="00E76013">
        <w:rPr>
          <w:rFonts w:ascii="Times New Roman" w:hAnsi="Times New Roman" w:cs="Times New Roman"/>
          <w:noProof/>
          <w:sz w:val="24"/>
          <w:szCs w:val="24"/>
        </w:rPr>
        <w:t xml:space="preserve">administrative burden to companies by improving the effectiveness of public administration and reinforcing digital government (CSR 4, 2020). </w:t>
      </w:r>
      <w:r w:rsidRPr="00E76013">
        <w:rPr>
          <w:rFonts w:ascii="Times New Roman" w:hAnsi="Times New Roman" w:cs="Times New Roman"/>
          <w:noProof/>
          <w:sz w:val="24"/>
          <w:szCs w:val="24"/>
        </w:rPr>
        <w:t xml:space="preserve">Measures included under the Plan cover the large-scale deployment of digital infrastructure, the digitalisation of administrative services, as well as revisions to the regulation concerning distance working. The </w:t>
      </w:r>
      <w:r w:rsidR="00813E13" w:rsidRPr="00E76013">
        <w:rPr>
          <w:rFonts w:ascii="Times New Roman" w:hAnsi="Times New Roman" w:cs="Times New Roman"/>
          <w:noProof/>
          <w:sz w:val="24"/>
          <w:szCs w:val="24"/>
        </w:rPr>
        <w:t>P</w:t>
      </w:r>
      <w:r w:rsidRPr="00E76013">
        <w:rPr>
          <w:rFonts w:ascii="Times New Roman" w:hAnsi="Times New Roman" w:cs="Times New Roman"/>
          <w:noProof/>
          <w:sz w:val="24"/>
          <w:szCs w:val="24"/>
        </w:rPr>
        <w:t>lan also promotes skills relevance and adult learning, with a focus on digital skills. This encompasses changes to the regulatory frameworks for higher and vocational education and training and the development of an online platform for adult learning linked to the public employment services. Together with the accompanying reforms, the investments aim to enhance a favorable investment environment and the skills of the Bulgarian population.</w:t>
      </w:r>
    </w:p>
    <w:p w14:paraId="35BEDB5E" w14:textId="75285E85" w:rsidR="00E16256" w:rsidRPr="00E76013" w:rsidRDefault="00EE4A0C"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bCs/>
          <w:noProof/>
          <w:sz w:val="24"/>
          <w:szCs w:val="24"/>
        </w:rPr>
        <w:t xml:space="preserve">The </w:t>
      </w:r>
      <w:r w:rsidR="007C21F9" w:rsidRPr="00E76013">
        <w:rPr>
          <w:rFonts w:ascii="Times New Roman" w:hAnsi="Times New Roman" w:cs="Times New Roman"/>
          <w:b/>
          <w:bCs/>
          <w:noProof/>
          <w:sz w:val="24"/>
          <w:szCs w:val="24"/>
        </w:rPr>
        <w:t>Plan</w:t>
      </w:r>
      <w:r w:rsidRPr="00E76013">
        <w:rPr>
          <w:rFonts w:ascii="Times New Roman" w:hAnsi="Times New Roman" w:cs="Times New Roman"/>
          <w:b/>
          <w:bCs/>
          <w:noProof/>
          <w:sz w:val="24"/>
          <w:szCs w:val="24"/>
        </w:rPr>
        <w:t xml:space="preserve"> is expected to </w:t>
      </w:r>
      <w:r w:rsidR="00C1767A" w:rsidRPr="00E76013">
        <w:rPr>
          <w:rFonts w:ascii="Times New Roman" w:hAnsi="Times New Roman" w:cs="Times New Roman"/>
          <w:b/>
          <w:bCs/>
          <w:noProof/>
          <w:sz w:val="24"/>
          <w:szCs w:val="24"/>
        </w:rPr>
        <w:t xml:space="preserve">foster social inclusion and to </w:t>
      </w:r>
      <w:r w:rsidRPr="00E76013">
        <w:rPr>
          <w:rFonts w:ascii="Times New Roman" w:hAnsi="Times New Roman" w:cs="Times New Roman"/>
          <w:b/>
          <w:bCs/>
          <w:noProof/>
          <w:sz w:val="24"/>
          <w:szCs w:val="24"/>
        </w:rPr>
        <w:t>improve access to education, adult learning and healthcare.</w:t>
      </w:r>
      <w:r w:rsidRPr="00E76013">
        <w:rPr>
          <w:rFonts w:ascii="Times New Roman" w:hAnsi="Times New Roman" w:cs="Times New Roman"/>
          <w:noProof/>
          <w:sz w:val="24"/>
          <w:szCs w:val="24"/>
        </w:rPr>
        <w:t xml:space="preserve"> </w:t>
      </w:r>
      <w:r w:rsidR="00F108F9" w:rsidRPr="00E76013">
        <w:rPr>
          <w:rFonts w:ascii="Times New Roman" w:hAnsi="Times New Roman" w:cs="Times New Roman"/>
          <w:noProof/>
          <w:sz w:val="24"/>
          <w:szCs w:val="24"/>
        </w:rPr>
        <w:t xml:space="preserve">A number of measures in the Plan are expected to contribute to addressing related challenges identified in the </w:t>
      </w:r>
      <w:r w:rsidR="00121E74" w:rsidRPr="00E76013">
        <w:rPr>
          <w:rFonts w:ascii="Times New Roman" w:hAnsi="Times New Roman" w:cs="Times New Roman"/>
          <w:noProof/>
          <w:sz w:val="24"/>
          <w:szCs w:val="24"/>
        </w:rPr>
        <w:t xml:space="preserve">2019 and 2020 </w:t>
      </w:r>
      <w:r w:rsidR="00F108F9" w:rsidRPr="00E76013">
        <w:rPr>
          <w:rFonts w:ascii="Times New Roman" w:hAnsi="Times New Roman" w:cs="Times New Roman"/>
          <w:noProof/>
          <w:sz w:val="24"/>
          <w:szCs w:val="24"/>
        </w:rPr>
        <w:t>country-specific recommendations namely</w:t>
      </w:r>
      <w:r w:rsidR="005A3FFC" w:rsidRPr="00E76013">
        <w:rPr>
          <w:rFonts w:ascii="Times New Roman" w:hAnsi="Times New Roman" w:cs="Times New Roman"/>
          <w:noProof/>
          <w:sz w:val="24"/>
          <w:szCs w:val="24"/>
        </w:rPr>
        <w:t xml:space="preserve"> they are expected to contribute to</w:t>
      </w:r>
      <w:r w:rsidR="00F108F9" w:rsidRPr="00E76013">
        <w:rPr>
          <w:rFonts w:ascii="Times New Roman" w:hAnsi="Times New Roman" w:cs="Times New Roman"/>
          <w:noProof/>
          <w:sz w:val="24"/>
          <w:szCs w:val="24"/>
        </w:rPr>
        <w:t xml:space="preserve">: </w:t>
      </w:r>
      <w:r w:rsidR="00121E74" w:rsidRPr="00E76013">
        <w:rPr>
          <w:rFonts w:ascii="Times New Roman" w:hAnsi="Times New Roman" w:cs="Times New Roman"/>
          <w:noProof/>
          <w:sz w:val="24"/>
          <w:szCs w:val="24"/>
        </w:rPr>
        <w:t>ensuring adequate social protection and essential services for all and strengthen active labour market policies</w:t>
      </w:r>
      <w:r w:rsidR="00C1767A" w:rsidRPr="00E76013">
        <w:rPr>
          <w:rFonts w:ascii="Times New Roman" w:hAnsi="Times New Roman" w:cs="Times New Roman"/>
          <w:noProof/>
          <w:sz w:val="24"/>
          <w:szCs w:val="24"/>
        </w:rPr>
        <w:t xml:space="preserve"> and</w:t>
      </w:r>
      <w:r w:rsidR="00AD09A6" w:rsidRPr="00E76013">
        <w:rPr>
          <w:rFonts w:ascii="Times New Roman" w:hAnsi="Times New Roman" w:cs="Times New Roman"/>
          <w:noProof/>
          <w:sz w:val="24"/>
          <w:szCs w:val="24"/>
        </w:rPr>
        <w:t xml:space="preserve"> </w:t>
      </w:r>
      <w:r w:rsidR="00121E74" w:rsidRPr="00E76013">
        <w:rPr>
          <w:rFonts w:ascii="Times New Roman" w:hAnsi="Times New Roman" w:cs="Times New Roman"/>
          <w:noProof/>
          <w:sz w:val="24"/>
          <w:szCs w:val="24"/>
        </w:rPr>
        <w:t>addressing the shortcomings in the adequacy of the minimum income scheme (CSR 2, 2020);</w:t>
      </w:r>
      <w:r w:rsidR="004F2DAB">
        <w:rPr>
          <w:rFonts w:ascii="Times New Roman" w:hAnsi="Times New Roman" w:cs="Times New Roman"/>
          <w:noProof/>
          <w:sz w:val="24"/>
          <w:szCs w:val="24"/>
        </w:rPr>
        <w:t xml:space="preserve"> </w:t>
      </w:r>
      <w:r w:rsidR="00F108F9" w:rsidRPr="00E76013">
        <w:rPr>
          <w:rFonts w:ascii="Times New Roman" w:hAnsi="Times New Roman" w:cs="Times New Roman"/>
          <w:noProof/>
          <w:sz w:val="24"/>
          <w:szCs w:val="24"/>
        </w:rPr>
        <w:t>improving employability by enhancing skills, including digital skills and increasing the quality, labour market relevance and inclusiveness of education and training (CSR 4, 20</w:t>
      </w:r>
      <w:r w:rsidR="000E3DF1" w:rsidRPr="00E76013">
        <w:rPr>
          <w:rFonts w:ascii="Times New Roman" w:hAnsi="Times New Roman" w:cs="Times New Roman"/>
          <w:noProof/>
          <w:sz w:val="24"/>
          <w:szCs w:val="24"/>
        </w:rPr>
        <w:t>19</w:t>
      </w:r>
      <w:r w:rsidR="00F108F9" w:rsidRPr="00E76013">
        <w:rPr>
          <w:rFonts w:ascii="Times New Roman" w:hAnsi="Times New Roman" w:cs="Times New Roman"/>
          <w:noProof/>
          <w:sz w:val="24"/>
          <w:szCs w:val="24"/>
        </w:rPr>
        <w:t>)</w:t>
      </w:r>
      <w:r w:rsidR="00843671" w:rsidRPr="00E76013">
        <w:rPr>
          <w:rFonts w:ascii="Times New Roman" w:hAnsi="Times New Roman" w:cs="Times New Roman"/>
          <w:noProof/>
          <w:sz w:val="24"/>
          <w:szCs w:val="24"/>
        </w:rPr>
        <w:t>; and</w:t>
      </w:r>
      <w:r w:rsidR="00AD09A6" w:rsidRPr="00E76013">
        <w:rPr>
          <w:rFonts w:ascii="Times New Roman" w:hAnsi="Times New Roman" w:cs="Times New Roman"/>
          <w:noProof/>
          <w:sz w:val="24"/>
          <w:szCs w:val="24"/>
        </w:rPr>
        <w:t xml:space="preserve"> improving access to integrated employment and social services (CSR </w:t>
      </w:r>
      <w:r w:rsidR="00417591">
        <w:rPr>
          <w:rFonts w:ascii="Times New Roman" w:hAnsi="Times New Roman" w:cs="Times New Roman"/>
          <w:noProof/>
          <w:sz w:val="24"/>
          <w:szCs w:val="24"/>
        </w:rPr>
        <w:t>4</w:t>
      </w:r>
      <w:r w:rsidR="00AD09A6" w:rsidRPr="00E76013">
        <w:rPr>
          <w:rFonts w:ascii="Times New Roman" w:hAnsi="Times New Roman" w:cs="Times New Roman"/>
          <w:noProof/>
          <w:sz w:val="24"/>
          <w:szCs w:val="24"/>
        </w:rPr>
        <w:t>, 2019)</w:t>
      </w:r>
      <w:r w:rsidR="005A3FFC" w:rsidRPr="00E76013">
        <w:rPr>
          <w:rFonts w:ascii="Times New Roman" w:hAnsi="Times New Roman" w:cs="Times New Roman"/>
          <w:noProof/>
          <w:sz w:val="24"/>
          <w:szCs w:val="24"/>
        </w:rPr>
        <w:t>.</w:t>
      </w:r>
      <w:r w:rsidR="00143002">
        <w:rPr>
          <w:rFonts w:ascii="Times New Roman" w:hAnsi="Times New Roman" w:cs="Times New Roman"/>
          <w:noProof/>
          <w:sz w:val="24"/>
          <w:szCs w:val="24"/>
        </w:rPr>
        <w:t xml:space="preserve"> </w:t>
      </w:r>
      <w:r w:rsidR="00E16256" w:rsidRPr="00E76013">
        <w:rPr>
          <w:rFonts w:ascii="Times New Roman" w:hAnsi="Times New Roman" w:cs="Times New Roman"/>
          <w:noProof/>
          <w:sz w:val="24"/>
          <w:szCs w:val="24"/>
        </w:rPr>
        <w:t xml:space="preserve">To foster social inclusion, the </w:t>
      </w:r>
      <w:r w:rsidR="00974BD0" w:rsidRPr="00E76013">
        <w:rPr>
          <w:rFonts w:ascii="Times New Roman" w:hAnsi="Times New Roman" w:cs="Times New Roman"/>
          <w:noProof/>
          <w:sz w:val="24"/>
          <w:szCs w:val="24"/>
        </w:rPr>
        <w:t>P</w:t>
      </w:r>
      <w:r w:rsidR="00E16256" w:rsidRPr="00E76013">
        <w:rPr>
          <w:rFonts w:ascii="Times New Roman" w:hAnsi="Times New Roman" w:cs="Times New Roman"/>
          <w:noProof/>
          <w:sz w:val="24"/>
          <w:szCs w:val="24"/>
        </w:rPr>
        <w:t xml:space="preserve">lan includes a reform of the minimum income scheme to increase </w:t>
      </w:r>
      <w:r w:rsidR="00143002">
        <w:rPr>
          <w:rFonts w:ascii="Times New Roman" w:hAnsi="Times New Roman" w:cs="Times New Roman"/>
          <w:noProof/>
          <w:sz w:val="24"/>
          <w:szCs w:val="24"/>
        </w:rPr>
        <w:t xml:space="preserve">its </w:t>
      </w:r>
      <w:r w:rsidR="00E16256" w:rsidRPr="00E76013">
        <w:rPr>
          <w:rFonts w:ascii="Times New Roman" w:hAnsi="Times New Roman" w:cs="Times New Roman"/>
          <w:noProof/>
          <w:sz w:val="24"/>
          <w:szCs w:val="24"/>
        </w:rPr>
        <w:t xml:space="preserve">adequacy and coverage as well as measures to improve the provision and integration of employment and social services. Although the reform of the minimum income and its eligibility rules are expected to lead to significant improvements in the level of social protection, there is still room for further improvements, considering the very low starting point. </w:t>
      </w:r>
      <w:r w:rsidR="00143002">
        <w:rPr>
          <w:rFonts w:ascii="Times New Roman" w:hAnsi="Times New Roman" w:cs="Times New Roman"/>
          <w:noProof/>
          <w:sz w:val="24"/>
          <w:szCs w:val="24"/>
        </w:rPr>
        <w:t>A number of measures in the plan, within the local development, transport and digital connectivity components, also contribute to widening a</w:t>
      </w:r>
      <w:r w:rsidR="00143002" w:rsidRPr="00143002">
        <w:rPr>
          <w:rFonts w:ascii="Times New Roman" w:hAnsi="Times New Roman" w:cs="Times New Roman"/>
          <w:noProof/>
          <w:sz w:val="24"/>
          <w:szCs w:val="24"/>
        </w:rPr>
        <w:t xml:space="preserve">ccess to essential services, </w:t>
      </w:r>
      <w:r w:rsidR="00143002">
        <w:rPr>
          <w:rFonts w:ascii="Times New Roman" w:hAnsi="Times New Roman" w:cs="Times New Roman"/>
          <w:noProof/>
          <w:sz w:val="24"/>
          <w:szCs w:val="24"/>
        </w:rPr>
        <w:t>such as</w:t>
      </w:r>
      <w:r w:rsidR="00143002" w:rsidRPr="00143002">
        <w:rPr>
          <w:rFonts w:ascii="Times New Roman" w:hAnsi="Times New Roman" w:cs="Times New Roman"/>
          <w:noProof/>
          <w:sz w:val="24"/>
          <w:szCs w:val="24"/>
        </w:rPr>
        <w:t xml:space="preserve"> water, transport, and digital communication</w:t>
      </w:r>
      <w:r w:rsidR="00376B38">
        <w:rPr>
          <w:rFonts w:ascii="Times New Roman" w:hAnsi="Times New Roman" w:cs="Times New Roman"/>
          <w:noProof/>
          <w:sz w:val="24"/>
          <w:szCs w:val="24"/>
        </w:rPr>
        <w:t>.</w:t>
      </w:r>
      <w:r w:rsidR="00143002">
        <w:rPr>
          <w:rFonts w:ascii="Times New Roman" w:hAnsi="Times New Roman" w:cs="Times New Roman"/>
          <w:noProof/>
          <w:sz w:val="24"/>
          <w:szCs w:val="24"/>
        </w:rPr>
        <w:t xml:space="preserve"> </w:t>
      </w:r>
      <w:r w:rsidRPr="00E76013">
        <w:rPr>
          <w:rFonts w:ascii="Times New Roman" w:hAnsi="Times New Roman" w:cs="Times New Roman"/>
          <w:noProof/>
          <w:sz w:val="24"/>
          <w:szCs w:val="24"/>
        </w:rPr>
        <w:t xml:space="preserve">Relevant measures in the field of education and training include measures for the enhancement of the relevance of higher education with the aim of addressing labour market shortages and promoting research, as well as digital skills courses for adults and a platform for adult learning. The </w:t>
      </w:r>
      <w:r w:rsidR="007C21F9" w:rsidRPr="00E76013">
        <w:rPr>
          <w:rFonts w:ascii="Times New Roman" w:hAnsi="Times New Roman" w:cs="Times New Roman"/>
          <w:noProof/>
          <w:sz w:val="24"/>
          <w:szCs w:val="24"/>
        </w:rPr>
        <w:t>P</w:t>
      </w:r>
      <w:r w:rsidRPr="00E76013">
        <w:rPr>
          <w:rFonts w:ascii="Times New Roman" w:hAnsi="Times New Roman" w:cs="Times New Roman"/>
          <w:noProof/>
          <w:sz w:val="24"/>
          <w:szCs w:val="24"/>
        </w:rPr>
        <w:t xml:space="preserve">lan also includes </w:t>
      </w:r>
      <w:r w:rsidR="00AE6280" w:rsidRPr="58605E46">
        <w:rPr>
          <w:rFonts w:ascii="Times New Roman" w:eastAsia="Times New Roman" w:hAnsi="Times New Roman" w:cs="Times New Roman"/>
          <w:noProof/>
          <w:sz w:val="24"/>
          <w:szCs w:val="24"/>
        </w:rPr>
        <w:t>a reform o</w:t>
      </w:r>
      <w:r w:rsidR="00682BA8">
        <w:rPr>
          <w:rFonts w:ascii="Times New Roman" w:eastAsia="Times New Roman" w:hAnsi="Times New Roman" w:cs="Times New Roman"/>
          <w:noProof/>
          <w:sz w:val="24"/>
          <w:szCs w:val="24"/>
        </w:rPr>
        <w:t>f</w:t>
      </w:r>
      <w:r w:rsidR="00AE6280" w:rsidRPr="58605E46">
        <w:rPr>
          <w:rFonts w:ascii="Times New Roman" w:eastAsia="Times New Roman" w:hAnsi="Times New Roman" w:cs="Times New Roman"/>
          <w:noProof/>
          <w:sz w:val="24"/>
          <w:szCs w:val="24"/>
        </w:rPr>
        <w:t xml:space="preserve"> the </w:t>
      </w:r>
      <w:r w:rsidRPr="00E76013">
        <w:rPr>
          <w:rFonts w:ascii="Times New Roman" w:hAnsi="Times New Roman" w:cs="Times New Roman"/>
          <w:noProof/>
          <w:sz w:val="24"/>
          <w:szCs w:val="24"/>
        </w:rPr>
        <w:t xml:space="preserve">mandatory pre-school education as of the age of four and envisages the construction and renovation of educational facilities, which are expected to </w:t>
      </w:r>
      <w:r w:rsidR="001C6BFC" w:rsidRPr="00E76013">
        <w:rPr>
          <w:rFonts w:ascii="Times New Roman" w:hAnsi="Times New Roman" w:cs="Times New Roman"/>
          <w:noProof/>
          <w:sz w:val="24"/>
          <w:szCs w:val="24"/>
        </w:rPr>
        <w:t xml:space="preserve">improve </w:t>
      </w:r>
      <w:r w:rsidRPr="00E76013">
        <w:rPr>
          <w:rFonts w:ascii="Times New Roman" w:hAnsi="Times New Roman" w:cs="Times New Roman"/>
          <w:noProof/>
          <w:sz w:val="24"/>
          <w:szCs w:val="24"/>
        </w:rPr>
        <w:t>access to education.</w:t>
      </w:r>
      <w:r w:rsidR="00C1767A" w:rsidRPr="00E76013">
        <w:rPr>
          <w:rFonts w:ascii="Times New Roman" w:hAnsi="Times New Roman" w:cs="Times New Roman"/>
          <w:noProof/>
          <w:sz w:val="24"/>
          <w:szCs w:val="24"/>
        </w:rPr>
        <w:t xml:space="preserve"> </w:t>
      </w:r>
    </w:p>
    <w:p w14:paraId="1132C57A" w14:textId="3D5D758B" w:rsidR="00325619" w:rsidRPr="00E76013" w:rsidRDefault="001D659B" w:rsidP="3203BB6A">
      <w:pPr>
        <w:spacing w:line="276" w:lineRule="auto"/>
        <w:jc w:val="both"/>
        <w:rPr>
          <w:rFonts w:ascii="Times New Roman" w:hAnsi="Times New Roman" w:cs="Times New Roman"/>
          <w:noProof/>
          <w:sz w:val="24"/>
          <w:szCs w:val="24"/>
        </w:rPr>
      </w:pPr>
      <w:r w:rsidRPr="00E76013">
        <w:rPr>
          <w:rFonts w:ascii="Times New Roman" w:eastAsia="Times New Roman" w:hAnsi="Times New Roman" w:cs="Times New Roman"/>
          <w:b/>
          <w:bCs/>
          <w:noProof/>
          <w:color w:val="0E101A"/>
          <w:sz w:val="24"/>
          <w:szCs w:val="24"/>
        </w:rPr>
        <w:t xml:space="preserve">As one of the critical sectors for achieving crisis preparedness and resilience, the health sector is specifically supported by a dedicated component in the Plan. </w:t>
      </w:r>
      <w:r w:rsidRPr="00E76013">
        <w:rPr>
          <w:rFonts w:ascii="Times New Roman" w:eastAsia="Times New Roman" w:hAnsi="Times New Roman" w:cs="Times New Roman"/>
          <w:noProof/>
          <w:color w:val="0E101A"/>
          <w:sz w:val="24"/>
          <w:szCs w:val="24"/>
        </w:rPr>
        <w:t xml:space="preserve">There are measures that are expected to contribute </w:t>
      </w:r>
      <w:r w:rsidR="00E16256" w:rsidRPr="00E76013">
        <w:rPr>
          <w:rFonts w:ascii="Times New Roman" w:eastAsia="Times New Roman" w:hAnsi="Times New Roman" w:cs="Times New Roman"/>
          <w:noProof/>
          <w:color w:val="0E101A"/>
          <w:sz w:val="24"/>
          <w:szCs w:val="24"/>
        </w:rPr>
        <w:t xml:space="preserve">to </w:t>
      </w:r>
      <w:r w:rsidRPr="00E76013">
        <w:rPr>
          <w:rFonts w:ascii="Times New Roman" w:eastAsia="Times New Roman" w:hAnsi="Times New Roman" w:cs="Times New Roman"/>
          <w:noProof/>
          <w:color w:val="0E101A"/>
          <w:sz w:val="24"/>
          <w:szCs w:val="24"/>
        </w:rPr>
        <w:t xml:space="preserve">addressing </w:t>
      </w:r>
      <w:r w:rsidRPr="17D31D35">
        <w:rPr>
          <w:rFonts w:ascii="Times New Roman" w:eastAsia="Times New Roman" w:hAnsi="Times New Roman" w:cs="Times New Roman"/>
          <w:noProof/>
          <w:color w:val="0E101A"/>
          <w:sz w:val="24"/>
          <w:szCs w:val="24"/>
        </w:rPr>
        <w:t>healthcare</w:t>
      </w:r>
      <w:r w:rsidRPr="00E76013">
        <w:rPr>
          <w:rFonts w:ascii="Times New Roman" w:eastAsia="Times New Roman" w:hAnsi="Times New Roman" w:cs="Times New Roman"/>
          <w:noProof/>
          <w:color w:val="0E101A"/>
          <w:sz w:val="24"/>
          <w:szCs w:val="24"/>
        </w:rPr>
        <w:t xml:space="preserve"> related challenges identified in the country</w:t>
      </w:r>
      <w:r w:rsidR="7F69C005" w:rsidRPr="00E76013">
        <w:rPr>
          <w:rFonts w:ascii="Times New Roman" w:eastAsia="Times New Roman" w:hAnsi="Times New Roman" w:cs="Times New Roman"/>
          <w:noProof/>
          <w:color w:val="0E101A"/>
          <w:sz w:val="24"/>
          <w:szCs w:val="24"/>
        </w:rPr>
        <w:t>-</w:t>
      </w:r>
      <w:r w:rsidRPr="00E76013">
        <w:rPr>
          <w:rFonts w:ascii="Times New Roman" w:eastAsia="Times New Roman" w:hAnsi="Times New Roman" w:cs="Times New Roman"/>
          <w:noProof/>
          <w:color w:val="0E101A"/>
          <w:sz w:val="24"/>
          <w:szCs w:val="24"/>
        </w:rPr>
        <w:t xml:space="preserve"> specific recommendations, specifically: </w:t>
      </w:r>
      <w:r w:rsidRPr="00E76013">
        <w:rPr>
          <w:rFonts w:ascii="Times New Roman" w:hAnsi="Times New Roman" w:cs="Times New Roman"/>
          <w:noProof/>
          <w:sz w:val="24"/>
          <w:szCs w:val="24"/>
        </w:rPr>
        <w:t>mobilising</w:t>
      </w:r>
      <w:r w:rsidR="00E16256" w:rsidRPr="00E76013">
        <w:rPr>
          <w:rFonts w:ascii="Times New Roman" w:hAnsi="Times New Roman" w:cs="Times New Roman"/>
          <w:noProof/>
          <w:sz w:val="24"/>
          <w:szCs w:val="24"/>
        </w:rPr>
        <w:t xml:space="preserve"> adequate financial resources to strengthen the resilience, accessibility and capacity of the health system, and </w:t>
      </w:r>
      <w:r w:rsidRPr="00E76013">
        <w:rPr>
          <w:rFonts w:ascii="Times New Roman" w:hAnsi="Times New Roman" w:cs="Times New Roman"/>
          <w:noProof/>
          <w:sz w:val="24"/>
          <w:szCs w:val="24"/>
        </w:rPr>
        <w:t>ensuring</w:t>
      </w:r>
      <w:r w:rsidR="00E16256" w:rsidRPr="00E76013">
        <w:rPr>
          <w:rFonts w:ascii="Times New Roman" w:hAnsi="Times New Roman" w:cs="Times New Roman"/>
          <w:noProof/>
          <w:sz w:val="24"/>
          <w:szCs w:val="24"/>
        </w:rPr>
        <w:t xml:space="preserve"> a balanced geographical distribution of health workers (CSR 1 2020), as well as </w:t>
      </w:r>
      <w:r w:rsidRPr="00E76013">
        <w:rPr>
          <w:rFonts w:ascii="Times New Roman" w:hAnsi="Times New Roman" w:cs="Times New Roman"/>
          <w:noProof/>
          <w:sz w:val="24"/>
          <w:szCs w:val="24"/>
        </w:rPr>
        <w:t>improving</w:t>
      </w:r>
      <w:r w:rsidR="00E16256" w:rsidRPr="00E76013">
        <w:rPr>
          <w:rFonts w:ascii="Times New Roman" w:hAnsi="Times New Roman" w:cs="Times New Roman"/>
          <w:noProof/>
          <w:sz w:val="24"/>
          <w:szCs w:val="24"/>
        </w:rPr>
        <w:t xml:space="preserve"> access to health services and addressing shortages of health professionals (CSR 4 2019). </w:t>
      </w:r>
      <w:r w:rsidR="00EE4A0C" w:rsidRPr="00E76013">
        <w:rPr>
          <w:rFonts w:ascii="Times New Roman" w:hAnsi="Times New Roman" w:cs="Times New Roman"/>
          <w:noProof/>
          <w:sz w:val="24"/>
          <w:szCs w:val="24"/>
        </w:rPr>
        <w:t xml:space="preserve">Improved provision and availability of health services across Bulgaria is expected to be achieved via the set-up of outpatient care units with a focus on remote areas with no healthcare access within a reasonable distance, complemented by measures addressing shortages of healthcare professionals and their geographical distribution, as well as via the enhancement of the provision of telemedicine services, and the establishment of an air ambulance system. </w:t>
      </w:r>
      <w:r w:rsidR="00526988" w:rsidRPr="00E76013">
        <w:rPr>
          <w:rFonts w:ascii="Times New Roman" w:hAnsi="Times New Roman" w:cs="Times New Roman"/>
          <w:noProof/>
          <w:sz w:val="24"/>
          <w:szCs w:val="24"/>
        </w:rPr>
        <w:t xml:space="preserve">However, the high ‘out-of-pocket’ payments are not addressed in the </w:t>
      </w:r>
      <w:r w:rsidR="00EF7EB8" w:rsidRPr="00E76013">
        <w:rPr>
          <w:rFonts w:ascii="Times New Roman" w:hAnsi="Times New Roman" w:cs="Times New Roman"/>
          <w:noProof/>
          <w:sz w:val="24"/>
          <w:szCs w:val="24"/>
        </w:rPr>
        <w:t>Plan</w:t>
      </w:r>
      <w:r w:rsidR="00526988" w:rsidRPr="00E76013">
        <w:rPr>
          <w:rFonts w:ascii="Times New Roman" w:hAnsi="Times New Roman" w:cs="Times New Roman"/>
          <w:noProof/>
          <w:sz w:val="24"/>
          <w:szCs w:val="24"/>
        </w:rPr>
        <w:t xml:space="preserve">. </w:t>
      </w:r>
    </w:p>
    <w:p w14:paraId="6F052133" w14:textId="77777777" w:rsidR="0098317A" w:rsidRDefault="0098317A" w:rsidP="008637B5">
      <w:pPr>
        <w:spacing w:line="276" w:lineRule="auto"/>
        <w:jc w:val="both"/>
        <w:rPr>
          <w:rFonts w:ascii="Times New Roman" w:hAnsi="Times New Roman" w:cs="Times New Roman"/>
          <w:b/>
          <w:bCs/>
          <w:noProof/>
          <w:sz w:val="24"/>
          <w:szCs w:val="24"/>
        </w:rPr>
      </w:pPr>
    </w:p>
    <w:p w14:paraId="6D9A566B" w14:textId="2F6C765A" w:rsidR="00325619" w:rsidRPr="00E76013" w:rsidRDefault="00325619"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bCs/>
          <w:noProof/>
          <w:sz w:val="24"/>
          <w:szCs w:val="24"/>
        </w:rPr>
        <w:t xml:space="preserve">The </w:t>
      </w:r>
      <w:r w:rsidR="00D406D0" w:rsidRPr="00E76013">
        <w:rPr>
          <w:rFonts w:ascii="Times New Roman" w:hAnsi="Times New Roman" w:cs="Times New Roman"/>
          <w:b/>
          <w:bCs/>
          <w:noProof/>
          <w:sz w:val="24"/>
          <w:szCs w:val="24"/>
        </w:rPr>
        <w:t>Plan</w:t>
      </w:r>
      <w:r w:rsidRPr="00E76013">
        <w:rPr>
          <w:rFonts w:ascii="Times New Roman" w:hAnsi="Times New Roman" w:cs="Times New Roman"/>
          <w:b/>
          <w:bCs/>
          <w:noProof/>
          <w:sz w:val="24"/>
          <w:szCs w:val="24"/>
        </w:rPr>
        <w:t xml:space="preserve"> also </w:t>
      </w:r>
      <w:r w:rsidR="00D406D0" w:rsidRPr="00E76013">
        <w:rPr>
          <w:rFonts w:ascii="Times New Roman" w:hAnsi="Times New Roman" w:cs="Times New Roman"/>
          <w:b/>
          <w:bCs/>
          <w:noProof/>
          <w:sz w:val="24"/>
          <w:szCs w:val="24"/>
        </w:rPr>
        <w:t>covers measures</w:t>
      </w:r>
      <w:r w:rsidRPr="00E76013">
        <w:rPr>
          <w:rFonts w:ascii="Times New Roman" w:hAnsi="Times New Roman" w:cs="Times New Roman"/>
          <w:b/>
          <w:bCs/>
          <w:noProof/>
          <w:sz w:val="24"/>
          <w:szCs w:val="24"/>
        </w:rPr>
        <w:t xml:space="preserve"> </w:t>
      </w:r>
      <w:r w:rsidR="001C6BFC" w:rsidRPr="00E76013">
        <w:rPr>
          <w:rFonts w:ascii="Times New Roman" w:hAnsi="Times New Roman" w:cs="Times New Roman"/>
          <w:b/>
          <w:bCs/>
          <w:noProof/>
          <w:sz w:val="24"/>
          <w:szCs w:val="24"/>
        </w:rPr>
        <w:t xml:space="preserve">for </w:t>
      </w:r>
      <w:r w:rsidRPr="00E76013">
        <w:rPr>
          <w:rFonts w:ascii="Times New Roman" w:hAnsi="Times New Roman" w:cs="Times New Roman"/>
          <w:b/>
          <w:bCs/>
          <w:noProof/>
          <w:sz w:val="24"/>
          <w:szCs w:val="24"/>
        </w:rPr>
        <w:t>restructuring and further development of the research and innovation ecosystem as well as provision of support for</w:t>
      </w:r>
      <w:r w:rsidR="007C21F9" w:rsidRPr="00E76013">
        <w:rPr>
          <w:rFonts w:ascii="Times New Roman" w:hAnsi="Times New Roman" w:cs="Times New Roman"/>
          <w:b/>
          <w:bCs/>
          <w:noProof/>
          <w:sz w:val="24"/>
          <w:szCs w:val="24"/>
        </w:rPr>
        <w:t xml:space="preserve"> </w:t>
      </w:r>
      <w:r w:rsidRPr="00E76013">
        <w:rPr>
          <w:rFonts w:ascii="Times New Roman" w:hAnsi="Times New Roman" w:cs="Times New Roman"/>
          <w:b/>
          <w:bCs/>
          <w:noProof/>
          <w:sz w:val="24"/>
          <w:szCs w:val="24"/>
        </w:rPr>
        <w:t xml:space="preserve">small and medium-sized enterprises. </w:t>
      </w:r>
      <w:r w:rsidR="001C6BFC" w:rsidRPr="00E76013">
        <w:rPr>
          <w:rFonts w:ascii="Times New Roman" w:hAnsi="Times New Roman" w:cs="Times New Roman"/>
          <w:noProof/>
          <w:sz w:val="24"/>
          <w:szCs w:val="24"/>
        </w:rPr>
        <w:t xml:space="preserve">These measures contribute to addressing </w:t>
      </w:r>
      <w:r w:rsidR="00512EDC" w:rsidRPr="00E76013">
        <w:rPr>
          <w:rFonts w:ascii="Times New Roman" w:hAnsi="Times New Roman" w:cs="Times New Roman"/>
          <w:noProof/>
          <w:sz w:val="24"/>
          <w:szCs w:val="24"/>
        </w:rPr>
        <w:t xml:space="preserve">the </w:t>
      </w:r>
      <w:r w:rsidR="001C6BFC" w:rsidRPr="00E76013">
        <w:rPr>
          <w:rFonts w:ascii="Times New Roman" w:hAnsi="Times New Roman" w:cs="Times New Roman"/>
          <w:noProof/>
          <w:sz w:val="24"/>
          <w:szCs w:val="24"/>
        </w:rPr>
        <w:t>country-specific recommendation</w:t>
      </w:r>
      <w:r w:rsidR="000D1904" w:rsidRPr="00E76013">
        <w:rPr>
          <w:rFonts w:ascii="Times New Roman" w:hAnsi="Times New Roman" w:cs="Times New Roman"/>
          <w:noProof/>
          <w:sz w:val="24"/>
          <w:szCs w:val="24"/>
        </w:rPr>
        <w:t>s</w:t>
      </w:r>
      <w:r w:rsidR="001C6BFC" w:rsidRPr="00E76013">
        <w:rPr>
          <w:rFonts w:ascii="Times New Roman" w:hAnsi="Times New Roman" w:cs="Times New Roman"/>
          <w:noProof/>
          <w:sz w:val="24"/>
          <w:szCs w:val="24"/>
        </w:rPr>
        <w:t xml:space="preserve"> of 2019 and 2020, </w:t>
      </w:r>
      <w:r w:rsidR="007C4A87" w:rsidRPr="00E76013">
        <w:rPr>
          <w:rFonts w:ascii="Times New Roman" w:hAnsi="Times New Roman" w:cs="Times New Roman"/>
          <w:noProof/>
          <w:sz w:val="24"/>
          <w:szCs w:val="24"/>
        </w:rPr>
        <w:t>namely</w:t>
      </w:r>
      <w:r w:rsidR="001C6BFC" w:rsidRPr="00E76013">
        <w:rPr>
          <w:rFonts w:ascii="Times New Roman" w:hAnsi="Times New Roman" w:cs="Times New Roman"/>
          <w:noProof/>
          <w:sz w:val="24"/>
          <w:szCs w:val="24"/>
        </w:rPr>
        <w:t>: focus</w:t>
      </w:r>
      <w:r w:rsidR="00512EDC" w:rsidRPr="00E76013">
        <w:rPr>
          <w:rFonts w:ascii="Times New Roman" w:hAnsi="Times New Roman" w:cs="Times New Roman"/>
          <w:noProof/>
          <w:sz w:val="24"/>
          <w:szCs w:val="24"/>
        </w:rPr>
        <w:t>ing</w:t>
      </w:r>
      <w:r w:rsidR="001C6BFC" w:rsidRPr="00E76013">
        <w:rPr>
          <w:rFonts w:ascii="Times New Roman" w:hAnsi="Times New Roman" w:cs="Times New Roman"/>
          <w:noProof/>
          <w:sz w:val="24"/>
          <w:szCs w:val="24"/>
        </w:rPr>
        <w:t xml:space="preserve"> investment-related economic policy on research and innovation (CSR 3, 2019) and streamlin</w:t>
      </w:r>
      <w:r w:rsidR="00512EDC" w:rsidRPr="00E76013">
        <w:rPr>
          <w:rFonts w:ascii="Times New Roman" w:hAnsi="Times New Roman" w:cs="Times New Roman"/>
          <w:noProof/>
          <w:sz w:val="24"/>
          <w:szCs w:val="24"/>
        </w:rPr>
        <w:t>ing</w:t>
      </w:r>
      <w:r w:rsidR="001C6BFC" w:rsidRPr="00E76013">
        <w:rPr>
          <w:rFonts w:ascii="Times New Roman" w:hAnsi="Times New Roman" w:cs="Times New Roman"/>
          <w:noProof/>
          <w:sz w:val="24"/>
          <w:szCs w:val="24"/>
        </w:rPr>
        <w:t xml:space="preserve"> and accelerat</w:t>
      </w:r>
      <w:r w:rsidR="00512EDC" w:rsidRPr="00E76013">
        <w:rPr>
          <w:rFonts w:ascii="Times New Roman" w:hAnsi="Times New Roman" w:cs="Times New Roman"/>
          <w:noProof/>
          <w:sz w:val="24"/>
          <w:szCs w:val="24"/>
        </w:rPr>
        <w:t>ing</w:t>
      </w:r>
      <w:r w:rsidR="001C6BFC" w:rsidRPr="00E76013">
        <w:rPr>
          <w:rFonts w:ascii="Times New Roman" w:hAnsi="Times New Roman" w:cs="Times New Roman"/>
          <w:noProof/>
          <w:sz w:val="24"/>
          <w:szCs w:val="24"/>
        </w:rPr>
        <w:t xml:space="preserve"> the procedures to provide effective support to small and medium-sized enterprises and self-employed (CSR 3, 2020). </w:t>
      </w:r>
      <w:r w:rsidRPr="00E76013">
        <w:rPr>
          <w:rFonts w:ascii="Times New Roman" w:hAnsi="Times New Roman" w:cs="Times New Roman"/>
          <w:noProof/>
          <w:sz w:val="24"/>
          <w:szCs w:val="24"/>
        </w:rPr>
        <w:t>Th</w:t>
      </w:r>
      <w:r w:rsidR="007C21F9" w:rsidRPr="00E76013">
        <w:rPr>
          <w:rFonts w:ascii="Times New Roman" w:hAnsi="Times New Roman" w:cs="Times New Roman"/>
          <w:noProof/>
          <w:sz w:val="24"/>
          <w:szCs w:val="24"/>
        </w:rPr>
        <w:t>e</w:t>
      </w:r>
      <w:r w:rsidRPr="00E76013">
        <w:rPr>
          <w:rFonts w:ascii="Times New Roman" w:hAnsi="Times New Roman" w:cs="Times New Roman"/>
          <w:noProof/>
          <w:sz w:val="24"/>
          <w:szCs w:val="24"/>
        </w:rPr>
        <w:t xml:space="preserve">se measures include a new legislative framework for </w:t>
      </w:r>
      <w:r w:rsidR="000D1904" w:rsidRPr="00E76013">
        <w:rPr>
          <w:rFonts w:ascii="Times New Roman" w:hAnsi="Times New Roman" w:cs="Times New Roman"/>
          <w:noProof/>
          <w:sz w:val="24"/>
          <w:szCs w:val="24"/>
        </w:rPr>
        <w:t>R&amp;I</w:t>
      </w:r>
      <w:r w:rsidRPr="00E76013">
        <w:rPr>
          <w:rFonts w:ascii="Times New Roman" w:hAnsi="Times New Roman" w:cs="Times New Roman"/>
          <w:noProof/>
          <w:sz w:val="24"/>
          <w:szCs w:val="24"/>
        </w:rPr>
        <w:t xml:space="preserve"> development and research universities, </w:t>
      </w:r>
      <w:r w:rsidR="000D1904" w:rsidRPr="00E76013">
        <w:rPr>
          <w:rFonts w:ascii="Times New Roman" w:hAnsi="Times New Roman" w:cs="Times New Roman"/>
          <w:noProof/>
          <w:sz w:val="24"/>
          <w:szCs w:val="24"/>
        </w:rPr>
        <w:t>alongside</w:t>
      </w:r>
      <w:r w:rsidRPr="00E76013">
        <w:rPr>
          <w:rFonts w:ascii="Times New Roman" w:hAnsi="Times New Roman" w:cs="Times New Roman"/>
          <w:noProof/>
          <w:sz w:val="24"/>
          <w:szCs w:val="24"/>
        </w:rPr>
        <w:t xml:space="preserve"> new instruments for the funding of research. With those measures, Bulgaria </w:t>
      </w:r>
      <w:r w:rsidR="00E31251" w:rsidRPr="00E76013">
        <w:rPr>
          <w:rFonts w:ascii="Times New Roman" w:hAnsi="Times New Roman" w:cs="Times New Roman"/>
          <w:noProof/>
          <w:sz w:val="24"/>
          <w:szCs w:val="24"/>
        </w:rPr>
        <w:t xml:space="preserve">is </w:t>
      </w:r>
      <w:r w:rsidRPr="00E76013">
        <w:rPr>
          <w:rFonts w:ascii="Times New Roman" w:hAnsi="Times New Roman" w:cs="Times New Roman"/>
          <w:noProof/>
          <w:sz w:val="24"/>
          <w:szCs w:val="24"/>
        </w:rPr>
        <w:t xml:space="preserve">setting a more coherent framework for </w:t>
      </w:r>
      <w:r w:rsidR="000D1904" w:rsidRPr="00E76013">
        <w:rPr>
          <w:rFonts w:ascii="Times New Roman" w:hAnsi="Times New Roman" w:cs="Times New Roman"/>
          <w:noProof/>
          <w:sz w:val="24"/>
          <w:szCs w:val="24"/>
        </w:rPr>
        <w:t>R&amp;I</w:t>
      </w:r>
      <w:r w:rsidRPr="00E76013">
        <w:rPr>
          <w:rFonts w:ascii="Times New Roman" w:hAnsi="Times New Roman" w:cs="Times New Roman"/>
          <w:noProof/>
          <w:sz w:val="24"/>
          <w:szCs w:val="24"/>
        </w:rPr>
        <w:t xml:space="preserve"> </w:t>
      </w:r>
      <w:r w:rsidR="00E31251" w:rsidRPr="00E76013">
        <w:rPr>
          <w:rFonts w:ascii="Times New Roman" w:hAnsi="Times New Roman" w:cs="Times New Roman"/>
          <w:noProof/>
          <w:sz w:val="24"/>
          <w:szCs w:val="24"/>
        </w:rPr>
        <w:t>as a driver of future growth</w:t>
      </w:r>
      <w:r w:rsidR="000D1904" w:rsidRPr="00E76013">
        <w:rPr>
          <w:rFonts w:ascii="Times New Roman" w:hAnsi="Times New Roman" w:cs="Times New Roman"/>
          <w:noProof/>
          <w:sz w:val="24"/>
          <w:szCs w:val="24"/>
        </w:rPr>
        <w:t xml:space="preserve">. The measures are also expected to contribute to </w:t>
      </w:r>
      <w:r w:rsidRPr="00E76013">
        <w:rPr>
          <w:rFonts w:ascii="Times New Roman" w:hAnsi="Times New Roman" w:cs="Times New Roman"/>
          <w:noProof/>
          <w:sz w:val="24"/>
          <w:szCs w:val="24"/>
        </w:rPr>
        <w:t xml:space="preserve">pooling national and EU resources to overcome the current fragmentation of the ecosystem. The </w:t>
      </w:r>
      <w:r w:rsidR="004C4AAA" w:rsidRPr="00E76013">
        <w:rPr>
          <w:rFonts w:ascii="Times New Roman" w:hAnsi="Times New Roman" w:cs="Times New Roman"/>
          <w:noProof/>
          <w:sz w:val="24"/>
          <w:szCs w:val="24"/>
        </w:rPr>
        <w:t>Plan</w:t>
      </w:r>
      <w:r w:rsidRPr="00E76013">
        <w:rPr>
          <w:rFonts w:ascii="Times New Roman" w:hAnsi="Times New Roman" w:cs="Times New Roman"/>
          <w:noProof/>
          <w:sz w:val="24"/>
          <w:szCs w:val="24"/>
        </w:rPr>
        <w:t xml:space="preserve"> also contains measures focused on attracting industrial investments and supporting small and medium-sized enterprises in modernising their technology and in their transition to green, circular and digital</w:t>
      </w:r>
      <w:r w:rsidR="004F1DE0" w:rsidRPr="00E76013">
        <w:rPr>
          <w:rFonts w:ascii="Times New Roman" w:hAnsi="Times New Roman" w:cs="Times New Roman"/>
          <w:noProof/>
          <w:sz w:val="24"/>
          <w:szCs w:val="24"/>
        </w:rPr>
        <w:t>ly</w:t>
      </w:r>
      <w:r w:rsidRPr="00E76013">
        <w:rPr>
          <w:rFonts w:ascii="Times New Roman" w:hAnsi="Times New Roman" w:cs="Times New Roman"/>
          <w:noProof/>
          <w:sz w:val="24"/>
          <w:szCs w:val="24"/>
        </w:rPr>
        <w:t>-oriented business practices.</w:t>
      </w:r>
    </w:p>
    <w:p w14:paraId="48DF0676" w14:textId="59FDDAAA" w:rsidR="00635A76" w:rsidRPr="00E76013" w:rsidRDefault="00635A76" w:rsidP="008637B5">
      <w:pPr>
        <w:spacing w:line="276" w:lineRule="auto"/>
        <w:jc w:val="both"/>
        <w:rPr>
          <w:rFonts w:ascii="Times New Roman" w:hAnsi="Times New Roman" w:cs="Times New Roman"/>
          <w:noProof/>
          <w:sz w:val="24"/>
          <w:szCs w:val="24"/>
        </w:rPr>
      </w:pPr>
      <w:r w:rsidRPr="00E76013">
        <w:rPr>
          <w:rFonts w:ascii="Times New Roman" w:hAnsi="Times New Roman" w:cs="Times New Roman"/>
          <w:b/>
          <w:noProof/>
          <w:sz w:val="24"/>
          <w:szCs w:val="24"/>
        </w:rPr>
        <w:t xml:space="preserve">The </w:t>
      </w:r>
      <w:r w:rsidR="72C52494" w:rsidRPr="2998489D">
        <w:rPr>
          <w:rFonts w:ascii="Times New Roman" w:hAnsi="Times New Roman" w:cs="Times New Roman"/>
          <w:b/>
          <w:bCs/>
          <w:noProof/>
          <w:sz w:val="24"/>
          <w:szCs w:val="24"/>
        </w:rPr>
        <w:t>P</w:t>
      </w:r>
      <w:r w:rsidRPr="2998489D">
        <w:rPr>
          <w:rFonts w:ascii="Times New Roman" w:hAnsi="Times New Roman" w:cs="Times New Roman"/>
          <w:b/>
          <w:bCs/>
          <w:noProof/>
          <w:sz w:val="24"/>
          <w:szCs w:val="24"/>
        </w:rPr>
        <w:t>lan</w:t>
      </w:r>
      <w:r w:rsidRPr="00E76013">
        <w:rPr>
          <w:rFonts w:ascii="Times New Roman" w:hAnsi="Times New Roman" w:cs="Times New Roman"/>
          <w:b/>
          <w:noProof/>
          <w:sz w:val="24"/>
          <w:szCs w:val="24"/>
        </w:rPr>
        <w:t xml:space="preserve"> is expected to contribute to the competitiveness and sustainable development of the regions of the country and to local development.</w:t>
      </w:r>
      <w:r w:rsidRPr="00E76013">
        <w:rPr>
          <w:rFonts w:ascii="Times New Roman" w:hAnsi="Times New Roman" w:cs="Times New Roman"/>
          <w:noProof/>
          <w:sz w:val="24"/>
          <w:szCs w:val="24"/>
        </w:rPr>
        <w:t xml:space="preserve"> This includes a revision of the management of the water and agricultural sectors, as well as the construction or renovation of the water supply and sewerage system. Moreover, local development should be promoted through a new regional policy approach and dedicated reforms expected to foster the direct involvement of local communities in the management of European funds.</w:t>
      </w:r>
      <w:r w:rsidR="00086B12" w:rsidRPr="00E76013">
        <w:rPr>
          <w:rFonts w:ascii="Times New Roman" w:hAnsi="Times New Roman" w:cs="Times New Roman"/>
          <w:noProof/>
          <w:sz w:val="24"/>
          <w:szCs w:val="24"/>
        </w:rPr>
        <w:t xml:space="preserve"> These measures contribute to addressing the country specific recommendation on focusing investment-related economic policy on water and waste infrastructure, taking into account regional disparities (CSR 3, 2019). </w:t>
      </w:r>
    </w:p>
    <w:p w14:paraId="2484A9B1" w14:textId="3414340D" w:rsidR="358F026F" w:rsidRPr="00E76013" w:rsidRDefault="000C25C9" w:rsidP="008637B5">
      <w:pPr>
        <w:spacing w:line="276" w:lineRule="auto"/>
        <w:jc w:val="both"/>
        <w:rPr>
          <w:rFonts w:ascii="Times New Roman" w:eastAsia="Times New Roman" w:hAnsi="Times New Roman" w:cs="Times New Roman"/>
          <w:i/>
          <w:iCs/>
          <w:noProof/>
          <w:sz w:val="24"/>
          <w:szCs w:val="24"/>
          <w:lang w:val="en-GB"/>
        </w:rPr>
      </w:pPr>
      <w:r w:rsidRPr="00E76013">
        <w:rPr>
          <w:rFonts w:ascii="Times New Roman" w:hAnsi="Times New Roman" w:cs="Times New Roman"/>
          <w:bCs/>
          <w:i/>
          <w:noProof/>
          <w:sz w:val="24"/>
          <w:szCs w:val="24"/>
        </w:rPr>
        <w:t xml:space="preserve">All the measures contained in the Plan will help to address </w:t>
      </w:r>
      <w:r w:rsidR="007836BF" w:rsidRPr="00E76013">
        <w:rPr>
          <w:rFonts w:ascii="Times New Roman" w:hAnsi="Times New Roman" w:cs="Times New Roman"/>
          <w:bCs/>
          <w:i/>
          <w:noProof/>
          <w:sz w:val="24"/>
          <w:szCs w:val="24"/>
        </w:rPr>
        <w:t xml:space="preserve">the social and economic challenges </w:t>
      </w:r>
      <w:r w:rsidRPr="00E76013">
        <w:rPr>
          <w:rFonts w:ascii="Times New Roman" w:hAnsi="Times New Roman" w:cs="Times New Roman"/>
          <w:bCs/>
          <w:i/>
          <w:noProof/>
          <w:sz w:val="24"/>
          <w:szCs w:val="24"/>
        </w:rPr>
        <w:t>in a comprehensive manner and to boost the growth potential of the economy</w:t>
      </w:r>
      <w:r w:rsidR="0028309D" w:rsidRPr="00E76013">
        <w:rPr>
          <w:rFonts w:ascii="Times New Roman" w:hAnsi="Times New Roman" w:cs="Times New Roman"/>
          <w:bCs/>
          <w:i/>
          <w:noProof/>
          <w:sz w:val="24"/>
          <w:szCs w:val="24"/>
        </w:rPr>
        <w:t xml:space="preserve"> in a sustainable way</w:t>
      </w:r>
      <w:r w:rsidRPr="00E76013">
        <w:rPr>
          <w:rFonts w:ascii="Times New Roman" w:hAnsi="Times New Roman" w:cs="Times New Roman"/>
          <w:bCs/>
          <w:i/>
          <w:noProof/>
          <w:sz w:val="24"/>
          <w:szCs w:val="24"/>
        </w:rPr>
        <w:t>.</w:t>
      </w:r>
      <w:r w:rsidRPr="00E76013">
        <w:rPr>
          <w:rFonts w:ascii="Times New Roman" w:hAnsi="Times New Roman" w:cs="Times New Roman"/>
          <w:b/>
          <w:bCs/>
          <w:i/>
          <w:noProof/>
          <w:sz w:val="24"/>
          <w:szCs w:val="24"/>
        </w:rPr>
        <w:t xml:space="preserve"> </w:t>
      </w:r>
      <w:r w:rsidR="00B026A8" w:rsidRPr="00E76013">
        <w:rPr>
          <w:rFonts w:ascii="Times New Roman" w:hAnsi="Times New Roman" w:cs="Times New Roman"/>
          <w:i/>
          <w:noProof/>
          <w:sz w:val="24"/>
          <w:szCs w:val="24"/>
        </w:rPr>
        <w:t xml:space="preserve">Taking </w:t>
      </w:r>
      <w:r w:rsidR="00B026A8" w:rsidRPr="00E76013">
        <w:rPr>
          <w:rFonts w:ascii="Times New Roman" w:hAnsi="Times New Roman" w:cs="Times New Roman"/>
          <w:i/>
          <w:iCs/>
          <w:noProof/>
          <w:sz w:val="24"/>
          <w:szCs w:val="24"/>
          <w:lang w:val="en-GB"/>
        </w:rPr>
        <w:t xml:space="preserve">into consideration the reforms and investments envisaged by </w:t>
      </w:r>
      <w:r w:rsidR="00526C54" w:rsidRPr="00E76013">
        <w:rPr>
          <w:rFonts w:ascii="Times New Roman" w:hAnsi="Times New Roman" w:cs="Times New Roman"/>
          <w:i/>
          <w:iCs/>
          <w:noProof/>
          <w:sz w:val="24"/>
          <w:szCs w:val="24"/>
          <w:lang w:val="en-GB"/>
        </w:rPr>
        <w:t>Bulgaria</w:t>
      </w:r>
      <w:r w:rsidR="00B026A8" w:rsidRPr="00E76013">
        <w:rPr>
          <w:rFonts w:ascii="Times New Roman" w:hAnsi="Times New Roman" w:cs="Times New Roman"/>
          <w:i/>
          <w:iCs/>
          <w:noProof/>
          <w:sz w:val="24"/>
          <w:szCs w:val="24"/>
          <w:lang w:val="en-GB"/>
        </w:rPr>
        <w:t xml:space="preserve">, </w:t>
      </w:r>
      <w:r w:rsidR="007457D8" w:rsidRPr="00E76013">
        <w:rPr>
          <w:rFonts w:ascii="Times New Roman" w:hAnsi="Times New Roman" w:cs="Times New Roman"/>
          <w:i/>
          <w:iCs/>
          <w:noProof/>
          <w:sz w:val="24"/>
          <w:szCs w:val="24"/>
          <w:lang w:val="en-GB"/>
        </w:rPr>
        <w:t>its</w:t>
      </w:r>
      <w:r w:rsidR="00B026A8" w:rsidRPr="00E76013">
        <w:rPr>
          <w:rFonts w:ascii="Times New Roman" w:hAnsi="Times New Roman" w:cs="Times New Roman"/>
          <w:i/>
          <w:iCs/>
          <w:noProof/>
          <w:sz w:val="24"/>
          <w:szCs w:val="24"/>
          <w:lang w:val="en-GB"/>
        </w:rPr>
        <w:t xml:space="preserve"> </w:t>
      </w:r>
      <w:r w:rsidR="0046068C" w:rsidRPr="00E76013">
        <w:rPr>
          <w:rFonts w:ascii="Times New Roman" w:hAnsi="Times New Roman" w:cs="Times New Roman"/>
          <w:i/>
          <w:iCs/>
          <w:noProof/>
          <w:sz w:val="24"/>
          <w:szCs w:val="24"/>
          <w:lang w:val="en-GB"/>
        </w:rPr>
        <w:t>P</w:t>
      </w:r>
      <w:r w:rsidR="00B026A8" w:rsidRPr="00E76013">
        <w:rPr>
          <w:rFonts w:ascii="Times New Roman" w:hAnsi="Times New Roman" w:cs="Times New Roman"/>
          <w:i/>
          <w:iCs/>
          <w:noProof/>
          <w:sz w:val="24"/>
          <w:szCs w:val="24"/>
          <w:lang w:val="en-GB"/>
        </w:rPr>
        <w:t>lan</w:t>
      </w:r>
      <w:r w:rsidR="00F703C7" w:rsidRPr="00E76013">
        <w:rPr>
          <w:rFonts w:ascii="Times New Roman" w:hAnsi="Times New Roman" w:cs="Times New Roman"/>
          <w:i/>
          <w:iCs/>
          <w:noProof/>
          <w:sz w:val="24"/>
          <w:szCs w:val="24"/>
          <w:lang w:val="en-GB"/>
        </w:rPr>
        <w:t xml:space="preserve"> is expected to</w:t>
      </w:r>
      <w:r w:rsidR="00B026A8" w:rsidRPr="00E76013">
        <w:rPr>
          <w:rFonts w:ascii="Times New Roman" w:hAnsi="Times New Roman" w:cs="Times New Roman"/>
          <w:i/>
          <w:iCs/>
          <w:noProof/>
          <w:sz w:val="24"/>
          <w:szCs w:val="24"/>
          <w:lang w:val="en-GB"/>
        </w:rPr>
        <w:t xml:space="preserve"> contribute to effectively addressing all or a significant subset of challenges identified in the country-specific recommendations, or challenges in other relevant documents officially adopted by the Commission under the European Semester, and the </w:t>
      </w:r>
      <w:r w:rsidR="001C5D9B" w:rsidRPr="00E76013">
        <w:rPr>
          <w:rFonts w:ascii="Times New Roman" w:hAnsi="Times New Roman" w:cs="Times New Roman"/>
          <w:i/>
          <w:iCs/>
          <w:noProof/>
          <w:sz w:val="24"/>
          <w:szCs w:val="24"/>
          <w:lang w:val="en-GB"/>
        </w:rPr>
        <w:t>P</w:t>
      </w:r>
      <w:r w:rsidR="00B026A8" w:rsidRPr="00E76013">
        <w:rPr>
          <w:rFonts w:ascii="Times New Roman" w:hAnsi="Times New Roman" w:cs="Times New Roman"/>
          <w:i/>
          <w:iCs/>
          <w:noProof/>
          <w:sz w:val="24"/>
          <w:szCs w:val="24"/>
          <w:lang w:val="en-GB"/>
        </w:rPr>
        <w:t>la</w:t>
      </w:r>
      <w:r w:rsidR="00526C54" w:rsidRPr="00E76013">
        <w:rPr>
          <w:rFonts w:ascii="Times New Roman" w:hAnsi="Times New Roman" w:cs="Times New Roman"/>
          <w:i/>
          <w:iCs/>
          <w:noProof/>
          <w:sz w:val="24"/>
          <w:szCs w:val="24"/>
          <w:lang w:val="en-GB"/>
        </w:rPr>
        <w:t>n</w:t>
      </w:r>
      <w:r w:rsidR="00B026A8" w:rsidRPr="00E76013">
        <w:rPr>
          <w:rFonts w:ascii="Times New Roman" w:hAnsi="Times New Roman" w:cs="Times New Roman"/>
          <w:i/>
          <w:iCs/>
          <w:noProof/>
          <w:sz w:val="24"/>
          <w:szCs w:val="24"/>
          <w:lang w:val="en-GB"/>
        </w:rPr>
        <w:t xml:space="preserve"> represent</w:t>
      </w:r>
      <w:r w:rsidR="00526C54" w:rsidRPr="00E76013">
        <w:rPr>
          <w:rFonts w:ascii="Times New Roman" w:hAnsi="Times New Roman" w:cs="Times New Roman"/>
          <w:i/>
          <w:iCs/>
          <w:noProof/>
          <w:sz w:val="24"/>
          <w:szCs w:val="24"/>
          <w:lang w:val="en-GB"/>
        </w:rPr>
        <w:t>s</w:t>
      </w:r>
      <w:r w:rsidR="00B026A8" w:rsidRPr="00E76013">
        <w:rPr>
          <w:rFonts w:ascii="Times New Roman" w:hAnsi="Times New Roman" w:cs="Times New Roman"/>
          <w:i/>
          <w:iCs/>
          <w:noProof/>
          <w:sz w:val="24"/>
          <w:szCs w:val="24"/>
          <w:lang w:val="en-GB"/>
        </w:rPr>
        <w:t xml:space="preserve"> an adequate response to the economic and social situation of </w:t>
      </w:r>
      <w:r w:rsidR="00526C54" w:rsidRPr="00E76013">
        <w:rPr>
          <w:rFonts w:ascii="Times New Roman" w:hAnsi="Times New Roman" w:cs="Times New Roman"/>
          <w:i/>
          <w:iCs/>
          <w:noProof/>
          <w:sz w:val="24"/>
          <w:szCs w:val="24"/>
          <w:lang w:val="en-GB"/>
        </w:rPr>
        <w:t>Bulgaria</w:t>
      </w:r>
      <w:r w:rsidR="00B026A8" w:rsidRPr="00E76013">
        <w:rPr>
          <w:rFonts w:ascii="Times New Roman" w:hAnsi="Times New Roman" w:cs="Times New Roman"/>
          <w:i/>
          <w:iCs/>
          <w:noProof/>
          <w:sz w:val="24"/>
          <w:szCs w:val="24"/>
          <w:lang w:val="en-GB"/>
        </w:rPr>
        <w:t xml:space="preserve">. This </w:t>
      </w:r>
      <w:r w:rsidR="005250F4" w:rsidRPr="00E76013">
        <w:rPr>
          <w:rFonts w:ascii="Times New Roman" w:hAnsi="Times New Roman" w:cs="Times New Roman"/>
          <w:i/>
          <w:iCs/>
          <w:noProof/>
          <w:sz w:val="24"/>
          <w:szCs w:val="24"/>
          <w:lang w:val="en-GB"/>
        </w:rPr>
        <w:t xml:space="preserve">would </w:t>
      </w:r>
      <w:r w:rsidR="00B026A8" w:rsidRPr="00E76013">
        <w:rPr>
          <w:rFonts w:ascii="Times New Roman" w:hAnsi="Times New Roman" w:cs="Times New Roman"/>
          <w:i/>
          <w:iCs/>
          <w:noProof/>
          <w:sz w:val="24"/>
          <w:szCs w:val="24"/>
          <w:lang w:val="en-GB"/>
        </w:rPr>
        <w:t xml:space="preserve">warrant a rating of A </w:t>
      </w:r>
      <w:r w:rsidR="007457D8" w:rsidRPr="00E76013">
        <w:rPr>
          <w:rFonts w:ascii="Times New Roman" w:hAnsi="Times New Roman" w:cs="Times New Roman"/>
          <w:i/>
          <w:iCs/>
          <w:noProof/>
          <w:sz w:val="24"/>
          <w:szCs w:val="24"/>
          <w:lang w:val="en-GB"/>
        </w:rPr>
        <w:t>under</w:t>
      </w:r>
      <w:r w:rsidR="00B026A8" w:rsidRPr="00E76013">
        <w:rPr>
          <w:rFonts w:ascii="Times New Roman" w:hAnsi="Times New Roman" w:cs="Times New Roman"/>
          <w:i/>
          <w:iCs/>
          <w:noProof/>
          <w:sz w:val="24"/>
          <w:szCs w:val="24"/>
          <w:lang w:val="en-GB"/>
        </w:rPr>
        <w:t xml:space="preserve"> the assessment criterion 2.2 in Annex </w:t>
      </w:r>
      <w:r w:rsidR="002F48B8" w:rsidRPr="00E76013">
        <w:rPr>
          <w:rFonts w:ascii="Times New Roman" w:hAnsi="Times New Roman" w:cs="Times New Roman"/>
          <w:i/>
          <w:iCs/>
          <w:noProof/>
          <w:sz w:val="24"/>
          <w:szCs w:val="24"/>
          <w:lang w:val="en-GB"/>
        </w:rPr>
        <w:t xml:space="preserve">V </w:t>
      </w:r>
      <w:r w:rsidR="002D6FF8">
        <w:rPr>
          <w:rFonts w:ascii="Times New Roman" w:hAnsi="Times New Roman" w:cs="Times New Roman"/>
          <w:i/>
          <w:iCs/>
          <w:noProof/>
          <w:sz w:val="24"/>
          <w:szCs w:val="24"/>
          <w:lang w:val="en-GB"/>
        </w:rPr>
        <w:t>to</w:t>
      </w:r>
      <w:r w:rsidR="002D6FF8" w:rsidRPr="00E76013">
        <w:rPr>
          <w:rFonts w:ascii="Times New Roman" w:hAnsi="Times New Roman" w:cs="Times New Roman"/>
          <w:i/>
          <w:iCs/>
          <w:noProof/>
          <w:sz w:val="24"/>
          <w:szCs w:val="24"/>
          <w:lang w:val="en-GB"/>
        </w:rPr>
        <w:t xml:space="preserve"> </w:t>
      </w:r>
      <w:r w:rsidR="00B026A8" w:rsidRPr="00E76013">
        <w:rPr>
          <w:rFonts w:ascii="Times New Roman" w:hAnsi="Times New Roman" w:cs="Times New Roman"/>
          <w:i/>
          <w:iCs/>
          <w:noProof/>
          <w:sz w:val="24"/>
          <w:szCs w:val="24"/>
          <w:lang w:val="en-GB"/>
        </w:rPr>
        <w:t>the RRF Regulation</w:t>
      </w:r>
      <w:r w:rsidR="00B026A8" w:rsidRPr="00E76013">
        <w:rPr>
          <w:rFonts w:ascii="Times New Roman" w:eastAsia="Times New Roman" w:hAnsi="Times New Roman" w:cs="Times New Roman"/>
          <w:i/>
          <w:iCs/>
          <w:noProof/>
          <w:sz w:val="24"/>
          <w:szCs w:val="24"/>
          <w:lang w:val="en-GB"/>
        </w:rPr>
        <w:t>.</w:t>
      </w:r>
    </w:p>
    <w:p w14:paraId="3D53773D" w14:textId="602A088F" w:rsidR="00E20589" w:rsidRPr="00E76013" w:rsidRDefault="00E20589" w:rsidP="00E20589">
      <w:pPr>
        <w:pStyle w:val="Caption"/>
        <w:keepNext/>
        <w:rPr>
          <w:rFonts w:ascii="Times New Roman" w:hAnsi="Times New Roman" w:cs="Times New Roman"/>
          <w:b/>
          <w:i w:val="0"/>
          <w:noProof/>
          <w:color w:val="auto"/>
          <w:sz w:val="22"/>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00C84127" w:rsidRPr="00E76013">
        <w:rPr>
          <w:rFonts w:ascii="Times New Roman" w:hAnsi="Times New Roman" w:cs="Times New Roman"/>
          <w:b/>
          <w:i w:val="0"/>
          <w:noProof/>
          <w:color w:val="auto"/>
          <w:sz w:val="22"/>
        </w:rPr>
        <w:t>6</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Mapping of country challenges identified in 2019-20 country-specific recommendations and the Bulgarian RRP components</w:t>
      </w:r>
    </w:p>
    <w:tbl>
      <w:tblPr>
        <w:tblStyle w:val="TableGrid12"/>
        <w:tblW w:w="9458" w:type="dxa"/>
        <w:tblLayout w:type="fixed"/>
        <w:tblLook w:val="04A0" w:firstRow="1" w:lastRow="0" w:firstColumn="1" w:lastColumn="0" w:noHBand="0" w:noVBand="1"/>
      </w:tblPr>
      <w:tblGrid>
        <w:gridCol w:w="3355"/>
        <w:gridCol w:w="2118"/>
        <w:gridCol w:w="283"/>
        <w:gridCol w:w="283"/>
        <w:gridCol w:w="283"/>
        <w:gridCol w:w="283"/>
        <w:gridCol w:w="283"/>
        <w:gridCol w:w="283"/>
        <w:gridCol w:w="288"/>
        <w:gridCol w:w="283"/>
        <w:gridCol w:w="283"/>
        <w:gridCol w:w="820"/>
        <w:gridCol w:w="283"/>
        <w:gridCol w:w="330"/>
      </w:tblGrid>
      <w:tr w:rsidR="0056547E" w:rsidRPr="00E76013" w14:paraId="16898D65" w14:textId="77777777" w:rsidTr="004F2DAB">
        <w:trPr>
          <w:cantSplit/>
          <w:trHeight w:val="3478"/>
          <w:tblHeader/>
        </w:trPr>
        <w:tc>
          <w:tcPr>
            <w:tcW w:w="3355" w:type="dxa"/>
            <w:tcBorders>
              <w:top w:val="single" w:sz="8" w:space="0" w:color="auto"/>
              <w:left w:val="single" w:sz="8" w:space="0" w:color="auto"/>
              <w:bottom w:val="single" w:sz="8" w:space="0" w:color="auto"/>
              <w:right w:val="single" w:sz="8" w:space="0" w:color="auto"/>
            </w:tcBorders>
            <w:vAlign w:val="bottom"/>
          </w:tcPr>
          <w:p w14:paraId="68C8A7C2" w14:textId="77777777" w:rsidR="0056547E" w:rsidRPr="00E76013" w:rsidRDefault="0056547E" w:rsidP="008C5C8A">
            <w:pPr>
              <w:jc w:val="center"/>
              <w:rPr>
                <w:rFonts w:ascii="Times New Roman" w:eastAsia="Calibri" w:hAnsi="Times New Roman" w:cs="Times New Roman"/>
                <w:b/>
                <w:bCs/>
                <w:noProof/>
                <w:sz w:val="20"/>
                <w:szCs w:val="20"/>
              </w:rPr>
            </w:pPr>
            <w:r w:rsidRPr="00E76013">
              <w:rPr>
                <w:rFonts w:ascii="Times New Roman" w:eastAsia="Times New Roman" w:hAnsi="Times New Roman" w:cs="Times New Roman"/>
                <w:b/>
                <w:bCs/>
                <w:noProof/>
                <w:sz w:val="20"/>
                <w:szCs w:val="20"/>
                <w:lang w:val="en-IE"/>
              </w:rPr>
              <w:t>Country challenges</w:t>
            </w:r>
          </w:p>
          <w:p w14:paraId="74D8ACF8" w14:textId="77777777" w:rsidR="0056547E" w:rsidRPr="00E76013" w:rsidRDefault="0056547E" w:rsidP="008C5C8A">
            <w:pPr>
              <w:jc w:val="center"/>
              <w:rPr>
                <w:rFonts w:ascii="Times New Roman" w:eastAsia="Calibri" w:hAnsi="Times New Roman" w:cs="Times New Roman"/>
                <w:b/>
                <w:bCs/>
                <w:noProof/>
                <w:sz w:val="20"/>
                <w:szCs w:val="20"/>
              </w:rPr>
            </w:pPr>
            <w:r w:rsidRPr="00E76013">
              <w:rPr>
                <w:rFonts w:ascii="Times New Roman" w:eastAsia="Times New Roman" w:hAnsi="Times New Roman" w:cs="Times New Roman"/>
                <w:b/>
                <w:bCs/>
                <w:noProof/>
                <w:sz w:val="20"/>
                <w:szCs w:val="20"/>
                <w:lang w:val="en-IE"/>
              </w:rPr>
              <w:t>(as identified in Section 2)</w:t>
            </w:r>
          </w:p>
        </w:tc>
        <w:tc>
          <w:tcPr>
            <w:tcW w:w="2118" w:type="dxa"/>
            <w:tcBorders>
              <w:top w:val="single" w:sz="8" w:space="0" w:color="auto"/>
              <w:left w:val="single" w:sz="8" w:space="0" w:color="auto"/>
              <w:bottom w:val="single" w:sz="8" w:space="0" w:color="auto"/>
              <w:right w:val="single" w:sz="8" w:space="0" w:color="auto"/>
            </w:tcBorders>
            <w:vAlign w:val="bottom"/>
          </w:tcPr>
          <w:p w14:paraId="37708AB9" w14:textId="77777777" w:rsidR="0056547E" w:rsidRPr="00E76013" w:rsidRDefault="0056547E" w:rsidP="008C5C8A">
            <w:pPr>
              <w:jc w:val="center"/>
              <w:rPr>
                <w:rFonts w:ascii="Times New Roman" w:eastAsia="Calibri" w:hAnsi="Times New Roman" w:cs="Times New Roman"/>
                <w:b/>
                <w:bCs/>
                <w:noProof/>
                <w:sz w:val="20"/>
                <w:szCs w:val="20"/>
              </w:rPr>
            </w:pPr>
            <w:r w:rsidRPr="00E76013">
              <w:rPr>
                <w:rFonts w:ascii="Times New Roman" w:eastAsia="Times New Roman" w:hAnsi="Times New Roman" w:cs="Times New Roman"/>
                <w:b/>
                <w:bCs/>
                <w:noProof/>
                <w:sz w:val="20"/>
                <w:szCs w:val="20"/>
                <w:lang w:val="en-IE"/>
              </w:rPr>
              <w:t>Associated CSR (2019-2020) and European Semester recommendations</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7386B2F2" w14:textId="7E74694F" w:rsidR="0056547E" w:rsidRPr="00E76013" w:rsidRDefault="7FA149FA" w:rsidP="008C5C8A">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1- </w:t>
            </w:r>
            <w:r w:rsidR="39A20DEA" w:rsidRPr="00E76013">
              <w:rPr>
                <w:rFonts w:ascii="Times New Roman" w:eastAsia="Times New Roman" w:hAnsi="Times New Roman" w:cs="Times New Roman"/>
                <w:b/>
                <w:bCs/>
                <w:noProof/>
                <w:sz w:val="18"/>
                <w:szCs w:val="18"/>
                <w:lang w:val="en-IE"/>
              </w:rPr>
              <w:t>Education and skills</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118BE2A8" w14:textId="223EED21"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7A34DEC0" w:rsidRPr="00E76013">
              <w:rPr>
                <w:rFonts w:ascii="Times New Roman" w:eastAsia="Times New Roman" w:hAnsi="Times New Roman" w:cs="Times New Roman"/>
                <w:b/>
                <w:bCs/>
                <w:noProof/>
                <w:sz w:val="18"/>
                <w:szCs w:val="18"/>
                <w:lang w:val="en-IE"/>
              </w:rPr>
              <w:t>2</w:t>
            </w:r>
            <w:r w:rsidRPr="00E76013">
              <w:rPr>
                <w:rFonts w:ascii="Times New Roman" w:eastAsia="Times New Roman" w:hAnsi="Times New Roman" w:cs="Times New Roman"/>
                <w:b/>
                <w:bCs/>
                <w:noProof/>
                <w:sz w:val="18"/>
                <w:szCs w:val="18"/>
                <w:lang w:val="en-IE"/>
              </w:rPr>
              <w:t xml:space="preserve">- </w:t>
            </w:r>
            <w:r w:rsidR="2D1C042A" w:rsidRPr="00E76013">
              <w:rPr>
                <w:rFonts w:ascii="Times New Roman" w:eastAsia="Times New Roman" w:hAnsi="Times New Roman" w:cs="Times New Roman"/>
                <w:b/>
                <w:bCs/>
                <w:noProof/>
                <w:sz w:val="18"/>
                <w:szCs w:val="18"/>
                <w:lang w:val="en-IE"/>
              </w:rPr>
              <w:t>Research and innovation</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3E82FA82" w14:textId="1B510A7D"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Component</w:t>
            </w:r>
            <w:r w:rsidR="27AF98F0" w:rsidRPr="00E76013">
              <w:rPr>
                <w:rFonts w:ascii="Times New Roman" w:eastAsia="Times New Roman" w:hAnsi="Times New Roman" w:cs="Times New Roman"/>
                <w:b/>
                <w:bCs/>
                <w:noProof/>
                <w:sz w:val="18"/>
                <w:szCs w:val="18"/>
                <w:lang w:val="en-IE"/>
              </w:rPr>
              <w:t>3</w:t>
            </w:r>
            <w:r w:rsidRPr="00E76013">
              <w:rPr>
                <w:rFonts w:ascii="Times New Roman" w:eastAsia="Times New Roman" w:hAnsi="Times New Roman" w:cs="Times New Roman"/>
                <w:b/>
                <w:bCs/>
                <w:noProof/>
                <w:sz w:val="18"/>
                <w:szCs w:val="18"/>
                <w:lang w:val="en-IE"/>
              </w:rPr>
              <w:t xml:space="preserve"> - </w:t>
            </w:r>
            <w:r w:rsidR="4D16E6EB" w:rsidRPr="00E76013">
              <w:rPr>
                <w:rFonts w:ascii="Times New Roman" w:eastAsia="Times New Roman" w:hAnsi="Times New Roman" w:cs="Times New Roman"/>
                <w:b/>
                <w:bCs/>
                <w:noProof/>
                <w:sz w:val="18"/>
                <w:szCs w:val="18"/>
                <w:lang w:val="en-IE"/>
              </w:rPr>
              <w:t>Smart industry</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41D11EE6" w14:textId="6851146F"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612DEEAD" w:rsidRPr="00E76013">
              <w:rPr>
                <w:rFonts w:ascii="Times New Roman" w:eastAsia="Times New Roman" w:hAnsi="Times New Roman" w:cs="Times New Roman"/>
                <w:b/>
                <w:bCs/>
                <w:noProof/>
                <w:sz w:val="18"/>
                <w:szCs w:val="18"/>
                <w:lang w:val="en-IE"/>
              </w:rPr>
              <w:t>4</w:t>
            </w:r>
            <w:r w:rsidRPr="00E76013">
              <w:rPr>
                <w:rFonts w:ascii="Times New Roman" w:eastAsia="Times New Roman" w:hAnsi="Times New Roman" w:cs="Times New Roman"/>
                <w:b/>
                <w:bCs/>
                <w:noProof/>
                <w:sz w:val="18"/>
                <w:szCs w:val="18"/>
                <w:lang w:val="en-IE"/>
              </w:rPr>
              <w:t xml:space="preserve">- </w:t>
            </w:r>
            <w:r w:rsidR="00257C1D" w:rsidRPr="00E76013">
              <w:rPr>
                <w:rFonts w:ascii="Times New Roman" w:eastAsia="Times New Roman" w:hAnsi="Times New Roman" w:cs="Times New Roman"/>
                <w:b/>
                <w:bCs/>
                <w:noProof/>
                <w:sz w:val="18"/>
                <w:szCs w:val="18"/>
                <w:lang w:val="en-IE"/>
              </w:rPr>
              <w:t>Low-carbon economy</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0E9B36F3" w14:textId="72122744"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4320F088" w:rsidRPr="00E76013">
              <w:rPr>
                <w:rFonts w:ascii="Times New Roman" w:eastAsia="Times New Roman" w:hAnsi="Times New Roman" w:cs="Times New Roman"/>
                <w:b/>
                <w:bCs/>
                <w:noProof/>
                <w:sz w:val="18"/>
                <w:szCs w:val="18"/>
                <w:lang w:val="en-IE"/>
              </w:rPr>
              <w:t>5</w:t>
            </w:r>
            <w:r w:rsidRPr="00E76013">
              <w:rPr>
                <w:rFonts w:ascii="Times New Roman" w:eastAsia="Times New Roman" w:hAnsi="Times New Roman" w:cs="Times New Roman"/>
                <w:b/>
                <w:bCs/>
                <w:noProof/>
                <w:sz w:val="18"/>
                <w:szCs w:val="18"/>
                <w:lang w:val="en-IE"/>
              </w:rPr>
              <w:t xml:space="preserve">- </w:t>
            </w:r>
            <w:r w:rsidR="3A04302C" w:rsidRPr="00E76013">
              <w:rPr>
                <w:rFonts w:ascii="Times New Roman" w:eastAsia="Times New Roman" w:hAnsi="Times New Roman" w:cs="Times New Roman"/>
                <w:b/>
                <w:bCs/>
                <w:noProof/>
                <w:sz w:val="18"/>
                <w:szCs w:val="18"/>
                <w:lang w:val="en-IE"/>
              </w:rPr>
              <w:t>Biodiversity</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7397B023" w14:textId="4A8D0F96"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2184C576" w:rsidRPr="00E76013">
              <w:rPr>
                <w:rFonts w:ascii="Times New Roman" w:eastAsia="Times New Roman" w:hAnsi="Times New Roman" w:cs="Times New Roman"/>
                <w:b/>
                <w:bCs/>
                <w:noProof/>
                <w:sz w:val="18"/>
                <w:szCs w:val="18"/>
                <w:lang w:val="en-IE"/>
              </w:rPr>
              <w:t>6</w:t>
            </w:r>
            <w:r w:rsidRPr="00E76013">
              <w:rPr>
                <w:rFonts w:ascii="Times New Roman" w:eastAsia="Times New Roman" w:hAnsi="Times New Roman" w:cs="Times New Roman"/>
                <w:b/>
                <w:bCs/>
                <w:noProof/>
                <w:sz w:val="18"/>
                <w:szCs w:val="18"/>
                <w:lang w:val="en-IE"/>
              </w:rPr>
              <w:t xml:space="preserve">- </w:t>
            </w:r>
            <w:r w:rsidR="02CD78A0" w:rsidRPr="00E76013">
              <w:rPr>
                <w:rFonts w:ascii="Times New Roman" w:eastAsia="Times New Roman" w:hAnsi="Times New Roman" w:cs="Times New Roman"/>
                <w:b/>
                <w:bCs/>
                <w:noProof/>
                <w:sz w:val="18"/>
                <w:szCs w:val="18"/>
                <w:lang w:val="en-IE"/>
              </w:rPr>
              <w:t>Sustainable a</w:t>
            </w:r>
            <w:r w:rsidR="451B8E3A" w:rsidRPr="00E76013">
              <w:rPr>
                <w:rFonts w:ascii="Times New Roman" w:eastAsia="Times New Roman" w:hAnsi="Times New Roman" w:cs="Times New Roman"/>
                <w:b/>
                <w:bCs/>
                <w:noProof/>
                <w:sz w:val="18"/>
                <w:szCs w:val="18"/>
                <w:lang w:val="en-IE"/>
              </w:rPr>
              <w:t>g</w:t>
            </w:r>
            <w:r w:rsidR="02CD78A0" w:rsidRPr="00E76013">
              <w:rPr>
                <w:rFonts w:ascii="Times New Roman" w:eastAsia="Times New Roman" w:hAnsi="Times New Roman" w:cs="Times New Roman"/>
                <w:b/>
                <w:bCs/>
                <w:noProof/>
                <w:sz w:val="18"/>
                <w:szCs w:val="18"/>
                <w:lang w:val="en-IE"/>
              </w:rPr>
              <w:t>riculture</w:t>
            </w:r>
          </w:p>
        </w:tc>
        <w:tc>
          <w:tcPr>
            <w:tcW w:w="288" w:type="dxa"/>
            <w:tcBorders>
              <w:top w:val="single" w:sz="8" w:space="0" w:color="auto"/>
              <w:left w:val="single" w:sz="8" w:space="0" w:color="auto"/>
              <w:bottom w:val="single" w:sz="8" w:space="0" w:color="auto"/>
              <w:right w:val="single" w:sz="8" w:space="0" w:color="auto"/>
            </w:tcBorders>
            <w:textDirection w:val="btLr"/>
            <w:vAlign w:val="center"/>
          </w:tcPr>
          <w:p w14:paraId="1D4D20D5" w14:textId="03202C82"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15E7F891" w:rsidRPr="00E76013">
              <w:rPr>
                <w:rFonts w:ascii="Times New Roman" w:eastAsia="Times New Roman" w:hAnsi="Times New Roman" w:cs="Times New Roman"/>
                <w:b/>
                <w:bCs/>
                <w:noProof/>
                <w:sz w:val="18"/>
                <w:szCs w:val="18"/>
                <w:lang w:val="en-IE"/>
              </w:rPr>
              <w:t>7</w:t>
            </w:r>
            <w:r w:rsidRPr="00E76013">
              <w:rPr>
                <w:rFonts w:ascii="Times New Roman" w:eastAsia="Times New Roman" w:hAnsi="Times New Roman" w:cs="Times New Roman"/>
                <w:b/>
                <w:bCs/>
                <w:noProof/>
                <w:sz w:val="18"/>
                <w:szCs w:val="18"/>
                <w:lang w:val="en-IE"/>
              </w:rPr>
              <w:t xml:space="preserve">- </w:t>
            </w:r>
            <w:r w:rsidR="6E474C82" w:rsidRPr="00E76013">
              <w:rPr>
                <w:rFonts w:ascii="Times New Roman" w:eastAsia="Times New Roman" w:hAnsi="Times New Roman" w:cs="Times New Roman"/>
                <w:b/>
                <w:bCs/>
                <w:noProof/>
                <w:sz w:val="18"/>
                <w:szCs w:val="18"/>
                <w:lang w:val="en-IE"/>
              </w:rPr>
              <w:t>Digital connectivity</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32F1576F" w14:textId="4518A8EC" w:rsidR="0056547E" w:rsidRPr="00E76013" w:rsidRDefault="7FA149FA" w:rsidP="14500D06">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6085957B" w:rsidRPr="00E76013">
              <w:rPr>
                <w:rFonts w:ascii="Times New Roman" w:eastAsia="Times New Roman" w:hAnsi="Times New Roman" w:cs="Times New Roman"/>
                <w:b/>
                <w:bCs/>
                <w:noProof/>
                <w:sz w:val="18"/>
                <w:szCs w:val="18"/>
                <w:lang w:val="en-IE"/>
              </w:rPr>
              <w:t>8</w:t>
            </w:r>
            <w:r w:rsidRPr="00E76013">
              <w:rPr>
                <w:rFonts w:ascii="Times New Roman" w:eastAsia="Times New Roman" w:hAnsi="Times New Roman" w:cs="Times New Roman"/>
                <w:b/>
                <w:bCs/>
                <w:noProof/>
                <w:sz w:val="18"/>
                <w:szCs w:val="18"/>
                <w:lang w:val="en-IE"/>
              </w:rPr>
              <w:t xml:space="preserve">- </w:t>
            </w:r>
            <w:r w:rsidR="758DEC08" w:rsidRPr="00E76013">
              <w:rPr>
                <w:rFonts w:ascii="Times New Roman" w:eastAsia="Times New Roman" w:hAnsi="Times New Roman" w:cs="Times New Roman"/>
                <w:b/>
                <w:bCs/>
                <w:noProof/>
                <w:sz w:val="18"/>
                <w:szCs w:val="18"/>
                <w:lang w:val="en-IE"/>
              </w:rPr>
              <w:t>Sustainable</w:t>
            </w:r>
            <w:r w:rsidR="004F2DAB">
              <w:rPr>
                <w:rFonts w:ascii="Times New Roman" w:eastAsia="Times New Roman" w:hAnsi="Times New Roman" w:cs="Times New Roman"/>
                <w:b/>
                <w:bCs/>
                <w:noProof/>
                <w:sz w:val="18"/>
                <w:szCs w:val="18"/>
                <w:lang w:val="en-IE"/>
              </w:rPr>
              <w:t xml:space="preserve"> </w:t>
            </w:r>
            <w:r w:rsidR="362E9451" w:rsidRPr="00E76013">
              <w:rPr>
                <w:rFonts w:ascii="Times New Roman" w:eastAsia="Times New Roman" w:hAnsi="Times New Roman" w:cs="Times New Roman"/>
                <w:b/>
                <w:bCs/>
                <w:noProof/>
                <w:sz w:val="18"/>
                <w:szCs w:val="18"/>
                <w:lang w:val="en-IE"/>
              </w:rPr>
              <w:t xml:space="preserve">Transport </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6FB3FECF" w14:textId="188F41F6" w:rsidR="0056547E" w:rsidRPr="00E76013" w:rsidRDefault="7FA149FA" w:rsidP="008C5C8A">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 xml:space="preserve">Component </w:t>
            </w:r>
            <w:r w:rsidR="307F5835" w:rsidRPr="00E76013">
              <w:rPr>
                <w:rFonts w:ascii="Times New Roman" w:eastAsia="Times New Roman" w:hAnsi="Times New Roman" w:cs="Times New Roman"/>
                <w:b/>
                <w:bCs/>
                <w:noProof/>
                <w:sz w:val="18"/>
                <w:szCs w:val="18"/>
                <w:lang w:val="en-IE"/>
              </w:rPr>
              <w:t>9</w:t>
            </w:r>
            <w:r w:rsidRPr="00E76013">
              <w:rPr>
                <w:rFonts w:ascii="Times New Roman" w:eastAsia="Times New Roman" w:hAnsi="Times New Roman" w:cs="Times New Roman"/>
                <w:b/>
                <w:bCs/>
                <w:noProof/>
                <w:sz w:val="18"/>
                <w:szCs w:val="18"/>
                <w:lang w:val="en-IE"/>
              </w:rPr>
              <w:t xml:space="preserve">- </w:t>
            </w:r>
            <w:r w:rsidR="0C7812AB" w:rsidRPr="00E76013">
              <w:rPr>
                <w:rFonts w:ascii="Times New Roman" w:eastAsia="Times New Roman" w:hAnsi="Times New Roman" w:cs="Times New Roman"/>
                <w:b/>
                <w:bCs/>
                <w:noProof/>
                <w:sz w:val="18"/>
                <w:szCs w:val="18"/>
                <w:lang w:val="en-IE"/>
              </w:rPr>
              <w:t>Local development</w:t>
            </w:r>
          </w:p>
        </w:tc>
        <w:tc>
          <w:tcPr>
            <w:tcW w:w="820" w:type="dxa"/>
            <w:tcBorders>
              <w:top w:val="single" w:sz="8" w:space="0" w:color="auto"/>
              <w:left w:val="single" w:sz="8" w:space="0" w:color="auto"/>
              <w:bottom w:val="single" w:sz="8" w:space="0" w:color="auto"/>
              <w:right w:val="single" w:sz="8" w:space="0" w:color="auto"/>
            </w:tcBorders>
            <w:textDirection w:val="btLr"/>
            <w:vAlign w:val="center"/>
          </w:tcPr>
          <w:p w14:paraId="674341F5" w14:textId="7F10BE73" w:rsidR="0056547E" w:rsidRPr="00E76013" w:rsidRDefault="7FA149FA" w:rsidP="008C5C8A">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Component 1</w:t>
            </w:r>
            <w:r w:rsidR="2588DAF2" w:rsidRPr="00E76013">
              <w:rPr>
                <w:rFonts w:ascii="Times New Roman" w:eastAsia="Times New Roman" w:hAnsi="Times New Roman" w:cs="Times New Roman"/>
                <w:b/>
                <w:bCs/>
                <w:noProof/>
                <w:sz w:val="18"/>
                <w:szCs w:val="18"/>
                <w:lang w:val="en-IE"/>
              </w:rPr>
              <w:t>0</w:t>
            </w:r>
            <w:r w:rsidRPr="00E76013">
              <w:rPr>
                <w:rFonts w:ascii="Times New Roman" w:eastAsia="Times New Roman" w:hAnsi="Times New Roman" w:cs="Times New Roman"/>
                <w:b/>
                <w:bCs/>
                <w:noProof/>
                <w:sz w:val="18"/>
                <w:szCs w:val="18"/>
                <w:lang w:val="en-IE"/>
              </w:rPr>
              <w:t xml:space="preserve">- </w:t>
            </w:r>
            <w:r w:rsidR="4DBB5877" w:rsidRPr="00E76013">
              <w:rPr>
                <w:rFonts w:ascii="Times New Roman" w:eastAsia="Times New Roman" w:hAnsi="Times New Roman" w:cs="Times New Roman"/>
                <w:b/>
                <w:bCs/>
                <w:noProof/>
                <w:sz w:val="18"/>
                <w:szCs w:val="18"/>
                <w:lang w:val="en-IE"/>
              </w:rPr>
              <w:t>Business environment</w:t>
            </w:r>
          </w:p>
        </w:tc>
        <w:tc>
          <w:tcPr>
            <w:tcW w:w="283" w:type="dxa"/>
            <w:tcBorders>
              <w:top w:val="single" w:sz="8" w:space="0" w:color="auto"/>
              <w:left w:val="single" w:sz="8" w:space="0" w:color="auto"/>
              <w:bottom w:val="single" w:sz="8" w:space="0" w:color="auto"/>
              <w:right w:val="single" w:sz="8" w:space="0" w:color="auto"/>
            </w:tcBorders>
            <w:textDirection w:val="btLr"/>
            <w:vAlign w:val="center"/>
          </w:tcPr>
          <w:p w14:paraId="1A465076" w14:textId="72707BF8" w:rsidR="0056547E" w:rsidRPr="00E76013" w:rsidRDefault="7FA149FA" w:rsidP="008C5C8A">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Component 1</w:t>
            </w:r>
            <w:r w:rsidR="0455A44E" w:rsidRPr="00E76013">
              <w:rPr>
                <w:rFonts w:ascii="Times New Roman" w:eastAsia="Times New Roman" w:hAnsi="Times New Roman" w:cs="Times New Roman"/>
                <w:b/>
                <w:bCs/>
                <w:noProof/>
                <w:sz w:val="18"/>
                <w:szCs w:val="18"/>
                <w:lang w:val="en-IE"/>
              </w:rPr>
              <w:t>1</w:t>
            </w:r>
            <w:r w:rsidRPr="00E76013">
              <w:rPr>
                <w:rFonts w:ascii="Times New Roman" w:eastAsia="Times New Roman" w:hAnsi="Times New Roman" w:cs="Times New Roman"/>
                <w:b/>
                <w:bCs/>
                <w:noProof/>
                <w:sz w:val="18"/>
                <w:szCs w:val="18"/>
                <w:lang w:val="en-IE"/>
              </w:rPr>
              <w:t xml:space="preserve">- </w:t>
            </w:r>
            <w:r w:rsidR="565B22B4" w:rsidRPr="00E76013">
              <w:rPr>
                <w:rFonts w:ascii="Times New Roman" w:eastAsia="Times New Roman" w:hAnsi="Times New Roman" w:cs="Times New Roman"/>
                <w:b/>
                <w:bCs/>
                <w:noProof/>
                <w:sz w:val="18"/>
                <w:szCs w:val="18"/>
                <w:lang w:val="en-IE"/>
              </w:rPr>
              <w:t>Social inclusion</w:t>
            </w:r>
          </w:p>
        </w:tc>
        <w:tc>
          <w:tcPr>
            <w:tcW w:w="330" w:type="dxa"/>
            <w:tcBorders>
              <w:top w:val="single" w:sz="8" w:space="0" w:color="auto"/>
              <w:left w:val="single" w:sz="8" w:space="0" w:color="auto"/>
              <w:bottom w:val="single" w:sz="8" w:space="0" w:color="auto"/>
              <w:right w:val="single" w:sz="8" w:space="0" w:color="auto"/>
            </w:tcBorders>
            <w:textDirection w:val="btLr"/>
            <w:vAlign w:val="center"/>
          </w:tcPr>
          <w:p w14:paraId="53950073" w14:textId="286B2F1A" w:rsidR="565B22B4" w:rsidRPr="00E76013" w:rsidRDefault="565B22B4" w:rsidP="00D55E92">
            <w:pPr>
              <w:ind w:left="66" w:right="66"/>
              <w:rPr>
                <w:rFonts w:ascii="Times New Roman" w:eastAsia="Times New Roman" w:hAnsi="Times New Roman" w:cs="Times New Roman"/>
                <w:b/>
                <w:bCs/>
                <w:noProof/>
                <w:sz w:val="18"/>
                <w:szCs w:val="18"/>
                <w:lang w:val="en-IE"/>
              </w:rPr>
            </w:pPr>
            <w:r w:rsidRPr="00E76013">
              <w:rPr>
                <w:rFonts w:ascii="Times New Roman" w:eastAsia="Times New Roman" w:hAnsi="Times New Roman" w:cs="Times New Roman"/>
                <w:b/>
                <w:bCs/>
                <w:noProof/>
                <w:sz w:val="18"/>
                <w:szCs w:val="18"/>
                <w:lang w:val="en-IE"/>
              </w:rPr>
              <w:t>Component 1</w:t>
            </w:r>
            <w:r w:rsidR="3E2CA4BD" w:rsidRPr="00E76013">
              <w:rPr>
                <w:rFonts w:ascii="Times New Roman" w:eastAsia="Times New Roman" w:hAnsi="Times New Roman" w:cs="Times New Roman"/>
                <w:b/>
                <w:bCs/>
                <w:noProof/>
                <w:sz w:val="18"/>
                <w:szCs w:val="18"/>
                <w:lang w:val="en-IE"/>
              </w:rPr>
              <w:t>2</w:t>
            </w:r>
            <w:r w:rsidRPr="00E76013">
              <w:rPr>
                <w:rFonts w:ascii="Times New Roman" w:eastAsia="Times New Roman" w:hAnsi="Times New Roman" w:cs="Times New Roman"/>
                <w:b/>
                <w:bCs/>
                <w:noProof/>
                <w:sz w:val="18"/>
                <w:szCs w:val="18"/>
                <w:lang w:val="en-IE"/>
              </w:rPr>
              <w:t>-Healthcare</w:t>
            </w:r>
          </w:p>
        </w:tc>
      </w:tr>
      <w:tr w:rsidR="0056547E" w:rsidRPr="00E76013" w14:paraId="1249DEA8" w14:textId="77777777" w:rsidTr="004F2DAB">
        <w:tc>
          <w:tcPr>
            <w:tcW w:w="3355" w:type="dxa"/>
            <w:tcBorders>
              <w:top w:val="single" w:sz="8" w:space="0" w:color="auto"/>
              <w:left w:val="single" w:sz="8" w:space="0" w:color="auto"/>
              <w:bottom w:val="single" w:sz="8" w:space="0" w:color="auto"/>
              <w:right w:val="single" w:sz="8" w:space="0" w:color="auto"/>
            </w:tcBorders>
          </w:tcPr>
          <w:p w14:paraId="36021CF4" w14:textId="70886B4F" w:rsidR="0056547E" w:rsidRPr="009D1459" w:rsidRDefault="0056547E" w:rsidP="00111CC4">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Accessibility</w:t>
            </w:r>
            <w:r w:rsidR="00111CC4">
              <w:rPr>
                <w:rFonts w:ascii="Times New Roman" w:eastAsia="Calibri" w:hAnsi="Times New Roman" w:cs="Times New Roman"/>
                <w:bCs/>
                <w:noProof/>
                <w:sz w:val="20"/>
                <w:szCs w:val="20"/>
              </w:rPr>
              <w:t>, resilience and capacity</w:t>
            </w:r>
            <w:r w:rsidRPr="009D1459">
              <w:rPr>
                <w:rFonts w:ascii="Times New Roman" w:eastAsia="Calibri" w:hAnsi="Times New Roman" w:cs="Times New Roman"/>
                <w:bCs/>
                <w:noProof/>
                <w:sz w:val="20"/>
                <w:szCs w:val="20"/>
              </w:rPr>
              <w:t xml:space="preserve"> of health services</w:t>
            </w:r>
            <w:r w:rsidR="00111CC4">
              <w:rPr>
                <w:rFonts w:ascii="Times New Roman" w:eastAsia="Calibri" w:hAnsi="Times New Roman" w:cs="Times New Roman"/>
                <w:bCs/>
                <w:noProof/>
                <w:sz w:val="20"/>
                <w:szCs w:val="20"/>
              </w:rPr>
              <w:t>, including addressing shortages of healthcare workers and reducing out-of-pocket-payments</w:t>
            </w:r>
          </w:p>
        </w:tc>
        <w:tc>
          <w:tcPr>
            <w:tcW w:w="2118" w:type="dxa"/>
            <w:tcBorders>
              <w:top w:val="nil"/>
              <w:left w:val="single" w:sz="8" w:space="0" w:color="auto"/>
              <w:bottom w:val="single" w:sz="8" w:space="0" w:color="auto"/>
              <w:right w:val="single" w:sz="8" w:space="0" w:color="auto"/>
            </w:tcBorders>
          </w:tcPr>
          <w:p w14:paraId="0A1D9E80" w14:textId="1179127F" w:rsidR="0056547E" w:rsidRPr="00E76013" w:rsidRDefault="0056547E" w:rsidP="008C5C8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2019.4.5, 2020</w:t>
            </w:r>
            <w:r w:rsidR="00A70968" w:rsidRPr="00E76013">
              <w:rPr>
                <w:rFonts w:ascii="Times New Roman" w:eastAsia="Calibri" w:hAnsi="Times New Roman" w:cs="Times New Roman"/>
                <w:noProof/>
                <w:sz w:val="20"/>
                <w:szCs w:val="20"/>
              </w:rPr>
              <w:t>.1.2</w:t>
            </w:r>
          </w:p>
        </w:tc>
        <w:tc>
          <w:tcPr>
            <w:tcW w:w="283" w:type="dxa"/>
            <w:tcBorders>
              <w:top w:val="nil"/>
              <w:left w:val="single" w:sz="8" w:space="0" w:color="auto"/>
              <w:bottom w:val="single" w:sz="8" w:space="0" w:color="auto"/>
              <w:right w:val="single" w:sz="8" w:space="0" w:color="auto"/>
            </w:tcBorders>
          </w:tcPr>
          <w:p w14:paraId="2D565085"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635BC4BF" w14:textId="0C96317F"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5297C9B3"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2421AA9A"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3A9A8FDE"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568DFAC8" w14:textId="124E2FD1" w:rsidR="0056547E" w:rsidRPr="00E76013" w:rsidRDefault="0056547E" w:rsidP="008C5C8A">
            <w:pPr>
              <w:rPr>
                <w:rFonts w:ascii="Times New Roman" w:eastAsia="Calibri" w:hAnsi="Times New Roman" w:cs="Times New Roman"/>
                <w:noProof/>
              </w:rPr>
            </w:pPr>
          </w:p>
        </w:tc>
        <w:tc>
          <w:tcPr>
            <w:tcW w:w="288" w:type="dxa"/>
            <w:tcBorders>
              <w:top w:val="nil"/>
              <w:left w:val="single" w:sz="8" w:space="0" w:color="auto"/>
              <w:bottom w:val="single" w:sz="8" w:space="0" w:color="auto"/>
              <w:right w:val="single" w:sz="8" w:space="0" w:color="auto"/>
            </w:tcBorders>
          </w:tcPr>
          <w:p w14:paraId="5726A332" w14:textId="77777777" w:rsidR="0056547E" w:rsidRPr="00E76013" w:rsidRDefault="0056547E" w:rsidP="60E0A814">
            <w:pPr>
              <w:rPr>
                <w:rFonts w:ascii="Times New Roman" w:eastAsia="Calibri" w:hAnsi="Times New Roman" w:cs="Times New Roman"/>
                <w:noProof/>
              </w:rPr>
            </w:pPr>
            <w:r w:rsidRPr="00E76013">
              <w:rPr>
                <w:rFonts w:ascii="Times New Roman" w:eastAsia="Calibri" w:hAnsi="Times New Roman" w:cs="Times New Roman"/>
                <w:noProof/>
              </w:rPr>
              <w:t>○</w:t>
            </w:r>
          </w:p>
          <w:p w14:paraId="1FDAC145" w14:textId="083400B1"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312200F2" w14:textId="77777777" w:rsidR="00384BA4" w:rsidRPr="00E76013" w:rsidRDefault="00384BA4" w:rsidP="00384BA4">
            <w:pPr>
              <w:rPr>
                <w:rFonts w:ascii="Times New Roman" w:eastAsia="Calibri" w:hAnsi="Times New Roman" w:cs="Times New Roman"/>
                <w:noProof/>
              </w:rPr>
            </w:pPr>
            <w:r w:rsidRPr="00E76013">
              <w:rPr>
                <w:rFonts w:ascii="Times New Roman" w:eastAsia="Calibri" w:hAnsi="Times New Roman" w:cs="Times New Roman"/>
                <w:noProof/>
              </w:rPr>
              <w:t>○</w:t>
            </w:r>
          </w:p>
          <w:p w14:paraId="26353C26"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1D832657" w14:textId="77777777" w:rsidR="00384BA4" w:rsidRPr="00E76013" w:rsidRDefault="00384BA4" w:rsidP="00384BA4">
            <w:pPr>
              <w:rPr>
                <w:rFonts w:ascii="Times New Roman" w:eastAsia="Calibri" w:hAnsi="Times New Roman" w:cs="Times New Roman"/>
                <w:noProof/>
              </w:rPr>
            </w:pPr>
            <w:r w:rsidRPr="00E76013">
              <w:rPr>
                <w:rFonts w:ascii="Times New Roman" w:eastAsia="Calibri" w:hAnsi="Times New Roman" w:cs="Times New Roman"/>
                <w:noProof/>
              </w:rPr>
              <w:t>○</w:t>
            </w:r>
          </w:p>
          <w:p w14:paraId="63514D9A" w14:textId="77777777" w:rsidR="0056547E" w:rsidRPr="00E76013" w:rsidRDefault="0056547E" w:rsidP="008C5C8A">
            <w:pPr>
              <w:rPr>
                <w:rFonts w:ascii="Times New Roman" w:eastAsia="Calibri" w:hAnsi="Times New Roman" w:cs="Times New Roman"/>
                <w:noProof/>
              </w:rPr>
            </w:pPr>
          </w:p>
        </w:tc>
        <w:tc>
          <w:tcPr>
            <w:tcW w:w="820" w:type="dxa"/>
            <w:tcBorders>
              <w:top w:val="nil"/>
              <w:left w:val="single" w:sz="8" w:space="0" w:color="auto"/>
              <w:bottom w:val="single" w:sz="8" w:space="0" w:color="auto"/>
              <w:right w:val="single" w:sz="8" w:space="0" w:color="auto"/>
            </w:tcBorders>
          </w:tcPr>
          <w:p w14:paraId="411AF7F1" w14:textId="77777777" w:rsidR="0056547E" w:rsidRPr="00E76013" w:rsidRDefault="0056547E" w:rsidP="008C5C8A">
            <w:pPr>
              <w:rPr>
                <w:rFonts w:ascii="Times New Roman" w:eastAsia="Calibri" w:hAnsi="Times New Roman" w:cs="Times New Roman"/>
                <w:noProof/>
              </w:rPr>
            </w:pPr>
          </w:p>
        </w:tc>
        <w:tc>
          <w:tcPr>
            <w:tcW w:w="283" w:type="dxa"/>
            <w:tcBorders>
              <w:top w:val="nil"/>
              <w:left w:val="single" w:sz="8" w:space="0" w:color="auto"/>
              <w:bottom w:val="single" w:sz="8" w:space="0" w:color="auto"/>
              <w:right w:val="single" w:sz="8" w:space="0" w:color="auto"/>
            </w:tcBorders>
          </w:tcPr>
          <w:p w14:paraId="42A6C113" w14:textId="1283BA2D" w:rsidR="0056547E" w:rsidRPr="00E76013" w:rsidRDefault="0056547E" w:rsidP="008C5C8A">
            <w:pPr>
              <w:rPr>
                <w:rFonts w:ascii="Times New Roman" w:eastAsia="Calibri" w:hAnsi="Times New Roman" w:cs="Times New Roman"/>
                <w:noProof/>
              </w:rPr>
            </w:pPr>
          </w:p>
        </w:tc>
        <w:tc>
          <w:tcPr>
            <w:tcW w:w="330" w:type="dxa"/>
            <w:tcBorders>
              <w:top w:val="nil"/>
              <w:left w:val="single" w:sz="8" w:space="0" w:color="auto"/>
              <w:bottom w:val="single" w:sz="8" w:space="0" w:color="auto"/>
              <w:right w:val="single" w:sz="8" w:space="0" w:color="auto"/>
            </w:tcBorders>
          </w:tcPr>
          <w:p w14:paraId="73EECE3B" w14:textId="77777777" w:rsidR="00DB73AD" w:rsidRPr="00E76013" w:rsidRDefault="00DB73AD" w:rsidP="00DB73AD">
            <w:pPr>
              <w:rPr>
                <w:rFonts w:ascii="Times New Roman" w:eastAsia="Calibri" w:hAnsi="Times New Roman" w:cs="Times New Roman"/>
                <w:noProof/>
              </w:rPr>
            </w:pPr>
            <w:r w:rsidRPr="00E76013">
              <w:rPr>
                <w:rFonts w:ascii="Times New Roman" w:eastAsia="Calibri" w:hAnsi="Times New Roman" w:cs="Times New Roman"/>
                <w:noProof/>
              </w:rPr>
              <w:t>○</w:t>
            </w:r>
          </w:p>
          <w:p w14:paraId="6E7D6375" w14:textId="311C9EBF" w:rsidR="14500D06" w:rsidRPr="00E76013" w:rsidRDefault="14500D06" w:rsidP="14500D06">
            <w:pPr>
              <w:rPr>
                <w:rFonts w:ascii="Times New Roman" w:eastAsia="Calibri" w:hAnsi="Times New Roman" w:cs="Times New Roman"/>
                <w:noProof/>
              </w:rPr>
            </w:pPr>
          </w:p>
        </w:tc>
      </w:tr>
      <w:tr w:rsidR="60E0A814" w:rsidRPr="00E76013" w14:paraId="066ECA6C" w14:textId="77777777" w:rsidTr="004F2DAB">
        <w:tc>
          <w:tcPr>
            <w:tcW w:w="3355" w:type="dxa"/>
            <w:tcBorders>
              <w:top w:val="single" w:sz="8" w:space="0" w:color="auto"/>
              <w:left w:val="single" w:sz="8" w:space="0" w:color="auto"/>
              <w:bottom w:val="single" w:sz="8" w:space="0" w:color="auto"/>
              <w:right w:val="single" w:sz="8" w:space="0" w:color="auto"/>
            </w:tcBorders>
          </w:tcPr>
          <w:p w14:paraId="77E7DC94" w14:textId="2CF237D9" w:rsidR="60E0A814" w:rsidRPr="009D1459" w:rsidRDefault="009D1459" w:rsidP="60E0A814">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S</w:t>
            </w:r>
            <w:r w:rsidR="4A15754A" w:rsidRPr="009D1459">
              <w:rPr>
                <w:rFonts w:ascii="Times New Roman" w:eastAsia="Calibri" w:hAnsi="Times New Roman" w:cs="Times New Roman"/>
                <w:bCs/>
                <w:noProof/>
                <w:sz w:val="20"/>
                <w:szCs w:val="20"/>
              </w:rPr>
              <w:t xml:space="preserve">ocial protection and essential services for all, </w:t>
            </w:r>
            <w:r w:rsidR="0018355B" w:rsidRPr="009D1459">
              <w:rPr>
                <w:rFonts w:ascii="Times New Roman" w:eastAsia="Calibri" w:hAnsi="Times New Roman" w:cs="Times New Roman"/>
                <w:bCs/>
                <w:noProof/>
                <w:sz w:val="20"/>
                <w:szCs w:val="20"/>
              </w:rPr>
              <w:t>enhancing</w:t>
            </w:r>
            <w:r w:rsidR="4A15754A" w:rsidRPr="009D1459">
              <w:rPr>
                <w:rFonts w:ascii="Times New Roman" w:eastAsia="Calibri" w:hAnsi="Times New Roman" w:cs="Times New Roman"/>
                <w:bCs/>
                <w:noProof/>
                <w:sz w:val="20"/>
                <w:szCs w:val="20"/>
              </w:rPr>
              <w:t xml:space="preserve"> the improving of social and </w:t>
            </w:r>
            <w:r w:rsidR="0018355B" w:rsidRPr="009D1459">
              <w:rPr>
                <w:rFonts w:ascii="Times New Roman" w:eastAsia="Calibri" w:hAnsi="Times New Roman" w:cs="Times New Roman"/>
                <w:bCs/>
                <w:noProof/>
                <w:sz w:val="20"/>
                <w:szCs w:val="20"/>
              </w:rPr>
              <w:t>employment</w:t>
            </w:r>
            <w:r w:rsidR="4A15754A" w:rsidRPr="009D1459">
              <w:rPr>
                <w:rFonts w:ascii="Times New Roman" w:eastAsia="Calibri" w:hAnsi="Times New Roman" w:cs="Times New Roman"/>
                <w:bCs/>
                <w:noProof/>
                <w:sz w:val="20"/>
                <w:szCs w:val="20"/>
              </w:rPr>
              <w:t xml:space="preserve"> services</w:t>
            </w:r>
          </w:p>
        </w:tc>
        <w:tc>
          <w:tcPr>
            <w:tcW w:w="2118" w:type="dxa"/>
            <w:tcBorders>
              <w:top w:val="single" w:sz="8" w:space="0" w:color="auto"/>
              <w:left w:val="single" w:sz="8" w:space="0" w:color="auto"/>
              <w:bottom w:val="single" w:sz="8" w:space="0" w:color="auto"/>
              <w:right w:val="single" w:sz="8" w:space="0" w:color="auto"/>
            </w:tcBorders>
          </w:tcPr>
          <w:p w14:paraId="7AE2C139" w14:textId="5371FFDC" w:rsidR="60E0A814" w:rsidRPr="00E76013" w:rsidRDefault="1E3F667F"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2019.4.3, 2020</w:t>
            </w:r>
            <w:r w:rsidR="2A805C4A" w:rsidRPr="00E76013">
              <w:rPr>
                <w:rFonts w:ascii="Times New Roman" w:eastAsia="Calibri" w:hAnsi="Times New Roman" w:cs="Times New Roman"/>
                <w:noProof/>
                <w:sz w:val="20"/>
                <w:szCs w:val="20"/>
              </w:rPr>
              <w:t>.2.1</w:t>
            </w:r>
          </w:p>
          <w:p w14:paraId="6BEE9188" w14:textId="08079213" w:rsidR="60E0A814" w:rsidRPr="00E76013" w:rsidRDefault="60E0A814" w:rsidP="60E0A814">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4C499254" w14:textId="6D95EADA"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7FC4231" w14:textId="16447EC7"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4669448" w14:textId="27A7CC2C"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A763F45" w14:textId="4F484795"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555AB0C" w14:textId="69C18346"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0BDA8CB" w14:textId="4067E79A" w:rsidR="60E0A814" w:rsidRPr="00E76013" w:rsidRDefault="60E0A814" w:rsidP="60E0A814">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7E3E0A84" w14:textId="77777777" w:rsidR="006D182E" w:rsidRPr="00E76013" w:rsidRDefault="006D182E" w:rsidP="006D182E">
            <w:pPr>
              <w:rPr>
                <w:rFonts w:ascii="Times New Roman" w:eastAsia="Calibri" w:hAnsi="Times New Roman" w:cs="Times New Roman"/>
                <w:noProof/>
              </w:rPr>
            </w:pPr>
            <w:r w:rsidRPr="00E76013">
              <w:rPr>
                <w:rFonts w:ascii="Times New Roman" w:eastAsia="Calibri" w:hAnsi="Times New Roman" w:cs="Times New Roman"/>
                <w:noProof/>
              </w:rPr>
              <w:t>○</w:t>
            </w:r>
          </w:p>
          <w:p w14:paraId="425A5A0C" w14:textId="763E8217"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98CEB07" w14:textId="0F52499F" w:rsidR="00E91336" w:rsidRPr="00E76013" w:rsidRDefault="00E91336" w:rsidP="00E91336">
            <w:pPr>
              <w:rPr>
                <w:rFonts w:ascii="Times New Roman" w:eastAsia="Calibri" w:hAnsi="Times New Roman" w:cs="Times New Roman"/>
                <w:noProof/>
              </w:rPr>
            </w:pPr>
            <w:r w:rsidRPr="00E76013">
              <w:rPr>
                <w:rFonts w:ascii="Times New Roman" w:eastAsia="Calibri" w:hAnsi="Times New Roman" w:cs="Times New Roman"/>
                <w:noProof/>
              </w:rPr>
              <w:t>○</w:t>
            </w:r>
          </w:p>
          <w:p w14:paraId="3B472269" w14:textId="02AB4982"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FA8EF3D" w14:textId="310300A0" w:rsidR="00E91336" w:rsidRPr="00E76013" w:rsidRDefault="00E91336" w:rsidP="00E91336">
            <w:pPr>
              <w:rPr>
                <w:rFonts w:ascii="Times New Roman" w:eastAsia="Calibri" w:hAnsi="Times New Roman" w:cs="Times New Roman"/>
                <w:noProof/>
              </w:rPr>
            </w:pPr>
            <w:r w:rsidRPr="00E76013">
              <w:rPr>
                <w:rFonts w:ascii="Times New Roman" w:eastAsia="Calibri" w:hAnsi="Times New Roman" w:cs="Times New Roman"/>
                <w:noProof/>
              </w:rPr>
              <w:t>○</w:t>
            </w:r>
          </w:p>
          <w:p w14:paraId="4B1FE81B" w14:textId="37EAAB72" w:rsidR="60E0A814" w:rsidRPr="00E76013" w:rsidRDefault="60E0A814" w:rsidP="60E0A814">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56873B11" w14:textId="6D1AD5A5" w:rsidR="60E0A814" w:rsidRPr="00E76013" w:rsidRDefault="60E0A814" w:rsidP="60E0A814">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B534B75" w14:textId="0C553C66" w:rsidR="60E0A814" w:rsidRPr="00E76013" w:rsidRDefault="1E3F667F" w:rsidP="60E0A814">
            <w:pPr>
              <w:rPr>
                <w:rFonts w:ascii="Times New Roman" w:eastAsia="Calibri" w:hAnsi="Times New Roman" w:cs="Times New Roman"/>
                <w:noProof/>
              </w:rPr>
            </w:pPr>
            <w:r w:rsidRPr="00E76013">
              <w:rPr>
                <w:rFonts w:ascii="Times New Roman" w:eastAsia="Calibri" w:hAnsi="Times New Roman" w:cs="Times New Roman"/>
                <w:noProof/>
              </w:rPr>
              <w:t>●</w:t>
            </w:r>
          </w:p>
        </w:tc>
        <w:tc>
          <w:tcPr>
            <w:tcW w:w="330" w:type="dxa"/>
            <w:tcBorders>
              <w:top w:val="single" w:sz="8" w:space="0" w:color="auto"/>
              <w:left w:val="single" w:sz="8" w:space="0" w:color="auto"/>
              <w:bottom w:val="single" w:sz="8" w:space="0" w:color="auto"/>
              <w:right w:val="single" w:sz="8" w:space="0" w:color="auto"/>
            </w:tcBorders>
          </w:tcPr>
          <w:p w14:paraId="106491EE" w14:textId="5836C87A" w:rsidR="60E0A814" w:rsidRPr="00E76013" w:rsidRDefault="60E0A814" w:rsidP="60E0A814">
            <w:pPr>
              <w:rPr>
                <w:rFonts w:ascii="Times New Roman" w:eastAsia="Calibri" w:hAnsi="Times New Roman" w:cs="Times New Roman"/>
                <w:noProof/>
              </w:rPr>
            </w:pPr>
          </w:p>
        </w:tc>
      </w:tr>
      <w:tr w:rsidR="4A15754A" w:rsidRPr="00E76013" w14:paraId="57125A29" w14:textId="77777777" w:rsidTr="004F2DAB">
        <w:tc>
          <w:tcPr>
            <w:tcW w:w="3355" w:type="dxa"/>
            <w:tcBorders>
              <w:top w:val="single" w:sz="8" w:space="0" w:color="auto"/>
              <w:left w:val="single" w:sz="8" w:space="0" w:color="auto"/>
              <w:bottom w:val="single" w:sz="8" w:space="0" w:color="auto"/>
              <w:right w:val="single" w:sz="8" w:space="0" w:color="auto"/>
            </w:tcBorders>
          </w:tcPr>
          <w:p w14:paraId="2ACAA887" w14:textId="2D2F3E76" w:rsidR="4A15754A" w:rsidRPr="009D1459" w:rsidRDefault="009D1459" w:rsidP="4A15754A">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S</w:t>
            </w:r>
            <w:r w:rsidR="4A15754A" w:rsidRPr="009D1459">
              <w:rPr>
                <w:rFonts w:ascii="Times New Roman" w:eastAsia="Calibri" w:hAnsi="Times New Roman" w:cs="Times New Roman"/>
                <w:bCs/>
                <w:noProof/>
                <w:sz w:val="20"/>
                <w:szCs w:val="20"/>
              </w:rPr>
              <w:t>trengthen active labour market policies</w:t>
            </w:r>
          </w:p>
        </w:tc>
        <w:tc>
          <w:tcPr>
            <w:tcW w:w="2118" w:type="dxa"/>
            <w:tcBorders>
              <w:top w:val="single" w:sz="8" w:space="0" w:color="auto"/>
              <w:left w:val="single" w:sz="8" w:space="0" w:color="auto"/>
              <w:bottom w:val="single" w:sz="8" w:space="0" w:color="auto"/>
              <w:right w:val="single" w:sz="8" w:space="0" w:color="auto"/>
            </w:tcBorders>
          </w:tcPr>
          <w:p w14:paraId="37930943" w14:textId="4E8C06E6" w:rsidR="1E3F667F" w:rsidRPr="00E76013" w:rsidRDefault="1E3F667F"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2020</w:t>
            </w:r>
            <w:r w:rsidR="2A805C4A" w:rsidRPr="00E76013">
              <w:rPr>
                <w:rFonts w:ascii="Times New Roman" w:eastAsia="Calibri" w:hAnsi="Times New Roman" w:cs="Times New Roman"/>
                <w:noProof/>
                <w:sz w:val="20"/>
                <w:szCs w:val="20"/>
              </w:rPr>
              <w:t>.2.2</w:t>
            </w:r>
          </w:p>
        </w:tc>
        <w:tc>
          <w:tcPr>
            <w:tcW w:w="283" w:type="dxa"/>
            <w:tcBorders>
              <w:top w:val="single" w:sz="8" w:space="0" w:color="auto"/>
              <w:left w:val="single" w:sz="8" w:space="0" w:color="auto"/>
              <w:bottom w:val="single" w:sz="8" w:space="0" w:color="auto"/>
              <w:right w:val="single" w:sz="8" w:space="0" w:color="auto"/>
            </w:tcBorders>
          </w:tcPr>
          <w:p w14:paraId="6223EDC3" w14:textId="51CB93EE"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5FCAC232" w14:textId="3325743A"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98B4776" w14:textId="6ED41ECD"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9AF28A9" w14:textId="4A2F14E1"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18DE552" w14:textId="6F941A19"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591B05D" w14:textId="52170026" w:rsidR="4A15754A" w:rsidRPr="00E76013" w:rsidRDefault="4A15754A" w:rsidP="4A15754A">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2239AB7E" w14:textId="62C0E61C"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D0A36C5" w14:textId="6EC358DC"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24EA5C1" w14:textId="1D84E828" w:rsidR="4A15754A" w:rsidRPr="00E76013" w:rsidRDefault="4A15754A" w:rsidP="4A15754A">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272F1702" w14:textId="010D7339"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38A4771" w14:textId="07450016"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tc>
        <w:tc>
          <w:tcPr>
            <w:tcW w:w="330" w:type="dxa"/>
            <w:tcBorders>
              <w:top w:val="single" w:sz="8" w:space="0" w:color="auto"/>
              <w:left w:val="single" w:sz="8" w:space="0" w:color="auto"/>
              <w:bottom w:val="single" w:sz="8" w:space="0" w:color="auto"/>
              <w:right w:val="single" w:sz="8" w:space="0" w:color="auto"/>
            </w:tcBorders>
          </w:tcPr>
          <w:p w14:paraId="4D7351E4" w14:textId="6B386EA6" w:rsidR="4A15754A" w:rsidRPr="00E76013" w:rsidRDefault="4A15754A" w:rsidP="4A15754A">
            <w:pPr>
              <w:rPr>
                <w:rFonts w:ascii="Times New Roman" w:eastAsia="Calibri" w:hAnsi="Times New Roman" w:cs="Times New Roman"/>
                <w:noProof/>
              </w:rPr>
            </w:pPr>
          </w:p>
        </w:tc>
      </w:tr>
      <w:tr w:rsidR="4A15754A" w:rsidRPr="00E76013" w14:paraId="6095AE31" w14:textId="77777777" w:rsidTr="004F2DAB">
        <w:tc>
          <w:tcPr>
            <w:tcW w:w="3355" w:type="dxa"/>
            <w:tcBorders>
              <w:top w:val="single" w:sz="8" w:space="0" w:color="auto"/>
              <w:left w:val="single" w:sz="8" w:space="0" w:color="auto"/>
              <w:bottom w:val="single" w:sz="8" w:space="0" w:color="auto"/>
              <w:right w:val="single" w:sz="8" w:space="0" w:color="auto"/>
            </w:tcBorders>
          </w:tcPr>
          <w:p w14:paraId="456FB19A" w14:textId="49DC1429" w:rsidR="4A15754A" w:rsidRPr="009D1459" w:rsidRDefault="4A15754A" w:rsidP="4A15754A">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Improve access to distance working</w:t>
            </w:r>
          </w:p>
        </w:tc>
        <w:tc>
          <w:tcPr>
            <w:tcW w:w="2118" w:type="dxa"/>
            <w:tcBorders>
              <w:top w:val="single" w:sz="8" w:space="0" w:color="auto"/>
              <w:left w:val="single" w:sz="8" w:space="0" w:color="auto"/>
              <w:bottom w:val="single" w:sz="8" w:space="0" w:color="auto"/>
              <w:right w:val="single" w:sz="8" w:space="0" w:color="auto"/>
            </w:tcBorders>
          </w:tcPr>
          <w:p w14:paraId="75264E7B" w14:textId="038D3E7E" w:rsidR="4A15754A" w:rsidRPr="00E76013" w:rsidRDefault="4A15754A"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2020.2.3</w:t>
            </w:r>
          </w:p>
        </w:tc>
        <w:tc>
          <w:tcPr>
            <w:tcW w:w="283" w:type="dxa"/>
            <w:tcBorders>
              <w:top w:val="single" w:sz="8" w:space="0" w:color="auto"/>
              <w:left w:val="single" w:sz="8" w:space="0" w:color="auto"/>
              <w:bottom w:val="single" w:sz="8" w:space="0" w:color="auto"/>
              <w:right w:val="single" w:sz="8" w:space="0" w:color="auto"/>
            </w:tcBorders>
          </w:tcPr>
          <w:p w14:paraId="0FCEE6B0" w14:textId="5105BA3C"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4D8B1EA" w14:textId="2B16721E"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5549AFA" w14:textId="4FD45E34"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1C2D5C8" w14:textId="21094816"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04B505E" w14:textId="2E307A44"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E8216F4" w14:textId="7261194B" w:rsidR="4A15754A" w:rsidRPr="00E76013" w:rsidRDefault="4A15754A" w:rsidP="4A15754A">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05E2A8E8" w14:textId="7B2B1755"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34D4E41B" w14:textId="45870C7D"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47486D7" w14:textId="580BF1EC" w:rsidR="4A15754A" w:rsidRPr="00E76013" w:rsidRDefault="4A15754A" w:rsidP="4A15754A">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3A0CEF7C" w14:textId="6461F177"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7BBE0453" w14:textId="010662F3" w:rsidR="4A15754A" w:rsidRPr="00E76013" w:rsidRDefault="4A15754A" w:rsidP="4A15754A">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26BFF8CB" w14:textId="0E900F7E" w:rsidR="4A15754A" w:rsidRPr="00E76013" w:rsidRDefault="4A15754A" w:rsidP="4A15754A">
            <w:pPr>
              <w:rPr>
                <w:rFonts w:ascii="Times New Roman" w:eastAsia="Calibri" w:hAnsi="Times New Roman" w:cs="Times New Roman"/>
                <w:noProof/>
              </w:rPr>
            </w:pPr>
          </w:p>
        </w:tc>
      </w:tr>
      <w:tr w:rsidR="4A15754A" w:rsidRPr="00E76013" w14:paraId="518A9D4C" w14:textId="77777777" w:rsidTr="004F2DAB">
        <w:tc>
          <w:tcPr>
            <w:tcW w:w="3355" w:type="dxa"/>
            <w:tcBorders>
              <w:top w:val="single" w:sz="8" w:space="0" w:color="auto"/>
              <w:left w:val="single" w:sz="8" w:space="0" w:color="auto"/>
              <w:bottom w:val="single" w:sz="8" w:space="0" w:color="auto"/>
              <w:right w:val="single" w:sz="8" w:space="0" w:color="auto"/>
            </w:tcBorders>
          </w:tcPr>
          <w:p w14:paraId="0852AA83" w14:textId="1A85AEA4" w:rsidR="4A15754A" w:rsidRPr="009D1459" w:rsidRDefault="4A15754A" w:rsidP="4A15754A">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Promote digital skills and access to education</w:t>
            </w:r>
          </w:p>
        </w:tc>
        <w:tc>
          <w:tcPr>
            <w:tcW w:w="2118" w:type="dxa"/>
            <w:tcBorders>
              <w:top w:val="single" w:sz="8" w:space="0" w:color="auto"/>
              <w:left w:val="single" w:sz="8" w:space="0" w:color="auto"/>
              <w:bottom w:val="single" w:sz="8" w:space="0" w:color="auto"/>
              <w:right w:val="single" w:sz="8" w:space="0" w:color="auto"/>
            </w:tcBorders>
          </w:tcPr>
          <w:p w14:paraId="5C403E09" w14:textId="1D4CF09F" w:rsidR="1E3F667F" w:rsidRPr="00E76013" w:rsidRDefault="1E3F667F"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2019.4.1, 2020</w:t>
            </w:r>
            <w:r w:rsidR="2A805C4A" w:rsidRPr="00E76013">
              <w:rPr>
                <w:rFonts w:ascii="Times New Roman" w:eastAsia="Calibri" w:hAnsi="Times New Roman" w:cs="Times New Roman"/>
                <w:noProof/>
                <w:sz w:val="20"/>
                <w:szCs w:val="20"/>
              </w:rPr>
              <w:t>.2.4</w:t>
            </w:r>
          </w:p>
          <w:p w14:paraId="562643F5" w14:textId="5918BEBE" w:rsidR="1E3F667F" w:rsidRPr="00E76013" w:rsidRDefault="1E3F667F"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2019.4.2, 2020</w:t>
            </w:r>
            <w:r w:rsidR="2A805C4A" w:rsidRPr="00E76013">
              <w:rPr>
                <w:rFonts w:ascii="Times New Roman" w:eastAsia="Calibri" w:hAnsi="Times New Roman" w:cs="Times New Roman"/>
                <w:noProof/>
                <w:sz w:val="20"/>
                <w:szCs w:val="20"/>
              </w:rPr>
              <w:t>.2.5</w:t>
            </w:r>
          </w:p>
          <w:p w14:paraId="648E7940" w14:textId="2E802404" w:rsidR="4A15754A" w:rsidRPr="00E76013" w:rsidRDefault="4A15754A" w:rsidP="4A15754A">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2DA2AE28" w14:textId="51CB93EE"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p w14:paraId="3FB01E06" w14:textId="35AB6187"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0C721EF" w14:textId="2109789D"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466A437" w14:textId="62D87CB1"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CE4138E" w14:textId="2A23771F"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DE53CB3" w14:textId="2F69E057"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26BF32C" w14:textId="776EEC9B" w:rsidR="4A15754A" w:rsidRPr="00E76013" w:rsidRDefault="4A15754A" w:rsidP="4A15754A">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4EF2F333" w14:textId="555D1478"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BE1E20B" w14:textId="1EFBA69E"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19A6D50" w14:textId="1C33EA4A" w:rsidR="4A15754A" w:rsidRPr="00E76013" w:rsidRDefault="4A15754A" w:rsidP="4A15754A">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1B9D2A16" w14:textId="7725CEC0"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4CD00EB" w14:textId="5B842FB4" w:rsidR="4A15754A" w:rsidRPr="00E76013" w:rsidRDefault="4A15754A" w:rsidP="4A15754A">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6CC1CDA3" w14:textId="08373505" w:rsidR="4A15754A" w:rsidRPr="00E76013" w:rsidRDefault="4A15754A" w:rsidP="4A15754A">
            <w:pPr>
              <w:rPr>
                <w:rFonts w:ascii="Times New Roman" w:eastAsia="Calibri" w:hAnsi="Times New Roman" w:cs="Times New Roman"/>
                <w:noProof/>
              </w:rPr>
            </w:pPr>
          </w:p>
        </w:tc>
      </w:tr>
      <w:tr w:rsidR="4A15754A" w:rsidRPr="00E76013" w14:paraId="69457245" w14:textId="77777777" w:rsidTr="004F2DAB">
        <w:tc>
          <w:tcPr>
            <w:tcW w:w="3355" w:type="dxa"/>
            <w:tcBorders>
              <w:top w:val="single" w:sz="8" w:space="0" w:color="auto"/>
              <w:left w:val="single" w:sz="8" w:space="0" w:color="auto"/>
              <w:bottom w:val="single" w:sz="8" w:space="0" w:color="auto"/>
              <w:right w:val="single" w:sz="8" w:space="0" w:color="auto"/>
            </w:tcBorders>
          </w:tcPr>
          <w:p w14:paraId="0656FB4C" w14:textId="117E2E87" w:rsidR="4A15754A" w:rsidRPr="009D1459" w:rsidRDefault="4A15754A" w:rsidP="4A15754A">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Shortcomings of the minimum income</w:t>
            </w:r>
          </w:p>
        </w:tc>
        <w:tc>
          <w:tcPr>
            <w:tcW w:w="2118" w:type="dxa"/>
            <w:tcBorders>
              <w:top w:val="single" w:sz="8" w:space="0" w:color="auto"/>
              <w:left w:val="single" w:sz="8" w:space="0" w:color="auto"/>
              <w:bottom w:val="single" w:sz="8" w:space="0" w:color="auto"/>
              <w:right w:val="single" w:sz="8" w:space="0" w:color="auto"/>
            </w:tcBorders>
          </w:tcPr>
          <w:p w14:paraId="2AB20FFF" w14:textId="6FD4501F" w:rsidR="1E3F667F" w:rsidRPr="00E76013" w:rsidRDefault="1E3F667F" w:rsidP="4A15754A">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2019.4.4, 2020</w:t>
            </w:r>
            <w:r w:rsidR="2A805C4A" w:rsidRPr="00E76013">
              <w:rPr>
                <w:rFonts w:ascii="Times New Roman" w:eastAsia="Calibri" w:hAnsi="Times New Roman" w:cs="Times New Roman"/>
                <w:noProof/>
                <w:sz w:val="20"/>
                <w:szCs w:val="20"/>
              </w:rPr>
              <w:t>.2.6</w:t>
            </w:r>
          </w:p>
          <w:p w14:paraId="3386F916" w14:textId="72E53C44" w:rsidR="4A15754A" w:rsidRPr="00E76013" w:rsidRDefault="4A15754A" w:rsidP="4A15754A">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0BDFB0CD" w14:textId="7C9D88A2"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05ABCEC" w14:textId="31153F71"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E59B317" w14:textId="0D61196F"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D5008A0" w14:textId="2D54F0E0"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9A5026D" w14:textId="3C8D314E"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1A87D96" w14:textId="485A1B7D" w:rsidR="4A15754A" w:rsidRPr="00E76013" w:rsidRDefault="4A15754A" w:rsidP="4A15754A">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3CAA5F4F" w14:textId="6B67C309"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80F1C5C" w14:textId="1133C8B0"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222F68C" w14:textId="641DE466" w:rsidR="4A15754A" w:rsidRPr="00E76013" w:rsidRDefault="4A15754A" w:rsidP="4A15754A">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54D54F8A" w14:textId="3D8E1839"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8BA4240" w14:textId="4FDA05F7" w:rsidR="1E3F667F" w:rsidRPr="00E76013" w:rsidRDefault="1E3F667F" w:rsidP="4A15754A">
            <w:pPr>
              <w:rPr>
                <w:rFonts w:ascii="Times New Roman" w:eastAsia="Calibri" w:hAnsi="Times New Roman" w:cs="Times New Roman"/>
                <w:noProof/>
              </w:rPr>
            </w:pPr>
            <w:r w:rsidRPr="00E76013">
              <w:rPr>
                <w:rFonts w:ascii="Times New Roman" w:eastAsia="Calibri" w:hAnsi="Times New Roman" w:cs="Times New Roman"/>
                <w:noProof/>
              </w:rPr>
              <w:t>●</w:t>
            </w:r>
          </w:p>
        </w:tc>
        <w:tc>
          <w:tcPr>
            <w:tcW w:w="330" w:type="dxa"/>
            <w:tcBorders>
              <w:top w:val="single" w:sz="8" w:space="0" w:color="auto"/>
              <w:left w:val="single" w:sz="8" w:space="0" w:color="auto"/>
              <w:bottom w:val="single" w:sz="8" w:space="0" w:color="auto"/>
              <w:right w:val="single" w:sz="8" w:space="0" w:color="auto"/>
            </w:tcBorders>
          </w:tcPr>
          <w:p w14:paraId="2C35B7D5" w14:textId="0499F960" w:rsidR="4A15754A" w:rsidRPr="00E76013" w:rsidRDefault="4A15754A" w:rsidP="4A15754A">
            <w:pPr>
              <w:rPr>
                <w:rFonts w:ascii="Times New Roman" w:eastAsia="Calibri" w:hAnsi="Times New Roman" w:cs="Times New Roman"/>
                <w:noProof/>
              </w:rPr>
            </w:pPr>
          </w:p>
        </w:tc>
      </w:tr>
      <w:tr w:rsidR="4A15754A" w:rsidRPr="00E76013" w14:paraId="6C63D5D7" w14:textId="77777777" w:rsidTr="004F2DAB">
        <w:tc>
          <w:tcPr>
            <w:tcW w:w="3355" w:type="dxa"/>
            <w:tcBorders>
              <w:top w:val="single" w:sz="8" w:space="0" w:color="auto"/>
              <w:left w:val="single" w:sz="8" w:space="0" w:color="auto"/>
              <w:bottom w:val="single" w:sz="8" w:space="0" w:color="auto"/>
              <w:right w:val="single" w:sz="8" w:space="0" w:color="auto"/>
            </w:tcBorders>
          </w:tcPr>
          <w:p w14:paraId="4C68A453" w14:textId="09AF951F" w:rsidR="4A15754A" w:rsidRPr="009D1459" w:rsidRDefault="006D182E" w:rsidP="4A15754A">
            <w:pPr>
              <w:rPr>
                <w:rFonts w:ascii="Times New Roman" w:eastAsia="Calibri" w:hAnsi="Times New Roman" w:cs="Times New Roman"/>
                <w:bCs/>
                <w:noProof/>
                <w:sz w:val="20"/>
                <w:szCs w:val="20"/>
              </w:rPr>
            </w:pPr>
            <w:r>
              <w:rPr>
                <w:rFonts w:ascii="Times New Roman" w:eastAsia="Calibri" w:hAnsi="Times New Roman" w:cs="Times New Roman"/>
                <w:bCs/>
                <w:noProof/>
                <w:sz w:val="20"/>
                <w:szCs w:val="20"/>
              </w:rPr>
              <w:t>E</w:t>
            </w:r>
            <w:r w:rsidR="72226B8F" w:rsidRPr="009D1459">
              <w:rPr>
                <w:rFonts w:ascii="Times New Roman" w:eastAsia="Calibri" w:hAnsi="Times New Roman" w:cs="Times New Roman"/>
                <w:bCs/>
                <w:noProof/>
                <w:sz w:val="20"/>
                <w:szCs w:val="20"/>
              </w:rPr>
              <w:t>ffective support to small and medium-sized enterprises and self-employed</w:t>
            </w:r>
          </w:p>
        </w:tc>
        <w:tc>
          <w:tcPr>
            <w:tcW w:w="2118" w:type="dxa"/>
            <w:tcBorders>
              <w:top w:val="single" w:sz="8" w:space="0" w:color="auto"/>
              <w:left w:val="single" w:sz="8" w:space="0" w:color="auto"/>
              <w:bottom w:val="single" w:sz="8" w:space="0" w:color="auto"/>
              <w:right w:val="single" w:sz="8" w:space="0" w:color="auto"/>
            </w:tcBorders>
          </w:tcPr>
          <w:p w14:paraId="3675B308" w14:textId="04A4473D" w:rsidR="1E3F667F" w:rsidRPr="00E76013" w:rsidRDefault="1E3F667F" w:rsidP="72226B8F">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2020</w:t>
            </w:r>
            <w:r w:rsidR="2A805C4A" w:rsidRPr="00E76013">
              <w:rPr>
                <w:rFonts w:ascii="Times New Roman" w:eastAsia="Calibri" w:hAnsi="Times New Roman" w:cs="Times New Roman"/>
                <w:noProof/>
                <w:sz w:val="20"/>
                <w:szCs w:val="20"/>
              </w:rPr>
              <w:t>.3.1</w:t>
            </w:r>
          </w:p>
          <w:p w14:paraId="2A4145A9" w14:textId="4BCBD89C" w:rsidR="4A15754A" w:rsidRPr="00E76013" w:rsidRDefault="4A15754A" w:rsidP="4A15754A">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529FE192" w14:textId="594200D0"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47DD491" w14:textId="4BBC09B5"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CFC271E" w14:textId="7B2B1755" w:rsidR="1E3F667F" w:rsidRPr="00E76013" w:rsidRDefault="1E3F667F" w:rsidP="72226B8F">
            <w:pPr>
              <w:rPr>
                <w:rFonts w:ascii="Times New Roman" w:eastAsia="Calibri" w:hAnsi="Times New Roman" w:cs="Times New Roman"/>
                <w:noProof/>
              </w:rPr>
            </w:pPr>
            <w:r w:rsidRPr="00E76013">
              <w:rPr>
                <w:rFonts w:ascii="Times New Roman" w:eastAsia="Calibri" w:hAnsi="Times New Roman" w:cs="Times New Roman"/>
                <w:noProof/>
              </w:rPr>
              <w:t>●</w:t>
            </w:r>
          </w:p>
          <w:p w14:paraId="1133B855" w14:textId="4DC95C2E"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D24DAE3" w14:textId="09C6AACF"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4AC11BF" w14:textId="2BE349FB"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C7DA237" w14:textId="15A5844B" w:rsidR="4A15754A" w:rsidRPr="00E76013" w:rsidRDefault="4A15754A" w:rsidP="4A15754A">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7D951ED1" w14:textId="33D7069E"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A8B4AD0" w14:textId="5B2DAF1F"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4704FE4" w14:textId="2AF44E08" w:rsidR="4A15754A" w:rsidRPr="00E76013" w:rsidRDefault="4A15754A" w:rsidP="4A15754A">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42ED58BB" w14:textId="2484F2A8" w:rsidR="4A15754A" w:rsidRPr="00E76013" w:rsidRDefault="4A15754A" w:rsidP="4A15754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378BC45" w14:textId="20E1324D" w:rsidR="4A15754A" w:rsidRPr="00E76013" w:rsidRDefault="4A15754A" w:rsidP="4A15754A">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72231A3E" w14:textId="472299F2" w:rsidR="4A15754A" w:rsidRPr="00E76013" w:rsidRDefault="4A15754A" w:rsidP="4A15754A">
            <w:pPr>
              <w:rPr>
                <w:rFonts w:ascii="Times New Roman" w:eastAsia="Calibri" w:hAnsi="Times New Roman" w:cs="Times New Roman"/>
                <w:noProof/>
              </w:rPr>
            </w:pPr>
          </w:p>
        </w:tc>
      </w:tr>
      <w:tr w:rsidR="72226B8F" w:rsidRPr="00E76013" w14:paraId="48E17E8D" w14:textId="77777777" w:rsidTr="004F2DAB">
        <w:tc>
          <w:tcPr>
            <w:tcW w:w="3355" w:type="dxa"/>
            <w:tcBorders>
              <w:top w:val="single" w:sz="8" w:space="0" w:color="auto"/>
              <w:left w:val="single" w:sz="8" w:space="0" w:color="auto"/>
              <w:bottom w:val="single" w:sz="8" w:space="0" w:color="auto"/>
              <w:right w:val="single" w:sz="8" w:space="0" w:color="auto"/>
            </w:tcBorders>
          </w:tcPr>
          <w:p w14:paraId="2F1B9798" w14:textId="7783B6F2" w:rsidR="72226B8F" w:rsidRPr="009D1459" w:rsidRDefault="4CF81336" w:rsidP="72226B8F">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investment on the green and digital transition, in particular on clean and efficient production and use of energy and resources</w:t>
            </w:r>
          </w:p>
        </w:tc>
        <w:tc>
          <w:tcPr>
            <w:tcW w:w="2118" w:type="dxa"/>
            <w:tcBorders>
              <w:top w:val="single" w:sz="8" w:space="0" w:color="auto"/>
              <w:left w:val="single" w:sz="8" w:space="0" w:color="auto"/>
              <w:bottom w:val="single" w:sz="8" w:space="0" w:color="auto"/>
              <w:right w:val="single" w:sz="8" w:space="0" w:color="auto"/>
            </w:tcBorders>
          </w:tcPr>
          <w:p w14:paraId="1C6E721C" w14:textId="3AB9F784" w:rsidR="1E3F667F" w:rsidRPr="00E76013" w:rsidRDefault="1E3F667F" w:rsidP="4CF81336">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2019.3.3, 2020</w:t>
            </w:r>
            <w:r w:rsidR="2A805C4A" w:rsidRPr="00E76013">
              <w:rPr>
                <w:rFonts w:ascii="Times New Roman" w:eastAsia="Calibri" w:hAnsi="Times New Roman" w:cs="Times New Roman"/>
                <w:noProof/>
                <w:sz w:val="20"/>
                <w:szCs w:val="20"/>
              </w:rPr>
              <w:t>.3.5</w:t>
            </w:r>
          </w:p>
          <w:p w14:paraId="697C5799" w14:textId="4D8FABF9" w:rsidR="72226B8F" w:rsidRPr="00E76013" w:rsidRDefault="72226B8F" w:rsidP="72226B8F">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34BBBF18" w14:textId="77777777" w:rsidR="005D1ACA" w:rsidRPr="00E76013" w:rsidRDefault="005D1ACA" w:rsidP="005D1ACA">
            <w:pPr>
              <w:rPr>
                <w:rFonts w:ascii="Times New Roman" w:eastAsia="Calibri" w:hAnsi="Times New Roman" w:cs="Times New Roman"/>
                <w:noProof/>
              </w:rPr>
            </w:pPr>
            <w:r w:rsidRPr="00E76013">
              <w:rPr>
                <w:rFonts w:ascii="Times New Roman" w:eastAsia="Calibri" w:hAnsi="Times New Roman" w:cs="Times New Roman"/>
                <w:noProof/>
              </w:rPr>
              <w:t>○</w:t>
            </w:r>
          </w:p>
          <w:p w14:paraId="11F9628A" w14:textId="56F09D5A"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0ED1F6B" w14:textId="77777777" w:rsidR="0045026A" w:rsidRPr="00E76013" w:rsidRDefault="0045026A" w:rsidP="0045026A">
            <w:pPr>
              <w:rPr>
                <w:rFonts w:ascii="Times New Roman" w:eastAsia="Calibri" w:hAnsi="Times New Roman" w:cs="Times New Roman"/>
                <w:noProof/>
              </w:rPr>
            </w:pPr>
            <w:r w:rsidRPr="00E76013">
              <w:rPr>
                <w:rFonts w:ascii="Times New Roman" w:eastAsia="Calibri" w:hAnsi="Times New Roman" w:cs="Times New Roman"/>
                <w:noProof/>
              </w:rPr>
              <w:t>○</w:t>
            </w:r>
          </w:p>
          <w:p w14:paraId="67616523" w14:textId="4C17AA71" w:rsidR="72226B8F" w:rsidRPr="00E76013" w:rsidRDefault="72226B8F" w:rsidP="0045026A">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D4BB759" w14:textId="77777777" w:rsidR="000227C1" w:rsidRPr="00E76013" w:rsidRDefault="000227C1" w:rsidP="000227C1">
            <w:pPr>
              <w:rPr>
                <w:rFonts w:ascii="Times New Roman" w:eastAsia="Calibri" w:hAnsi="Times New Roman" w:cs="Times New Roman"/>
                <w:noProof/>
              </w:rPr>
            </w:pPr>
            <w:r w:rsidRPr="00E76013">
              <w:rPr>
                <w:rFonts w:ascii="Times New Roman" w:eastAsia="Calibri" w:hAnsi="Times New Roman" w:cs="Times New Roman"/>
                <w:noProof/>
              </w:rPr>
              <w:t>●</w:t>
            </w:r>
          </w:p>
          <w:p w14:paraId="17FBA46C" w14:textId="6E75DA22" w:rsidR="006B4EED" w:rsidRPr="00E76013" w:rsidRDefault="006B4EED" w:rsidP="006B4EED">
            <w:pPr>
              <w:rPr>
                <w:rFonts w:ascii="Times New Roman" w:eastAsia="Calibri" w:hAnsi="Times New Roman" w:cs="Times New Roman"/>
                <w:noProof/>
              </w:rPr>
            </w:pPr>
          </w:p>
          <w:p w14:paraId="4DC70D59" w14:textId="6F07E328"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E4BEF9F" w14:textId="7B2B1755" w:rsidR="1E3F667F" w:rsidRPr="00E76013" w:rsidRDefault="1E3F667F" w:rsidP="4CF81336">
            <w:pPr>
              <w:rPr>
                <w:rFonts w:ascii="Times New Roman" w:eastAsia="Calibri" w:hAnsi="Times New Roman" w:cs="Times New Roman"/>
                <w:noProof/>
              </w:rPr>
            </w:pPr>
            <w:r w:rsidRPr="00E76013">
              <w:rPr>
                <w:rFonts w:ascii="Times New Roman" w:eastAsia="Calibri" w:hAnsi="Times New Roman" w:cs="Times New Roman"/>
                <w:noProof/>
              </w:rPr>
              <w:t>●</w:t>
            </w:r>
          </w:p>
          <w:p w14:paraId="43589DEC" w14:textId="24FDD98D"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D9B74B6" w14:textId="77777777" w:rsidR="72226B8F" w:rsidRPr="00E76013" w:rsidRDefault="0056547E" w:rsidP="3292FFB8">
            <w:pPr>
              <w:rPr>
                <w:rFonts w:ascii="Times New Roman" w:eastAsia="Calibri" w:hAnsi="Times New Roman" w:cs="Times New Roman"/>
                <w:noProof/>
              </w:rPr>
            </w:pPr>
            <w:r w:rsidRPr="00E76013">
              <w:rPr>
                <w:rFonts w:ascii="Times New Roman" w:eastAsia="Calibri" w:hAnsi="Times New Roman" w:cs="Times New Roman"/>
                <w:noProof/>
              </w:rPr>
              <w:t>○</w:t>
            </w:r>
          </w:p>
          <w:p w14:paraId="0DF572E0" w14:textId="1817CE6A"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C9F7948" w14:textId="77777777" w:rsidR="005D1ACA" w:rsidRPr="00E76013" w:rsidRDefault="005D1ACA" w:rsidP="005D1ACA">
            <w:pPr>
              <w:rPr>
                <w:rFonts w:ascii="Times New Roman" w:eastAsia="Calibri" w:hAnsi="Times New Roman" w:cs="Times New Roman"/>
                <w:noProof/>
              </w:rPr>
            </w:pPr>
            <w:r w:rsidRPr="00E76013">
              <w:rPr>
                <w:rFonts w:ascii="Times New Roman" w:eastAsia="Calibri" w:hAnsi="Times New Roman" w:cs="Times New Roman"/>
                <w:noProof/>
              </w:rPr>
              <w:t>○</w:t>
            </w:r>
          </w:p>
          <w:p w14:paraId="4D8B1E6D" w14:textId="55F9182D" w:rsidR="72226B8F" w:rsidRPr="00E76013" w:rsidRDefault="72226B8F" w:rsidP="72226B8F">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6DB137B0" w14:textId="76BD9235" w:rsidR="72226B8F" w:rsidRPr="00E76013" w:rsidRDefault="7EB477BF" w:rsidP="72226B8F">
            <w:pPr>
              <w:rPr>
                <w:rFonts w:ascii="Times New Roman" w:eastAsia="Calibri" w:hAnsi="Times New Roman" w:cs="Times New Roman"/>
                <w:noProof/>
              </w:rPr>
            </w:pPr>
            <w:r w:rsidRPr="425483EB">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30184BE4" w14:textId="053BC5F5" w:rsidR="72226B8F" w:rsidRPr="00E76013" w:rsidRDefault="0056547E" w:rsidP="2D4451FA">
            <w:pPr>
              <w:rPr>
                <w:rFonts w:ascii="Times New Roman" w:eastAsia="Calibri" w:hAnsi="Times New Roman" w:cs="Times New Roman"/>
                <w:noProof/>
              </w:rPr>
            </w:pPr>
            <w:r w:rsidRPr="00E76013">
              <w:rPr>
                <w:rFonts w:ascii="Times New Roman" w:eastAsia="Calibri" w:hAnsi="Times New Roman" w:cs="Times New Roman"/>
                <w:noProof/>
              </w:rPr>
              <w:t>○</w:t>
            </w:r>
          </w:p>
          <w:p w14:paraId="03310782" w14:textId="5623C317"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9DA473E" w14:textId="1774EAD8" w:rsidR="4CF81336" w:rsidRPr="00E76013" w:rsidRDefault="4CF81336" w:rsidP="4CF81336">
            <w:pPr>
              <w:rPr>
                <w:rFonts w:ascii="Times New Roman" w:eastAsia="Calibri" w:hAnsi="Times New Roman" w:cs="Times New Roman"/>
                <w:noProof/>
              </w:rPr>
            </w:pPr>
          </w:p>
          <w:p w14:paraId="01A74459" w14:textId="34EE48DF" w:rsidR="72226B8F" w:rsidRPr="00E76013" w:rsidRDefault="72226B8F" w:rsidP="72226B8F">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3852316A" w14:textId="720508CC" w:rsidR="72226B8F" w:rsidRPr="00E76013" w:rsidRDefault="000227C1" w:rsidP="72226B8F">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20B49C7A" w14:textId="77777777" w:rsidR="005D1ACA" w:rsidRPr="00E76013" w:rsidRDefault="005D1ACA" w:rsidP="005D1ACA">
            <w:pPr>
              <w:rPr>
                <w:rFonts w:ascii="Times New Roman" w:eastAsia="Calibri" w:hAnsi="Times New Roman" w:cs="Times New Roman"/>
                <w:noProof/>
              </w:rPr>
            </w:pPr>
            <w:r w:rsidRPr="00E76013">
              <w:rPr>
                <w:rFonts w:ascii="Times New Roman" w:eastAsia="Calibri" w:hAnsi="Times New Roman" w:cs="Times New Roman"/>
                <w:noProof/>
              </w:rPr>
              <w:t>○</w:t>
            </w:r>
          </w:p>
          <w:p w14:paraId="1F70E361" w14:textId="0A183608" w:rsidR="72226B8F" w:rsidRPr="00E76013" w:rsidRDefault="72226B8F" w:rsidP="72226B8F">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1DE4A545" w14:textId="77777777" w:rsidR="005D1ACA" w:rsidRPr="00E76013" w:rsidRDefault="005D1ACA" w:rsidP="005D1ACA">
            <w:pPr>
              <w:rPr>
                <w:rFonts w:ascii="Times New Roman" w:eastAsia="Calibri" w:hAnsi="Times New Roman" w:cs="Times New Roman"/>
                <w:noProof/>
              </w:rPr>
            </w:pPr>
            <w:r w:rsidRPr="00E76013">
              <w:rPr>
                <w:rFonts w:ascii="Times New Roman" w:eastAsia="Calibri" w:hAnsi="Times New Roman" w:cs="Times New Roman"/>
                <w:noProof/>
              </w:rPr>
              <w:t>○</w:t>
            </w:r>
          </w:p>
          <w:p w14:paraId="286B6EC7" w14:textId="37314DBC" w:rsidR="72226B8F" w:rsidRPr="00E76013" w:rsidRDefault="72226B8F" w:rsidP="72226B8F">
            <w:pPr>
              <w:rPr>
                <w:rFonts w:ascii="Times New Roman" w:eastAsia="Calibri" w:hAnsi="Times New Roman" w:cs="Times New Roman"/>
                <w:noProof/>
              </w:rPr>
            </w:pPr>
          </w:p>
        </w:tc>
      </w:tr>
      <w:tr w:rsidR="72226B8F" w:rsidRPr="00E76013" w14:paraId="3A8FDC2F" w14:textId="77777777" w:rsidTr="004F2DAB">
        <w:tc>
          <w:tcPr>
            <w:tcW w:w="3355" w:type="dxa"/>
            <w:tcBorders>
              <w:top w:val="single" w:sz="8" w:space="0" w:color="auto"/>
              <w:left w:val="single" w:sz="8" w:space="0" w:color="auto"/>
              <w:bottom w:val="single" w:sz="8" w:space="0" w:color="auto"/>
              <w:right w:val="single" w:sz="8" w:space="0" w:color="auto"/>
            </w:tcBorders>
          </w:tcPr>
          <w:p w14:paraId="1F1C61B9" w14:textId="4EF6F967" w:rsidR="72226B8F" w:rsidRPr="009D1459" w:rsidRDefault="4CF81336" w:rsidP="72226B8F">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Investment in environmental infrastructures</w:t>
            </w:r>
          </w:p>
        </w:tc>
        <w:tc>
          <w:tcPr>
            <w:tcW w:w="2118" w:type="dxa"/>
            <w:tcBorders>
              <w:top w:val="single" w:sz="8" w:space="0" w:color="auto"/>
              <w:left w:val="single" w:sz="8" w:space="0" w:color="auto"/>
              <w:bottom w:val="single" w:sz="8" w:space="0" w:color="auto"/>
              <w:right w:val="single" w:sz="8" w:space="0" w:color="auto"/>
            </w:tcBorders>
          </w:tcPr>
          <w:p w14:paraId="7B6A010A" w14:textId="2A5ACA4E" w:rsidR="72226B8F" w:rsidRPr="00E76013" w:rsidRDefault="1E3F667F" w:rsidP="72226B8F">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2019.3.3, 2020</w:t>
            </w:r>
            <w:r w:rsidR="2A805C4A" w:rsidRPr="00E76013">
              <w:rPr>
                <w:rFonts w:ascii="Times New Roman" w:eastAsia="Calibri" w:hAnsi="Times New Roman" w:cs="Times New Roman"/>
                <w:noProof/>
                <w:sz w:val="20"/>
                <w:szCs w:val="20"/>
              </w:rPr>
              <w:t>.3.6</w:t>
            </w:r>
          </w:p>
        </w:tc>
        <w:tc>
          <w:tcPr>
            <w:tcW w:w="283" w:type="dxa"/>
            <w:tcBorders>
              <w:top w:val="single" w:sz="8" w:space="0" w:color="auto"/>
              <w:left w:val="single" w:sz="8" w:space="0" w:color="auto"/>
              <w:bottom w:val="single" w:sz="8" w:space="0" w:color="auto"/>
              <w:right w:val="single" w:sz="8" w:space="0" w:color="auto"/>
            </w:tcBorders>
          </w:tcPr>
          <w:p w14:paraId="7E5F699C" w14:textId="24CE1A43"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39D9F22" w14:textId="5B6A40DD"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A2A6E1C" w14:textId="07DE8FA6"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7887BDE" w14:textId="2ADF4288"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F5257A8" w14:textId="75936D19"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305E242" w14:textId="7E8B8057" w:rsidR="72226B8F" w:rsidRPr="00E76013" w:rsidRDefault="72226B8F" w:rsidP="72226B8F">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00F894CB" w14:textId="667D623F"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3DC4D38" w14:textId="5FF1534B"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E24D760" w14:textId="170E5A26" w:rsidR="72226B8F" w:rsidRPr="00E76013" w:rsidRDefault="1E3F667F" w:rsidP="72226B8F">
            <w:pPr>
              <w:rPr>
                <w:rFonts w:ascii="Times New Roman" w:eastAsia="Calibri" w:hAnsi="Times New Roman" w:cs="Times New Roman"/>
                <w:noProof/>
              </w:rPr>
            </w:pPr>
            <w:r w:rsidRPr="00E76013">
              <w:rPr>
                <w:rFonts w:ascii="Times New Roman" w:eastAsia="Calibri" w:hAnsi="Times New Roman" w:cs="Times New Roman"/>
                <w:noProof/>
              </w:rPr>
              <w:t>●</w:t>
            </w:r>
          </w:p>
        </w:tc>
        <w:tc>
          <w:tcPr>
            <w:tcW w:w="820" w:type="dxa"/>
            <w:tcBorders>
              <w:top w:val="single" w:sz="8" w:space="0" w:color="auto"/>
              <w:left w:val="single" w:sz="8" w:space="0" w:color="auto"/>
              <w:bottom w:val="single" w:sz="8" w:space="0" w:color="auto"/>
              <w:right w:val="single" w:sz="8" w:space="0" w:color="auto"/>
            </w:tcBorders>
          </w:tcPr>
          <w:p w14:paraId="2679E48C" w14:textId="46F87647"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E9C32DF" w14:textId="67B1DF9D" w:rsidR="72226B8F" w:rsidRPr="00E76013" w:rsidRDefault="72226B8F" w:rsidP="72226B8F">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77D0CE4A" w14:textId="7ACAEB70" w:rsidR="72226B8F" w:rsidRPr="00E76013" w:rsidRDefault="72226B8F" w:rsidP="72226B8F">
            <w:pPr>
              <w:rPr>
                <w:rFonts w:ascii="Times New Roman" w:eastAsia="Calibri" w:hAnsi="Times New Roman" w:cs="Times New Roman"/>
                <w:noProof/>
              </w:rPr>
            </w:pPr>
          </w:p>
        </w:tc>
      </w:tr>
      <w:tr w:rsidR="4CF81336" w:rsidRPr="00E76013" w14:paraId="6C6CE3B9" w14:textId="77777777" w:rsidTr="004F2DAB">
        <w:tc>
          <w:tcPr>
            <w:tcW w:w="3355" w:type="dxa"/>
            <w:tcBorders>
              <w:top w:val="single" w:sz="8" w:space="0" w:color="auto"/>
              <w:left w:val="single" w:sz="8" w:space="0" w:color="auto"/>
              <w:bottom w:val="single" w:sz="8" w:space="0" w:color="auto"/>
              <w:right w:val="single" w:sz="8" w:space="0" w:color="auto"/>
            </w:tcBorders>
          </w:tcPr>
          <w:p w14:paraId="7D148E7E" w14:textId="0707BDEC" w:rsidR="4CF81336" w:rsidRPr="009D1459" w:rsidRDefault="4CF81336" w:rsidP="4CF81336">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Investment in sustainable transport gradual decarbonisation of the economy, including in coal regions</w:t>
            </w:r>
          </w:p>
          <w:p w14:paraId="1EFB55DF" w14:textId="42E564F0" w:rsidR="4CF81336" w:rsidRPr="009D1459" w:rsidRDefault="4CF81336" w:rsidP="4CF81336">
            <w:pPr>
              <w:rPr>
                <w:rFonts w:ascii="Times New Roman" w:eastAsia="Calibri" w:hAnsi="Times New Roman" w:cs="Times New Roman"/>
                <w:bCs/>
                <w:noProof/>
                <w:sz w:val="20"/>
                <w:szCs w:val="20"/>
              </w:rPr>
            </w:pPr>
          </w:p>
        </w:tc>
        <w:tc>
          <w:tcPr>
            <w:tcW w:w="2118" w:type="dxa"/>
            <w:tcBorders>
              <w:top w:val="single" w:sz="8" w:space="0" w:color="auto"/>
              <w:left w:val="single" w:sz="8" w:space="0" w:color="auto"/>
              <w:bottom w:val="single" w:sz="8" w:space="0" w:color="auto"/>
              <w:right w:val="single" w:sz="8" w:space="0" w:color="auto"/>
            </w:tcBorders>
          </w:tcPr>
          <w:p w14:paraId="69E786FF" w14:textId="6364D9D3" w:rsidR="1E3F667F" w:rsidRPr="00E76013" w:rsidRDefault="1E3F667F" w:rsidP="4CF81336">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2019.3.2, 2020</w:t>
            </w:r>
            <w:r w:rsidR="2A805C4A" w:rsidRPr="00E76013">
              <w:rPr>
                <w:rFonts w:ascii="Times New Roman" w:eastAsia="Calibri" w:hAnsi="Times New Roman" w:cs="Times New Roman"/>
                <w:noProof/>
                <w:sz w:val="20"/>
                <w:szCs w:val="20"/>
              </w:rPr>
              <w:t>.3.7</w:t>
            </w:r>
          </w:p>
          <w:p w14:paraId="3D5729C7" w14:textId="68A1F1E9" w:rsidR="4CF81336" w:rsidRPr="00E76013" w:rsidRDefault="4CF81336" w:rsidP="4CF81336">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3A05FB2C" w14:textId="0DAE6B6D"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6C5B431" w14:textId="59C1A498"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AD5B0D7" w14:textId="57494B6F" w:rsidR="1E3F667F" w:rsidRPr="00E76013" w:rsidRDefault="1E3F667F" w:rsidP="4CF81336">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1F2C285E" w14:textId="37A3D75E" w:rsidR="1E3F667F" w:rsidRPr="00E76013" w:rsidRDefault="1E3F667F" w:rsidP="4CF81336">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754F6597" w14:textId="09A764AA"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3AE657C" w14:textId="6D2D17B2" w:rsidR="4CF81336" w:rsidRPr="00E76013" w:rsidRDefault="4CF81336" w:rsidP="4CF81336">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73F8BE49" w14:textId="13C26786" w:rsidR="004E30E8" w:rsidRPr="00E76013" w:rsidRDefault="004E30E8" w:rsidP="004E30E8">
            <w:pPr>
              <w:rPr>
                <w:rFonts w:ascii="Times New Roman" w:eastAsia="Calibri" w:hAnsi="Times New Roman" w:cs="Times New Roman"/>
                <w:noProof/>
              </w:rPr>
            </w:pPr>
          </w:p>
          <w:p w14:paraId="219A930B" w14:textId="693B19A5"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CEDCA5F" w14:textId="170E5A26" w:rsidR="1E3F667F" w:rsidRPr="00E76013" w:rsidRDefault="1E3F667F" w:rsidP="4CF81336">
            <w:pPr>
              <w:rPr>
                <w:rFonts w:ascii="Times New Roman" w:eastAsia="Calibri" w:hAnsi="Times New Roman" w:cs="Times New Roman"/>
                <w:noProof/>
              </w:rPr>
            </w:pPr>
            <w:r w:rsidRPr="00E76013">
              <w:rPr>
                <w:rFonts w:ascii="Times New Roman" w:eastAsia="Calibri" w:hAnsi="Times New Roman" w:cs="Times New Roman"/>
                <w:noProof/>
              </w:rPr>
              <w:t>●</w:t>
            </w:r>
          </w:p>
          <w:p w14:paraId="66CAD024" w14:textId="71E7BD89"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9F0E782" w14:textId="4686378A" w:rsidR="4CF81336" w:rsidRPr="00E76013" w:rsidRDefault="4CF81336" w:rsidP="4CF81336">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4B7E0BC6" w14:textId="7C707CB0"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58ECC79" w14:textId="0D80E09C" w:rsidR="4CF81336" w:rsidRPr="00E76013" w:rsidRDefault="4CF81336" w:rsidP="4CF81336">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5B52E149" w14:textId="5E0C38EE" w:rsidR="4CF81336" w:rsidRPr="00E76013" w:rsidRDefault="4CF81336" w:rsidP="4CF81336">
            <w:pPr>
              <w:rPr>
                <w:rFonts w:ascii="Times New Roman" w:eastAsia="Calibri" w:hAnsi="Times New Roman" w:cs="Times New Roman"/>
                <w:noProof/>
              </w:rPr>
            </w:pPr>
          </w:p>
        </w:tc>
      </w:tr>
      <w:tr w:rsidR="4CF81336" w:rsidRPr="00E76013" w14:paraId="2900D64D" w14:textId="77777777" w:rsidTr="004F2DAB">
        <w:tc>
          <w:tcPr>
            <w:tcW w:w="3355" w:type="dxa"/>
            <w:tcBorders>
              <w:top w:val="single" w:sz="8" w:space="0" w:color="auto"/>
              <w:left w:val="single" w:sz="8" w:space="0" w:color="auto"/>
              <w:bottom w:val="single" w:sz="8" w:space="0" w:color="auto"/>
              <w:right w:val="single" w:sz="8" w:space="0" w:color="auto"/>
            </w:tcBorders>
          </w:tcPr>
          <w:p w14:paraId="1EDA16DA" w14:textId="2AE51E7D" w:rsidR="4CF81336" w:rsidRPr="009D1459" w:rsidRDefault="62C03FBD" w:rsidP="4CF81336">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E</w:t>
            </w:r>
            <w:r w:rsidR="017F4715" w:rsidRPr="009D1459">
              <w:rPr>
                <w:rFonts w:ascii="Times New Roman" w:eastAsia="Calibri" w:hAnsi="Times New Roman" w:cs="Times New Roman"/>
                <w:bCs/>
                <w:noProof/>
                <w:sz w:val="20"/>
                <w:szCs w:val="20"/>
              </w:rPr>
              <w:t>ffectiveness</w:t>
            </w:r>
            <w:r w:rsidR="1C16E7BB" w:rsidRPr="009D1459">
              <w:rPr>
                <w:rFonts w:ascii="Times New Roman" w:eastAsia="Calibri" w:hAnsi="Times New Roman" w:cs="Times New Roman"/>
                <w:bCs/>
                <w:noProof/>
                <w:sz w:val="20"/>
                <w:szCs w:val="20"/>
              </w:rPr>
              <w:t xml:space="preserve"> of public administration and </w:t>
            </w:r>
            <w:r w:rsidR="017F4715" w:rsidRPr="009D1459">
              <w:rPr>
                <w:rFonts w:ascii="Times New Roman" w:eastAsia="Calibri" w:hAnsi="Times New Roman" w:cs="Times New Roman"/>
                <w:bCs/>
                <w:noProof/>
                <w:sz w:val="20"/>
                <w:szCs w:val="20"/>
              </w:rPr>
              <w:t>reinforc</w:t>
            </w:r>
            <w:r w:rsidRPr="009D1459">
              <w:rPr>
                <w:rFonts w:ascii="Times New Roman" w:eastAsia="Calibri" w:hAnsi="Times New Roman" w:cs="Times New Roman"/>
                <w:bCs/>
                <w:noProof/>
                <w:sz w:val="20"/>
                <w:szCs w:val="20"/>
              </w:rPr>
              <w:t>ement of</w:t>
            </w:r>
            <w:r w:rsidR="017F4715" w:rsidRPr="009D1459">
              <w:rPr>
                <w:rFonts w:ascii="Times New Roman" w:eastAsia="Calibri" w:hAnsi="Times New Roman" w:cs="Times New Roman"/>
                <w:bCs/>
                <w:noProof/>
                <w:sz w:val="20"/>
                <w:szCs w:val="20"/>
              </w:rPr>
              <w:t xml:space="preserve"> </w:t>
            </w:r>
            <w:r w:rsidR="1C16E7BB" w:rsidRPr="009D1459">
              <w:rPr>
                <w:rFonts w:ascii="Times New Roman" w:eastAsia="Calibri" w:hAnsi="Times New Roman" w:cs="Times New Roman"/>
                <w:bCs/>
                <w:noProof/>
                <w:sz w:val="20"/>
                <w:szCs w:val="20"/>
              </w:rPr>
              <w:t>digital government</w:t>
            </w:r>
            <w:r w:rsidR="017F4715" w:rsidRPr="009D1459">
              <w:rPr>
                <w:rFonts w:ascii="Times New Roman" w:eastAsia="Calibri" w:hAnsi="Times New Roman" w:cs="Times New Roman"/>
                <w:bCs/>
                <w:noProof/>
                <w:sz w:val="20"/>
                <w:szCs w:val="20"/>
              </w:rPr>
              <w:t>,</w:t>
            </w:r>
            <w:r w:rsidR="1C16E7BB" w:rsidRPr="009D1459">
              <w:rPr>
                <w:rFonts w:ascii="Times New Roman" w:eastAsia="Calibri" w:hAnsi="Times New Roman" w:cs="Times New Roman"/>
                <w:bCs/>
                <w:noProof/>
                <w:sz w:val="20"/>
                <w:szCs w:val="20"/>
              </w:rPr>
              <w:t xml:space="preserve"> effective functioning of the insolvency framework</w:t>
            </w:r>
            <w:r w:rsidR="017F4715" w:rsidRPr="009D1459">
              <w:rPr>
                <w:rFonts w:ascii="Times New Roman" w:eastAsia="Calibri" w:hAnsi="Times New Roman" w:cs="Times New Roman"/>
                <w:bCs/>
                <w:noProof/>
                <w:sz w:val="20"/>
                <w:szCs w:val="20"/>
              </w:rPr>
              <w:t xml:space="preserve"> and of</w:t>
            </w:r>
            <w:r w:rsidR="1C16E7BB" w:rsidRPr="009D1459">
              <w:rPr>
                <w:rFonts w:ascii="Times New Roman" w:eastAsia="Calibri" w:hAnsi="Times New Roman" w:cs="Times New Roman"/>
                <w:bCs/>
                <w:noProof/>
                <w:sz w:val="20"/>
                <w:szCs w:val="20"/>
              </w:rPr>
              <w:t xml:space="preserve"> supervision and enforcement of the anti-money laundering framework</w:t>
            </w:r>
          </w:p>
        </w:tc>
        <w:tc>
          <w:tcPr>
            <w:tcW w:w="2118" w:type="dxa"/>
            <w:tcBorders>
              <w:top w:val="single" w:sz="8" w:space="0" w:color="auto"/>
              <w:left w:val="single" w:sz="8" w:space="0" w:color="auto"/>
              <w:bottom w:val="single" w:sz="8" w:space="0" w:color="auto"/>
              <w:right w:val="single" w:sz="8" w:space="0" w:color="auto"/>
            </w:tcBorders>
          </w:tcPr>
          <w:p w14:paraId="7AF46CC2" w14:textId="4ADF9A6E" w:rsidR="4CF81336" w:rsidRPr="00E76013" w:rsidRDefault="1C16E7BB" w:rsidP="4CF81336">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2019.2.8, 2019.2.4</w:t>
            </w:r>
            <w:r w:rsidR="017F4715" w:rsidRPr="00E76013">
              <w:rPr>
                <w:rFonts w:ascii="Times New Roman" w:eastAsia="Calibri" w:hAnsi="Times New Roman" w:cs="Times New Roman"/>
                <w:noProof/>
                <w:sz w:val="20"/>
                <w:szCs w:val="20"/>
              </w:rPr>
              <w:t>,</w:t>
            </w:r>
            <w:r w:rsidR="79642748" w:rsidRPr="00E76013">
              <w:rPr>
                <w:rFonts w:ascii="Times New Roman" w:eastAsia="Calibri" w:hAnsi="Times New Roman" w:cs="Times New Roman"/>
                <w:noProof/>
                <w:sz w:val="20"/>
                <w:szCs w:val="20"/>
              </w:rPr>
              <w:t xml:space="preserve"> 2019.3.4,</w:t>
            </w:r>
            <w:r w:rsidRPr="00E76013">
              <w:rPr>
                <w:rFonts w:ascii="Times New Roman" w:eastAsia="Calibri" w:hAnsi="Times New Roman" w:cs="Times New Roman"/>
                <w:noProof/>
                <w:sz w:val="20"/>
                <w:szCs w:val="20"/>
              </w:rPr>
              <w:t>2020.4</w:t>
            </w:r>
          </w:p>
        </w:tc>
        <w:tc>
          <w:tcPr>
            <w:tcW w:w="283" w:type="dxa"/>
            <w:tcBorders>
              <w:top w:val="single" w:sz="8" w:space="0" w:color="auto"/>
              <w:left w:val="single" w:sz="8" w:space="0" w:color="auto"/>
              <w:bottom w:val="single" w:sz="8" w:space="0" w:color="auto"/>
              <w:right w:val="single" w:sz="8" w:space="0" w:color="auto"/>
            </w:tcBorders>
          </w:tcPr>
          <w:p w14:paraId="3B25D686" w14:textId="0D98A93C"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F71371A" w14:textId="45F55258"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BC43DE4" w14:textId="13547D01"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AA721BA" w14:textId="2AD0AD87"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37DC9EE" w14:textId="520B354C"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2452088" w14:textId="52A93587" w:rsidR="4CF81336" w:rsidRPr="00E76013" w:rsidRDefault="4CF81336" w:rsidP="4CF81336">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6BDBC334" w14:textId="0F350D0D" w:rsidR="4CF81336" w:rsidRPr="00E76013" w:rsidRDefault="7EB477BF" w:rsidP="4CF81336">
            <w:pPr>
              <w:rPr>
                <w:rFonts w:ascii="Times New Roman" w:eastAsia="Calibri" w:hAnsi="Times New Roman" w:cs="Times New Roman"/>
                <w:noProof/>
              </w:rPr>
            </w:pPr>
            <w:r w:rsidRPr="425483EB">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3F14BFE3" w14:textId="5140A2D4"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FB373F7" w14:textId="6F5EC28B" w:rsidR="4CF81336" w:rsidRPr="00E76013" w:rsidRDefault="4CF81336" w:rsidP="4CF81336">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22C2E8DA" w14:textId="362B7E8B" w:rsidR="4CF81336" w:rsidRPr="00E76013" w:rsidRDefault="714FBF8B" w:rsidP="1C16E7BB">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7FE62240" w14:textId="5FCF5C97" w:rsidR="4CF81336" w:rsidRPr="00E76013" w:rsidRDefault="7EB477BF" w:rsidP="4CF81336">
            <w:pPr>
              <w:rPr>
                <w:rFonts w:ascii="Times New Roman" w:eastAsia="Calibri" w:hAnsi="Times New Roman" w:cs="Times New Roman"/>
                <w:noProof/>
              </w:rPr>
            </w:pPr>
            <w:r w:rsidRPr="425483EB">
              <w:rPr>
                <w:rFonts w:ascii="Times New Roman" w:eastAsia="Calibri" w:hAnsi="Times New Roman" w:cs="Times New Roman"/>
                <w:noProof/>
              </w:rPr>
              <w:t>○</w:t>
            </w:r>
          </w:p>
        </w:tc>
        <w:tc>
          <w:tcPr>
            <w:tcW w:w="330" w:type="dxa"/>
            <w:tcBorders>
              <w:top w:val="single" w:sz="8" w:space="0" w:color="auto"/>
              <w:left w:val="single" w:sz="8" w:space="0" w:color="auto"/>
              <w:bottom w:val="single" w:sz="8" w:space="0" w:color="auto"/>
              <w:right w:val="single" w:sz="8" w:space="0" w:color="auto"/>
            </w:tcBorders>
          </w:tcPr>
          <w:p w14:paraId="0ACA68C9" w14:textId="6DC4E1E7" w:rsidR="4CF81336" w:rsidRPr="00E76013" w:rsidRDefault="4CF81336" w:rsidP="4CF81336">
            <w:pPr>
              <w:rPr>
                <w:rFonts w:ascii="Times New Roman" w:eastAsia="Calibri" w:hAnsi="Times New Roman" w:cs="Times New Roman"/>
                <w:noProof/>
              </w:rPr>
            </w:pPr>
          </w:p>
        </w:tc>
      </w:tr>
      <w:tr w:rsidR="4CF81336" w:rsidRPr="00E76013" w14:paraId="43BB7CDF" w14:textId="77777777" w:rsidTr="004F2DAB">
        <w:tc>
          <w:tcPr>
            <w:tcW w:w="3355" w:type="dxa"/>
            <w:tcBorders>
              <w:top w:val="single" w:sz="8" w:space="0" w:color="auto"/>
              <w:left w:val="single" w:sz="8" w:space="0" w:color="auto"/>
              <w:bottom w:val="single" w:sz="8" w:space="0" w:color="auto"/>
              <w:right w:val="single" w:sz="8" w:space="0" w:color="auto"/>
            </w:tcBorders>
          </w:tcPr>
          <w:p w14:paraId="1C8333C5" w14:textId="4C8BE814" w:rsidR="4CF81336" w:rsidRPr="009D1459" w:rsidRDefault="017F4715" w:rsidP="4CF81336">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 xml:space="preserve">Corporate governance of State-owned enterprise </w:t>
            </w:r>
          </w:p>
        </w:tc>
        <w:tc>
          <w:tcPr>
            <w:tcW w:w="2118" w:type="dxa"/>
            <w:tcBorders>
              <w:top w:val="single" w:sz="8" w:space="0" w:color="auto"/>
              <w:left w:val="single" w:sz="8" w:space="0" w:color="auto"/>
              <w:bottom w:val="single" w:sz="8" w:space="0" w:color="auto"/>
              <w:right w:val="single" w:sz="8" w:space="0" w:color="auto"/>
            </w:tcBorders>
          </w:tcPr>
          <w:p w14:paraId="48F47E1F" w14:textId="089C008B" w:rsidR="4CF81336" w:rsidRPr="00E76013" w:rsidRDefault="017F4715" w:rsidP="4CF81336">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2019.1.2</w:t>
            </w:r>
          </w:p>
        </w:tc>
        <w:tc>
          <w:tcPr>
            <w:tcW w:w="283" w:type="dxa"/>
            <w:tcBorders>
              <w:top w:val="single" w:sz="8" w:space="0" w:color="auto"/>
              <w:left w:val="single" w:sz="8" w:space="0" w:color="auto"/>
              <w:bottom w:val="single" w:sz="8" w:space="0" w:color="auto"/>
              <w:right w:val="single" w:sz="8" w:space="0" w:color="auto"/>
            </w:tcBorders>
          </w:tcPr>
          <w:p w14:paraId="2AAE1868" w14:textId="6F1B815C"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466B166" w14:textId="6F222267"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A76B9C7" w14:textId="079E7718"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3534573" w14:textId="0678E272"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7F4A31D" w14:textId="0EE9A30D"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894CEE0" w14:textId="61096900" w:rsidR="4CF81336" w:rsidRPr="00E76013" w:rsidRDefault="4CF81336" w:rsidP="4CF81336">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5547A70E" w14:textId="77093621"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BAD5591" w14:textId="72A2829C" w:rsidR="4CF81336" w:rsidRPr="00E76013" w:rsidRDefault="4CF81336" w:rsidP="4CF81336">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2F53477" w14:textId="74565A7B" w:rsidR="4CF81336" w:rsidRPr="00E76013" w:rsidRDefault="4CF81336" w:rsidP="4CF81336">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22ECF5C3" w14:textId="071C973C" w:rsidR="4CF81336" w:rsidRPr="00E76013" w:rsidRDefault="714FBF8B" w:rsidP="4CF81336">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7B8642C9" w14:textId="45B81661" w:rsidR="4CF81336" w:rsidRPr="00E76013" w:rsidRDefault="4CF81336" w:rsidP="4CF81336">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7D9AFD9F" w14:textId="2A2D1D40" w:rsidR="4CF81336" w:rsidRPr="00E76013" w:rsidRDefault="4CF81336" w:rsidP="4CF81336">
            <w:pPr>
              <w:rPr>
                <w:rFonts w:ascii="Times New Roman" w:eastAsia="Calibri" w:hAnsi="Times New Roman" w:cs="Times New Roman"/>
                <w:noProof/>
              </w:rPr>
            </w:pPr>
          </w:p>
        </w:tc>
      </w:tr>
      <w:tr w:rsidR="72226B8F" w:rsidRPr="00E76013" w14:paraId="530F24BF" w14:textId="77777777" w:rsidTr="004F2DAB">
        <w:tc>
          <w:tcPr>
            <w:tcW w:w="3355" w:type="dxa"/>
            <w:tcBorders>
              <w:top w:val="single" w:sz="8" w:space="0" w:color="auto"/>
              <w:left w:val="single" w:sz="8" w:space="0" w:color="auto"/>
              <w:bottom w:val="single" w:sz="8" w:space="0" w:color="auto"/>
              <w:right w:val="single" w:sz="8" w:space="0" w:color="auto"/>
            </w:tcBorders>
          </w:tcPr>
          <w:p w14:paraId="74AF9A5D" w14:textId="5D227323" w:rsidR="72226B8F" w:rsidRPr="009D1459" w:rsidRDefault="6E4AAAE5" w:rsidP="72226B8F">
            <w:pPr>
              <w:rPr>
                <w:rFonts w:ascii="Times New Roman" w:eastAsia="Calibri" w:hAnsi="Times New Roman" w:cs="Times New Roman"/>
                <w:bCs/>
                <w:noProof/>
                <w:sz w:val="20"/>
                <w:szCs w:val="20"/>
              </w:rPr>
            </w:pPr>
            <w:r w:rsidRPr="009D1459">
              <w:rPr>
                <w:rFonts w:ascii="Times New Roman" w:eastAsia="Calibri" w:hAnsi="Times New Roman" w:cs="Times New Roman"/>
                <w:bCs/>
                <w:noProof/>
                <w:sz w:val="20"/>
                <w:szCs w:val="20"/>
              </w:rPr>
              <w:t>Focus investment-related economic policy on research and innovation</w:t>
            </w:r>
          </w:p>
        </w:tc>
        <w:tc>
          <w:tcPr>
            <w:tcW w:w="2118" w:type="dxa"/>
            <w:tcBorders>
              <w:top w:val="single" w:sz="8" w:space="0" w:color="auto"/>
              <w:left w:val="single" w:sz="8" w:space="0" w:color="auto"/>
              <w:bottom w:val="single" w:sz="8" w:space="0" w:color="auto"/>
              <w:right w:val="single" w:sz="8" w:space="0" w:color="auto"/>
            </w:tcBorders>
          </w:tcPr>
          <w:p w14:paraId="1E300C87" w14:textId="2DD7319A" w:rsidR="72226B8F" w:rsidRPr="00E76013" w:rsidRDefault="79642748" w:rsidP="6E4AAAE5">
            <w:pPr>
              <w:jc w:val="center"/>
              <w:rPr>
                <w:rFonts w:ascii="Times New Roman" w:eastAsia="Calibri" w:hAnsi="Times New Roman" w:cs="Times New Roman"/>
                <w:noProof/>
                <w:sz w:val="20"/>
                <w:szCs w:val="20"/>
              </w:rPr>
            </w:pPr>
            <w:r w:rsidRPr="00E76013">
              <w:rPr>
                <w:rFonts w:ascii="Times New Roman" w:eastAsia="Calibri" w:hAnsi="Times New Roman" w:cs="Times New Roman"/>
                <w:noProof/>
                <w:sz w:val="20"/>
                <w:szCs w:val="20"/>
              </w:rPr>
              <w:t>2019.3.1</w:t>
            </w:r>
          </w:p>
          <w:p w14:paraId="6B8509E9" w14:textId="5C6476AE" w:rsidR="72226B8F" w:rsidRPr="00E76013" w:rsidRDefault="72226B8F" w:rsidP="72226B8F">
            <w:pPr>
              <w:jc w:val="center"/>
              <w:rPr>
                <w:rFonts w:ascii="Times New Roman" w:eastAsia="Calibri" w:hAnsi="Times New Roman" w:cs="Times New Roman"/>
                <w:noProof/>
                <w:sz w:val="20"/>
                <w:szCs w:val="20"/>
              </w:rPr>
            </w:pPr>
          </w:p>
        </w:tc>
        <w:tc>
          <w:tcPr>
            <w:tcW w:w="283" w:type="dxa"/>
            <w:tcBorders>
              <w:top w:val="single" w:sz="8" w:space="0" w:color="auto"/>
              <w:left w:val="single" w:sz="8" w:space="0" w:color="auto"/>
              <w:bottom w:val="single" w:sz="8" w:space="0" w:color="auto"/>
              <w:right w:val="single" w:sz="8" w:space="0" w:color="auto"/>
            </w:tcBorders>
          </w:tcPr>
          <w:p w14:paraId="2052A228" w14:textId="1F847435"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15C7995" w14:textId="6EE8D28F" w:rsidR="72226B8F" w:rsidRPr="00E76013" w:rsidRDefault="714FBF8B" w:rsidP="72226B8F">
            <w:pPr>
              <w:rPr>
                <w:rFonts w:ascii="Times New Roman" w:eastAsia="Calibri" w:hAnsi="Times New Roman" w:cs="Times New Roman"/>
                <w:noProof/>
              </w:rPr>
            </w:pPr>
            <w:r w:rsidRPr="00E76013">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24905D5D" w14:textId="5FCC6845" w:rsidR="72226B8F" w:rsidRPr="00E76013" w:rsidRDefault="7EB477BF" w:rsidP="72226B8F">
            <w:pPr>
              <w:rPr>
                <w:rFonts w:ascii="Times New Roman" w:eastAsia="Calibri" w:hAnsi="Times New Roman" w:cs="Times New Roman"/>
                <w:noProof/>
              </w:rPr>
            </w:pPr>
            <w:r w:rsidRPr="425483EB">
              <w:rPr>
                <w:rFonts w:ascii="Times New Roman" w:eastAsia="Calibri" w:hAnsi="Times New Roman" w:cs="Times New Roman"/>
                <w:noProof/>
              </w:rPr>
              <w:t>○</w:t>
            </w:r>
          </w:p>
        </w:tc>
        <w:tc>
          <w:tcPr>
            <w:tcW w:w="283" w:type="dxa"/>
            <w:tcBorders>
              <w:top w:val="single" w:sz="8" w:space="0" w:color="auto"/>
              <w:left w:val="single" w:sz="8" w:space="0" w:color="auto"/>
              <w:bottom w:val="single" w:sz="8" w:space="0" w:color="auto"/>
              <w:right w:val="single" w:sz="8" w:space="0" w:color="auto"/>
            </w:tcBorders>
          </w:tcPr>
          <w:p w14:paraId="3FD3E210" w14:textId="645D49EC"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71296A4B" w14:textId="7EC4767E"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1CDADEA" w14:textId="7621A7F8" w:rsidR="72226B8F" w:rsidRPr="00E76013" w:rsidRDefault="72226B8F" w:rsidP="72226B8F">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6FC3AF94" w14:textId="77777777" w:rsidR="006D182E" w:rsidRPr="00E76013" w:rsidRDefault="006D182E" w:rsidP="006D182E">
            <w:pPr>
              <w:rPr>
                <w:rFonts w:ascii="Times New Roman" w:eastAsia="Calibri" w:hAnsi="Times New Roman" w:cs="Times New Roman"/>
                <w:noProof/>
              </w:rPr>
            </w:pPr>
            <w:r w:rsidRPr="00E76013">
              <w:rPr>
                <w:rFonts w:ascii="Times New Roman" w:eastAsia="Calibri" w:hAnsi="Times New Roman" w:cs="Times New Roman"/>
                <w:noProof/>
              </w:rPr>
              <w:t>○</w:t>
            </w:r>
          </w:p>
          <w:p w14:paraId="4161B133" w14:textId="1E0EDFE4"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1F41462" w14:textId="289E3110"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6721DA8" w14:textId="53825A52" w:rsidR="72226B8F" w:rsidRPr="00E76013" w:rsidRDefault="72226B8F" w:rsidP="72226B8F">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5C19CD6A" w14:textId="60E8730F" w:rsidR="72226B8F" w:rsidRPr="00E76013" w:rsidRDefault="72226B8F"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5DDF511" w14:textId="5739B87F" w:rsidR="72226B8F" w:rsidRPr="00E76013" w:rsidRDefault="72226B8F" w:rsidP="72226B8F">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3232C049" w14:textId="0CD29000" w:rsidR="72226B8F" w:rsidRPr="00E76013" w:rsidRDefault="72226B8F" w:rsidP="72226B8F">
            <w:pPr>
              <w:rPr>
                <w:rFonts w:ascii="Times New Roman" w:eastAsia="Calibri" w:hAnsi="Times New Roman" w:cs="Times New Roman"/>
                <w:noProof/>
              </w:rPr>
            </w:pPr>
          </w:p>
        </w:tc>
      </w:tr>
      <w:tr w:rsidR="00767B90" w:rsidRPr="00E76013" w14:paraId="2F7C2BA9" w14:textId="77777777" w:rsidTr="00E91336">
        <w:tc>
          <w:tcPr>
            <w:tcW w:w="3355" w:type="dxa"/>
            <w:tcBorders>
              <w:top w:val="single" w:sz="8" w:space="0" w:color="auto"/>
              <w:left w:val="single" w:sz="8" w:space="0" w:color="auto"/>
              <w:bottom w:val="single" w:sz="8" w:space="0" w:color="auto"/>
              <w:right w:val="single" w:sz="8" w:space="0" w:color="auto"/>
            </w:tcBorders>
          </w:tcPr>
          <w:p w14:paraId="640819ED" w14:textId="2BE9DC8B" w:rsidR="00767B90" w:rsidRPr="009D1459" w:rsidRDefault="00767B90" w:rsidP="72226B8F">
            <w:pPr>
              <w:rPr>
                <w:rFonts w:ascii="Times New Roman" w:eastAsia="Calibri" w:hAnsi="Times New Roman" w:cs="Times New Roman"/>
                <w:bCs/>
                <w:noProof/>
                <w:sz w:val="20"/>
                <w:szCs w:val="20"/>
              </w:rPr>
            </w:pPr>
            <w:r w:rsidRPr="00767B90">
              <w:rPr>
                <w:rFonts w:ascii="Times New Roman" w:eastAsia="Calibri" w:hAnsi="Times New Roman" w:cs="Times New Roman"/>
                <w:bCs/>
                <w:noProof/>
                <w:sz w:val="20"/>
                <w:szCs w:val="20"/>
              </w:rPr>
              <w:t>Improve tax collection through targeted measures in area</w:t>
            </w:r>
            <w:r>
              <w:rPr>
                <w:rFonts w:ascii="Times New Roman" w:eastAsia="Calibri" w:hAnsi="Times New Roman" w:cs="Times New Roman"/>
                <w:bCs/>
                <w:noProof/>
                <w:sz w:val="20"/>
                <w:szCs w:val="20"/>
              </w:rPr>
              <w:t>s such as fuel and labour taxes</w:t>
            </w:r>
            <w:r w:rsidR="0012794F">
              <w:rPr>
                <w:rFonts w:ascii="Times New Roman" w:eastAsia="Calibri" w:hAnsi="Times New Roman" w:cs="Times New Roman"/>
                <w:bCs/>
                <w:noProof/>
                <w:sz w:val="20"/>
                <w:szCs w:val="20"/>
              </w:rPr>
              <w:t>*</w:t>
            </w:r>
          </w:p>
        </w:tc>
        <w:tc>
          <w:tcPr>
            <w:tcW w:w="2118" w:type="dxa"/>
            <w:tcBorders>
              <w:top w:val="single" w:sz="8" w:space="0" w:color="auto"/>
              <w:left w:val="single" w:sz="8" w:space="0" w:color="auto"/>
              <w:bottom w:val="single" w:sz="8" w:space="0" w:color="auto"/>
              <w:right w:val="single" w:sz="8" w:space="0" w:color="auto"/>
            </w:tcBorders>
          </w:tcPr>
          <w:p w14:paraId="25D77AE2" w14:textId="3347DB76" w:rsidR="00767B90" w:rsidRPr="00E76013" w:rsidRDefault="00767B90" w:rsidP="6E4AAAE5">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2019.1.1</w:t>
            </w:r>
          </w:p>
        </w:tc>
        <w:tc>
          <w:tcPr>
            <w:tcW w:w="283" w:type="dxa"/>
            <w:tcBorders>
              <w:top w:val="single" w:sz="8" w:space="0" w:color="auto"/>
              <w:left w:val="single" w:sz="8" w:space="0" w:color="auto"/>
              <w:bottom w:val="single" w:sz="8" w:space="0" w:color="auto"/>
              <w:right w:val="single" w:sz="8" w:space="0" w:color="auto"/>
            </w:tcBorders>
          </w:tcPr>
          <w:p w14:paraId="5691E526"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610D3B9"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3E972FC8" w14:textId="77777777" w:rsidR="00767B90" w:rsidRPr="425483EB"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4910E1C0"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27B15147"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5887D20E" w14:textId="77777777" w:rsidR="00767B90" w:rsidRPr="00E76013" w:rsidRDefault="00767B90" w:rsidP="72226B8F">
            <w:pPr>
              <w:rPr>
                <w:rFonts w:ascii="Times New Roman" w:eastAsia="Calibri" w:hAnsi="Times New Roman" w:cs="Times New Roman"/>
                <w:noProof/>
              </w:rPr>
            </w:pPr>
          </w:p>
        </w:tc>
        <w:tc>
          <w:tcPr>
            <w:tcW w:w="288" w:type="dxa"/>
            <w:tcBorders>
              <w:top w:val="single" w:sz="8" w:space="0" w:color="auto"/>
              <w:left w:val="single" w:sz="8" w:space="0" w:color="auto"/>
              <w:bottom w:val="single" w:sz="8" w:space="0" w:color="auto"/>
              <w:right w:val="single" w:sz="8" w:space="0" w:color="auto"/>
            </w:tcBorders>
          </w:tcPr>
          <w:p w14:paraId="6D9244F1" w14:textId="77777777" w:rsidR="00767B90" w:rsidRPr="00E76013" w:rsidRDefault="00767B90" w:rsidP="006D182E">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1F6BB3EF"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01E29E56" w14:textId="77777777" w:rsidR="00767B90" w:rsidRPr="00E76013" w:rsidRDefault="00767B90" w:rsidP="72226B8F">
            <w:pPr>
              <w:rPr>
                <w:rFonts w:ascii="Times New Roman" w:eastAsia="Calibri" w:hAnsi="Times New Roman" w:cs="Times New Roman"/>
                <w:noProof/>
              </w:rPr>
            </w:pPr>
          </w:p>
        </w:tc>
        <w:tc>
          <w:tcPr>
            <w:tcW w:w="820" w:type="dxa"/>
            <w:tcBorders>
              <w:top w:val="single" w:sz="8" w:space="0" w:color="auto"/>
              <w:left w:val="single" w:sz="8" w:space="0" w:color="auto"/>
              <w:bottom w:val="single" w:sz="8" w:space="0" w:color="auto"/>
              <w:right w:val="single" w:sz="8" w:space="0" w:color="auto"/>
            </w:tcBorders>
          </w:tcPr>
          <w:p w14:paraId="6DE0F9CB" w14:textId="77777777" w:rsidR="00767B90" w:rsidRPr="00E76013" w:rsidRDefault="00767B90" w:rsidP="72226B8F">
            <w:pPr>
              <w:rPr>
                <w:rFonts w:ascii="Times New Roman" w:eastAsia="Calibri" w:hAnsi="Times New Roman" w:cs="Times New Roman"/>
                <w:noProof/>
              </w:rPr>
            </w:pPr>
          </w:p>
        </w:tc>
        <w:tc>
          <w:tcPr>
            <w:tcW w:w="283" w:type="dxa"/>
            <w:tcBorders>
              <w:top w:val="single" w:sz="8" w:space="0" w:color="auto"/>
              <w:left w:val="single" w:sz="8" w:space="0" w:color="auto"/>
              <w:bottom w:val="single" w:sz="8" w:space="0" w:color="auto"/>
              <w:right w:val="single" w:sz="8" w:space="0" w:color="auto"/>
            </w:tcBorders>
          </w:tcPr>
          <w:p w14:paraId="6ADBD58F" w14:textId="77777777" w:rsidR="00767B90" w:rsidRPr="00E76013" w:rsidRDefault="00767B90" w:rsidP="72226B8F">
            <w:pPr>
              <w:rPr>
                <w:rFonts w:ascii="Times New Roman" w:eastAsia="Calibri" w:hAnsi="Times New Roman" w:cs="Times New Roman"/>
                <w:noProof/>
              </w:rPr>
            </w:pPr>
          </w:p>
        </w:tc>
        <w:tc>
          <w:tcPr>
            <w:tcW w:w="330" w:type="dxa"/>
            <w:tcBorders>
              <w:top w:val="single" w:sz="8" w:space="0" w:color="auto"/>
              <w:left w:val="single" w:sz="8" w:space="0" w:color="auto"/>
              <w:bottom w:val="single" w:sz="8" w:space="0" w:color="auto"/>
              <w:right w:val="single" w:sz="8" w:space="0" w:color="auto"/>
            </w:tcBorders>
          </w:tcPr>
          <w:p w14:paraId="0E9CC69D" w14:textId="77777777" w:rsidR="00767B90" w:rsidRPr="00E76013" w:rsidRDefault="00767B90" w:rsidP="72226B8F">
            <w:pPr>
              <w:rPr>
                <w:rFonts w:ascii="Times New Roman" w:eastAsia="Calibri" w:hAnsi="Times New Roman" w:cs="Times New Roman"/>
                <w:noProof/>
              </w:rPr>
            </w:pPr>
          </w:p>
        </w:tc>
      </w:tr>
    </w:tbl>
    <w:p w14:paraId="25625A40" w14:textId="1B7A87A7" w:rsidR="0012794F" w:rsidRDefault="0056547E" w:rsidP="004F2DAB">
      <w:pPr>
        <w:spacing w:after="0" w:line="276" w:lineRule="auto"/>
        <w:jc w:val="both"/>
        <w:rPr>
          <w:rFonts w:ascii="Times New Roman" w:hAnsi="Times New Roman" w:cs="Times New Roman"/>
          <w:noProof/>
          <w:sz w:val="20"/>
          <w:szCs w:val="20"/>
        </w:rPr>
      </w:pPr>
      <w:r w:rsidRPr="009D1459">
        <w:rPr>
          <w:rFonts w:ascii="Times New Roman" w:hAnsi="Times New Roman" w:cs="Times New Roman"/>
          <w:noProof/>
          <w:sz w:val="20"/>
          <w:szCs w:val="20"/>
        </w:rPr>
        <w:t>Key: “●” investments and reforms of the component significantly address the challenge; “○” the component partially addresses the challenge</w:t>
      </w:r>
    </w:p>
    <w:p w14:paraId="46B2C598" w14:textId="2B376F70" w:rsidR="0012794F" w:rsidRPr="004F2DAB" w:rsidRDefault="0012794F" w:rsidP="0012794F">
      <w:pPr>
        <w:spacing w:line="276" w:lineRule="auto"/>
        <w:jc w:val="both"/>
        <w:rPr>
          <w:rFonts w:ascii="Times New Roman" w:hAnsi="Times New Roman" w:cs="Times New Roman"/>
          <w:noProof/>
          <w:sz w:val="20"/>
          <w:szCs w:val="20"/>
        </w:rPr>
      </w:pPr>
      <w:r>
        <w:rPr>
          <w:rFonts w:ascii="Times New Roman" w:hAnsi="Times New Roman" w:cs="Times New Roman"/>
          <w:noProof/>
          <w:sz w:val="20"/>
          <w:szCs w:val="20"/>
        </w:rPr>
        <w:t>* Some progress has been made with the recommendation and this area is covered outside of the Plan</w:t>
      </w:r>
    </w:p>
    <w:p w14:paraId="36999D28" w14:textId="77777777" w:rsidR="009D1459" w:rsidRPr="009D1459" w:rsidRDefault="009D1459" w:rsidP="00751CDF">
      <w:pPr>
        <w:spacing w:line="276" w:lineRule="auto"/>
        <w:jc w:val="both"/>
        <w:rPr>
          <w:rFonts w:ascii="Times New Roman" w:hAnsi="Times New Roman" w:cs="Times New Roman"/>
          <w:noProof/>
          <w:sz w:val="20"/>
          <w:szCs w:val="20"/>
        </w:rPr>
      </w:pPr>
    </w:p>
    <w:p w14:paraId="50F41C6C" w14:textId="3D8BDFE3" w:rsidR="005B610E" w:rsidRPr="004D1291" w:rsidRDefault="005B610E" w:rsidP="00E01A1F">
      <w:pPr>
        <w:pStyle w:val="Heading2"/>
        <w:numPr>
          <w:ilvl w:val="1"/>
          <w:numId w:val="7"/>
        </w:numPr>
        <w:spacing w:after="160" w:line="276" w:lineRule="auto"/>
        <w:rPr>
          <w:noProof/>
        </w:rPr>
      </w:pPr>
      <w:bookmarkStart w:id="285" w:name="_Toc62455202"/>
      <w:bookmarkStart w:id="286" w:name="_Toc99399071"/>
      <w:bookmarkStart w:id="287" w:name="_Toc99400004"/>
      <w:bookmarkStart w:id="288" w:name="_Toc99400432"/>
      <w:bookmarkStart w:id="289" w:name="_Toc99719447"/>
      <w:bookmarkStart w:id="290" w:name="_Toc99728660"/>
      <w:bookmarkStart w:id="291" w:name="_Toc99729654"/>
      <w:bookmarkStart w:id="292" w:name="_Toc99730631"/>
      <w:bookmarkStart w:id="293" w:name="_Toc99731355"/>
      <w:bookmarkStart w:id="294" w:name="_Toc99756894"/>
      <w:bookmarkStart w:id="295" w:name="_Toc99909924"/>
      <w:bookmarkStart w:id="296" w:name="_Toc62818225"/>
      <w:bookmarkStart w:id="297" w:name="_Toc62818772"/>
      <w:bookmarkStart w:id="298" w:name="_Toc63417221"/>
      <w:bookmarkStart w:id="299" w:name="_Toc63418911"/>
      <w:bookmarkStart w:id="300" w:name="_Toc63418936"/>
      <w:bookmarkStart w:id="301" w:name="_Toc64281622"/>
      <w:bookmarkStart w:id="302" w:name="_Toc98952826"/>
      <w:bookmarkStart w:id="303" w:name="_Toc98953997"/>
      <w:r w:rsidRPr="004D1291">
        <w:rPr>
          <w:noProof/>
        </w:rPr>
        <w:t>Growth</w:t>
      </w:r>
      <w:r w:rsidR="00694721" w:rsidRPr="004D1291">
        <w:rPr>
          <w:noProof/>
        </w:rPr>
        <w:t xml:space="preserve"> </w:t>
      </w:r>
      <w:r w:rsidRPr="004D1291">
        <w:rPr>
          <w:noProof/>
        </w:rPr>
        <w:t xml:space="preserve">potential, </w:t>
      </w:r>
      <w:r w:rsidR="00234FDF" w:rsidRPr="004D1291">
        <w:rPr>
          <w:noProof/>
        </w:rPr>
        <w:t>job creation, economic, institutional and social resilience</w:t>
      </w:r>
      <w:r w:rsidR="00247158" w:rsidRPr="004D1291">
        <w:rPr>
          <w:noProof/>
        </w:rPr>
        <w:t>, European Pillar of Social Rights, mitigating the impact of the crisis, and social territorial cohesion and convergence</w:t>
      </w:r>
      <w:bookmarkEnd w:id="285"/>
      <w:bookmarkEnd w:id="286"/>
      <w:bookmarkEnd w:id="287"/>
      <w:bookmarkEnd w:id="288"/>
      <w:bookmarkEnd w:id="289"/>
      <w:bookmarkEnd w:id="290"/>
      <w:bookmarkEnd w:id="291"/>
      <w:bookmarkEnd w:id="292"/>
      <w:bookmarkEnd w:id="293"/>
      <w:bookmarkEnd w:id="294"/>
      <w:bookmarkEnd w:id="295"/>
      <w:r w:rsidR="00824776" w:rsidRPr="004D1291">
        <w:rPr>
          <w:noProof/>
        </w:rPr>
        <w:t xml:space="preserve"> </w:t>
      </w:r>
      <w:bookmarkEnd w:id="296"/>
      <w:bookmarkEnd w:id="297"/>
      <w:bookmarkEnd w:id="298"/>
      <w:bookmarkEnd w:id="299"/>
      <w:bookmarkEnd w:id="300"/>
      <w:bookmarkEnd w:id="301"/>
      <w:bookmarkEnd w:id="302"/>
      <w:bookmarkEnd w:id="303"/>
    </w:p>
    <w:p w14:paraId="5318F83C" w14:textId="7A88E81A" w:rsidR="4135727D" w:rsidRPr="00E76013" w:rsidRDefault="4135727D" w:rsidP="00751CDF">
      <w:pPr>
        <w:spacing w:line="276" w:lineRule="auto"/>
        <w:jc w:val="both"/>
        <w:rPr>
          <w:rFonts w:ascii="Times New Roman" w:hAnsi="Times New Roman" w:cs="Times New Roman"/>
          <w:i/>
          <w:iCs/>
          <w:noProof/>
          <w:lang w:val="en-GB" w:eastAsia="en-GB"/>
        </w:rPr>
      </w:pPr>
      <w:r w:rsidRPr="00751CDF">
        <w:rPr>
          <w:rFonts w:ascii="Times New Roman" w:hAnsi="Times New Roman" w:cs="Times New Roman"/>
          <w:i/>
          <w:noProof/>
          <w:sz w:val="24"/>
          <w:szCs w:val="24"/>
          <w:lang w:val="en-GB" w:eastAsia="en-GB"/>
        </w:rPr>
        <w:t xml:space="preserve">Fostering economic </w:t>
      </w:r>
      <w:r w:rsidR="0B53A58C" w:rsidRPr="00751CDF">
        <w:rPr>
          <w:rFonts w:ascii="Times New Roman" w:hAnsi="Times New Roman" w:cs="Times New Roman"/>
          <w:i/>
          <w:noProof/>
          <w:sz w:val="24"/>
          <w:szCs w:val="24"/>
          <w:lang w:val="en-GB" w:eastAsia="en-GB"/>
        </w:rPr>
        <w:t>growth and jobs</w:t>
      </w:r>
    </w:p>
    <w:p w14:paraId="7571406D" w14:textId="0C0EF981" w:rsidR="6EC5DEE8" w:rsidRPr="00E76013" w:rsidRDefault="6C243BDC" w:rsidP="5AC46C55">
      <w:pPr>
        <w:spacing w:line="276" w:lineRule="auto"/>
        <w:jc w:val="both"/>
        <w:rPr>
          <w:rFonts w:ascii="Times New Roman" w:eastAsia="Times New Roman" w:hAnsi="Times New Roman" w:cs="Times New Roman"/>
          <w:noProof/>
          <w:sz w:val="24"/>
          <w:szCs w:val="24"/>
          <w:lang w:val="en-GB"/>
        </w:rPr>
      </w:pPr>
      <w:r w:rsidRPr="00751CDF">
        <w:rPr>
          <w:rFonts w:ascii="Times New Roman" w:hAnsi="Times New Roman"/>
          <w:b/>
          <w:noProof/>
          <w:sz w:val="24"/>
          <w:szCs w:val="24"/>
          <w:lang w:val="en-GB"/>
        </w:rPr>
        <w:t xml:space="preserve">The </w:t>
      </w:r>
      <w:r w:rsidR="00294AC2" w:rsidRPr="00751CDF">
        <w:rPr>
          <w:rFonts w:ascii="Times New Roman" w:hAnsi="Times New Roman"/>
          <w:b/>
          <w:noProof/>
          <w:sz w:val="24"/>
          <w:szCs w:val="24"/>
          <w:lang w:val="en-GB"/>
        </w:rPr>
        <w:t>P</w:t>
      </w:r>
      <w:r w:rsidRPr="00751CDF">
        <w:rPr>
          <w:rFonts w:ascii="Times New Roman" w:hAnsi="Times New Roman"/>
          <w:b/>
          <w:noProof/>
          <w:sz w:val="24"/>
          <w:szCs w:val="24"/>
          <w:lang w:val="en-GB"/>
        </w:rPr>
        <w:t xml:space="preserve">lan aims to accelerate the economic recovery in Bulgaria and to improve long-term growth </w:t>
      </w:r>
      <w:r w:rsidR="353CBCF2" w:rsidRPr="00751CDF">
        <w:rPr>
          <w:rFonts w:ascii="Times New Roman" w:hAnsi="Times New Roman"/>
          <w:b/>
          <w:noProof/>
          <w:sz w:val="24"/>
          <w:szCs w:val="24"/>
          <w:lang w:val="en-GB"/>
        </w:rPr>
        <w:t xml:space="preserve">through an ambitious agenda of </w:t>
      </w:r>
      <w:r w:rsidRPr="00751CDF">
        <w:rPr>
          <w:rFonts w:ascii="Times New Roman" w:hAnsi="Times New Roman"/>
          <w:b/>
          <w:noProof/>
          <w:sz w:val="24"/>
          <w:szCs w:val="24"/>
          <w:lang w:val="en-GB"/>
        </w:rPr>
        <w:t xml:space="preserve">investments and reforms. </w:t>
      </w:r>
      <w:r w:rsidRPr="00E76013">
        <w:rPr>
          <w:rFonts w:ascii="Times New Roman" w:eastAsia="Times New Roman" w:hAnsi="Times New Roman" w:cs="Times New Roman"/>
          <w:noProof/>
          <w:sz w:val="24"/>
          <w:szCs w:val="24"/>
          <w:lang w:val="en-GB"/>
        </w:rPr>
        <w:t xml:space="preserve">The </w:t>
      </w:r>
      <w:r w:rsidR="00294AC2"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w:t>
      </w:r>
      <w:r w:rsidR="353CBCF2" w:rsidRPr="00E76013">
        <w:rPr>
          <w:rFonts w:ascii="Times New Roman" w:eastAsia="Times New Roman" w:hAnsi="Times New Roman" w:cs="Times New Roman"/>
          <w:noProof/>
          <w:sz w:val="24"/>
          <w:szCs w:val="24"/>
          <w:lang w:val="en-GB"/>
        </w:rPr>
        <w:t>includes measures with the potential</w:t>
      </w:r>
      <w:r w:rsidRPr="00E76013">
        <w:rPr>
          <w:rFonts w:ascii="Times New Roman" w:eastAsia="Times New Roman" w:hAnsi="Times New Roman" w:cs="Times New Roman"/>
          <w:noProof/>
          <w:sz w:val="24"/>
          <w:szCs w:val="24"/>
          <w:lang w:val="en-GB"/>
        </w:rPr>
        <w:t xml:space="preserve"> to improve Bulgaria’s growth, job creation, and economic, social and institutional resilience. The </w:t>
      </w:r>
      <w:r w:rsidR="00970625"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also aims to contribute to the implementation of the European Pillar of Social Rights, including through the promotion of policies </w:t>
      </w:r>
      <w:r w:rsidR="353CBCF2" w:rsidRPr="00E76013">
        <w:rPr>
          <w:rFonts w:ascii="Times New Roman" w:eastAsia="Times New Roman" w:hAnsi="Times New Roman" w:cs="Times New Roman"/>
          <w:noProof/>
          <w:sz w:val="24"/>
          <w:szCs w:val="24"/>
          <w:lang w:val="en-GB"/>
        </w:rPr>
        <w:t>to foster social inclusion</w:t>
      </w:r>
      <w:r w:rsidRPr="00E76013">
        <w:rPr>
          <w:rFonts w:ascii="Times New Roman" w:eastAsia="Times New Roman" w:hAnsi="Times New Roman" w:cs="Times New Roman"/>
          <w:noProof/>
          <w:sz w:val="24"/>
          <w:szCs w:val="24"/>
          <w:lang w:val="en-GB"/>
        </w:rPr>
        <w:t xml:space="preserve">, and to mitigate the economic and social impact of the COVID-19 crisis, thereby enhancing the economic, social and territorial cohesion and </w:t>
      </w:r>
      <w:r w:rsidR="353CBCF2" w:rsidRPr="00E76013">
        <w:rPr>
          <w:rFonts w:ascii="Times New Roman" w:eastAsia="Times New Roman" w:hAnsi="Times New Roman" w:cs="Times New Roman"/>
          <w:noProof/>
          <w:sz w:val="24"/>
          <w:szCs w:val="24"/>
          <w:lang w:val="en-GB"/>
        </w:rPr>
        <w:t>institutional resilience</w:t>
      </w:r>
      <w:r w:rsidRPr="00E76013">
        <w:rPr>
          <w:rFonts w:ascii="Times New Roman" w:eastAsia="Times New Roman" w:hAnsi="Times New Roman" w:cs="Times New Roman"/>
          <w:noProof/>
          <w:sz w:val="24"/>
          <w:szCs w:val="24"/>
          <w:lang w:val="en-GB"/>
        </w:rPr>
        <w:t>.</w:t>
      </w:r>
    </w:p>
    <w:p w14:paraId="36D0484C" w14:textId="18A57728" w:rsidR="6C243BDC" w:rsidRPr="00E76013" w:rsidRDefault="00825C30" w:rsidP="5AC46C55">
      <w:pPr>
        <w:spacing w:line="276"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bCs/>
          <w:noProof/>
          <w:sz w:val="24"/>
          <w:szCs w:val="24"/>
          <w:lang w:val="en-GB"/>
        </w:rPr>
        <w:t>T</w:t>
      </w:r>
      <w:r w:rsidR="6C243BDC" w:rsidRPr="00E76013">
        <w:rPr>
          <w:rFonts w:ascii="Times New Roman" w:eastAsia="Times New Roman" w:hAnsi="Times New Roman" w:cs="Times New Roman"/>
          <w:b/>
          <w:bCs/>
          <w:noProof/>
          <w:sz w:val="24"/>
          <w:szCs w:val="24"/>
          <w:lang w:val="en-GB"/>
        </w:rPr>
        <w:t xml:space="preserve">he </w:t>
      </w:r>
      <w:r w:rsidR="00765E66" w:rsidRPr="00E76013">
        <w:rPr>
          <w:rFonts w:ascii="Times New Roman" w:eastAsia="Times New Roman" w:hAnsi="Times New Roman" w:cs="Times New Roman"/>
          <w:b/>
          <w:bCs/>
          <w:noProof/>
          <w:sz w:val="24"/>
          <w:szCs w:val="24"/>
          <w:lang w:val="en-GB"/>
        </w:rPr>
        <w:t>P</w:t>
      </w:r>
      <w:r w:rsidR="6C243BDC" w:rsidRPr="00E76013">
        <w:rPr>
          <w:rFonts w:ascii="Times New Roman" w:eastAsia="Times New Roman" w:hAnsi="Times New Roman" w:cs="Times New Roman"/>
          <w:b/>
          <w:bCs/>
          <w:noProof/>
          <w:sz w:val="24"/>
          <w:szCs w:val="24"/>
          <w:lang w:val="en-GB"/>
        </w:rPr>
        <w:t xml:space="preserve">lan is designed to support economic growth and job creation through </w:t>
      </w:r>
      <w:r w:rsidR="353CBCF2" w:rsidRPr="00E76013">
        <w:rPr>
          <w:rFonts w:ascii="Times New Roman" w:eastAsia="Times New Roman" w:hAnsi="Times New Roman" w:cs="Times New Roman"/>
          <w:b/>
          <w:bCs/>
          <w:noProof/>
          <w:sz w:val="24"/>
          <w:szCs w:val="24"/>
          <w:lang w:val="en-GB"/>
        </w:rPr>
        <w:t xml:space="preserve">a number of </w:t>
      </w:r>
      <w:r w:rsidR="6C243BDC" w:rsidRPr="00E76013">
        <w:rPr>
          <w:rFonts w:ascii="Times New Roman" w:eastAsia="Times New Roman" w:hAnsi="Times New Roman" w:cs="Times New Roman"/>
          <w:b/>
          <w:bCs/>
          <w:noProof/>
          <w:sz w:val="24"/>
          <w:szCs w:val="24"/>
          <w:lang w:val="en-GB"/>
        </w:rPr>
        <w:t>investments and reforms</w:t>
      </w:r>
      <w:r w:rsidR="353CBCF2" w:rsidRPr="00E76013">
        <w:rPr>
          <w:rFonts w:ascii="Times New Roman" w:eastAsia="Times New Roman" w:hAnsi="Times New Roman" w:cs="Times New Roman"/>
          <w:b/>
          <w:bCs/>
          <w:noProof/>
          <w:sz w:val="24"/>
          <w:szCs w:val="24"/>
          <w:lang w:val="en-GB"/>
        </w:rPr>
        <w:t>.</w:t>
      </w:r>
      <w:r w:rsidR="353CBCF2" w:rsidRPr="00E76013">
        <w:rPr>
          <w:rFonts w:ascii="Times New Roman" w:eastAsia="Times New Roman" w:hAnsi="Times New Roman" w:cs="Times New Roman"/>
          <w:noProof/>
          <w:sz w:val="24"/>
          <w:szCs w:val="24"/>
          <w:lang w:val="en-GB"/>
        </w:rPr>
        <w:t xml:space="preserve"> </w:t>
      </w:r>
      <w:r w:rsidRPr="00825C30">
        <w:rPr>
          <w:rFonts w:ascii="Times New Roman" w:eastAsia="Times New Roman" w:hAnsi="Times New Roman" w:cs="Times New Roman"/>
          <w:noProof/>
          <w:sz w:val="24"/>
          <w:szCs w:val="24"/>
          <w:lang w:val="en-GB"/>
        </w:rPr>
        <w:t xml:space="preserve">According to the Bulgarian authorities, </w:t>
      </w:r>
      <w:r>
        <w:rPr>
          <w:rFonts w:ascii="Times New Roman" w:eastAsia="Times New Roman" w:hAnsi="Times New Roman" w:cs="Times New Roman"/>
          <w:noProof/>
          <w:sz w:val="24"/>
          <w:szCs w:val="24"/>
          <w:lang w:val="en-GB"/>
        </w:rPr>
        <w:t>m</w:t>
      </w:r>
      <w:r w:rsidR="6C243BDC" w:rsidRPr="00E76013">
        <w:rPr>
          <w:rFonts w:ascii="Times New Roman" w:eastAsia="Times New Roman" w:hAnsi="Times New Roman" w:cs="Times New Roman"/>
          <w:noProof/>
          <w:sz w:val="24"/>
          <w:szCs w:val="24"/>
          <w:lang w:val="en-GB"/>
        </w:rPr>
        <w:t xml:space="preserve">easures envisaged under the </w:t>
      </w:r>
      <w:r w:rsidR="00765E66" w:rsidRPr="00E76013">
        <w:rPr>
          <w:rFonts w:ascii="Times New Roman" w:eastAsia="Times New Roman" w:hAnsi="Times New Roman" w:cs="Times New Roman"/>
          <w:noProof/>
          <w:sz w:val="24"/>
          <w:szCs w:val="24"/>
          <w:lang w:val="en-GB"/>
        </w:rPr>
        <w:t>P</w:t>
      </w:r>
      <w:r w:rsidR="6C243BDC" w:rsidRPr="00E76013">
        <w:rPr>
          <w:rFonts w:ascii="Times New Roman" w:eastAsia="Times New Roman" w:hAnsi="Times New Roman" w:cs="Times New Roman"/>
          <w:noProof/>
          <w:sz w:val="24"/>
          <w:szCs w:val="24"/>
          <w:lang w:val="en-GB"/>
        </w:rPr>
        <w:t xml:space="preserve">lan are also expected to have significant positive economic </w:t>
      </w:r>
      <w:r w:rsidR="6C243BDC" w:rsidRPr="5AC46C55">
        <w:rPr>
          <w:rFonts w:ascii="Times New Roman" w:eastAsia="Times New Roman" w:hAnsi="Times New Roman" w:cs="Times New Roman"/>
          <w:noProof/>
          <w:sz w:val="24"/>
          <w:szCs w:val="24"/>
          <w:lang w:val="en-GB"/>
        </w:rPr>
        <w:t>impacts</w:t>
      </w:r>
      <w:r w:rsidR="001F51A5">
        <w:rPr>
          <w:rFonts w:ascii="Times New Roman" w:eastAsia="Times New Roman" w:hAnsi="Times New Roman" w:cs="Times New Roman"/>
          <w:noProof/>
          <w:sz w:val="24"/>
          <w:szCs w:val="24"/>
          <w:lang w:val="en-GB"/>
        </w:rPr>
        <w:t xml:space="preserve"> in </w:t>
      </w:r>
      <w:r w:rsidR="00E3459B">
        <w:rPr>
          <w:rFonts w:ascii="Times New Roman" w:eastAsia="Times New Roman" w:hAnsi="Times New Roman" w:cs="Times New Roman"/>
          <w:noProof/>
          <w:sz w:val="24"/>
          <w:szCs w:val="24"/>
          <w:lang w:val="en-GB"/>
        </w:rPr>
        <w:t>t</w:t>
      </w:r>
      <w:r w:rsidR="001F51A5">
        <w:rPr>
          <w:rFonts w:ascii="Times New Roman" w:eastAsia="Times New Roman" w:hAnsi="Times New Roman" w:cs="Times New Roman"/>
          <w:noProof/>
          <w:sz w:val="24"/>
          <w:szCs w:val="24"/>
          <w:lang w:val="en-GB"/>
        </w:rPr>
        <w:t xml:space="preserve">he </w:t>
      </w:r>
      <w:r w:rsidR="00E3459B">
        <w:rPr>
          <w:rFonts w:ascii="Times New Roman" w:eastAsia="Times New Roman" w:hAnsi="Times New Roman" w:cs="Times New Roman"/>
          <w:noProof/>
          <w:sz w:val="24"/>
          <w:szCs w:val="24"/>
          <w:lang w:val="en-GB"/>
        </w:rPr>
        <w:t xml:space="preserve">coming </w:t>
      </w:r>
      <w:r w:rsidR="001F51A5">
        <w:rPr>
          <w:rFonts w:ascii="Times New Roman" w:eastAsia="Times New Roman" w:hAnsi="Times New Roman" w:cs="Times New Roman"/>
          <w:noProof/>
          <w:sz w:val="24"/>
          <w:szCs w:val="24"/>
          <w:lang w:val="en-GB"/>
        </w:rPr>
        <w:t>years and also in the long term</w:t>
      </w:r>
      <w:r w:rsidR="6C243BDC" w:rsidRPr="00E76013">
        <w:rPr>
          <w:rFonts w:ascii="Times New Roman" w:eastAsia="Times New Roman" w:hAnsi="Times New Roman" w:cs="Times New Roman"/>
          <w:noProof/>
          <w:sz w:val="24"/>
          <w:szCs w:val="24"/>
          <w:lang w:val="en-GB"/>
        </w:rPr>
        <w:t xml:space="preserve">. The main contributions to both economic growth and employment, as presented by the authorities, are expected to come from investments and reforms in the Low Carbon Economy and the Smart Industry components. </w:t>
      </w:r>
      <w:r w:rsidR="455FE4AB" w:rsidRPr="00E76013">
        <w:rPr>
          <w:rFonts w:ascii="Times New Roman" w:eastAsia="Times New Roman" w:hAnsi="Times New Roman" w:cs="Times New Roman"/>
          <w:noProof/>
          <w:sz w:val="24"/>
          <w:szCs w:val="24"/>
          <w:lang w:val="en-GB"/>
        </w:rPr>
        <w:t xml:space="preserve">In addition, the Business Environment component should also contribute to strengthen the economic growth </w:t>
      </w:r>
      <w:r w:rsidR="271C82C8" w:rsidRPr="00E76013">
        <w:rPr>
          <w:rFonts w:ascii="Times New Roman" w:eastAsia="Times New Roman" w:hAnsi="Times New Roman" w:cs="Times New Roman"/>
          <w:noProof/>
          <w:sz w:val="24"/>
          <w:szCs w:val="24"/>
          <w:lang w:val="en-GB"/>
        </w:rPr>
        <w:t xml:space="preserve">through the improvement of the institutional framework, including the digitalisation of the public administration and the construction sector, and other </w:t>
      </w:r>
      <w:r w:rsidR="4840EAB9" w:rsidRPr="00E76013">
        <w:rPr>
          <w:rFonts w:ascii="Times New Roman" w:eastAsia="Times New Roman" w:hAnsi="Times New Roman" w:cs="Times New Roman"/>
          <w:noProof/>
          <w:sz w:val="24"/>
          <w:szCs w:val="24"/>
          <w:lang w:val="en-GB"/>
        </w:rPr>
        <w:t>reforms and investment</w:t>
      </w:r>
      <w:r w:rsidR="271C82C8" w:rsidRPr="00E76013">
        <w:rPr>
          <w:rFonts w:ascii="Times New Roman" w:eastAsia="Times New Roman" w:hAnsi="Times New Roman" w:cs="Times New Roman"/>
          <w:noProof/>
          <w:sz w:val="24"/>
          <w:szCs w:val="24"/>
          <w:lang w:val="en-GB"/>
        </w:rPr>
        <w:t>s aimed at increasing the efficiency and quality of processes in areas such as justice, the fight against corruption, the governance of state owned enterprises, anti-money laundering, insolvency procedures, public procurement, and audit and control mechanisms.</w:t>
      </w:r>
    </w:p>
    <w:p w14:paraId="47858D21" w14:textId="4380E24A" w:rsidR="15AE1A2E" w:rsidRPr="00E76013" w:rsidRDefault="15AE1A2E"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Policies related to education and skills largely </w:t>
      </w:r>
      <w:r w:rsidR="41F2EFB7" w:rsidRPr="00E76013">
        <w:rPr>
          <w:rFonts w:ascii="Times New Roman" w:eastAsia="Times New Roman" w:hAnsi="Times New Roman" w:cs="Times New Roman"/>
          <w:b/>
          <w:bCs/>
          <w:noProof/>
          <w:sz w:val="24"/>
          <w:szCs w:val="24"/>
          <w:lang w:val="en-GB"/>
        </w:rPr>
        <w:t>aim</w:t>
      </w:r>
      <w:r w:rsidRPr="00E76013">
        <w:rPr>
          <w:rFonts w:ascii="Times New Roman" w:eastAsia="Times New Roman" w:hAnsi="Times New Roman" w:cs="Times New Roman"/>
          <w:b/>
          <w:bCs/>
          <w:noProof/>
          <w:sz w:val="24"/>
          <w:szCs w:val="24"/>
          <w:lang w:val="en-GB"/>
        </w:rPr>
        <w:t xml:space="preserve"> at achieving the objectives of increasing socio</w:t>
      </w:r>
      <w:r w:rsidR="00C32018">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bCs/>
          <w:noProof/>
          <w:sz w:val="24"/>
          <w:szCs w:val="24"/>
          <w:lang w:val="en-GB"/>
        </w:rPr>
        <w:t xml:space="preserve">economic resilience and </w:t>
      </w:r>
      <w:r w:rsidR="41F2EFB7" w:rsidRPr="00E76013">
        <w:rPr>
          <w:rFonts w:ascii="Times New Roman" w:eastAsia="Times New Roman" w:hAnsi="Times New Roman" w:cs="Times New Roman"/>
          <w:b/>
          <w:bCs/>
          <w:noProof/>
          <w:sz w:val="24"/>
          <w:szCs w:val="24"/>
          <w:lang w:val="en-GB"/>
        </w:rPr>
        <w:t xml:space="preserve">fostering </w:t>
      </w:r>
      <w:r w:rsidRPr="00E76013">
        <w:rPr>
          <w:rFonts w:ascii="Times New Roman" w:eastAsia="Times New Roman" w:hAnsi="Times New Roman" w:cs="Times New Roman"/>
          <w:b/>
          <w:bCs/>
          <w:noProof/>
          <w:sz w:val="24"/>
          <w:szCs w:val="24"/>
          <w:lang w:val="en-GB"/>
        </w:rPr>
        <w:t xml:space="preserve">productivity growth through the </w:t>
      </w:r>
      <w:r w:rsidR="41F2EFB7" w:rsidRPr="00E76013">
        <w:rPr>
          <w:rFonts w:ascii="Times New Roman" w:eastAsia="Times New Roman" w:hAnsi="Times New Roman" w:cs="Times New Roman"/>
          <w:b/>
          <w:bCs/>
          <w:noProof/>
          <w:sz w:val="24"/>
          <w:szCs w:val="24"/>
          <w:lang w:val="en-GB"/>
        </w:rPr>
        <w:t>acquisition</w:t>
      </w:r>
      <w:r w:rsidRPr="00E76013">
        <w:rPr>
          <w:rFonts w:ascii="Times New Roman" w:eastAsia="Times New Roman" w:hAnsi="Times New Roman" w:cs="Times New Roman"/>
          <w:b/>
          <w:bCs/>
          <w:noProof/>
          <w:sz w:val="24"/>
          <w:szCs w:val="24"/>
          <w:lang w:val="en-GB"/>
        </w:rPr>
        <w:t xml:space="preserve"> of skills, including digital</w:t>
      </w:r>
      <w:r w:rsidRPr="00E76013">
        <w:rPr>
          <w:rFonts w:ascii="Times New Roman" w:eastAsia="Times New Roman" w:hAnsi="Times New Roman" w:cs="Times New Roman"/>
          <w:noProof/>
          <w:sz w:val="24"/>
          <w:szCs w:val="24"/>
          <w:lang w:val="en-GB"/>
        </w:rPr>
        <w:t>. Key policies include, among others, the enhancement of higher education with the aim of addressing labour market shortages, the development of a platform for adult learning</w:t>
      </w:r>
      <w:r w:rsidR="41F2EFB7" w:rsidRPr="00E76013">
        <w:rPr>
          <w:rFonts w:ascii="Times New Roman" w:eastAsia="Times New Roman" w:hAnsi="Times New Roman" w:cs="Times New Roman"/>
          <w:noProof/>
          <w:sz w:val="24"/>
          <w:szCs w:val="24"/>
          <w:lang w:val="en-GB"/>
        </w:rPr>
        <w:t xml:space="preserve"> linked to the public employment services and the establishment of youth </w:t>
      </w:r>
      <w:r w:rsidR="003A0DE1" w:rsidRPr="00E76013">
        <w:rPr>
          <w:rFonts w:ascii="Times New Roman" w:eastAsia="Times New Roman" w:hAnsi="Times New Roman" w:cs="Times New Roman"/>
          <w:noProof/>
          <w:sz w:val="24"/>
          <w:szCs w:val="24"/>
          <w:lang w:val="en-GB"/>
        </w:rPr>
        <w:t>centres</w:t>
      </w:r>
      <w:r w:rsidR="41F2EFB7" w:rsidRPr="00E76013">
        <w:rPr>
          <w:rFonts w:ascii="Times New Roman" w:eastAsia="Times New Roman" w:hAnsi="Times New Roman" w:cs="Times New Roman"/>
          <w:noProof/>
          <w:sz w:val="24"/>
          <w:szCs w:val="24"/>
          <w:lang w:val="en-GB"/>
        </w:rPr>
        <w:t>, which target the inclusion in the labour market of young people, with a focus on young people from vulnerable groups, including Roma. Those measures</w:t>
      </w:r>
      <w:r w:rsidRPr="00E76013">
        <w:rPr>
          <w:rFonts w:ascii="Times New Roman" w:eastAsia="Times New Roman" w:hAnsi="Times New Roman" w:cs="Times New Roman"/>
          <w:noProof/>
          <w:sz w:val="24"/>
          <w:szCs w:val="24"/>
          <w:lang w:val="en-GB"/>
        </w:rPr>
        <w:t xml:space="preserve"> should contribute to strengthen the employability and productivity of the workforce, </w:t>
      </w:r>
      <w:r w:rsidR="41F2EFB7" w:rsidRPr="00E76013">
        <w:rPr>
          <w:rFonts w:ascii="Times New Roman" w:eastAsia="Times New Roman" w:hAnsi="Times New Roman" w:cs="Times New Roman"/>
          <w:noProof/>
          <w:sz w:val="24"/>
          <w:szCs w:val="24"/>
          <w:lang w:val="en-GB"/>
        </w:rPr>
        <w:t xml:space="preserve">including of vulnerable groups, thus </w:t>
      </w:r>
      <w:r w:rsidRPr="00E76013">
        <w:rPr>
          <w:rFonts w:ascii="Times New Roman" w:eastAsia="Times New Roman" w:hAnsi="Times New Roman" w:cs="Times New Roman"/>
          <w:noProof/>
          <w:sz w:val="24"/>
          <w:szCs w:val="24"/>
          <w:lang w:val="en-GB"/>
        </w:rPr>
        <w:t>enhancing economic growth.</w:t>
      </w:r>
    </w:p>
    <w:p w14:paraId="129770DC" w14:textId="7214C679" w:rsidR="6C243BDC" w:rsidRPr="00E76013"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Investment and policies under the low carbon economy component aim to reduce the carbon footprint and energy intensity of the economy. </w:t>
      </w:r>
      <w:r w:rsidRPr="00E76013">
        <w:rPr>
          <w:rFonts w:ascii="Times New Roman" w:eastAsia="Times New Roman" w:hAnsi="Times New Roman" w:cs="Times New Roman"/>
          <w:noProof/>
          <w:sz w:val="24"/>
          <w:szCs w:val="24"/>
          <w:lang w:val="en-GB"/>
        </w:rPr>
        <w:t xml:space="preserve">Envisaged measures </w:t>
      </w:r>
      <w:r w:rsidR="022A0FC6" w:rsidRPr="00E76013">
        <w:rPr>
          <w:rFonts w:ascii="Times New Roman" w:eastAsia="Times New Roman" w:hAnsi="Times New Roman" w:cs="Times New Roman"/>
          <w:noProof/>
          <w:sz w:val="24"/>
          <w:szCs w:val="24"/>
          <w:lang w:val="en-GB"/>
        </w:rPr>
        <w:t>should</w:t>
      </w:r>
      <w:r w:rsidRPr="00E76013">
        <w:rPr>
          <w:rFonts w:ascii="Times New Roman" w:eastAsia="Times New Roman" w:hAnsi="Times New Roman" w:cs="Times New Roman"/>
          <w:noProof/>
          <w:sz w:val="24"/>
          <w:szCs w:val="24"/>
          <w:lang w:val="en-GB"/>
        </w:rPr>
        <w:t xml:space="preserve"> facilitate the green transition by improving the energy efficiency of residential, public and business buildings, as well as by promoting renewable energy production. Key policies include, among </w:t>
      </w:r>
      <w:r w:rsidR="022A0FC6" w:rsidRPr="00E76013">
        <w:rPr>
          <w:rFonts w:ascii="Times New Roman" w:eastAsia="Times New Roman" w:hAnsi="Times New Roman" w:cs="Times New Roman"/>
          <w:noProof/>
          <w:sz w:val="24"/>
          <w:szCs w:val="24"/>
          <w:lang w:val="en-GB"/>
        </w:rPr>
        <w:t>others</w:t>
      </w:r>
      <w:r w:rsidRPr="00E76013">
        <w:rPr>
          <w:rFonts w:ascii="Times New Roman" w:eastAsia="Times New Roman" w:hAnsi="Times New Roman" w:cs="Times New Roman"/>
          <w:noProof/>
          <w:sz w:val="24"/>
          <w:szCs w:val="24"/>
          <w:lang w:val="en-GB"/>
        </w:rPr>
        <w:t xml:space="preserve">, a scheme to support the decarbonisation process through substantial investments and reforms, to accelerate deployment of renewables to reduce emission and replace coal and lignite, as well as the completion of the ongoing electricity market reform towards full liberalization. These should ultimately improve the country’s competitiveness and growth potential and should also help to meet climate goals. Furthermore, policies under low carbon economy component </w:t>
      </w:r>
      <w:r w:rsidR="022A0FC6" w:rsidRPr="00E76013">
        <w:rPr>
          <w:rFonts w:ascii="Times New Roman" w:eastAsia="Times New Roman" w:hAnsi="Times New Roman" w:cs="Times New Roman"/>
          <w:noProof/>
          <w:sz w:val="24"/>
          <w:szCs w:val="24"/>
          <w:lang w:val="en-GB"/>
        </w:rPr>
        <w:t>would</w:t>
      </w:r>
      <w:r w:rsidRPr="00E76013">
        <w:rPr>
          <w:rFonts w:ascii="Times New Roman" w:eastAsia="Times New Roman" w:hAnsi="Times New Roman" w:cs="Times New Roman"/>
          <w:noProof/>
          <w:sz w:val="24"/>
          <w:szCs w:val="24"/>
          <w:lang w:val="en-GB"/>
        </w:rPr>
        <w:t xml:space="preserve"> also lead to long-term positive effects on the economy. Reducing energy costs for consumers and businesses will result in savings of financial resources freed to be invested in other sectors of the economy or reinvested.</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planned interventions </w:t>
      </w:r>
      <w:r w:rsidR="022A0FC6" w:rsidRPr="00E76013">
        <w:rPr>
          <w:rFonts w:ascii="Times New Roman" w:eastAsia="Times New Roman" w:hAnsi="Times New Roman" w:cs="Times New Roman"/>
          <w:noProof/>
          <w:sz w:val="24"/>
          <w:szCs w:val="24"/>
          <w:lang w:val="en-GB"/>
        </w:rPr>
        <w:t>should</w:t>
      </w:r>
      <w:r w:rsidRPr="00E76013">
        <w:rPr>
          <w:rFonts w:ascii="Times New Roman" w:eastAsia="Times New Roman" w:hAnsi="Times New Roman" w:cs="Times New Roman"/>
          <w:noProof/>
          <w:sz w:val="24"/>
          <w:szCs w:val="24"/>
          <w:lang w:val="en-GB"/>
        </w:rPr>
        <w:t xml:space="preserve"> also increase social sustainability in many aspects through improving the living conditions of households and quality of life of population in terms of reduced air pollution.</w:t>
      </w:r>
    </w:p>
    <w:p w14:paraId="2AE5099A" w14:textId="030097CA" w:rsidR="6C243BDC" w:rsidRPr="00E76013"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Investments and policies under the smart industry component aim </w:t>
      </w:r>
      <w:r w:rsidR="00CB101A" w:rsidRPr="00E76013">
        <w:rPr>
          <w:rFonts w:ascii="Times New Roman" w:eastAsia="Times New Roman" w:hAnsi="Times New Roman" w:cs="Times New Roman"/>
          <w:b/>
          <w:bCs/>
          <w:noProof/>
          <w:sz w:val="24"/>
          <w:szCs w:val="24"/>
          <w:lang w:val="en-GB"/>
        </w:rPr>
        <w:t xml:space="preserve">at </w:t>
      </w:r>
      <w:r w:rsidRPr="00E76013">
        <w:rPr>
          <w:rFonts w:ascii="Times New Roman" w:eastAsia="Times New Roman" w:hAnsi="Times New Roman" w:cs="Times New Roman"/>
          <w:b/>
          <w:bCs/>
          <w:noProof/>
          <w:sz w:val="24"/>
          <w:szCs w:val="24"/>
          <w:lang w:val="en-GB"/>
        </w:rPr>
        <w:t xml:space="preserve">supporting businesses in the twin transition. </w:t>
      </w:r>
      <w:r w:rsidRPr="00E76013">
        <w:rPr>
          <w:rFonts w:ascii="Times New Roman" w:eastAsia="Times New Roman" w:hAnsi="Times New Roman" w:cs="Times New Roman"/>
          <w:noProof/>
          <w:sz w:val="24"/>
          <w:szCs w:val="24"/>
          <w:lang w:val="en-GB"/>
        </w:rPr>
        <w:t xml:space="preserve">Envisaged measures </w:t>
      </w:r>
      <w:r w:rsidR="022A0FC6" w:rsidRPr="00E76013">
        <w:rPr>
          <w:rFonts w:ascii="Times New Roman" w:eastAsia="Times New Roman" w:hAnsi="Times New Roman" w:cs="Times New Roman"/>
          <w:noProof/>
          <w:sz w:val="24"/>
          <w:szCs w:val="24"/>
          <w:lang w:val="en-GB"/>
        </w:rPr>
        <w:t>should</w:t>
      </w:r>
      <w:r w:rsidRPr="00E76013">
        <w:rPr>
          <w:rFonts w:ascii="Times New Roman" w:eastAsia="Times New Roman" w:hAnsi="Times New Roman" w:cs="Times New Roman"/>
          <w:noProof/>
          <w:sz w:val="24"/>
          <w:szCs w:val="24"/>
          <w:lang w:val="en-GB"/>
        </w:rPr>
        <w:t xml:space="preserve"> facilitate the decarbonisation of the economy and contribute to attracting industrial investment and developing industrial ecosystems, as well as supporting the development of industrial parks and improving their infrastructure connectivity. Key policies include, among others, a mechanism to attract industrial investment and develop industrial ecosystems and a public support programme for the development of industrial districts, parks and similar territories. These </w:t>
      </w:r>
      <w:r w:rsidR="022A0FC6" w:rsidRPr="00E76013">
        <w:rPr>
          <w:rFonts w:ascii="Times New Roman" w:eastAsia="Times New Roman" w:hAnsi="Times New Roman" w:cs="Times New Roman"/>
          <w:noProof/>
          <w:sz w:val="24"/>
          <w:szCs w:val="24"/>
          <w:lang w:val="en-GB"/>
        </w:rPr>
        <w:t>should</w:t>
      </w:r>
      <w:r w:rsidRPr="00E76013">
        <w:rPr>
          <w:rFonts w:ascii="Times New Roman" w:eastAsia="Times New Roman" w:hAnsi="Times New Roman" w:cs="Times New Roman"/>
          <w:noProof/>
          <w:sz w:val="24"/>
          <w:szCs w:val="24"/>
          <w:lang w:val="en-GB"/>
        </w:rPr>
        <w:t xml:space="preserve"> contribute to </w:t>
      </w:r>
      <w:r w:rsidR="001A673A" w:rsidRPr="00E76013">
        <w:rPr>
          <w:rFonts w:ascii="Times New Roman" w:eastAsia="Times New Roman" w:hAnsi="Times New Roman" w:cs="Times New Roman"/>
          <w:noProof/>
          <w:sz w:val="24"/>
          <w:szCs w:val="24"/>
          <w:lang w:val="en-GB"/>
        </w:rPr>
        <w:t>increas</w:t>
      </w:r>
      <w:r w:rsidR="001A673A">
        <w:rPr>
          <w:rFonts w:ascii="Times New Roman" w:eastAsia="Times New Roman" w:hAnsi="Times New Roman" w:cs="Times New Roman"/>
          <w:noProof/>
          <w:sz w:val="24"/>
          <w:szCs w:val="24"/>
          <w:lang w:val="en-GB"/>
        </w:rPr>
        <w:t>ing</w:t>
      </w:r>
      <w:r w:rsidRPr="00E76013">
        <w:rPr>
          <w:rFonts w:ascii="Times New Roman" w:eastAsia="Times New Roman" w:hAnsi="Times New Roman" w:cs="Times New Roman"/>
          <w:noProof/>
          <w:sz w:val="24"/>
          <w:szCs w:val="24"/>
          <w:lang w:val="en-GB"/>
        </w:rPr>
        <w:t xml:space="preserve"> the productivity of </w:t>
      </w:r>
      <w:r w:rsidR="001A673A">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Bulgarian enterprises. </w:t>
      </w:r>
    </w:p>
    <w:p w14:paraId="4EEB199D" w14:textId="5EF6E159" w:rsidR="6C243BDC" w:rsidRPr="00E76013"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Other components are expected to play a substantial role on mitigating the socia</w:t>
      </w:r>
      <w:r w:rsidR="00751CDF">
        <w:rPr>
          <w:rFonts w:ascii="Times New Roman" w:eastAsia="Times New Roman" w:hAnsi="Times New Roman" w:cs="Times New Roman"/>
          <w:b/>
          <w:bCs/>
          <w:noProof/>
          <w:sz w:val="24"/>
          <w:szCs w:val="24"/>
          <w:lang w:val="en-GB"/>
        </w:rPr>
        <w:t>l impact of the COVID-19 crisis</w:t>
      </w:r>
      <w:r w:rsidRPr="00E76013">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noProof/>
          <w:sz w:val="24"/>
          <w:szCs w:val="24"/>
          <w:lang w:val="en-GB"/>
        </w:rPr>
        <w:t xml:space="preserve"> This is notably the case </w:t>
      </w:r>
      <w:r w:rsidR="353CBCF2" w:rsidRPr="00E76013">
        <w:rPr>
          <w:rFonts w:ascii="Times New Roman" w:eastAsia="Times New Roman" w:hAnsi="Times New Roman" w:cs="Times New Roman"/>
          <w:noProof/>
          <w:sz w:val="24"/>
          <w:szCs w:val="24"/>
          <w:lang w:val="en-GB"/>
        </w:rPr>
        <w:t>for</w:t>
      </w:r>
      <w:r w:rsidRPr="00E76013">
        <w:rPr>
          <w:rFonts w:ascii="Times New Roman" w:eastAsia="Times New Roman" w:hAnsi="Times New Roman" w:cs="Times New Roman"/>
          <w:noProof/>
          <w:sz w:val="24"/>
          <w:szCs w:val="24"/>
          <w:lang w:val="en-GB"/>
        </w:rPr>
        <w:t xml:space="preserve"> social inclusion</w:t>
      </w:r>
      <w:r w:rsidR="353CBCF2"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where the pandemic showed that the degree of resilience to shocks of </w:t>
      </w:r>
      <w:r w:rsidR="353CBCF2" w:rsidRPr="00E76013">
        <w:rPr>
          <w:rFonts w:ascii="Times New Roman" w:eastAsia="Times New Roman" w:hAnsi="Times New Roman" w:cs="Times New Roman"/>
          <w:noProof/>
          <w:sz w:val="24"/>
          <w:szCs w:val="24"/>
          <w:lang w:val="en-GB"/>
        </w:rPr>
        <w:t>the social protection</w:t>
      </w:r>
      <w:r w:rsidRPr="00E76013">
        <w:rPr>
          <w:rFonts w:ascii="Times New Roman" w:eastAsia="Times New Roman" w:hAnsi="Times New Roman" w:cs="Times New Roman"/>
          <w:noProof/>
          <w:sz w:val="24"/>
          <w:szCs w:val="24"/>
          <w:lang w:val="en-GB"/>
        </w:rPr>
        <w:t xml:space="preserve"> systems in the country is not sufficient to fully ensure adequate support and assistance to </w:t>
      </w:r>
      <w:r w:rsidR="353CBCF2" w:rsidRPr="00E76013">
        <w:rPr>
          <w:rFonts w:ascii="Times New Roman" w:eastAsia="Times New Roman" w:hAnsi="Times New Roman" w:cs="Times New Roman"/>
          <w:noProof/>
          <w:sz w:val="24"/>
          <w:szCs w:val="24"/>
          <w:lang w:val="en-GB"/>
        </w:rPr>
        <w:t>all</w:t>
      </w:r>
      <w:r w:rsidRPr="00E76013">
        <w:rPr>
          <w:rFonts w:ascii="Times New Roman" w:eastAsia="Times New Roman" w:hAnsi="Times New Roman" w:cs="Times New Roman"/>
          <w:noProof/>
          <w:sz w:val="24"/>
          <w:szCs w:val="24"/>
          <w:lang w:val="en-GB"/>
        </w:rPr>
        <w:t xml:space="preserve"> </w:t>
      </w:r>
      <w:r w:rsidR="00044743">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groups in society, especially vulnerable groups</w:t>
      </w:r>
      <w:r w:rsidR="353CBCF2" w:rsidRPr="00E7601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and </w:t>
      </w:r>
      <w:r w:rsidR="353CBCF2" w:rsidRPr="00E76013">
        <w:rPr>
          <w:rFonts w:ascii="Times New Roman" w:eastAsia="Times New Roman" w:hAnsi="Times New Roman" w:cs="Times New Roman"/>
          <w:noProof/>
          <w:sz w:val="24"/>
          <w:szCs w:val="24"/>
          <w:lang w:val="en-GB"/>
        </w:rPr>
        <w:t>for healthcare.</w:t>
      </w:r>
      <w:r w:rsidR="24E789FD" w:rsidRPr="00E76013">
        <w:rPr>
          <w:rFonts w:ascii="Times New Roman" w:eastAsia="Times New Roman" w:hAnsi="Times New Roman" w:cs="Times New Roman"/>
          <w:noProof/>
          <w:sz w:val="24"/>
          <w:szCs w:val="24"/>
          <w:lang w:val="en-GB"/>
        </w:rPr>
        <w:t xml:space="preserve"> </w:t>
      </w:r>
      <w:r w:rsidR="353CBCF2" w:rsidRPr="00E76013">
        <w:rPr>
          <w:rFonts w:ascii="Times New Roman" w:eastAsia="Times New Roman" w:hAnsi="Times New Roman" w:cs="Times New Roman"/>
          <w:noProof/>
          <w:sz w:val="24"/>
          <w:szCs w:val="24"/>
          <w:lang w:val="en-GB"/>
        </w:rPr>
        <w:t>Measures under the social inclusion and healthcare</w:t>
      </w:r>
      <w:r w:rsidRPr="00E76013">
        <w:rPr>
          <w:rFonts w:ascii="Times New Roman" w:eastAsia="Times New Roman" w:hAnsi="Times New Roman" w:cs="Times New Roman"/>
          <w:noProof/>
          <w:sz w:val="24"/>
          <w:szCs w:val="24"/>
          <w:lang w:val="en-GB"/>
        </w:rPr>
        <w:t xml:space="preserve"> components </w:t>
      </w:r>
      <w:r w:rsidR="353CBCF2" w:rsidRPr="00E76013">
        <w:rPr>
          <w:rFonts w:ascii="Times New Roman" w:eastAsia="Times New Roman" w:hAnsi="Times New Roman" w:cs="Times New Roman"/>
          <w:noProof/>
          <w:sz w:val="24"/>
          <w:szCs w:val="24"/>
          <w:lang w:val="en-GB"/>
        </w:rPr>
        <w:t xml:space="preserve">of the Plan </w:t>
      </w:r>
      <w:r w:rsidR="022A0FC6" w:rsidRPr="00E76013">
        <w:rPr>
          <w:rFonts w:ascii="Times New Roman" w:eastAsia="Times New Roman" w:hAnsi="Times New Roman" w:cs="Times New Roman"/>
          <w:noProof/>
          <w:sz w:val="24"/>
          <w:szCs w:val="24"/>
          <w:lang w:val="en-GB"/>
        </w:rPr>
        <w:t>should</w:t>
      </w:r>
      <w:r w:rsidRPr="00E76013">
        <w:rPr>
          <w:rFonts w:ascii="Times New Roman" w:eastAsia="Times New Roman" w:hAnsi="Times New Roman" w:cs="Times New Roman"/>
          <w:noProof/>
          <w:sz w:val="24"/>
          <w:szCs w:val="24"/>
          <w:lang w:val="en-GB"/>
        </w:rPr>
        <w:t xml:space="preserve"> contribute to improve the overall social support system and increase the resilience of the health system</w:t>
      </w:r>
      <w:r w:rsidR="353CBCF2" w:rsidRPr="00E76013">
        <w:rPr>
          <w:rFonts w:ascii="Times New Roman" w:eastAsia="Times New Roman" w:hAnsi="Times New Roman" w:cs="Times New Roman"/>
          <w:noProof/>
          <w:sz w:val="24"/>
          <w:szCs w:val="24"/>
          <w:lang w:val="en-GB"/>
        </w:rPr>
        <w:t>. Namely, this is expected to be achieved via a reform contributing to</w:t>
      </w:r>
      <w:r w:rsidRPr="00E76013">
        <w:rPr>
          <w:rFonts w:ascii="Times New Roman" w:eastAsia="Times New Roman" w:hAnsi="Times New Roman" w:cs="Times New Roman"/>
          <w:noProof/>
          <w:sz w:val="24"/>
          <w:szCs w:val="24"/>
          <w:lang w:val="en-GB"/>
        </w:rPr>
        <w:t xml:space="preserve"> addressing the shortcomings of the minimum income scheme, with implications for the reduction of poverty and inequality, and through measures targeting population’s access to quality and timely healthcare. </w:t>
      </w:r>
    </w:p>
    <w:p w14:paraId="32272806" w14:textId="7DD8876E" w:rsidR="6C243BDC" w:rsidRPr="00E76013"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Investment and policies related to Research and Innovation are aimed at providing a favourable environment for the realisation of new products and processes and the development of innovative enterprises. </w:t>
      </w:r>
      <w:r w:rsidRPr="00E76013">
        <w:rPr>
          <w:rFonts w:ascii="Times New Roman" w:eastAsia="Times New Roman" w:hAnsi="Times New Roman" w:cs="Times New Roman"/>
          <w:noProof/>
          <w:sz w:val="24"/>
          <w:szCs w:val="24"/>
          <w:lang w:val="en-GB"/>
        </w:rPr>
        <w:t xml:space="preserve">This is a </w:t>
      </w:r>
      <w:r w:rsidR="0086084F">
        <w:rPr>
          <w:rFonts w:ascii="Times New Roman" w:eastAsia="Times New Roman" w:hAnsi="Times New Roman" w:cs="Times New Roman"/>
          <w:noProof/>
          <w:sz w:val="24"/>
          <w:szCs w:val="24"/>
          <w:lang w:val="en-GB"/>
        </w:rPr>
        <w:t>key</w:t>
      </w:r>
      <w:r w:rsidR="0086084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precondition for creating a high-tech industrial base that </w:t>
      </w:r>
      <w:r w:rsidR="0086084F">
        <w:rPr>
          <w:rFonts w:ascii="Times New Roman" w:eastAsia="Times New Roman" w:hAnsi="Times New Roman" w:cs="Times New Roman"/>
          <w:noProof/>
          <w:sz w:val="24"/>
          <w:szCs w:val="24"/>
          <w:lang w:val="en-GB"/>
        </w:rPr>
        <w:t>would propel</w:t>
      </w:r>
      <w:r w:rsidR="0086084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economy </w:t>
      </w:r>
      <w:r w:rsidR="0086084F">
        <w:rPr>
          <w:rFonts w:ascii="Times New Roman" w:eastAsia="Times New Roman" w:hAnsi="Times New Roman" w:cs="Times New Roman"/>
          <w:noProof/>
          <w:sz w:val="24"/>
          <w:szCs w:val="24"/>
          <w:lang w:val="en-GB"/>
        </w:rPr>
        <w:t>onto</w:t>
      </w:r>
      <w:r w:rsidR="0086084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a </w:t>
      </w:r>
      <w:r w:rsidR="0086084F">
        <w:rPr>
          <w:rFonts w:ascii="Times New Roman" w:eastAsia="Times New Roman" w:hAnsi="Times New Roman" w:cs="Times New Roman"/>
          <w:noProof/>
          <w:sz w:val="24"/>
          <w:szCs w:val="24"/>
          <w:lang w:val="en-GB"/>
        </w:rPr>
        <w:t xml:space="preserve">higher </w:t>
      </w:r>
      <w:r w:rsidRPr="00E76013">
        <w:rPr>
          <w:rFonts w:ascii="Times New Roman" w:eastAsia="Times New Roman" w:hAnsi="Times New Roman" w:cs="Times New Roman"/>
          <w:noProof/>
          <w:sz w:val="24"/>
          <w:szCs w:val="24"/>
          <w:lang w:val="en-GB"/>
        </w:rPr>
        <w:t xml:space="preserve">growth trajectory. Key policies include, among others, </w:t>
      </w:r>
      <w:r w:rsidR="0086084F">
        <w:rPr>
          <w:rFonts w:ascii="Times New Roman" w:eastAsia="Times New Roman" w:hAnsi="Times New Roman" w:cs="Times New Roman"/>
          <w:noProof/>
          <w:sz w:val="24"/>
          <w:szCs w:val="24"/>
          <w:lang w:val="en-GB"/>
        </w:rPr>
        <w:t xml:space="preserve">a </w:t>
      </w:r>
      <w:r w:rsidRPr="00E76013">
        <w:rPr>
          <w:rFonts w:ascii="Times New Roman" w:eastAsia="Times New Roman" w:hAnsi="Times New Roman" w:cs="Times New Roman"/>
          <w:noProof/>
          <w:sz w:val="24"/>
          <w:szCs w:val="24"/>
          <w:lang w:val="en-GB"/>
        </w:rPr>
        <w:t xml:space="preserve">new governance structure and legislative framework for research and innovation, together with instruments for the funding of research. This should ultimately </w:t>
      </w:r>
      <w:r w:rsidR="0086084F">
        <w:rPr>
          <w:rFonts w:ascii="Times New Roman" w:eastAsia="Times New Roman" w:hAnsi="Times New Roman" w:cs="Times New Roman"/>
          <w:noProof/>
          <w:sz w:val="24"/>
          <w:szCs w:val="24"/>
          <w:lang w:val="en-GB"/>
        </w:rPr>
        <w:t xml:space="preserve">help to </w:t>
      </w:r>
      <w:r w:rsidRPr="00E76013">
        <w:rPr>
          <w:rFonts w:ascii="Times New Roman" w:eastAsia="Times New Roman" w:hAnsi="Times New Roman" w:cs="Times New Roman"/>
          <w:noProof/>
          <w:sz w:val="24"/>
          <w:szCs w:val="24"/>
          <w:lang w:val="en-GB"/>
        </w:rPr>
        <w:t xml:space="preserve">close the significant gap compared to the EU average spending </w:t>
      </w:r>
      <w:r w:rsidR="0086084F">
        <w:rPr>
          <w:rFonts w:ascii="Times New Roman" w:eastAsia="Times New Roman" w:hAnsi="Times New Roman" w:cs="Times New Roman"/>
          <w:noProof/>
          <w:sz w:val="24"/>
          <w:szCs w:val="24"/>
          <w:lang w:val="en-GB"/>
        </w:rPr>
        <w:t>on</w:t>
      </w:r>
      <w:r w:rsidR="0086084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research and improve the ability to maintain and attract talent, </w:t>
      </w:r>
      <w:r w:rsidR="0086084F">
        <w:rPr>
          <w:rFonts w:ascii="Times New Roman" w:eastAsia="Times New Roman" w:hAnsi="Times New Roman" w:cs="Times New Roman"/>
          <w:noProof/>
          <w:sz w:val="24"/>
          <w:szCs w:val="24"/>
          <w:lang w:val="en-GB"/>
        </w:rPr>
        <w:t xml:space="preserve">thereby </w:t>
      </w:r>
      <w:r w:rsidRPr="00E76013">
        <w:rPr>
          <w:rFonts w:ascii="Times New Roman" w:eastAsia="Times New Roman" w:hAnsi="Times New Roman" w:cs="Times New Roman"/>
          <w:noProof/>
          <w:sz w:val="24"/>
          <w:szCs w:val="24"/>
          <w:lang w:val="en-GB"/>
        </w:rPr>
        <w:t xml:space="preserve">strengthening </w:t>
      </w:r>
      <w:r w:rsidR="0086084F">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country's competitiveness and, ultimately, economic growth.</w:t>
      </w:r>
    </w:p>
    <w:p w14:paraId="5711A008" w14:textId="29A08527" w:rsidR="6C243BDC" w:rsidRPr="00E76013"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Policies and investments related to digital connectivity aim at </w:t>
      </w:r>
      <w:r w:rsidR="007A66C6" w:rsidRPr="00E76013">
        <w:rPr>
          <w:rFonts w:ascii="Times New Roman" w:eastAsia="Times New Roman" w:hAnsi="Times New Roman" w:cs="Times New Roman"/>
          <w:b/>
          <w:bCs/>
          <w:noProof/>
          <w:sz w:val="24"/>
          <w:szCs w:val="24"/>
          <w:lang w:val="en-GB"/>
        </w:rPr>
        <w:t>increasing</w:t>
      </w:r>
      <w:r w:rsidRPr="00E76013">
        <w:rPr>
          <w:rFonts w:ascii="Times New Roman" w:eastAsia="Times New Roman" w:hAnsi="Times New Roman" w:cs="Times New Roman"/>
          <w:b/>
          <w:bCs/>
          <w:noProof/>
          <w:sz w:val="24"/>
          <w:szCs w:val="24"/>
          <w:lang w:val="en-GB"/>
        </w:rPr>
        <w:t xml:space="preserve"> investment in high-capacity digital infrastructure. </w:t>
      </w:r>
      <w:r w:rsidRPr="00E76013">
        <w:rPr>
          <w:rFonts w:ascii="Times New Roman" w:eastAsia="Times New Roman" w:hAnsi="Times New Roman" w:cs="Times New Roman"/>
          <w:noProof/>
          <w:sz w:val="24"/>
          <w:szCs w:val="24"/>
          <w:lang w:val="en-GB"/>
        </w:rPr>
        <w:t>These should contribute</w:t>
      </w:r>
      <w:r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 xml:space="preserve">to </w:t>
      </w:r>
      <w:r w:rsidR="00AA2C0B">
        <w:rPr>
          <w:rFonts w:ascii="Times New Roman" w:eastAsia="Times New Roman" w:hAnsi="Times New Roman" w:cs="Times New Roman"/>
          <w:noProof/>
          <w:sz w:val="24"/>
          <w:szCs w:val="24"/>
          <w:lang w:val="en-GB"/>
        </w:rPr>
        <w:t xml:space="preserve">an </w:t>
      </w:r>
      <w:r w:rsidRPr="00E76013">
        <w:rPr>
          <w:rFonts w:ascii="Times New Roman" w:eastAsia="Times New Roman" w:hAnsi="Times New Roman" w:cs="Times New Roman"/>
          <w:noProof/>
          <w:sz w:val="24"/>
          <w:szCs w:val="24"/>
          <w:lang w:val="en-GB"/>
        </w:rPr>
        <w:t xml:space="preserve">increase </w:t>
      </w:r>
      <w:r w:rsidR="00AA2C0B">
        <w:rPr>
          <w:rFonts w:ascii="Times New Roman" w:eastAsia="Times New Roman" w:hAnsi="Times New Roman" w:cs="Times New Roman"/>
          <w:noProof/>
          <w:sz w:val="24"/>
          <w:szCs w:val="24"/>
          <w:lang w:val="en-GB"/>
        </w:rPr>
        <w:t>in</w:t>
      </w:r>
      <w:r w:rsidRPr="00E76013">
        <w:rPr>
          <w:rFonts w:ascii="Times New Roman" w:eastAsia="Times New Roman" w:hAnsi="Times New Roman" w:cs="Times New Roman"/>
          <w:noProof/>
          <w:sz w:val="24"/>
          <w:szCs w:val="24"/>
          <w:lang w:val="en-GB"/>
        </w:rPr>
        <w:t xml:space="preserve"> coverage and ensure equal access to broadband services, paving the way </w:t>
      </w:r>
      <w:r w:rsidR="00AA2C0B">
        <w:rPr>
          <w:rFonts w:ascii="Times New Roman" w:eastAsia="Times New Roman" w:hAnsi="Times New Roman" w:cs="Times New Roman"/>
          <w:noProof/>
          <w:sz w:val="24"/>
          <w:szCs w:val="24"/>
          <w:lang w:val="en-GB"/>
        </w:rPr>
        <w:t xml:space="preserve">forward </w:t>
      </w:r>
      <w:r w:rsidRPr="00E76013">
        <w:rPr>
          <w:rFonts w:ascii="Times New Roman" w:eastAsia="Times New Roman" w:hAnsi="Times New Roman" w:cs="Times New Roman"/>
          <w:noProof/>
          <w:sz w:val="24"/>
          <w:szCs w:val="24"/>
          <w:lang w:val="en-GB"/>
        </w:rPr>
        <w:t xml:space="preserve">for the digital transition. </w:t>
      </w:r>
      <w:r w:rsidR="00AA2C0B">
        <w:rPr>
          <w:rFonts w:ascii="Times New Roman" w:eastAsia="Times New Roman" w:hAnsi="Times New Roman" w:cs="Times New Roman"/>
          <w:noProof/>
          <w:sz w:val="24"/>
          <w:szCs w:val="24"/>
          <w:lang w:val="en-GB"/>
        </w:rPr>
        <w:t>T</w:t>
      </w:r>
      <w:r w:rsidRPr="00E76013">
        <w:rPr>
          <w:rFonts w:ascii="Times New Roman" w:eastAsia="Times New Roman" w:hAnsi="Times New Roman" w:cs="Times New Roman"/>
          <w:noProof/>
          <w:sz w:val="24"/>
          <w:szCs w:val="24"/>
          <w:lang w:val="en-GB"/>
        </w:rPr>
        <w:t xml:space="preserve">he improvement </w:t>
      </w:r>
      <w:r w:rsidR="00AA2C0B">
        <w:rPr>
          <w:rFonts w:ascii="Times New Roman" w:eastAsia="Times New Roman" w:hAnsi="Times New Roman" w:cs="Times New Roman"/>
          <w:noProof/>
          <w:sz w:val="24"/>
          <w:szCs w:val="24"/>
          <w:lang w:val="en-GB"/>
        </w:rPr>
        <w:t>in</w:t>
      </w:r>
      <w:r w:rsidRPr="00E76013">
        <w:rPr>
          <w:rFonts w:ascii="Times New Roman" w:eastAsia="Times New Roman" w:hAnsi="Times New Roman" w:cs="Times New Roman"/>
          <w:noProof/>
          <w:sz w:val="24"/>
          <w:szCs w:val="24"/>
          <w:lang w:val="en-GB"/>
        </w:rPr>
        <w:t xml:space="preserve"> communications and data processing capacity should result in positive effects in terms of social inclusion, e-government, efficiency of public administration and the reduction of administrative burden on businesses. These would positively contribute to boost</w:t>
      </w:r>
      <w:r w:rsidR="00AA2C0B">
        <w:rPr>
          <w:rFonts w:ascii="Times New Roman" w:eastAsia="Times New Roman" w:hAnsi="Times New Roman" w:cs="Times New Roman"/>
          <w:noProof/>
          <w:sz w:val="24"/>
          <w:szCs w:val="24"/>
          <w:lang w:val="en-GB"/>
        </w:rPr>
        <w:t>ing</w:t>
      </w:r>
      <w:r w:rsidRPr="00E76013">
        <w:rPr>
          <w:rFonts w:ascii="Times New Roman" w:eastAsia="Times New Roman" w:hAnsi="Times New Roman" w:cs="Times New Roman"/>
          <w:noProof/>
          <w:sz w:val="24"/>
          <w:szCs w:val="24"/>
          <w:lang w:val="en-GB"/>
        </w:rPr>
        <w:t xml:space="preserve"> economic efficiency and productivity. </w:t>
      </w:r>
    </w:p>
    <w:p w14:paraId="056A0239" w14:textId="16C2C754" w:rsidR="6C243BDC" w:rsidRDefault="6C243BDC" w:rsidP="5AC46C55">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Policies and investments related to transport aim at increasing the sustainability of the transport sector by reducing its carbon footprint and improving road safety</w:t>
      </w:r>
      <w:r w:rsidRPr="00E76013">
        <w:rPr>
          <w:rFonts w:ascii="Times New Roman" w:eastAsia="Times New Roman" w:hAnsi="Times New Roman" w:cs="Times New Roman"/>
          <w:noProof/>
          <w:sz w:val="24"/>
          <w:szCs w:val="24"/>
          <w:lang w:val="en-GB"/>
        </w:rPr>
        <w:t xml:space="preserve">. Measures under this component will be key in the context of the green transition, given the significant share of the transport sector in greenhouse gas emissions. </w:t>
      </w:r>
      <w:r w:rsidR="16349C42" w:rsidRPr="00E76013">
        <w:rPr>
          <w:rFonts w:ascii="Times New Roman" w:eastAsia="Times New Roman" w:hAnsi="Times New Roman" w:cs="Times New Roman"/>
          <w:noProof/>
          <w:sz w:val="24"/>
          <w:szCs w:val="24"/>
          <w:lang w:val="en-GB"/>
        </w:rPr>
        <w:t>This will be achieved through the creation of a legislative framework (</w:t>
      </w:r>
      <w:r w:rsidR="00AA2C0B">
        <w:rPr>
          <w:rFonts w:ascii="Times New Roman" w:eastAsia="Times New Roman" w:hAnsi="Times New Roman" w:cs="Times New Roman"/>
          <w:noProof/>
          <w:sz w:val="24"/>
          <w:szCs w:val="24"/>
          <w:lang w:val="en-GB"/>
        </w:rPr>
        <w:t xml:space="preserve">the </w:t>
      </w:r>
      <w:r w:rsidR="16349C42" w:rsidRPr="00E76013">
        <w:rPr>
          <w:rFonts w:ascii="Times New Roman" w:eastAsia="Times New Roman" w:hAnsi="Times New Roman" w:cs="Times New Roman"/>
          <w:noProof/>
          <w:sz w:val="24"/>
          <w:szCs w:val="24"/>
          <w:lang w:val="en-GB"/>
        </w:rPr>
        <w:t xml:space="preserve">law on promoting electric mobility) as well as through a number of investments aimed at the modernisation and digitalisation of the public transport through the acquisition of a zero-emission rolling stock, deployment of </w:t>
      </w:r>
      <w:r w:rsidR="007A3493">
        <w:rPr>
          <w:rFonts w:ascii="Times New Roman" w:eastAsia="Times New Roman" w:hAnsi="Times New Roman" w:cs="Times New Roman"/>
          <w:noProof/>
          <w:sz w:val="24"/>
          <w:szCs w:val="24"/>
          <w:lang w:val="en-GB"/>
        </w:rPr>
        <w:t xml:space="preserve">the </w:t>
      </w:r>
      <w:r w:rsidR="007A3493" w:rsidRPr="007A3493">
        <w:rPr>
          <w:rFonts w:ascii="Times New Roman" w:eastAsia="Times New Roman" w:hAnsi="Times New Roman" w:cs="Times New Roman"/>
          <w:noProof/>
          <w:sz w:val="24"/>
          <w:szCs w:val="24"/>
          <w:lang w:val="en-GB"/>
        </w:rPr>
        <w:t>European Rail Traffic Management System</w:t>
      </w:r>
      <w:r w:rsidR="16349C42" w:rsidRPr="00E76013">
        <w:rPr>
          <w:rFonts w:ascii="Times New Roman" w:eastAsia="Times New Roman" w:hAnsi="Times New Roman" w:cs="Times New Roman"/>
          <w:noProof/>
          <w:sz w:val="24"/>
          <w:szCs w:val="24"/>
          <w:lang w:val="en-GB"/>
        </w:rPr>
        <w:t xml:space="preserve"> or construction of a new segment of metro in Sofia. </w:t>
      </w:r>
      <w:r w:rsidR="04BB9B58" w:rsidRPr="00E76013">
        <w:rPr>
          <w:rFonts w:ascii="Times New Roman" w:eastAsia="Times New Roman" w:hAnsi="Times New Roman" w:cs="Times New Roman"/>
          <w:noProof/>
          <w:sz w:val="24"/>
          <w:szCs w:val="24"/>
          <w:lang w:val="en-GB"/>
        </w:rPr>
        <w:t xml:space="preserve">Road safety measures </w:t>
      </w:r>
      <w:r w:rsidR="007A3493">
        <w:rPr>
          <w:rFonts w:ascii="Times New Roman" w:eastAsia="Times New Roman" w:hAnsi="Times New Roman" w:cs="Times New Roman"/>
          <w:noProof/>
          <w:sz w:val="24"/>
          <w:szCs w:val="24"/>
          <w:lang w:val="en-GB"/>
        </w:rPr>
        <w:t>should</w:t>
      </w:r>
      <w:r w:rsidR="00F742FC">
        <w:rPr>
          <w:rFonts w:ascii="Times New Roman" w:eastAsia="Times New Roman" w:hAnsi="Times New Roman" w:cs="Times New Roman"/>
          <w:noProof/>
          <w:sz w:val="24"/>
          <w:szCs w:val="24"/>
          <w:lang w:val="en-GB"/>
        </w:rPr>
        <w:t xml:space="preserve"> </w:t>
      </w:r>
      <w:r w:rsidR="007A3493">
        <w:rPr>
          <w:rFonts w:ascii="Times New Roman" w:eastAsia="Times New Roman" w:hAnsi="Times New Roman" w:cs="Times New Roman"/>
          <w:noProof/>
          <w:sz w:val="24"/>
          <w:szCs w:val="24"/>
          <w:lang w:val="en-GB"/>
        </w:rPr>
        <w:t>lead</w:t>
      </w:r>
      <w:r w:rsidR="007A3493" w:rsidRPr="00E76013">
        <w:rPr>
          <w:rFonts w:ascii="Times New Roman" w:eastAsia="Times New Roman" w:hAnsi="Times New Roman" w:cs="Times New Roman"/>
          <w:noProof/>
          <w:sz w:val="24"/>
          <w:szCs w:val="24"/>
          <w:lang w:val="en-GB"/>
        </w:rPr>
        <w:t xml:space="preserve"> </w:t>
      </w:r>
      <w:r w:rsidR="007A3493">
        <w:rPr>
          <w:rFonts w:ascii="Times New Roman" w:eastAsia="Times New Roman" w:hAnsi="Times New Roman" w:cs="Times New Roman"/>
          <w:noProof/>
          <w:sz w:val="24"/>
          <w:szCs w:val="24"/>
          <w:lang w:val="en-GB"/>
        </w:rPr>
        <w:t>to a</w:t>
      </w:r>
      <w:r w:rsidR="16349C42" w:rsidRPr="00E76013">
        <w:rPr>
          <w:rFonts w:ascii="Times New Roman" w:eastAsia="Times New Roman" w:hAnsi="Times New Roman" w:cs="Times New Roman"/>
          <w:noProof/>
          <w:sz w:val="24"/>
          <w:szCs w:val="24"/>
          <w:lang w:val="en-GB"/>
        </w:rPr>
        <w:t xml:space="preserve"> 50% reduction of road safety blackspots/hotspots</w:t>
      </w:r>
      <w:r w:rsidR="04BB9B58" w:rsidRPr="00E76013">
        <w:rPr>
          <w:rFonts w:ascii="Times New Roman" w:eastAsia="Times New Roman" w:hAnsi="Times New Roman" w:cs="Times New Roman"/>
          <w:noProof/>
          <w:sz w:val="24"/>
          <w:szCs w:val="24"/>
          <w:lang w:val="en-GB"/>
        </w:rPr>
        <w:t xml:space="preserve">. As a result, overall mobility of the population would improve, enhancing trade, industry development and economic growth. </w:t>
      </w:r>
    </w:p>
    <w:p w14:paraId="49659CDC" w14:textId="32B18BB1" w:rsidR="000733F2" w:rsidRDefault="000733F2">
      <w:pPr>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br w:type="page"/>
      </w:r>
    </w:p>
    <w:tbl>
      <w:tblPr>
        <w:tblStyle w:val="TableGrid"/>
        <w:tblW w:w="9629" w:type="dxa"/>
        <w:tblLayout w:type="fixed"/>
        <w:tblLook w:val="04A0" w:firstRow="1" w:lastRow="0" w:firstColumn="1" w:lastColumn="0" w:noHBand="0" w:noVBand="1"/>
      </w:tblPr>
      <w:tblGrid>
        <w:gridCol w:w="9629"/>
      </w:tblGrid>
      <w:tr w:rsidR="63E767A1" w:rsidRPr="00E76013" w14:paraId="79F1AD1E" w14:textId="77777777" w:rsidTr="004F2DAB">
        <w:tc>
          <w:tcPr>
            <w:tcW w:w="9629" w:type="dxa"/>
            <w:tcBorders>
              <w:top w:val="single" w:sz="8" w:space="0" w:color="auto"/>
              <w:left w:val="single" w:sz="8" w:space="0" w:color="auto"/>
              <w:bottom w:val="single" w:sz="8" w:space="0" w:color="auto"/>
              <w:right w:val="single" w:sz="8" w:space="0" w:color="auto"/>
            </w:tcBorders>
          </w:tcPr>
          <w:p w14:paraId="08D45B26" w14:textId="6C068F9F" w:rsidR="63E767A1" w:rsidRPr="00E76013" w:rsidRDefault="63E767A1" w:rsidP="00FF5BBC">
            <w:pPr>
              <w:jc w:val="center"/>
              <w:rPr>
                <w:rFonts w:ascii="Times New Roman" w:eastAsia="Times New Roman" w:hAnsi="Times New Roman" w:cs="Times New Roman"/>
                <w:i/>
                <w:iCs/>
                <w:noProof/>
              </w:rPr>
            </w:pPr>
            <w:r w:rsidRPr="00E76013">
              <w:rPr>
                <w:rFonts w:ascii="Times New Roman" w:eastAsia="Times New Roman" w:hAnsi="Times New Roman" w:cs="Times New Roman"/>
                <w:b/>
                <w:bCs/>
                <w:i/>
                <w:iCs/>
                <w:noProof/>
              </w:rPr>
              <w:t xml:space="preserve">Box </w:t>
            </w:r>
            <w:r w:rsidR="00B2525E" w:rsidRPr="00E76013">
              <w:rPr>
                <w:rFonts w:ascii="Times New Roman" w:eastAsia="Times New Roman" w:hAnsi="Times New Roman" w:cs="Times New Roman"/>
                <w:b/>
                <w:bCs/>
                <w:i/>
                <w:iCs/>
                <w:noProof/>
              </w:rPr>
              <w:t>2:</w:t>
            </w:r>
            <w:r w:rsidR="004F2DAB">
              <w:rPr>
                <w:rFonts w:ascii="Times New Roman" w:eastAsia="Times New Roman" w:hAnsi="Times New Roman" w:cs="Times New Roman"/>
                <w:b/>
                <w:bCs/>
                <w:i/>
                <w:iCs/>
                <w:noProof/>
              </w:rPr>
              <w:t xml:space="preserve"> </w:t>
            </w:r>
            <w:r w:rsidRPr="00E76013">
              <w:rPr>
                <w:rFonts w:ascii="Times New Roman" w:eastAsia="Times New Roman" w:hAnsi="Times New Roman" w:cs="Times New Roman"/>
                <w:b/>
                <w:bCs/>
                <w:i/>
                <w:iCs/>
                <w:noProof/>
              </w:rPr>
              <w:t>Stylized NGEU impact simulations with QUEST - Bulgaria</w:t>
            </w:r>
            <w:r w:rsidR="004F2DAB">
              <w:rPr>
                <w:rFonts w:ascii="Times New Roman" w:eastAsia="Times New Roman" w:hAnsi="Times New Roman" w:cs="Times New Roman"/>
                <w:i/>
                <w:iCs/>
                <w:noProof/>
              </w:rPr>
              <w:t xml:space="preserve"> </w:t>
            </w:r>
          </w:p>
          <w:p w14:paraId="5794F83D" w14:textId="3CF4B9C3" w:rsidR="63E767A1" w:rsidRPr="00E76013" w:rsidRDefault="63E767A1" w:rsidP="00FF5BBC">
            <w:pPr>
              <w:jc w:val="center"/>
              <w:rPr>
                <w:rFonts w:ascii="Times New Roman" w:eastAsia="Times New Roman" w:hAnsi="Times New Roman" w:cs="Times New Roman"/>
                <w:noProof/>
              </w:rPr>
            </w:pPr>
            <w:r w:rsidRPr="00E76013">
              <w:rPr>
                <w:rFonts w:ascii="Times New Roman" w:eastAsia="Times New Roman" w:hAnsi="Times New Roman" w:cs="Times New Roman"/>
                <w:noProof/>
              </w:rPr>
              <w:t xml:space="preserve"> </w:t>
            </w:r>
          </w:p>
          <w:p w14:paraId="18685F33" w14:textId="45310AFF" w:rsidR="63E767A1" w:rsidRPr="00E76013" w:rsidRDefault="63E767A1" w:rsidP="00FF5BBC">
            <w:pPr>
              <w:spacing w:line="259" w:lineRule="auto"/>
              <w:jc w:val="both"/>
              <w:rPr>
                <w:rFonts w:ascii="Times New Roman" w:eastAsia="Times New Roman" w:hAnsi="Times New Roman" w:cs="Times New Roman"/>
                <w:noProof/>
              </w:rPr>
            </w:pPr>
            <w:r w:rsidRPr="00E76013">
              <w:rPr>
                <w:rFonts w:ascii="Times New Roman" w:eastAsia="Times New Roman" w:hAnsi="Times New Roman" w:cs="Times New Roman"/>
                <w:b/>
                <w:bCs/>
                <w:noProof/>
              </w:rPr>
              <w:t xml:space="preserve">Model simulations conducted by the Commission using the QUEST model show that the economic impact of the NGEU in Bulgaria could lead to an increase of GDP of between 1.9% and 3% by 2026. After 20 years, GDP could be 1.1% higher. Spillovers account for an important part of such </w:t>
            </w:r>
            <w:r w:rsidR="007A3493">
              <w:rPr>
                <w:rFonts w:ascii="Times New Roman" w:eastAsia="Times New Roman" w:hAnsi="Times New Roman" w:cs="Times New Roman"/>
                <w:b/>
                <w:bCs/>
                <w:noProof/>
              </w:rPr>
              <w:t xml:space="preserve">an </w:t>
            </w:r>
            <w:r w:rsidRPr="00E76013">
              <w:rPr>
                <w:rFonts w:ascii="Times New Roman" w:eastAsia="Times New Roman" w:hAnsi="Times New Roman" w:cs="Times New Roman"/>
                <w:b/>
                <w:bCs/>
                <w:noProof/>
              </w:rPr>
              <w:t>impact.</w:t>
            </w:r>
            <w:r w:rsidR="004F2DAB">
              <w:rPr>
                <w:rFonts w:ascii="Times New Roman" w:eastAsia="Times New Roman" w:hAnsi="Times New Roman" w:cs="Times New Roman"/>
                <w:b/>
                <w:bCs/>
                <w:noProof/>
              </w:rPr>
              <w:t xml:space="preserve"> </w:t>
            </w:r>
          </w:p>
          <w:p w14:paraId="54C01EB7" w14:textId="466EC495" w:rsidR="63E767A1" w:rsidRPr="00E76013" w:rsidRDefault="63E767A1" w:rsidP="00FF5BBC">
            <w:pPr>
              <w:spacing w:line="259" w:lineRule="auto"/>
              <w:jc w:val="both"/>
              <w:rPr>
                <w:rFonts w:ascii="Times New Roman" w:eastAsia="Times New Roman" w:hAnsi="Times New Roman" w:cs="Times New Roman"/>
                <w:noProof/>
              </w:rPr>
            </w:pPr>
            <w:r w:rsidRPr="00E76013">
              <w:rPr>
                <w:rFonts w:ascii="Times New Roman" w:eastAsia="Times New Roman" w:hAnsi="Times New Roman" w:cs="Times New Roman"/>
                <w:noProof/>
              </w:rPr>
              <w:t>According to these simulations, this would translate into up to 36</w:t>
            </w:r>
            <w:r w:rsidR="000013DC">
              <w:rPr>
                <w:rFonts w:ascii="Times New Roman" w:eastAsia="Times New Roman" w:hAnsi="Times New Roman" w:cs="Times New Roman"/>
                <w:noProof/>
              </w:rPr>
              <w:t xml:space="preserve"> </w:t>
            </w:r>
            <w:r w:rsidRPr="00E76013">
              <w:rPr>
                <w:rFonts w:ascii="Times New Roman" w:eastAsia="Times New Roman" w:hAnsi="Times New Roman" w:cs="Times New Roman"/>
                <w:noProof/>
              </w:rPr>
              <w:t xml:space="preserve">000 additional jobs. Cross border (GDP) spillovers account for 0.6 pp in 2026, showing the value added of </w:t>
            </w:r>
            <w:r w:rsidR="00F742FC" w:rsidRPr="00E76013">
              <w:rPr>
                <w:rFonts w:ascii="Times New Roman" w:eastAsia="Times New Roman" w:hAnsi="Times New Roman" w:cs="Times New Roman"/>
                <w:noProof/>
              </w:rPr>
              <w:t>synchronized</w:t>
            </w:r>
            <w:r w:rsidRPr="00E76013">
              <w:rPr>
                <w:rFonts w:ascii="Times New Roman" w:eastAsia="Times New Roman" w:hAnsi="Times New Roman" w:cs="Times New Roman"/>
                <w:noProof/>
              </w:rPr>
              <w:t xml:space="preserve"> expenditure across Member States (line 2). Even assuming that half of the expenditure is not productive</w:t>
            </w:r>
            <w:r w:rsidR="007A3493">
              <w:rPr>
                <w:rFonts w:ascii="Times New Roman" w:eastAsia="Times New Roman" w:hAnsi="Times New Roman" w:cs="Times New Roman"/>
                <w:noProof/>
              </w:rPr>
              <w:t>, this</w:t>
            </w:r>
            <w:r w:rsidRPr="00E76013">
              <w:rPr>
                <w:rFonts w:ascii="Times New Roman" w:eastAsia="Times New Roman" w:hAnsi="Times New Roman" w:cs="Times New Roman"/>
                <w:noProof/>
              </w:rPr>
              <w:t xml:space="preserve"> still leads to a significant impact (line 3).</w:t>
            </w:r>
            <w:r w:rsidRPr="00E76013">
              <w:rPr>
                <w:rFonts w:ascii="Times New Roman" w:eastAsia="Times New Roman" w:hAnsi="Times New Roman" w:cs="Times New Roman"/>
                <w:noProof/>
                <w:sz w:val="17"/>
                <w:szCs w:val="17"/>
                <w:vertAlign w:val="superscript"/>
              </w:rPr>
              <w:t xml:space="preserve"> </w:t>
            </w:r>
          </w:p>
          <w:p w14:paraId="2AB7948C" w14:textId="2C00280B" w:rsidR="63E767A1" w:rsidRPr="00E76013" w:rsidRDefault="63E767A1" w:rsidP="00FF5BBC">
            <w:pPr>
              <w:spacing w:line="259" w:lineRule="auto"/>
              <w:jc w:val="both"/>
              <w:rPr>
                <w:rFonts w:ascii="Times New Roman" w:eastAsia="Times New Roman" w:hAnsi="Times New Roman" w:cs="Times New Roman"/>
                <w:noProof/>
              </w:rPr>
            </w:pPr>
            <w:r w:rsidRPr="00E76013">
              <w:rPr>
                <w:rFonts w:ascii="Times New Roman" w:eastAsia="Times New Roman" w:hAnsi="Times New Roman" w:cs="Times New Roman"/>
                <w:noProof/>
              </w:rPr>
              <w:t xml:space="preserve"> </w:t>
            </w:r>
          </w:p>
          <w:p w14:paraId="4DEFC22B" w14:textId="0F985C5D" w:rsidR="63E767A1" w:rsidRPr="00E76013" w:rsidRDefault="63E767A1" w:rsidP="19B76149">
            <w:pPr>
              <w:spacing w:line="259" w:lineRule="auto"/>
              <w:jc w:val="both"/>
              <w:rPr>
                <w:rFonts w:ascii="Times New Roman" w:eastAsia="Times New Roman" w:hAnsi="Times New Roman" w:cs="Times New Roman"/>
                <w:noProof/>
              </w:rPr>
            </w:pPr>
            <w:r w:rsidRPr="00E76013">
              <w:rPr>
                <w:rFonts w:ascii="Times New Roman" w:eastAsia="Times New Roman" w:hAnsi="Times New Roman" w:cs="Times New Roman"/>
                <w:noProof/>
                <w:u w:val="single"/>
              </w:rPr>
              <w:t>Table 1: QUEST simulation results (%-deviation of real GDP level from non-NGEU case, linear disbursement assumption over 6 years)</w:t>
            </w:r>
            <w:r w:rsidR="004F2DAB">
              <w:rPr>
                <w:rFonts w:ascii="Times New Roman" w:eastAsia="Times New Roman" w:hAnsi="Times New Roman" w:cs="Times New Roman"/>
                <w:noProof/>
                <w:u w:val="single"/>
              </w:rPr>
              <w:t xml:space="preserve"> </w:t>
            </w:r>
          </w:p>
          <w:p w14:paraId="0F69BE2E" w14:textId="7E12D552" w:rsidR="19B76149" w:rsidRPr="00E76013" w:rsidRDefault="19B76149" w:rsidP="19B76149">
            <w:pPr>
              <w:spacing w:line="259" w:lineRule="auto"/>
              <w:jc w:val="both"/>
              <w:rPr>
                <w:rFonts w:ascii="Times New Roman" w:eastAsia="Times New Roman" w:hAnsi="Times New Roman" w:cs="Times New Roman"/>
                <w:noProof/>
              </w:rPr>
            </w:pPr>
          </w:p>
          <w:tbl>
            <w:tblPr>
              <w:tblW w:w="0" w:type="auto"/>
              <w:tblLayout w:type="fixed"/>
              <w:tblLook w:val="04A0" w:firstRow="1" w:lastRow="0" w:firstColumn="1" w:lastColumn="0" w:noHBand="0" w:noVBand="1"/>
            </w:tblPr>
            <w:tblGrid>
              <w:gridCol w:w="2269"/>
              <w:gridCol w:w="634"/>
              <w:gridCol w:w="634"/>
              <w:gridCol w:w="634"/>
              <w:gridCol w:w="634"/>
              <w:gridCol w:w="634"/>
              <w:gridCol w:w="634"/>
              <w:gridCol w:w="634"/>
              <w:gridCol w:w="634"/>
              <w:gridCol w:w="634"/>
              <w:gridCol w:w="634"/>
              <w:gridCol w:w="634"/>
            </w:tblGrid>
            <w:tr w:rsidR="63E767A1" w:rsidRPr="00E76013" w14:paraId="2A3CBF53" w14:textId="77777777" w:rsidTr="19B76149">
              <w:trPr>
                <w:trHeight w:val="300"/>
              </w:trPr>
              <w:tc>
                <w:tcPr>
                  <w:tcW w:w="2269" w:type="dxa"/>
                  <w:tcBorders>
                    <w:top w:val="single" w:sz="8" w:space="0" w:color="auto"/>
                    <w:left w:val="single" w:sz="8" w:space="0" w:color="auto"/>
                    <w:bottom w:val="single" w:sz="8" w:space="0" w:color="auto"/>
                    <w:right w:val="single" w:sz="8" w:space="0" w:color="auto"/>
                  </w:tcBorders>
                </w:tcPr>
                <w:p w14:paraId="0DB59D10" w14:textId="59ED7AC3" w:rsidR="63E767A1" w:rsidRPr="00E76013" w:rsidRDefault="63E767A1" w:rsidP="19B76149">
                  <w:pPr>
                    <w:spacing w:after="0"/>
                    <w:rPr>
                      <w:rFonts w:ascii="Times New Roman" w:eastAsia="Times New Roman" w:hAnsi="Times New Roman" w:cs="Times New Roman"/>
                      <w:noProof/>
                    </w:rPr>
                  </w:pPr>
                  <w:r w:rsidRPr="00E76013">
                    <w:rPr>
                      <w:rFonts w:ascii="Times New Roman" w:eastAsia="Times New Roman" w:hAnsi="Times New Roman" w:cs="Times New Roman"/>
                      <w:b/>
                      <w:bCs/>
                      <w:noProof/>
                      <w:color w:val="000000" w:themeColor="text1"/>
                      <w:lang w:val="en-IE"/>
                    </w:rPr>
                    <w:t>Scenario</w:t>
                  </w:r>
                  <w:r w:rsidRPr="00E76013">
                    <w:rPr>
                      <w:rFonts w:ascii="Times New Roman" w:eastAsia="Times New Roman" w:hAnsi="Times New Roman" w:cs="Times New Roman"/>
                      <w:b/>
                      <w:bCs/>
                      <w:noProof/>
                      <w:color w:val="000000" w:themeColor="text1"/>
                    </w:rPr>
                    <w:t xml:space="preserve"> </w:t>
                  </w:r>
                </w:p>
              </w:tc>
              <w:tc>
                <w:tcPr>
                  <w:tcW w:w="634" w:type="dxa"/>
                  <w:tcBorders>
                    <w:top w:val="single" w:sz="8" w:space="0" w:color="auto"/>
                    <w:left w:val="single" w:sz="8" w:space="0" w:color="auto"/>
                    <w:bottom w:val="single" w:sz="8" w:space="0" w:color="auto"/>
                    <w:right w:val="single" w:sz="8" w:space="0" w:color="auto"/>
                  </w:tcBorders>
                </w:tcPr>
                <w:p w14:paraId="3587F847"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2021</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194AE890"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2022</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3977B890"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2023</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42083A95"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2024</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4A6EF2A1"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2025</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284635B5"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2026</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7E690785"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2027</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419455DC"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2028</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682BEC96"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2029</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60C3BCFF"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2030</w:t>
                  </w:r>
                  <w:r w:rsidRPr="004F2DAB">
                    <w:rPr>
                      <w:rFonts w:ascii="Times New Roman" w:eastAsia="Times New Roman" w:hAnsi="Times New Roman" w:cs="Times New Roman"/>
                      <w:b/>
                      <w:noProof/>
                      <w:color w:val="000000" w:themeColor="text1"/>
                      <w:sz w:val="20"/>
                    </w:rPr>
                    <w:t xml:space="preserve"> </w:t>
                  </w:r>
                </w:p>
              </w:tc>
              <w:tc>
                <w:tcPr>
                  <w:tcW w:w="634" w:type="dxa"/>
                  <w:tcBorders>
                    <w:top w:val="single" w:sz="8" w:space="0" w:color="auto"/>
                    <w:left w:val="single" w:sz="8" w:space="0" w:color="auto"/>
                    <w:bottom w:val="single" w:sz="8" w:space="0" w:color="auto"/>
                    <w:right w:val="single" w:sz="8" w:space="0" w:color="auto"/>
                  </w:tcBorders>
                </w:tcPr>
                <w:p w14:paraId="7F2149E6" w14:textId="59ED7AC3" w:rsidR="63E767A1" w:rsidRPr="004F2DAB" w:rsidRDefault="63E767A1" w:rsidP="00FF5BBC">
                  <w:pPr>
                    <w:spacing w:after="0"/>
                    <w:jc w:val="right"/>
                    <w:rPr>
                      <w:rFonts w:ascii="Times New Roman" w:eastAsia="Times New Roman" w:hAnsi="Times New Roman" w:cs="Times New Roman"/>
                      <w:b/>
                      <w:noProof/>
                      <w:color w:val="000000" w:themeColor="text1"/>
                      <w:sz w:val="20"/>
                    </w:rPr>
                  </w:pPr>
                  <w:r w:rsidRPr="004F2DAB">
                    <w:rPr>
                      <w:rFonts w:ascii="Times New Roman" w:eastAsia="Times New Roman" w:hAnsi="Times New Roman" w:cs="Times New Roman"/>
                      <w:b/>
                      <w:noProof/>
                      <w:color w:val="000000" w:themeColor="text1"/>
                      <w:sz w:val="20"/>
                      <w:lang w:val="en-IE"/>
                    </w:rPr>
                    <w:t>2040</w:t>
                  </w:r>
                  <w:r w:rsidRPr="004F2DAB">
                    <w:rPr>
                      <w:rFonts w:ascii="Times New Roman" w:eastAsia="Times New Roman" w:hAnsi="Times New Roman" w:cs="Times New Roman"/>
                      <w:b/>
                      <w:noProof/>
                      <w:color w:val="000000" w:themeColor="text1"/>
                      <w:sz w:val="20"/>
                    </w:rPr>
                    <w:t xml:space="preserve"> </w:t>
                  </w:r>
                </w:p>
              </w:tc>
            </w:tr>
            <w:tr w:rsidR="63E767A1" w:rsidRPr="00E76013" w14:paraId="14BD4511" w14:textId="77777777" w:rsidTr="19B76149">
              <w:trPr>
                <w:trHeight w:val="300"/>
              </w:trPr>
              <w:tc>
                <w:tcPr>
                  <w:tcW w:w="22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CC8594" w14:textId="59ED7AC3" w:rsidR="63E767A1" w:rsidRPr="00E76013" w:rsidRDefault="63E767A1" w:rsidP="19B76149">
                  <w:pPr>
                    <w:spacing w:after="0"/>
                    <w:rPr>
                      <w:rFonts w:ascii="Times New Roman" w:eastAsia="Times New Roman" w:hAnsi="Times New Roman" w:cs="Times New Roman"/>
                      <w:noProof/>
                    </w:rPr>
                  </w:pPr>
                  <w:r w:rsidRPr="00E76013">
                    <w:rPr>
                      <w:rFonts w:ascii="Times New Roman" w:eastAsia="Times New Roman" w:hAnsi="Times New Roman" w:cs="Times New Roman"/>
                      <w:b/>
                      <w:bCs/>
                      <w:noProof/>
                      <w:color w:val="000000" w:themeColor="text1"/>
                      <w:lang w:val="en-IE"/>
                    </w:rPr>
                    <w:t>Baseline</w:t>
                  </w:r>
                  <w:r w:rsidRPr="00E76013">
                    <w:rPr>
                      <w:rFonts w:ascii="Times New Roman" w:eastAsia="Times New Roman" w:hAnsi="Times New Roman" w:cs="Times New Roman"/>
                      <w:b/>
                      <w:bCs/>
                      <w:noProof/>
                      <w:color w:val="000000" w:themeColor="text1"/>
                    </w:rPr>
                    <w:t xml:space="preserve">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312479E8"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0AE56FD0"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43D0AE2A"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097517D7"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2.6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12574456"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2.8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4CF2945"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3.0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3FAA2D14"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2.2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50BBD02E"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D0FE3F4"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1.6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15EFEE0B"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1.7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E5CCDE2"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1.1 </w:t>
                  </w:r>
                </w:p>
              </w:tc>
            </w:tr>
            <w:tr w:rsidR="63E767A1" w:rsidRPr="00E76013" w14:paraId="37AC8812" w14:textId="77777777" w:rsidTr="19B76149">
              <w:trPr>
                <w:trHeight w:val="300"/>
              </w:trPr>
              <w:tc>
                <w:tcPr>
                  <w:tcW w:w="2269" w:type="dxa"/>
                  <w:tcBorders>
                    <w:top w:val="single" w:sz="8" w:space="0" w:color="auto"/>
                    <w:left w:val="single" w:sz="8" w:space="0" w:color="auto"/>
                    <w:bottom w:val="single" w:sz="8" w:space="0" w:color="auto"/>
                    <w:right w:val="single" w:sz="8" w:space="0" w:color="auto"/>
                  </w:tcBorders>
                </w:tcPr>
                <w:p w14:paraId="6F477B72" w14:textId="0320CA1F" w:rsidR="63E767A1" w:rsidRPr="00E76013" w:rsidRDefault="000B6475" w:rsidP="19B76149">
                  <w:pPr>
                    <w:spacing w:after="0"/>
                    <w:rPr>
                      <w:rFonts w:ascii="Times New Roman" w:eastAsia="Times New Roman" w:hAnsi="Times New Roman" w:cs="Times New Roman"/>
                      <w:noProof/>
                    </w:rPr>
                  </w:pPr>
                  <w:r>
                    <w:rPr>
                      <w:rFonts w:ascii="Times New Roman" w:eastAsia="Times New Roman" w:hAnsi="Times New Roman" w:cs="Times New Roman"/>
                      <w:b/>
                      <w:bCs/>
                      <w:i/>
                      <w:iCs/>
                      <w:noProof/>
                      <w:color w:val="000000" w:themeColor="text1"/>
                      <w:lang w:val="en-IE"/>
                    </w:rPr>
                    <w:t xml:space="preserve"> </w:t>
                  </w:r>
                  <w:r w:rsidR="63E767A1" w:rsidRPr="00E76013">
                    <w:rPr>
                      <w:rFonts w:ascii="Times New Roman" w:eastAsia="Times New Roman" w:hAnsi="Times New Roman" w:cs="Times New Roman"/>
                      <w:b/>
                      <w:bCs/>
                      <w:i/>
                      <w:iCs/>
                      <w:noProof/>
                      <w:color w:val="000000" w:themeColor="text1"/>
                      <w:lang w:val="en-IE"/>
                    </w:rPr>
                    <w:t xml:space="preserve">of which </w:t>
                  </w:r>
                  <w:r w:rsidR="00F742FC" w:rsidRPr="00E76013">
                    <w:rPr>
                      <w:rFonts w:ascii="Times New Roman" w:eastAsia="Times New Roman" w:hAnsi="Times New Roman" w:cs="Times New Roman"/>
                      <w:b/>
                      <w:bCs/>
                      <w:i/>
                      <w:iCs/>
                      <w:noProof/>
                      <w:color w:val="000000" w:themeColor="text1"/>
                      <w:lang w:val="en-IE"/>
                    </w:rPr>
                    <w:t>spill over</w:t>
                  </w:r>
                  <w:r w:rsidR="63E767A1" w:rsidRPr="00E76013">
                    <w:rPr>
                      <w:rFonts w:ascii="Times New Roman" w:eastAsia="Times New Roman" w:hAnsi="Times New Roman" w:cs="Times New Roman"/>
                      <w:b/>
                      <w:bCs/>
                      <w:noProof/>
                      <w:color w:val="000000" w:themeColor="text1"/>
                    </w:rPr>
                    <w:t xml:space="preserve"> </w:t>
                  </w:r>
                </w:p>
              </w:tc>
              <w:tc>
                <w:tcPr>
                  <w:tcW w:w="634" w:type="dxa"/>
                  <w:tcBorders>
                    <w:top w:val="single" w:sz="8" w:space="0" w:color="auto"/>
                    <w:left w:val="single" w:sz="8" w:space="0" w:color="auto"/>
                    <w:bottom w:val="single" w:sz="8" w:space="0" w:color="auto"/>
                    <w:right w:val="single" w:sz="8" w:space="0" w:color="auto"/>
                  </w:tcBorders>
                  <w:vAlign w:val="bottom"/>
                </w:tcPr>
                <w:p w14:paraId="4A1A2674"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0.5 </w:t>
                  </w:r>
                </w:p>
              </w:tc>
              <w:tc>
                <w:tcPr>
                  <w:tcW w:w="634" w:type="dxa"/>
                  <w:tcBorders>
                    <w:top w:val="single" w:sz="8" w:space="0" w:color="auto"/>
                    <w:left w:val="single" w:sz="8" w:space="0" w:color="auto"/>
                    <w:bottom w:val="single" w:sz="8" w:space="0" w:color="auto"/>
                    <w:right w:val="single" w:sz="8" w:space="0" w:color="auto"/>
                  </w:tcBorders>
                  <w:vAlign w:val="bottom"/>
                </w:tcPr>
                <w:p w14:paraId="7E30A2B4"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0.6 </w:t>
                  </w:r>
                </w:p>
              </w:tc>
              <w:tc>
                <w:tcPr>
                  <w:tcW w:w="634" w:type="dxa"/>
                  <w:tcBorders>
                    <w:top w:val="single" w:sz="8" w:space="0" w:color="auto"/>
                    <w:left w:val="single" w:sz="8" w:space="0" w:color="auto"/>
                    <w:bottom w:val="single" w:sz="8" w:space="0" w:color="auto"/>
                    <w:right w:val="single" w:sz="8" w:space="0" w:color="auto"/>
                  </w:tcBorders>
                  <w:vAlign w:val="bottom"/>
                </w:tcPr>
                <w:p w14:paraId="22EB7D8F"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0.6 </w:t>
                  </w:r>
                </w:p>
              </w:tc>
              <w:tc>
                <w:tcPr>
                  <w:tcW w:w="634" w:type="dxa"/>
                  <w:tcBorders>
                    <w:top w:val="single" w:sz="8" w:space="0" w:color="auto"/>
                    <w:left w:val="single" w:sz="8" w:space="0" w:color="auto"/>
                    <w:bottom w:val="single" w:sz="8" w:space="0" w:color="auto"/>
                    <w:right w:val="single" w:sz="8" w:space="0" w:color="auto"/>
                  </w:tcBorders>
                  <w:vAlign w:val="bottom"/>
                </w:tcPr>
                <w:p w14:paraId="6A43AEC3"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0.6 </w:t>
                  </w:r>
                </w:p>
              </w:tc>
              <w:tc>
                <w:tcPr>
                  <w:tcW w:w="634" w:type="dxa"/>
                  <w:tcBorders>
                    <w:top w:val="single" w:sz="8" w:space="0" w:color="auto"/>
                    <w:left w:val="single" w:sz="8" w:space="0" w:color="auto"/>
                    <w:bottom w:val="single" w:sz="8" w:space="0" w:color="auto"/>
                    <w:right w:val="single" w:sz="8" w:space="0" w:color="auto"/>
                  </w:tcBorders>
                  <w:vAlign w:val="bottom"/>
                </w:tcPr>
                <w:p w14:paraId="64A7437D"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0.6 </w:t>
                  </w:r>
                </w:p>
              </w:tc>
              <w:tc>
                <w:tcPr>
                  <w:tcW w:w="634" w:type="dxa"/>
                  <w:tcBorders>
                    <w:top w:val="single" w:sz="8" w:space="0" w:color="auto"/>
                    <w:left w:val="single" w:sz="8" w:space="0" w:color="auto"/>
                    <w:bottom w:val="single" w:sz="8" w:space="0" w:color="auto"/>
                    <w:right w:val="single" w:sz="8" w:space="0" w:color="auto"/>
                  </w:tcBorders>
                  <w:vAlign w:val="bottom"/>
                </w:tcPr>
                <w:p w14:paraId="718A20A1"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0.6 </w:t>
                  </w:r>
                </w:p>
              </w:tc>
              <w:tc>
                <w:tcPr>
                  <w:tcW w:w="634" w:type="dxa"/>
                  <w:tcBorders>
                    <w:top w:val="single" w:sz="8" w:space="0" w:color="auto"/>
                    <w:left w:val="single" w:sz="8" w:space="0" w:color="auto"/>
                    <w:bottom w:val="single" w:sz="8" w:space="0" w:color="auto"/>
                    <w:right w:val="single" w:sz="8" w:space="0" w:color="auto"/>
                  </w:tcBorders>
                  <w:vAlign w:val="bottom"/>
                </w:tcPr>
                <w:p w14:paraId="4230D5B4"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0.5 </w:t>
                  </w:r>
                </w:p>
              </w:tc>
              <w:tc>
                <w:tcPr>
                  <w:tcW w:w="634" w:type="dxa"/>
                  <w:tcBorders>
                    <w:top w:val="single" w:sz="8" w:space="0" w:color="auto"/>
                    <w:left w:val="single" w:sz="8" w:space="0" w:color="auto"/>
                    <w:bottom w:val="single" w:sz="8" w:space="0" w:color="auto"/>
                    <w:right w:val="single" w:sz="8" w:space="0" w:color="auto"/>
                  </w:tcBorders>
                  <w:vAlign w:val="bottom"/>
                </w:tcPr>
                <w:p w14:paraId="05BDACEB"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0.4 </w:t>
                  </w:r>
                </w:p>
              </w:tc>
              <w:tc>
                <w:tcPr>
                  <w:tcW w:w="634" w:type="dxa"/>
                  <w:tcBorders>
                    <w:top w:val="single" w:sz="8" w:space="0" w:color="auto"/>
                    <w:left w:val="single" w:sz="8" w:space="0" w:color="auto"/>
                    <w:bottom w:val="single" w:sz="8" w:space="0" w:color="auto"/>
                    <w:right w:val="single" w:sz="8" w:space="0" w:color="auto"/>
                  </w:tcBorders>
                  <w:vAlign w:val="bottom"/>
                </w:tcPr>
                <w:p w14:paraId="0920113E"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0.3 </w:t>
                  </w:r>
                </w:p>
              </w:tc>
              <w:tc>
                <w:tcPr>
                  <w:tcW w:w="634" w:type="dxa"/>
                  <w:tcBorders>
                    <w:top w:val="single" w:sz="8" w:space="0" w:color="auto"/>
                    <w:left w:val="single" w:sz="8" w:space="0" w:color="auto"/>
                    <w:bottom w:val="single" w:sz="8" w:space="0" w:color="auto"/>
                    <w:right w:val="single" w:sz="8" w:space="0" w:color="auto"/>
                  </w:tcBorders>
                  <w:vAlign w:val="bottom"/>
                </w:tcPr>
                <w:p w14:paraId="5E992091" w14:textId="59ED7AC3"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0.2 </w:t>
                  </w:r>
                </w:p>
              </w:tc>
              <w:tc>
                <w:tcPr>
                  <w:tcW w:w="634" w:type="dxa"/>
                  <w:tcBorders>
                    <w:top w:val="single" w:sz="8" w:space="0" w:color="auto"/>
                    <w:left w:val="single" w:sz="8" w:space="0" w:color="auto"/>
                    <w:bottom w:val="single" w:sz="8" w:space="0" w:color="auto"/>
                    <w:right w:val="single" w:sz="8" w:space="0" w:color="auto"/>
                  </w:tcBorders>
                  <w:vAlign w:val="bottom"/>
                </w:tcPr>
                <w:p w14:paraId="7C72F887"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0.1 </w:t>
                  </w:r>
                </w:p>
              </w:tc>
            </w:tr>
            <w:tr w:rsidR="63E767A1" w:rsidRPr="00E76013" w14:paraId="65402D8C" w14:textId="77777777" w:rsidTr="19B76149">
              <w:trPr>
                <w:trHeight w:val="300"/>
              </w:trPr>
              <w:tc>
                <w:tcPr>
                  <w:tcW w:w="22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ADFFE2" w14:textId="44FBF850" w:rsidR="63E767A1" w:rsidRPr="00E76013" w:rsidRDefault="63E767A1" w:rsidP="19B76149">
                  <w:pPr>
                    <w:spacing w:after="0"/>
                    <w:rPr>
                      <w:rFonts w:ascii="Times New Roman" w:eastAsia="Times New Roman" w:hAnsi="Times New Roman" w:cs="Times New Roman"/>
                      <w:noProof/>
                    </w:rPr>
                  </w:pPr>
                  <w:r w:rsidRPr="00E76013">
                    <w:rPr>
                      <w:rFonts w:ascii="Times New Roman" w:eastAsia="Times New Roman" w:hAnsi="Times New Roman" w:cs="Times New Roman"/>
                      <w:b/>
                      <w:bCs/>
                      <w:noProof/>
                      <w:color w:val="000000" w:themeColor="text1"/>
                      <w:lang w:val="en-IE"/>
                    </w:rPr>
                    <w:t>Low productivity</w:t>
                  </w:r>
                  <w:r w:rsidRPr="00E76013">
                    <w:rPr>
                      <w:rFonts w:ascii="Times New Roman" w:eastAsia="Times New Roman" w:hAnsi="Times New Roman" w:cs="Times New Roman"/>
                      <w:b/>
                      <w:bCs/>
                      <w:noProof/>
                      <w:color w:val="000000" w:themeColor="text1"/>
                    </w:rPr>
                    <w:t xml:space="preserve">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1FFF6E5D"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1.2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50846373"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2.1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CD58E52"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1.9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6E39233B"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1.8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BC19178"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1.9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4C84909"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1.9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6CD5ECA5"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1.1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6E3808D"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0.3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0F925E84"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5B6CCE2"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0.5 </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DE97807" w14:textId="44FBF850" w:rsidR="63E767A1" w:rsidRPr="00E76013" w:rsidRDefault="63E767A1" w:rsidP="00FF5BBC">
                  <w:pPr>
                    <w:spacing w:after="0"/>
                    <w:jc w:val="right"/>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0.5 </w:t>
                  </w:r>
                </w:p>
              </w:tc>
            </w:tr>
          </w:tbl>
          <w:p w14:paraId="17A05FEE" w14:textId="223D05BB" w:rsidR="63E767A1" w:rsidRPr="00E76013" w:rsidRDefault="63E767A1" w:rsidP="00FF5BBC">
            <w:pPr>
              <w:jc w:val="both"/>
              <w:rPr>
                <w:rFonts w:ascii="Times New Roman" w:eastAsia="Times New Roman" w:hAnsi="Times New Roman" w:cs="Times New Roman"/>
                <w:noProof/>
              </w:rPr>
            </w:pPr>
            <w:r w:rsidRPr="00E76013">
              <w:rPr>
                <w:rFonts w:ascii="Times New Roman" w:eastAsia="Times New Roman" w:hAnsi="Times New Roman" w:cs="Times New Roman"/>
                <w:noProof/>
              </w:rPr>
              <w:t xml:space="preserve"> </w:t>
            </w:r>
          </w:p>
          <w:p w14:paraId="6A4F7A35" w14:textId="00F47B8A" w:rsidR="63E767A1" w:rsidRPr="00E76013" w:rsidRDefault="1AB5B749" w:rsidP="00FF5BBC">
            <w:pPr>
              <w:jc w:val="both"/>
              <w:rPr>
                <w:rFonts w:ascii="Times New Roman" w:eastAsia="Times New Roman" w:hAnsi="Times New Roman" w:cs="Times New Roman"/>
                <w:noProof/>
              </w:rPr>
            </w:pPr>
            <w:r w:rsidRPr="00E76013">
              <w:rPr>
                <w:rFonts w:ascii="Times New Roman" w:eastAsia="Times New Roman" w:hAnsi="Times New Roman" w:cs="Times New Roman"/>
                <w:b/>
                <w:bCs/>
                <w:noProof/>
              </w:rPr>
              <w:t xml:space="preserve">This </w:t>
            </w:r>
            <w:r w:rsidR="00F742FC" w:rsidRPr="00E76013">
              <w:rPr>
                <w:rFonts w:ascii="Times New Roman" w:eastAsia="Times New Roman" w:hAnsi="Times New Roman" w:cs="Times New Roman"/>
                <w:b/>
                <w:bCs/>
                <w:noProof/>
              </w:rPr>
              <w:t>stylized</w:t>
            </w:r>
            <w:r w:rsidRPr="00E76013">
              <w:rPr>
                <w:rFonts w:ascii="Times New Roman" w:eastAsia="Times New Roman" w:hAnsi="Times New Roman" w:cs="Times New Roman"/>
                <w:b/>
                <w:bCs/>
                <w:noProof/>
              </w:rPr>
              <w:t xml:space="preserve"> scenario does not include the possible positive impact of structural reforms, which can be substantial</w:t>
            </w:r>
            <w:r w:rsidRPr="00E76013">
              <w:rPr>
                <w:rFonts w:ascii="Times New Roman" w:eastAsia="Times New Roman" w:hAnsi="Times New Roman" w:cs="Times New Roman"/>
                <w:noProof/>
              </w:rPr>
              <w:t xml:space="preserve">. A model-based benchmarking exercise shows that undertaking structural reforms that would result in halving the gap vis-à-vis best performers in terms of indicators of structural reforms could raise Bulgaria GDP by </w:t>
            </w:r>
            <w:r w:rsidR="00624EC1" w:rsidRPr="00E76013">
              <w:rPr>
                <w:rFonts w:ascii="Times New Roman" w:eastAsia="Times New Roman" w:hAnsi="Times New Roman" w:cs="Times New Roman"/>
                <w:noProof/>
              </w:rPr>
              <w:t>9</w:t>
            </w:r>
            <w:r w:rsidRPr="00E76013">
              <w:rPr>
                <w:rFonts w:ascii="Times New Roman" w:eastAsia="Times New Roman" w:hAnsi="Times New Roman" w:cs="Times New Roman"/>
                <w:noProof/>
              </w:rPr>
              <w:t xml:space="preserve">% in 20 years time, in line with findings for the EU average. </w:t>
            </w:r>
          </w:p>
          <w:p w14:paraId="7E7A5F1E" w14:textId="4B57C652" w:rsidR="76E77E6A" w:rsidRPr="00E76013" w:rsidRDefault="76E77E6A" w:rsidP="76E77E6A">
            <w:pPr>
              <w:jc w:val="both"/>
              <w:rPr>
                <w:rFonts w:ascii="Times New Roman" w:eastAsia="Times New Roman" w:hAnsi="Times New Roman" w:cs="Times New Roman"/>
                <w:noProof/>
              </w:rPr>
            </w:pPr>
          </w:p>
          <w:p w14:paraId="18DC2FCB" w14:textId="6164C796" w:rsidR="63E767A1" w:rsidRDefault="63E767A1" w:rsidP="00E57329">
            <w:pPr>
              <w:jc w:val="both"/>
              <w:rPr>
                <w:rFonts w:ascii="Times New Roman" w:eastAsia="Times New Roman" w:hAnsi="Times New Roman" w:cs="Times New Roman"/>
                <w:noProof/>
              </w:rPr>
            </w:pPr>
            <w:r w:rsidRPr="00E76013">
              <w:rPr>
                <w:rFonts w:ascii="Times New Roman" w:eastAsia="Times New Roman" w:hAnsi="Times New Roman" w:cs="Times New Roman"/>
                <w:noProof/>
              </w:rPr>
              <w:t xml:space="preserve">Due to the differences in the assumptions and methodology, </w:t>
            </w:r>
            <w:r w:rsidRPr="00E76013">
              <w:rPr>
                <w:rFonts w:ascii="Times New Roman" w:eastAsia="Times New Roman" w:hAnsi="Times New Roman" w:cs="Times New Roman"/>
                <w:b/>
                <w:bCs/>
                <w:noProof/>
              </w:rPr>
              <w:t>the results</w:t>
            </w:r>
            <w:r w:rsidRPr="00E76013">
              <w:rPr>
                <w:rFonts w:ascii="Times New Roman" w:eastAsia="Times New Roman" w:hAnsi="Times New Roman" w:cs="Times New Roman"/>
                <w:noProof/>
              </w:rPr>
              <w:t xml:space="preserve"> </w:t>
            </w:r>
            <w:r w:rsidRPr="00E76013">
              <w:rPr>
                <w:rFonts w:ascii="Times New Roman" w:eastAsia="Times New Roman" w:hAnsi="Times New Roman" w:cs="Times New Roman"/>
                <w:b/>
                <w:bCs/>
                <w:noProof/>
              </w:rPr>
              <w:t xml:space="preserve">of this </w:t>
            </w:r>
            <w:r w:rsidR="00F742FC" w:rsidRPr="00E76013">
              <w:rPr>
                <w:rFonts w:ascii="Times New Roman" w:eastAsia="Times New Roman" w:hAnsi="Times New Roman" w:cs="Times New Roman"/>
                <w:b/>
                <w:bCs/>
                <w:noProof/>
              </w:rPr>
              <w:t>stylized</w:t>
            </w:r>
            <w:r w:rsidRPr="00E76013">
              <w:rPr>
                <w:rFonts w:ascii="Times New Roman" w:eastAsia="Times New Roman" w:hAnsi="Times New Roman" w:cs="Times New Roman"/>
                <w:b/>
                <w:bCs/>
                <w:noProof/>
              </w:rPr>
              <w:t xml:space="preserve"> assessment cannot be directly compared to the numbers reported in chapter 4 of Bulgaria’s </w:t>
            </w:r>
            <w:r w:rsidR="30E7A089" w:rsidRPr="00E76013">
              <w:rPr>
                <w:rFonts w:ascii="Times New Roman" w:eastAsia="Times New Roman" w:hAnsi="Times New Roman" w:cs="Times New Roman"/>
                <w:b/>
                <w:bCs/>
                <w:noProof/>
              </w:rPr>
              <w:t>Plan</w:t>
            </w:r>
            <w:r w:rsidRPr="00E76013">
              <w:rPr>
                <w:rFonts w:ascii="Times New Roman" w:eastAsia="Times New Roman" w:hAnsi="Times New Roman" w:cs="Times New Roman"/>
                <w:b/>
                <w:bCs/>
                <w:noProof/>
              </w:rPr>
              <w:t>.</w:t>
            </w:r>
            <w:r w:rsidRPr="00E76013">
              <w:rPr>
                <w:rFonts w:ascii="Times New Roman" w:eastAsia="Times New Roman" w:hAnsi="Times New Roman" w:cs="Times New Roman"/>
                <w:noProof/>
              </w:rPr>
              <w:t xml:space="preserve"> </w:t>
            </w:r>
          </w:p>
          <w:p w14:paraId="3C33461A" w14:textId="5CA09E0D" w:rsidR="63E767A1" w:rsidRPr="00E76013" w:rsidRDefault="63E767A1" w:rsidP="00E57329">
            <w:pPr>
              <w:jc w:val="both"/>
              <w:rPr>
                <w:rFonts w:ascii="Calibri" w:eastAsia="Calibri" w:hAnsi="Calibri" w:cs="Calibri"/>
                <w:noProof/>
              </w:rPr>
            </w:pPr>
          </w:p>
        </w:tc>
      </w:tr>
    </w:tbl>
    <w:p w14:paraId="2D1231FA" w14:textId="77777777" w:rsidR="00B14D62" w:rsidRDefault="00B14D62" w:rsidP="00751CDF">
      <w:pPr>
        <w:spacing w:line="276" w:lineRule="auto"/>
        <w:jc w:val="both"/>
        <w:rPr>
          <w:rFonts w:ascii="Times New Roman" w:eastAsia="Times New Roman" w:hAnsi="Times New Roman" w:cs="Times New Roman"/>
          <w:i/>
          <w:noProof/>
          <w:sz w:val="24"/>
          <w:szCs w:val="24"/>
          <w:lang w:val="en-GB"/>
        </w:rPr>
      </w:pPr>
    </w:p>
    <w:p w14:paraId="54E42B3E" w14:textId="0377FC2E" w:rsidR="000D7FBE" w:rsidRPr="00E76013" w:rsidRDefault="000D7FBE" w:rsidP="00751CDF">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Strengthening social cohesion</w:t>
      </w:r>
    </w:p>
    <w:p w14:paraId="4B3B4EFD" w14:textId="51E933AA" w:rsidR="149B30EC" w:rsidRPr="00E76013" w:rsidRDefault="3905364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Reforms and investments in education and skills are expected to address the persistent and significant skills gaps</w:t>
      </w:r>
      <w:r w:rsidRPr="00E76013">
        <w:rPr>
          <w:rFonts w:ascii="Times New Roman" w:eastAsia="Times New Roman" w:hAnsi="Times New Roman" w:cs="Times New Roman"/>
          <w:noProof/>
          <w:sz w:val="24"/>
          <w:szCs w:val="24"/>
          <w:lang w:val="en-GB"/>
        </w:rPr>
        <w:t>. These measures create the conditions for increasing economic and social resilience and are a powerful tool for social inclusion. The Bulgarian population is characterized by a relatively high percentage of low-skilled persons and low participation of the population (25-64) in lifelong learning with 2.0% in 2019 against 11.3% for EU-28</w:t>
      </w:r>
      <w:r w:rsidR="1396A5BA" w:rsidRPr="00E76013">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In addition, the share of people with at least basic digital skills is around 29% of the Bulgarian population aged 16-74, while the EU average is 5</w:t>
      </w:r>
      <w:r w:rsidR="003D1934">
        <w:rPr>
          <w:rFonts w:ascii="Times New Roman" w:eastAsia="Times New Roman" w:hAnsi="Times New Roman" w:cs="Times New Roman"/>
          <w:noProof/>
          <w:sz w:val="24"/>
          <w:szCs w:val="24"/>
          <w:lang w:val="en-GB"/>
        </w:rPr>
        <w:t>6</w:t>
      </w:r>
      <w:r w:rsidRPr="00E76013">
        <w:rPr>
          <w:rFonts w:ascii="Times New Roman" w:eastAsia="Times New Roman" w:hAnsi="Times New Roman" w:cs="Times New Roman"/>
          <w:noProof/>
          <w:sz w:val="24"/>
          <w:szCs w:val="24"/>
          <w:lang w:val="en-GB"/>
        </w:rPr>
        <w:t xml:space="preserve">%. Only 11% of people have skills above basic skills, representing a third of the EU average. To revert this situation, the </w:t>
      </w:r>
      <w:r w:rsidR="009547FD"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xml:space="preserve"> contains an important component on education and skills that is expected to deliver </w:t>
      </w:r>
      <w:r w:rsidR="00B44B8F">
        <w:rPr>
          <w:rFonts w:ascii="Times New Roman" w:eastAsia="Times New Roman" w:hAnsi="Times New Roman" w:cs="Times New Roman"/>
          <w:noProof/>
          <w:sz w:val="24"/>
          <w:szCs w:val="24"/>
          <w:lang w:val="en-GB"/>
        </w:rPr>
        <w:t xml:space="preserve">far-reaching </w:t>
      </w:r>
      <w:r w:rsidRPr="00E76013">
        <w:rPr>
          <w:rFonts w:ascii="Times New Roman" w:eastAsia="Times New Roman" w:hAnsi="Times New Roman" w:cs="Times New Roman"/>
          <w:noProof/>
          <w:sz w:val="24"/>
          <w:szCs w:val="24"/>
          <w:lang w:val="en-GB"/>
        </w:rPr>
        <w:t xml:space="preserve">structural changes to the Bulgarian education system. The strengthened </w:t>
      </w:r>
      <w:r w:rsidR="00BC0E07">
        <w:rPr>
          <w:rFonts w:ascii="Times New Roman" w:eastAsia="Times New Roman" w:hAnsi="Times New Roman" w:cs="Times New Roman"/>
          <w:noProof/>
          <w:sz w:val="24"/>
          <w:szCs w:val="24"/>
          <w:lang w:val="en-GB"/>
        </w:rPr>
        <w:t>policie</w:t>
      </w:r>
      <w:r w:rsidR="00276003">
        <w:rPr>
          <w:rFonts w:ascii="Times New Roman" w:eastAsia="Times New Roman" w:hAnsi="Times New Roman" w:cs="Times New Roman"/>
          <w:noProof/>
          <w:sz w:val="24"/>
          <w:szCs w:val="24"/>
          <w:lang w:val="en-GB"/>
        </w:rPr>
        <w:t>s</w:t>
      </w:r>
      <w:r w:rsidRPr="00E76013">
        <w:rPr>
          <w:rFonts w:ascii="Times New Roman" w:eastAsia="Times New Roman" w:hAnsi="Times New Roman" w:cs="Times New Roman"/>
          <w:noProof/>
          <w:sz w:val="24"/>
          <w:szCs w:val="24"/>
          <w:lang w:val="en-GB"/>
        </w:rPr>
        <w:t xml:space="preserve"> on education and skills</w:t>
      </w:r>
      <w:r w:rsidR="00B44B8F">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including digital, lifelong learning and vocational training- should contribute to address</w:t>
      </w:r>
      <w:r w:rsidR="00B44B8F">
        <w:rPr>
          <w:rFonts w:ascii="Times New Roman" w:eastAsia="Times New Roman" w:hAnsi="Times New Roman" w:cs="Times New Roman"/>
          <w:noProof/>
          <w:sz w:val="24"/>
          <w:szCs w:val="24"/>
          <w:lang w:val="en-GB"/>
        </w:rPr>
        <w:t>ing</w:t>
      </w:r>
      <w:r w:rsidRPr="00E76013">
        <w:rPr>
          <w:rFonts w:ascii="Times New Roman" w:eastAsia="Times New Roman" w:hAnsi="Times New Roman" w:cs="Times New Roman"/>
          <w:noProof/>
          <w:sz w:val="24"/>
          <w:szCs w:val="24"/>
          <w:lang w:val="en-GB"/>
        </w:rPr>
        <w:t xml:space="preserve"> Bulgaria’s challenges </w:t>
      </w:r>
      <w:r w:rsidR="00ED09FA">
        <w:rPr>
          <w:rFonts w:ascii="Times New Roman" w:eastAsia="Times New Roman" w:hAnsi="Times New Roman" w:cs="Times New Roman"/>
          <w:noProof/>
          <w:sz w:val="24"/>
          <w:szCs w:val="24"/>
          <w:lang w:val="en-GB"/>
        </w:rPr>
        <w:t>i</w:t>
      </w:r>
      <w:r w:rsidRPr="00E76013">
        <w:rPr>
          <w:rFonts w:ascii="Times New Roman" w:eastAsia="Times New Roman" w:hAnsi="Times New Roman" w:cs="Times New Roman"/>
          <w:noProof/>
          <w:sz w:val="24"/>
          <w:szCs w:val="24"/>
          <w:lang w:val="en-GB"/>
        </w:rPr>
        <w:t>n this field. Important reforms and investments are also foreseen under</w:t>
      </w:r>
      <w:r w:rsidR="00ED09FA">
        <w:rPr>
          <w:rFonts w:ascii="Times New Roman" w:eastAsia="Times New Roman" w:hAnsi="Times New Roman" w:cs="Times New Roman"/>
          <w:noProof/>
          <w:sz w:val="24"/>
          <w:szCs w:val="24"/>
          <w:lang w:val="en-GB"/>
        </w:rPr>
        <w:t xml:space="preserve"> the</w:t>
      </w:r>
      <w:r w:rsidRPr="00E76013">
        <w:rPr>
          <w:rFonts w:ascii="Times New Roman" w:eastAsia="Times New Roman" w:hAnsi="Times New Roman" w:cs="Times New Roman"/>
          <w:noProof/>
          <w:sz w:val="24"/>
          <w:szCs w:val="24"/>
          <w:lang w:val="en-GB"/>
        </w:rPr>
        <w:t xml:space="preserve"> research and innovation and digital connectivity components to further reduce skills deficits. </w:t>
      </w:r>
    </w:p>
    <w:p w14:paraId="5507E68D" w14:textId="70DDF26F" w:rsidR="149B30EC" w:rsidRPr="00E76013" w:rsidRDefault="3905364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Bulgaria faces a significant gender inequality challenge in terms of employment rate.</w:t>
      </w:r>
      <w:r w:rsidRPr="00E76013">
        <w:rPr>
          <w:rFonts w:ascii="Times New Roman" w:eastAsia="Times New Roman" w:hAnsi="Times New Roman" w:cs="Times New Roman"/>
          <w:noProof/>
          <w:sz w:val="24"/>
          <w:szCs w:val="24"/>
          <w:lang w:val="en-GB"/>
        </w:rPr>
        <w:t xml:space="preserve"> In 2020, employability</w:t>
      </w:r>
      <w:r w:rsidR="00F742FC">
        <w:rPr>
          <w:rFonts w:ascii="Times New Roman" w:eastAsia="Times New Roman" w:hAnsi="Times New Roman" w:cs="Times New Roman"/>
          <w:noProof/>
          <w:sz w:val="24"/>
          <w:szCs w:val="24"/>
          <w:lang w:val="en-GB"/>
        </w:rPr>
        <w:t xml:space="preserve"> rate for the group age </w:t>
      </w:r>
      <w:r w:rsidRPr="00E76013">
        <w:rPr>
          <w:rFonts w:ascii="Times New Roman" w:eastAsia="Times New Roman" w:hAnsi="Times New Roman" w:cs="Times New Roman"/>
          <w:noProof/>
          <w:sz w:val="24"/>
          <w:szCs w:val="24"/>
          <w:lang w:val="en-GB"/>
        </w:rPr>
        <w:t xml:space="preserve">20-64 was 8.9 </w:t>
      </w:r>
      <w:r w:rsidR="006C5902">
        <w:rPr>
          <w:rFonts w:ascii="Times New Roman" w:eastAsia="Times New Roman" w:hAnsi="Times New Roman" w:cs="Times New Roman"/>
          <w:noProof/>
          <w:sz w:val="24"/>
          <w:szCs w:val="24"/>
          <w:lang w:val="en-GB"/>
        </w:rPr>
        <w:t>pp</w:t>
      </w:r>
      <w:r w:rsidR="00454BF0">
        <w:rPr>
          <w:rFonts w:ascii="Times New Roman" w:eastAsia="Times New Roman" w:hAnsi="Times New Roman" w:cs="Times New Roman"/>
          <w:noProof/>
          <w:sz w:val="24"/>
          <w:szCs w:val="24"/>
          <w:lang w:val="en-GB"/>
        </w:rPr>
        <w:t xml:space="preserve"> higher for </w:t>
      </w:r>
      <w:r w:rsidRPr="00E76013">
        <w:rPr>
          <w:rFonts w:ascii="Times New Roman" w:eastAsia="Times New Roman" w:hAnsi="Times New Roman" w:cs="Times New Roman"/>
          <w:noProof/>
          <w:sz w:val="24"/>
          <w:szCs w:val="24"/>
          <w:lang w:val="en-GB"/>
        </w:rPr>
        <w:t xml:space="preserve">men. The </w:t>
      </w:r>
      <w:r w:rsidR="00FD10FB"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is expected to improve the overall employability of the population through a transversal promotion of equal opportunities, enhancing a more inclusive and resilient labour market.</w:t>
      </w:r>
      <w:r w:rsidR="004F2DAB">
        <w:rPr>
          <w:rFonts w:ascii="Times New Roman" w:eastAsia="Times New Roman" w:hAnsi="Times New Roman" w:cs="Times New Roman"/>
          <w:noProof/>
          <w:sz w:val="24"/>
          <w:szCs w:val="24"/>
          <w:lang w:val="en-GB"/>
        </w:rPr>
        <w:t xml:space="preserve"> </w:t>
      </w:r>
      <w:r w:rsidR="001D30D8" w:rsidRPr="00E76013">
        <w:rPr>
          <w:rFonts w:ascii="Times New Roman" w:eastAsia="Times New Roman" w:hAnsi="Times New Roman" w:cs="Times New Roman"/>
          <w:noProof/>
          <w:sz w:val="24"/>
          <w:szCs w:val="24"/>
        </w:rPr>
        <w:t>The Plan also covers investments in kindergartens</w:t>
      </w:r>
      <w:r w:rsidR="001D30D8" w:rsidRPr="66071EFC">
        <w:rPr>
          <w:rFonts w:ascii="Times New Roman" w:eastAsia="Times New Roman" w:hAnsi="Times New Roman" w:cs="Times New Roman"/>
          <w:noProof/>
          <w:sz w:val="24"/>
          <w:szCs w:val="24"/>
        </w:rPr>
        <w:t xml:space="preserve"> and</w:t>
      </w:r>
      <w:r w:rsidR="00AE19DA">
        <w:rPr>
          <w:rFonts w:ascii="Times New Roman" w:eastAsia="Times New Roman" w:hAnsi="Times New Roman" w:cs="Times New Roman"/>
          <w:noProof/>
          <w:sz w:val="24"/>
          <w:szCs w:val="24"/>
        </w:rPr>
        <w:t xml:space="preserve"> </w:t>
      </w:r>
      <w:r w:rsidR="00AE19DA" w:rsidRPr="58605E46">
        <w:rPr>
          <w:rFonts w:ascii="Times New Roman" w:eastAsia="Times New Roman" w:hAnsi="Times New Roman" w:cs="Times New Roman"/>
          <w:noProof/>
          <w:sz w:val="24"/>
          <w:szCs w:val="24"/>
        </w:rPr>
        <w:t>a reform on</w:t>
      </w:r>
      <w:r w:rsidR="001D30D8" w:rsidRPr="66071EFC">
        <w:rPr>
          <w:rFonts w:ascii="Times New Roman" w:eastAsia="Times New Roman" w:hAnsi="Times New Roman" w:cs="Times New Roman"/>
          <w:noProof/>
          <w:sz w:val="24"/>
          <w:szCs w:val="24"/>
        </w:rPr>
        <w:t xml:space="preserve"> the mandatory inclusion of 4-year olds in pre-school education</w:t>
      </w:r>
      <w:r w:rsidR="001D30D8" w:rsidRPr="00E76013">
        <w:rPr>
          <w:rFonts w:ascii="Times New Roman" w:eastAsia="Times New Roman" w:hAnsi="Times New Roman" w:cs="Times New Roman"/>
          <w:noProof/>
          <w:sz w:val="24"/>
          <w:szCs w:val="24"/>
        </w:rPr>
        <w:t xml:space="preserve">, </w:t>
      </w:r>
      <w:r w:rsidR="006C5902" w:rsidRPr="00E76013">
        <w:rPr>
          <w:rFonts w:ascii="Times New Roman" w:eastAsia="Times New Roman" w:hAnsi="Times New Roman" w:cs="Times New Roman"/>
          <w:noProof/>
          <w:sz w:val="24"/>
          <w:szCs w:val="24"/>
        </w:rPr>
        <w:t>w</w:t>
      </w:r>
      <w:r w:rsidR="006C5902">
        <w:rPr>
          <w:rFonts w:ascii="Times New Roman" w:eastAsia="Times New Roman" w:hAnsi="Times New Roman" w:cs="Times New Roman"/>
          <w:noProof/>
          <w:sz w:val="24"/>
          <w:szCs w:val="24"/>
        </w:rPr>
        <w:t>hich</w:t>
      </w:r>
      <w:r w:rsidR="006C5902" w:rsidRPr="00E76013">
        <w:rPr>
          <w:rFonts w:ascii="Times New Roman" w:eastAsia="Times New Roman" w:hAnsi="Times New Roman" w:cs="Times New Roman"/>
          <w:noProof/>
          <w:sz w:val="24"/>
          <w:szCs w:val="24"/>
        </w:rPr>
        <w:t xml:space="preserve"> </w:t>
      </w:r>
      <w:r w:rsidR="00CA6018">
        <w:rPr>
          <w:rFonts w:ascii="Times New Roman" w:eastAsia="Times New Roman" w:hAnsi="Times New Roman" w:cs="Times New Roman"/>
          <w:noProof/>
          <w:sz w:val="24"/>
          <w:szCs w:val="24"/>
        </w:rPr>
        <w:t xml:space="preserve">should support </w:t>
      </w:r>
      <w:r w:rsidR="001D30D8" w:rsidRPr="00E76013">
        <w:rPr>
          <w:rFonts w:ascii="Times New Roman" w:eastAsia="Times New Roman" w:hAnsi="Times New Roman" w:cs="Times New Roman"/>
          <w:noProof/>
          <w:sz w:val="24"/>
          <w:szCs w:val="24"/>
        </w:rPr>
        <w:t>the labour market participation of women.</w:t>
      </w:r>
    </w:p>
    <w:p w14:paraId="061F23B7" w14:textId="491A68E1" w:rsidR="149B30EC" w:rsidRPr="00E76013" w:rsidRDefault="3905364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Bulgaria envisages to reshape the regional policy framework and to promote local development.</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In the years since the country’s accession to the EU, intra-regional disparities have significantly deepened. Also, the urban-rural axis reveals that </w:t>
      </w:r>
      <w:r w:rsidR="000C386B">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regional development disparities remain a challenge. To revert this situation, the </w:t>
      </w:r>
      <w:r w:rsidR="00B93AA7"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includes important measures to reshape regional policy by fostering direct involvement of local communities in the management of </w:t>
      </w:r>
      <w:r w:rsidR="000C386B">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European funds and instruments. This should strengthen their role in the preparation and implementation of </w:t>
      </w:r>
      <w:r w:rsidR="000C386B">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integrated territorial strategies and projects, </w:t>
      </w:r>
      <w:r w:rsidR="000C386B">
        <w:rPr>
          <w:rFonts w:ascii="Times New Roman" w:eastAsia="Times New Roman" w:hAnsi="Times New Roman" w:cs="Times New Roman"/>
          <w:noProof/>
          <w:sz w:val="24"/>
          <w:szCs w:val="24"/>
          <w:lang w:val="en-GB"/>
        </w:rPr>
        <w:t>resulting in a</w:t>
      </w:r>
      <w:r w:rsidRPr="00E76013">
        <w:rPr>
          <w:rFonts w:ascii="Times New Roman" w:eastAsia="Times New Roman" w:hAnsi="Times New Roman" w:cs="Times New Roman"/>
          <w:noProof/>
          <w:sz w:val="24"/>
          <w:szCs w:val="24"/>
          <w:lang w:val="en-GB"/>
        </w:rPr>
        <w:t xml:space="preserve"> greater policy effectiveness. Several regions need to address the scarcity of drinking water by providing new and/or reserve water sources for the population. A large part of the population has a relatively low income, which requires the cost of services in the sector to remain socially sustainable. Alongside with the new regional development approach, the </w:t>
      </w:r>
      <w:r w:rsidR="00A539F5"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envisages the continuation of the water sector reform</w:t>
      </w:r>
      <w:r w:rsidR="000C386B">
        <w:rPr>
          <w:rFonts w:ascii="Times New Roman" w:eastAsia="Times New Roman" w:hAnsi="Times New Roman" w:cs="Times New Roman"/>
          <w:noProof/>
          <w:sz w:val="24"/>
          <w:szCs w:val="24"/>
          <w:lang w:val="en-GB"/>
        </w:rPr>
        <w:t xml:space="preserve"> by </w:t>
      </w:r>
      <w:r w:rsidRPr="00E76013">
        <w:rPr>
          <w:rFonts w:ascii="Times New Roman" w:eastAsia="Times New Roman" w:hAnsi="Times New Roman" w:cs="Times New Roman"/>
          <w:noProof/>
          <w:sz w:val="24"/>
          <w:szCs w:val="24"/>
          <w:lang w:val="en-GB"/>
        </w:rPr>
        <w:t>improving the regulatory environment. These measures should increase the competitiveness and sustainable development of the regions of the country as well as the promotion of local development.</w:t>
      </w:r>
    </w:p>
    <w:p w14:paraId="042A4AE1" w14:textId="4A40E7CB" w:rsidR="149B30EC" w:rsidRDefault="3905364C" w:rsidP="00C863E2">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w:t>
      </w:r>
      <w:r w:rsidR="00FD7DAC"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 is expected to improve the effectiveness, adequacy and coverage of the social support system</w:t>
      </w:r>
      <w:r w:rsidRPr="00E76013">
        <w:rPr>
          <w:rFonts w:ascii="Times New Roman" w:eastAsia="Times New Roman" w:hAnsi="Times New Roman" w:cs="Times New Roman"/>
          <w:noProof/>
          <w:sz w:val="24"/>
          <w:szCs w:val="24"/>
          <w:lang w:val="en-GB"/>
        </w:rPr>
        <w:t>. Bulgaria faces structural challenges in the field of social inclusion</w:t>
      </w:r>
      <w:r w:rsidR="00827719" w:rsidRPr="00827719">
        <w:rPr>
          <w:rFonts w:ascii="Times New Roman" w:eastAsia="Times New Roman" w:hAnsi="Times New Roman" w:cs="Times New Roman"/>
          <w:noProof/>
          <w:sz w:val="24"/>
          <w:szCs w:val="24"/>
          <w:lang w:val="en-GB"/>
        </w:rPr>
        <w:t xml:space="preserve"> </w:t>
      </w:r>
      <w:r w:rsidR="00827719">
        <w:rPr>
          <w:rFonts w:ascii="Times New Roman" w:eastAsia="Times New Roman" w:hAnsi="Times New Roman" w:cs="Times New Roman"/>
          <w:noProof/>
          <w:sz w:val="24"/>
          <w:szCs w:val="24"/>
          <w:lang w:val="en-GB"/>
        </w:rPr>
        <w:t>with p</w:t>
      </w:r>
      <w:r w:rsidRPr="00E76013">
        <w:rPr>
          <w:rFonts w:ascii="Times New Roman" w:eastAsia="Times New Roman" w:hAnsi="Times New Roman" w:cs="Times New Roman"/>
          <w:noProof/>
          <w:sz w:val="24"/>
          <w:szCs w:val="24"/>
          <w:lang w:val="en-GB"/>
        </w:rPr>
        <w:t xml:space="preserve">overty, social exclusion and income inequality </w:t>
      </w:r>
      <w:r w:rsidR="00827719">
        <w:rPr>
          <w:rFonts w:ascii="Times New Roman" w:eastAsia="Times New Roman" w:hAnsi="Times New Roman" w:cs="Times New Roman"/>
          <w:noProof/>
          <w:sz w:val="24"/>
          <w:szCs w:val="24"/>
          <w:lang w:val="en-GB"/>
        </w:rPr>
        <w:t>recording</w:t>
      </w:r>
      <w:r w:rsidR="004F2DAB">
        <w:rPr>
          <w:rFonts w:ascii="Times New Roman" w:eastAsia="Times New Roman" w:hAnsi="Times New Roman" w:cs="Times New Roman"/>
          <w:noProof/>
          <w:sz w:val="24"/>
          <w:szCs w:val="24"/>
          <w:lang w:val="en-GB"/>
        </w:rPr>
        <w:t xml:space="preserve"> </w:t>
      </w:r>
      <w:r w:rsidR="00827719">
        <w:rPr>
          <w:rFonts w:ascii="Times New Roman" w:eastAsia="Times New Roman" w:hAnsi="Times New Roman" w:cs="Times New Roman"/>
          <w:noProof/>
          <w:sz w:val="24"/>
          <w:szCs w:val="24"/>
          <w:lang w:val="en-IE"/>
        </w:rPr>
        <w:t>very</w:t>
      </w:r>
      <w:r w:rsidR="00827719" w:rsidRPr="00E76013" w:rsidDel="00827719">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high</w:t>
      </w:r>
      <w:r w:rsidR="00827719">
        <w:rPr>
          <w:rFonts w:ascii="Times New Roman" w:eastAsia="Times New Roman" w:hAnsi="Times New Roman" w:cs="Times New Roman"/>
          <w:noProof/>
          <w:sz w:val="24"/>
          <w:szCs w:val="24"/>
          <w:lang w:val="en-GB"/>
        </w:rPr>
        <w:t xml:space="preserve"> levels</w:t>
      </w:r>
      <w:r w:rsidRPr="00E76013">
        <w:rPr>
          <w:rFonts w:ascii="Times New Roman" w:eastAsia="Times New Roman" w:hAnsi="Times New Roman" w:cs="Times New Roman"/>
          <w:noProof/>
          <w:sz w:val="24"/>
          <w:szCs w:val="24"/>
          <w:lang w:val="en-GB"/>
        </w:rPr>
        <w:t xml:space="preserve">. </w:t>
      </w:r>
      <w:r w:rsidR="00827719">
        <w:rPr>
          <w:rFonts w:ascii="Times New Roman" w:eastAsia="Times New Roman" w:hAnsi="Times New Roman" w:cs="Times New Roman"/>
          <w:noProof/>
          <w:sz w:val="24"/>
          <w:szCs w:val="24"/>
          <w:lang w:val="en-GB"/>
        </w:rPr>
        <w:t xml:space="preserve">These indicators, monitored through the Social Scoreboard accompanying the European Pillar of Social Rights, highlight the need for </w:t>
      </w:r>
      <w:r w:rsidR="005B428D">
        <w:rPr>
          <w:rFonts w:ascii="Times New Roman" w:eastAsia="Times New Roman" w:hAnsi="Times New Roman" w:cs="Times New Roman"/>
          <w:noProof/>
          <w:sz w:val="24"/>
          <w:szCs w:val="24"/>
          <w:lang w:val="en-GB"/>
        </w:rPr>
        <w:t>additional</w:t>
      </w:r>
      <w:r w:rsidR="00827719">
        <w:rPr>
          <w:rFonts w:ascii="Times New Roman" w:eastAsia="Times New Roman" w:hAnsi="Times New Roman" w:cs="Times New Roman"/>
          <w:noProof/>
          <w:sz w:val="24"/>
          <w:szCs w:val="24"/>
          <w:lang w:val="en-GB"/>
        </w:rPr>
        <w:t xml:space="preserve"> efforts to </w:t>
      </w:r>
      <w:r w:rsidR="00827719" w:rsidRPr="5DAA0A48">
        <w:rPr>
          <w:rFonts w:ascii="Times New Roman" w:eastAsia="Times New Roman" w:hAnsi="Times New Roman" w:cs="Times New Roman"/>
          <w:noProof/>
          <w:sz w:val="24"/>
          <w:szCs w:val="24"/>
          <w:lang w:val="en-GB"/>
        </w:rPr>
        <w:t>reduce social inequalities</w:t>
      </w:r>
      <w:r w:rsidR="00827719">
        <w:rPr>
          <w:rFonts w:ascii="Times New Roman" w:eastAsia="Times New Roman" w:hAnsi="Times New Roman" w:cs="Times New Roman"/>
          <w:noProof/>
          <w:sz w:val="24"/>
          <w:szCs w:val="24"/>
          <w:lang w:val="en-GB"/>
        </w:rPr>
        <w:t xml:space="preserve"> and make </w:t>
      </w:r>
      <w:r w:rsidRPr="00E76013">
        <w:rPr>
          <w:rFonts w:ascii="Times New Roman" w:eastAsia="Times New Roman" w:hAnsi="Times New Roman" w:cs="Times New Roman"/>
          <w:noProof/>
          <w:sz w:val="24"/>
          <w:szCs w:val="24"/>
          <w:lang w:val="en-GB"/>
        </w:rPr>
        <w:t xml:space="preserve">growth </w:t>
      </w:r>
      <w:r w:rsidR="00827719">
        <w:rPr>
          <w:rFonts w:ascii="Times New Roman" w:eastAsia="Times New Roman" w:hAnsi="Times New Roman" w:cs="Times New Roman"/>
          <w:noProof/>
          <w:sz w:val="24"/>
          <w:szCs w:val="24"/>
          <w:lang w:val="en-GB"/>
        </w:rPr>
        <w:t>more</w:t>
      </w:r>
      <w:r w:rsidRPr="00E76013">
        <w:rPr>
          <w:rFonts w:ascii="Times New Roman" w:eastAsia="Times New Roman" w:hAnsi="Times New Roman" w:cs="Times New Roman"/>
          <w:noProof/>
          <w:sz w:val="24"/>
          <w:szCs w:val="24"/>
          <w:lang w:val="en-GB"/>
        </w:rPr>
        <w:t xml:space="preserve"> inclusive</w:t>
      </w:r>
      <w:r w:rsidR="00AB23F5">
        <w:rPr>
          <w:rFonts w:ascii="Times New Roman" w:eastAsia="Times New Roman" w:hAnsi="Times New Roman" w:cs="Times New Roman"/>
          <w:noProof/>
          <w:sz w:val="24"/>
          <w:szCs w:val="24"/>
          <w:lang w:val="en-GB"/>
        </w:rPr>
        <w:t xml:space="preserve"> </w:t>
      </w:r>
      <w:r w:rsidR="00827719">
        <w:rPr>
          <w:rFonts w:ascii="Times New Roman" w:eastAsia="Times New Roman" w:hAnsi="Times New Roman" w:cs="Times New Roman"/>
          <w:noProof/>
          <w:sz w:val="24"/>
          <w:szCs w:val="24"/>
          <w:lang w:val="en-GB"/>
        </w:rPr>
        <w:t>(see Box 3)</w:t>
      </w:r>
      <w:r w:rsidRPr="00E76013">
        <w:rPr>
          <w:rFonts w:ascii="Times New Roman" w:eastAsia="Times New Roman" w:hAnsi="Times New Roman" w:cs="Times New Roman"/>
          <w:noProof/>
          <w:sz w:val="24"/>
          <w:szCs w:val="24"/>
          <w:lang w:val="en-GB"/>
        </w:rPr>
        <w:t>. The relative share of people at risk of poverty is among the highest in the EU. The risk of poverty is significantly higher for some of the most vulnerable groups of the population. A significant share of the population</w:t>
      </w:r>
      <w:r w:rsidR="00827719">
        <w:rPr>
          <w:rFonts w:ascii="Times New Roman" w:eastAsia="Times New Roman" w:hAnsi="Times New Roman" w:cs="Times New Roman"/>
          <w:noProof/>
          <w:sz w:val="24"/>
          <w:szCs w:val="24"/>
          <w:lang w:val="en-GB"/>
        </w:rPr>
        <w:t xml:space="preserve"> </w:t>
      </w:r>
      <w:r w:rsidR="005B428D" w:rsidRPr="00E76013">
        <w:rPr>
          <w:rFonts w:ascii="Times New Roman" w:eastAsia="Times New Roman" w:hAnsi="Times New Roman" w:cs="Times New Roman"/>
          <w:noProof/>
          <w:sz w:val="24"/>
          <w:szCs w:val="24"/>
          <w:lang w:val="en-GB"/>
        </w:rPr>
        <w:t>over</w:t>
      </w:r>
      <w:r w:rsidR="005B428D">
        <w:rPr>
          <w:rFonts w:ascii="Times New Roman" w:eastAsia="Times New Roman" w:hAnsi="Times New Roman" w:cs="Times New Roman"/>
          <w:noProof/>
          <w:sz w:val="24"/>
          <w:szCs w:val="24"/>
          <w:lang w:val="en-GB"/>
        </w:rPr>
        <w:t xml:space="preserve"> </w:t>
      </w:r>
      <w:r w:rsidR="005B428D" w:rsidRPr="00E76013">
        <w:rPr>
          <w:rFonts w:ascii="Times New Roman" w:eastAsia="Times New Roman" w:hAnsi="Times New Roman" w:cs="Times New Roman"/>
          <w:noProof/>
          <w:sz w:val="24"/>
          <w:szCs w:val="24"/>
          <w:lang w:val="en-GB"/>
        </w:rPr>
        <w:t xml:space="preserve">working age </w:t>
      </w:r>
      <w:r w:rsidR="00827719">
        <w:rPr>
          <w:rFonts w:ascii="Times New Roman" w:eastAsia="Times New Roman" w:hAnsi="Times New Roman" w:cs="Times New Roman"/>
          <w:noProof/>
          <w:sz w:val="24"/>
          <w:szCs w:val="24"/>
          <w:lang w:val="en-GB"/>
        </w:rPr>
        <w:t>(65+)</w:t>
      </w:r>
      <w:r w:rsidRPr="00E76013">
        <w:rPr>
          <w:rFonts w:ascii="Times New Roman" w:eastAsia="Times New Roman" w:hAnsi="Times New Roman" w:cs="Times New Roman"/>
          <w:noProof/>
          <w:sz w:val="24"/>
          <w:szCs w:val="24"/>
          <w:lang w:val="en-GB"/>
        </w:rPr>
        <w:t xml:space="preserve"> was at risk of poverty or social exclusion in 20</w:t>
      </w:r>
      <w:r w:rsidR="00827719">
        <w:rPr>
          <w:rFonts w:ascii="Times New Roman" w:eastAsia="Times New Roman" w:hAnsi="Times New Roman" w:cs="Times New Roman"/>
          <w:noProof/>
          <w:sz w:val="24"/>
          <w:szCs w:val="24"/>
          <w:lang w:val="en-GB"/>
        </w:rPr>
        <w:t>20</w:t>
      </w:r>
      <w:r w:rsidRPr="00E76013">
        <w:rPr>
          <w:rFonts w:ascii="Times New Roman" w:eastAsia="Times New Roman" w:hAnsi="Times New Roman" w:cs="Times New Roman"/>
          <w:noProof/>
          <w:sz w:val="24"/>
          <w:szCs w:val="24"/>
          <w:lang w:val="en-GB"/>
        </w:rPr>
        <w:t xml:space="preserve"> and just under one third of this population suffered severe material deprivation. Measures envisaged by the </w:t>
      </w:r>
      <w:r w:rsidR="00F4451B"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lan aim at increasing the effectiveness, adequacy and coverage of the social support system by introducing a holistic approach to providing social support to persons and families from vulnerable groups and by the codification of social legislation. Key policies include the mitigation of shortcomings in the adequacy of the minimum income scheme, the completion of the reform on social services</w:t>
      </w:r>
      <w:r w:rsidR="5D5D4BEE" w:rsidRPr="00E76013">
        <w:rPr>
          <w:rFonts w:ascii="Times New Roman" w:eastAsia="Times New Roman" w:hAnsi="Times New Roman" w:cs="Times New Roman"/>
          <w:noProof/>
          <w:sz w:val="24"/>
          <w:szCs w:val="24"/>
          <w:lang w:val="en-GB"/>
        </w:rPr>
        <w:t xml:space="preserve"> and an investment targeting</w:t>
      </w:r>
      <w:r w:rsidRPr="00E76013">
        <w:rPr>
          <w:rFonts w:ascii="Times New Roman" w:eastAsia="Times New Roman" w:hAnsi="Times New Roman" w:cs="Times New Roman"/>
          <w:noProof/>
          <w:sz w:val="24"/>
          <w:szCs w:val="24"/>
          <w:lang w:val="en-GB"/>
        </w:rPr>
        <w:t xml:space="preserve"> the </w:t>
      </w:r>
      <w:r w:rsidR="5D5D4BEE" w:rsidRPr="00E76013">
        <w:rPr>
          <w:rFonts w:ascii="Times New Roman" w:eastAsia="Times New Roman" w:hAnsi="Times New Roman" w:cs="Times New Roman"/>
          <w:noProof/>
          <w:sz w:val="24"/>
          <w:szCs w:val="24"/>
          <w:lang w:val="en-GB"/>
        </w:rPr>
        <w:t>modernisation of the provision of long-term</w:t>
      </w:r>
      <w:r w:rsidRPr="00E76013">
        <w:rPr>
          <w:rFonts w:ascii="Times New Roman" w:eastAsia="Times New Roman" w:hAnsi="Times New Roman" w:cs="Times New Roman"/>
          <w:noProof/>
          <w:sz w:val="24"/>
          <w:szCs w:val="24"/>
          <w:lang w:val="en-GB"/>
        </w:rPr>
        <w:t xml:space="preserve"> care for </w:t>
      </w:r>
      <w:r w:rsidR="00A037C9">
        <w:rPr>
          <w:rFonts w:ascii="Times New Roman" w:eastAsia="Times New Roman" w:hAnsi="Times New Roman" w:cs="Times New Roman"/>
          <w:noProof/>
          <w:sz w:val="24"/>
          <w:szCs w:val="24"/>
          <w:lang w:val="en-GB"/>
        </w:rPr>
        <w:t>older people</w:t>
      </w:r>
      <w:r w:rsidRPr="00E76013">
        <w:rPr>
          <w:rFonts w:ascii="Times New Roman" w:eastAsia="Times New Roman" w:hAnsi="Times New Roman" w:cs="Times New Roman"/>
          <w:noProof/>
          <w:sz w:val="24"/>
          <w:szCs w:val="24"/>
          <w:lang w:val="en-GB"/>
        </w:rPr>
        <w:t xml:space="preserve"> and people with disabilities.</w:t>
      </w:r>
    </w:p>
    <w:p w14:paraId="37092E30" w14:textId="0C1D3D38" w:rsidR="000733F2" w:rsidRDefault="000733F2">
      <w:pPr>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br w:type="page"/>
      </w:r>
    </w:p>
    <w:tbl>
      <w:tblPr>
        <w:tblStyle w:val="TableGrid"/>
        <w:tblW w:w="9360" w:type="dxa"/>
        <w:tblLayout w:type="fixed"/>
        <w:tblLook w:val="04A0" w:firstRow="1" w:lastRow="0" w:firstColumn="1" w:lastColumn="0" w:noHBand="0" w:noVBand="1"/>
      </w:tblPr>
      <w:tblGrid>
        <w:gridCol w:w="9360"/>
      </w:tblGrid>
      <w:tr w:rsidR="46B5260D" w:rsidRPr="00E76013" w14:paraId="25E73D39" w14:textId="77777777" w:rsidTr="00F07DCD">
        <w:tc>
          <w:tcPr>
            <w:tcW w:w="9360" w:type="dxa"/>
            <w:tcBorders>
              <w:top w:val="single" w:sz="8" w:space="0" w:color="auto"/>
              <w:left w:val="single" w:sz="8" w:space="0" w:color="auto"/>
              <w:bottom w:val="single" w:sz="8" w:space="0" w:color="auto"/>
              <w:right w:val="single" w:sz="8" w:space="0" w:color="auto"/>
            </w:tcBorders>
          </w:tcPr>
          <w:p w14:paraId="26BD1A7F" w14:textId="58CDD0FC" w:rsidR="46B5260D" w:rsidRPr="00E76013" w:rsidRDefault="46B5260D" w:rsidP="008637B5">
            <w:pPr>
              <w:jc w:val="center"/>
              <w:rPr>
                <w:rFonts w:ascii="Times New Roman" w:eastAsia="Times New Roman" w:hAnsi="Times New Roman" w:cs="Times New Roman"/>
                <w:noProof/>
                <w:color w:val="333399"/>
                <w:sz w:val="24"/>
                <w:szCs w:val="24"/>
              </w:rPr>
            </w:pPr>
            <w:r w:rsidRPr="00E76013">
              <w:rPr>
                <w:rFonts w:ascii="Times New Roman" w:eastAsia="Times New Roman" w:hAnsi="Times New Roman" w:cs="Times New Roman"/>
                <w:b/>
                <w:i/>
                <w:iCs/>
                <w:noProof/>
                <w:sz w:val="24"/>
                <w:szCs w:val="24"/>
                <w:lang w:val="en-GB"/>
              </w:rPr>
              <w:t xml:space="preserve">Box </w:t>
            </w:r>
            <w:r w:rsidR="004402B1" w:rsidRPr="00E76013">
              <w:rPr>
                <w:rFonts w:ascii="Times New Roman" w:eastAsia="Times New Roman" w:hAnsi="Times New Roman" w:cs="Times New Roman"/>
                <w:b/>
                <w:i/>
                <w:iCs/>
                <w:noProof/>
                <w:sz w:val="24"/>
                <w:szCs w:val="24"/>
                <w:lang w:val="en-GB"/>
              </w:rPr>
              <w:t>3</w:t>
            </w:r>
            <w:r w:rsidRPr="00E76013">
              <w:rPr>
                <w:rFonts w:ascii="Times New Roman" w:eastAsia="Times New Roman" w:hAnsi="Times New Roman" w:cs="Times New Roman"/>
                <w:i/>
                <w:iCs/>
                <w:noProof/>
                <w:sz w:val="24"/>
                <w:szCs w:val="24"/>
                <w:lang w:val="en-GB"/>
              </w:rPr>
              <w:t>:</w:t>
            </w:r>
            <w:r w:rsidR="004F2DAB">
              <w:rPr>
                <w:rFonts w:ascii="Times New Roman" w:eastAsia="Times New Roman" w:hAnsi="Times New Roman" w:cs="Times New Roman"/>
                <w:i/>
                <w:iCs/>
                <w:noProof/>
                <w:sz w:val="24"/>
                <w:szCs w:val="24"/>
                <w:lang w:val="en-GB"/>
              </w:rPr>
              <w:t xml:space="preserve"> </w:t>
            </w:r>
            <w:r w:rsidRPr="00E76013">
              <w:rPr>
                <w:rFonts w:ascii="Times New Roman" w:eastAsia="Times New Roman" w:hAnsi="Times New Roman" w:cs="Times New Roman"/>
                <w:b/>
                <w:bCs/>
                <w:noProof/>
                <w:sz w:val="24"/>
                <w:szCs w:val="24"/>
                <w:lang w:val="en-GB"/>
              </w:rPr>
              <w:t>Employment, skills and social policy challenges in light of the Social Scoreboard accompanying the European Pillar of Social Rights</w:t>
            </w:r>
            <w:r w:rsidRPr="00E76013">
              <w:rPr>
                <w:rFonts w:ascii="Times New Roman" w:eastAsia="Times New Roman" w:hAnsi="Times New Roman" w:cs="Times New Roman"/>
                <w:noProof/>
                <w:color w:val="333399"/>
                <w:sz w:val="24"/>
                <w:szCs w:val="24"/>
              </w:rPr>
              <w:t xml:space="preserve"> </w:t>
            </w:r>
          </w:p>
          <w:p w14:paraId="72260D4D" w14:textId="77777777" w:rsidR="008637B5" w:rsidRPr="00E76013" w:rsidRDefault="46B5260D" w:rsidP="008637B5">
            <w:pPr>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noProof/>
                <w:sz w:val="24"/>
                <w:szCs w:val="24"/>
              </w:rPr>
              <w:t xml:space="preserve"> </w:t>
            </w:r>
          </w:p>
          <w:p w14:paraId="7AFF62F7" w14:textId="5701E51C" w:rsidR="46B5260D" w:rsidRPr="00E76013" w:rsidRDefault="46B5260D" w:rsidP="00216539">
            <w:pPr>
              <w:spacing w:line="276" w:lineRule="auto"/>
              <w:jc w:val="both"/>
              <w:rPr>
                <w:rFonts w:ascii="Times New Roman" w:eastAsia="Times New Roman" w:hAnsi="Times New Roman" w:cs="Times New Roman"/>
                <w:noProof/>
                <w:color w:val="000000" w:themeColor="text1"/>
                <w:sz w:val="24"/>
                <w:szCs w:val="24"/>
              </w:rPr>
            </w:pPr>
            <w:r w:rsidRPr="00E76013">
              <w:rPr>
                <w:rFonts w:ascii="Times New Roman" w:eastAsia="Times New Roman" w:hAnsi="Times New Roman" w:cs="Times New Roman"/>
                <w:b/>
                <w:bCs/>
                <w:noProof/>
                <w:color w:val="000000" w:themeColor="text1"/>
                <w:sz w:val="24"/>
                <w:szCs w:val="24"/>
              </w:rPr>
              <w:t xml:space="preserve">The Social Scoreboard points to </w:t>
            </w:r>
            <w:r w:rsidRPr="00E76013">
              <w:rPr>
                <w:rFonts w:ascii="Times New Roman" w:eastAsia="Times New Roman" w:hAnsi="Times New Roman" w:cs="Times New Roman"/>
                <w:b/>
                <w:bCs/>
                <w:noProof/>
                <w:sz w:val="24"/>
                <w:szCs w:val="24"/>
              </w:rPr>
              <w:t xml:space="preserve">a recovering labour market, but overall outcomes remain below the pre-crisis period. </w:t>
            </w:r>
            <w:r w:rsidRPr="00E76013">
              <w:rPr>
                <w:rFonts w:ascii="Times New Roman" w:eastAsia="Times New Roman" w:hAnsi="Times New Roman" w:cs="Times New Roman"/>
                <w:noProof/>
                <w:color w:val="000000" w:themeColor="text1"/>
                <w:sz w:val="24"/>
                <w:szCs w:val="24"/>
              </w:rPr>
              <w:t>The employment rate stood at 73.4% in Q3-2021, 0.7 </w:t>
            </w:r>
            <w:r w:rsidRPr="00E76013">
              <w:rPr>
                <w:rFonts w:ascii="Times New Roman" w:eastAsia="Times New Roman" w:hAnsi="Times New Roman" w:cs="Times New Roman"/>
                <w:noProof/>
                <w:sz w:val="24"/>
                <w:szCs w:val="24"/>
              </w:rPr>
              <w:t>pp below the previous year, and below the EU average (73.6%), against the background of a working-age population that is expected to decrease by 12.5% by 2030. For the low-skilled, the employment rate (48.1% in 2020) remains well below the EU average (55%) and is significantly lower (39 pp) than for the high-skilled. Moreover, the share of young people (15-29) neither in employment, nor in education or training (NEET) is high (18.1% in 2020 compared to 13.8% on average in the EU). At the same time, the employment rate of workers aged 55-64 increased steadily (from 54.5% in 2016 to 64.2% in 2020), surpassing the EU average (59.6%). The disability employment gap is well above the EU average (33 pp vs 24.5 pp), with an employment rate of persons with disabilities of 43.1% in 2020, compared to 76.1% for those without. In 2020, only 47% of the Roma were engaged in any form of paid work.</w:t>
            </w:r>
            <w:r w:rsidRPr="00E76013">
              <w:rPr>
                <w:rFonts w:ascii="Times New Roman" w:eastAsia="Times New Roman" w:hAnsi="Times New Roman" w:cs="Times New Roman"/>
                <w:noProof/>
                <w:color w:val="000000" w:themeColor="text1"/>
                <w:sz w:val="24"/>
                <w:szCs w:val="24"/>
              </w:rPr>
              <w:t xml:space="preserve"> </w:t>
            </w:r>
          </w:p>
          <w:p w14:paraId="6C48D4FD" w14:textId="37AB54FC" w:rsidR="46B5260D" w:rsidRPr="00E76013" w:rsidRDefault="46B5260D" w:rsidP="00216539">
            <w:pPr>
              <w:spacing w:line="276" w:lineRule="auto"/>
              <w:jc w:val="both"/>
              <w:rPr>
                <w:rFonts w:ascii="Times New Roman" w:hAnsi="Times New Roman" w:cs="Times New Roman"/>
                <w:noProof/>
                <w:sz w:val="24"/>
                <w:szCs w:val="24"/>
              </w:rPr>
            </w:pPr>
          </w:p>
          <w:p w14:paraId="7F012F32" w14:textId="58C33700" w:rsidR="46B5260D" w:rsidRPr="00E76013" w:rsidRDefault="00655DFF" w:rsidP="00216539">
            <w:pPr>
              <w:spacing w:line="276" w:lineRule="auto"/>
              <w:jc w:val="both"/>
              <w:rPr>
                <w:rFonts w:ascii="Times New Roman" w:eastAsia="Times New Roman" w:hAnsi="Times New Roman" w:cs="Times New Roman"/>
                <w:noProof/>
                <w:color w:val="000000" w:themeColor="text1"/>
                <w:sz w:val="24"/>
                <w:szCs w:val="24"/>
              </w:rPr>
            </w:pPr>
            <w:r w:rsidRPr="00E76013">
              <w:rPr>
                <w:rFonts w:ascii="Times New Roman" w:hAnsi="Times New Roman" w:cs="Times New Roman"/>
                <w:noProof/>
                <w:color w:val="2B579A"/>
                <w:sz w:val="24"/>
                <w:szCs w:val="24"/>
                <w:shd w:val="clear" w:color="auto" w:fill="E6E6E6"/>
                <w:lang w:val="en-GB" w:eastAsia="en-GB"/>
              </w:rPr>
              <w:drawing>
                <wp:anchor distT="0" distB="0" distL="114300" distR="114300" simplePos="0" relativeHeight="251658244" behindDoc="0" locked="0" layoutInCell="1" allowOverlap="1" wp14:anchorId="732F964A" wp14:editId="79DB8FF4">
                  <wp:simplePos x="0" y="0"/>
                  <wp:positionH relativeFrom="margin">
                    <wp:posOffset>6350</wp:posOffset>
                  </wp:positionH>
                  <wp:positionV relativeFrom="margin">
                    <wp:posOffset>2647950</wp:posOffset>
                  </wp:positionV>
                  <wp:extent cx="2486025" cy="4572000"/>
                  <wp:effectExtent l="0" t="0" r="9525" b="0"/>
                  <wp:wrapSquare wrapText="bothSides"/>
                  <wp:docPr id="1010250957" name="Picture 109031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312565"/>
                          <pic:cNvPicPr/>
                        </pic:nvPicPr>
                        <pic:blipFill>
                          <a:blip r:embed="rId26">
                            <a:extLst>
                              <a:ext uri="{28A0092B-C50C-407E-A947-70E740481C1C}">
                                <a14:useLocalDpi xmlns:a14="http://schemas.microsoft.com/office/drawing/2010/main" val="0"/>
                              </a:ext>
                            </a:extLst>
                          </a:blip>
                          <a:stretch>
                            <a:fillRect/>
                          </a:stretch>
                        </pic:blipFill>
                        <pic:spPr>
                          <a:xfrm>
                            <a:off x="0" y="0"/>
                            <a:ext cx="2486025" cy="4572000"/>
                          </a:xfrm>
                          <a:prstGeom prst="rect">
                            <a:avLst/>
                          </a:prstGeom>
                        </pic:spPr>
                      </pic:pic>
                    </a:graphicData>
                  </a:graphic>
                </wp:anchor>
              </w:drawing>
            </w:r>
            <w:r w:rsidR="46B5260D" w:rsidRPr="00E76013">
              <w:rPr>
                <w:rFonts w:ascii="Times New Roman" w:eastAsia="Times New Roman" w:hAnsi="Times New Roman" w:cs="Times New Roman"/>
                <w:b/>
                <w:bCs/>
                <w:noProof/>
                <w:color w:val="000000" w:themeColor="text1"/>
                <w:sz w:val="24"/>
                <w:szCs w:val="24"/>
              </w:rPr>
              <w:t xml:space="preserve">The Social Scoreboard also highlights social challenges, including </w:t>
            </w:r>
            <w:r w:rsidR="46B5260D" w:rsidRPr="00E76013">
              <w:rPr>
                <w:rFonts w:ascii="Times New Roman" w:eastAsia="Times New Roman" w:hAnsi="Times New Roman" w:cs="Times New Roman"/>
                <w:b/>
                <w:bCs/>
                <w:noProof/>
                <w:sz w:val="24"/>
                <w:szCs w:val="24"/>
              </w:rPr>
              <w:t>high levels of income inequality and risk of poverty or social exclusion.</w:t>
            </w:r>
            <w:r w:rsidR="46B5260D" w:rsidRPr="00E76013">
              <w:rPr>
                <w:rFonts w:ascii="Times New Roman" w:eastAsia="Times New Roman" w:hAnsi="Times New Roman" w:cs="Times New Roman"/>
                <w:noProof/>
                <w:color w:val="000000" w:themeColor="text1"/>
                <w:sz w:val="24"/>
                <w:szCs w:val="24"/>
              </w:rPr>
              <w:t xml:space="preserve"> In 2020, the income of the richest 20% of the population was almost 8 times higher than that of the poorest 20%. The share of people at risk of poverty or social exclusion stood at 33.6% in 2020, among the highest in the EU. The rate is even higher for children (36.2%), older people (65+, 49.5%), persons with disabilities (52.3%) and Roma (79.4% in 2019). 14.4% of the Bulgarian population spent 40% or more of their household income on housing (</w:t>
            </w:r>
            <w:r w:rsidR="46B5260D" w:rsidRPr="00E76013">
              <w:rPr>
                <w:rFonts w:ascii="Times New Roman" w:eastAsia="Times New Roman" w:hAnsi="Times New Roman" w:cs="Times New Roman"/>
                <w:noProof/>
                <w:sz w:val="24"/>
                <w:szCs w:val="24"/>
              </w:rPr>
              <w:t>i.e. experienced housing cost overburden), compared to on average 10% of the population in the EU. Bulgaria records one of the lowest impact of social transfers (other than pensions) on poverty reduction in the EU (20.4% in 2020), well below the EU average (32.7%). Gaps persist in terms of access to social protection, notably for self-employed and non-standard workers. In addition, the healthcare system continues to face challenges concerning accessibility, effectiveness and resilience. Access to formal long-term care services is also limited and the system is severely under-funded. The coverage of home care for older people is one of the lowest in the EU (11.6% versus 28.6% in the EU in 2019) and unmet needs for medical care for this age cohort are significantly higher than the EU average (67.5% versus 46.5% in the EU in 2019).</w:t>
            </w:r>
            <w:r w:rsidR="000B6475">
              <w:rPr>
                <w:rFonts w:ascii="Times New Roman" w:eastAsia="Times New Roman" w:hAnsi="Times New Roman" w:cs="Times New Roman"/>
                <w:noProof/>
                <w:sz w:val="24"/>
                <w:szCs w:val="24"/>
              </w:rPr>
              <w:t xml:space="preserve"> </w:t>
            </w:r>
          </w:p>
          <w:p w14:paraId="5833853A" w14:textId="613276D0" w:rsidR="46B5260D" w:rsidRPr="00E76013" w:rsidRDefault="46B5260D" w:rsidP="00216539">
            <w:pPr>
              <w:spacing w:line="276" w:lineRule="auto"/>
              <w:jc w:val="both"/>
              <w:rPr>
                <w:rFonts w:ascii="Times New Roman" w:eastAsia="Segoe UI" w:hAnsi="Times New Roman" w:cs="Times New Roman"/>
                <w:noProof/>
                <w:sz w:val="24"/>
                <w:szCs w:val="24"/>
              </w:rPr>
            </w:pPr>
            <w:r w:rsidRPr="00E76013">
              <w:rPr>
                <w:rFonts w:ascii="Times New Roman" w:eastAsia="Segoe UI" w:hAnsi="Times New Roman" w:cs="Times New Roman"/>
                <w:noProof/>
                <w:sz w:val="24"/>
                <w:szCs w:val="24"/>
              </w:rPr>
              <w:t xml:space="preserve"> </w:t>
            </w:r>
          </w:p>
          <w:p w14:paraId="51D60E00" w14:textId="24573768" w:rsidR="46B5260D" w:rsidRPr="00E76013" w:rsidRDefault="33CC4617" w:rsidP="00216539">
            <w:pPr>
              <w:pStyle w:val="BoxText"/>
              <w:spacing w:line="276" w:lineRule="auto"/>
              <w:rPr>
                <w:noProof/>
                <w:color w:val="000000" w:themeColor="text1"/>
                <w:sz w:val="24"/>
              </w:rPr>
            </w:pPr>
            <w:r w:rsidRPr="00E76013">
              <w:rPr>
                <w:b/>
                <w:bCs/>
                <w:noProof/>
                <w:color w:val="000000" w:themeColor="text1"/>
                <w:sz w:val="24"/>
              </w:rPr>
              <w:t>Low levels of basic and digital skills and low adult participation in learning pose important challenges to Bulgaria</w:t>
            </w:r>
            <w:r w:rsidRPr="00E76013">
              <w:rPr>
                <w:noProof/>
                <w:color w:val="000000" w:themeColor="text1"/>
                <w:sz w:val="24"/>
              </w:rPr>
              <w:t xml:space="preserve">, also in view of adverse demographic trends and </w:t>
            </w:r>
            <w:r w:rsidRPr="00E76013">
              <w:rPr>
                <w:noProof/>
                <w:sz w:val="24"/>
              </w:rPr>
              <w:t>accompanying the fair green and digital transitions. The participation rate of children below 3 years in formal childcare stood at 15% in 2020, well below the EU average (32.3%). The early school leaving rate stood at 12.8% in 2020, above the EU average (9.9%). The challenge is particularly acute in certain regions and among disadvantaged groups, especially Roma. Only 29% of the population (16-74) and 57% of young Bulgarians (16-19) report basic or above basic levels of digital skills, compared to 56% and 82% respectively in the EU. Adult participation in learning (25-64) was well below the EU average in 2020 (1.6% versus 9.2%).</w:t>
            </w:r>
            <w:r w:rsidR="004F2DAB">
              <w:rPr>
                <w:noProof/>
                <w:sz w:val="24"/>
              </w:rPr>
              <w:t xml:space="preserve"> </w:t>
            </w:r>
          </w:p>
          <w:p w14:paraId="39EE3D47" w14:textId="0CAEC73F" w:rsidR="46B5260D" w:rsidRPr="00E76013" w:rsidRDefault="46B5260D" w:rsidP="00216539">
            <w:pPr>
              <w:pStyle w:val="BoxText"/>
              <w:spacing w:line="276" w:lineRule="auto"/>
              <w:rPr>
                <w:noProof/>
                <w:color w:val="000000" w:themeColor="text1"/>
                <w:sz w:val="24"/>
              </w:rPr>
            </w:pPr>
            <w:r w:rsidRPr="00E76013">
              <w:rPr>
                <w:b/>
                <w:bCs/>
                <w:noProof/>
                <w:color w:val="000000" w:themeColor="text1"/>
                <w:sz w:val="24"/>
              </w:rPr>
              <w:t xml:space="preserve">The Plan includes measures fostering the availability of digital infrastructures, access to distance working and the enhancement of digital skills, which are supportive of the digital as well as of the green transition. </w:t>
            </w:r>
            <w:r w:rsidRPr="00E76013">
              <w:rPr>
                <w:noProof/>
                <w:color w:val="000000" w:themeColor="text1"/>
                <w:sz w:val="24"/>
              </w:rPr>
              <w:t xml:space="preserve">The measures included under the Plan cover the large-scale deployment of digital infrastructure, the digitalization of administrative services, as well as revisions to the regulation concerning distance working. The plan also promotes skills relevance and adult learning, with a focus on digital skills. This encompasses changes to the regulatory frameworks for higher and vocational education and training and the development of an online platform for adult learning linked to the public employment services. Relevant measures in the field of education and training also include the enhancement of the relevance of higher education with the aim of addressing labour market shortages and promoting research, with a view to move forward the digital and green transitions. Together with the accompanying reforms, the investments aim to enhance a </w:t>
            </w:r>
            <w:r w:rsidR="00D629F6" w:rsidRPr="00E76013">
              <w:rPr>
                <w:noProof/>
                <w:sz w:val="24"/>
              </w:rPr>
              <w:t>favourable</w:t>
            </w:r>
            <w:r w:rsidRPr="00E76013">
              <w:rPr>
                <w:noProof/>
                <w:sz w:val="24"/>
              </w:rPr>
              <w:t xml:space="preserve"> investment environment and the skills of the Bulgarian population. ESF+ interventions will also focus on </w:t>
            </w:r>
            <w:r w:rsidR="00CB2F95" w:rsidRPr="00E76013">
              <w:rPr>
                <w:noProof/>
                <w:sz w:val="24"/>
              </w:rPr>
              <w:t>strengthening</w:t>
            </w:r>
            <w:r w:rsidRPr="00E76013">
              <w:rPr>
                <w:noProof/>
                <w:sz w:val="24"/>
              </w:rPr>
              <w:t xml:space="preserve"> the quality and inclusiveness of education and </w:t>
            </w:r>
            <w:r w:rsidR="00D629F6" w:rsidRPr="00E76013">
              <w:rPr>
                <w:noProof/>
                <w:sz w:val="24"/>
              </w:rPr>
              <w:t>trainings</w:t>
            </w:r>
            <w:r w:rsidRPr="00E76013">
              <w:rPr>
                <w:noProof/>
                <w:sz w:val="24"/>
              </w:rPr>
              <w:t xml:space="preserve"> as well as access to employment, upskilling and reskilling measures. The synergies between the Recovery and Resilience Facility and other EU funds will help Bulgaria in contributing to reaching the 2030 EU headline target on skills.</w:t>
            </w:r>
            <w:r w:rsidRPr="00E76013">
              <w:rPr>
                <w:noProof/>
                <w:color w:val="000000" w:themeColor="text1"/>
                <w:sz w:val="24"/>
              </w:rPr>
              <w:t xml:space="preserve"> </w:t>
            </w:r>
          </w:p>
          <w:p w14:paraId="49F41D70" w14:textId="7EBF440D" w:rsidR="46B5260D" w:rsidRPr="00E76013" w:rsidRDefault="33CC4617" w:rsidP="00216539">
            <w:pPr>
              <w:spacing w:line="276" w:lineRule="auto"/>
              <w:jc w:val="both"/>
              <w:rPr>
                <w:rFonts w:ascii="Times New Roman" w:hAnsi="Times New Roman" w:cs="Times New Roman"/>
                <w:noProof/>
                <w:color w:val="000000" w:themeColor="text1"/>
                <w:sz w:val="24"/>
                <w:szCs w:val="24"/>
              </w:rPr>
            </w:pPr>
            <w:r w:rsidRPr="00E76013">
              <w:rPr>
                <w:rFonts w:ascii="Times New Roman" w:hAnsi="Times New Roman" w:cs="Times New Roman"/>
                <w:b/>
                <w:bCs/>
                <w:noProof/>
                <w:color w:val="000000" w:themeColor="text1"/>
                <w:sz w:val="24"/>
                <w:szCs w:val="24"/>
              </w:rPr>
              <w:t xml:space="preserve">The </w:t>
            </w:r>
            <w:r w:rsidR="40D89F7F" w:rsidRPr="00E76013">
              <w:rPr>
                <w:rFonts w:ascii="Times New Roman" w:hAnsi="Times New Roman" w:cs="Times New Roman"/>
                <w:b/>
                <w:bCs/>
                <w:noProof/>
                <w:color w:val="000000" w:themeColor="text1"/>
                <w:sz w:val="24"/>
                <w:szCs w:val="24"/>
              </w:rPr>
              <w:t>Plan</w:t>
            </w:r>
            <w:r w:rsidRPr="00E76013">
              <w:rPr>
                <w:rFonts w:ascii="Times New Roman" w:hAnsi="Times New Roman" w:cs="Times New Roman"/>
                <w:b/>
                <w:bCs/>
                <w:noProof/>
                <w:color w:val="000000" w:themeColor="text1"/>
                <w:sz w:val="24"/>
                <w:szCs w:val="24"/>
              </w:rPr>
              <w:t xml:space="preserve"> is expected to improve access to education, adult </w:t>
            </w:r>
            <w:r w:rsidRPr="00E76013">
              <w:rPr>
                <w:rFonts w:ascii="Times New Roman" w:hAnsi="Times New Roman" w:cs="Times New Roman"/>
                <w:b/>
                <w:bCs/>
                <w:noProof/>
                <w:sz w:val="24"/>
                <w:szCs w:val="24"/>
              </w:rPr>
              <w:t>learning and healthcare, and to promote social inclusion.</w:t>
            </w:r>
            <w:r w:rsidRPr="00E76013">
              <w:rPr>
                <w:rFonts w:ascii="Times New Roman" w:hAnsi="Times New Roman" w:cs="Times New Roman"/>
                <w:noProof/>
                <w:color w:val="000000" w:themeColor="text1"/>
                <w:sz w:val="24"/>
                <w:szCs w:val="24"/>
              </w:rPr>
              <w:t xml:space="preserve"> Improved access to education will result from investments in education infrastructures, increased options for learning, including online classes, and the compulsory inclusion of 4-years-old in the education system, with implications for the labour market participation of women. On healthcare, broader access is expected to be achieved via the construction of outpatient care units, the enhancement of the provision of telemedicine services, the establishment of an air ambulance system, as well as through measures addressing shortages of healthcare professionals, including their unbalanced geographical distribution. As part of the </w:t>
            </w:r>
            <w:r w:rsidR="5C16F1BF" w:rsidRPr="00E76013">
              <w:rPr>
                <w:rFonts w:ascii="Times New Roman" w:hAnsi="Times New Roman" w:cs="Times New Roman"/>
                <w:noProof/>
                <w:color w:val="000000" w:themeColor="text1"/>
                <w:sz w:val="24"/>
                <w:szCs w:val="24"/>
              </w:rPr>
              <w:t>Plan</w:t>
            </w:r>
            <w:r w:rsidRPr="00E76013">
              <w:rPr>
                <w:rFonts w:ascii="Times New Roman" w:hAnsi="Times New Roman" w:cs="Times New Roman"/>
                <w:noProof/>
                <w:color w:val="000000" w:themeColor="text1"/>
                <w:sz w:val="24"/>
                <w:szCs w:val="24"/>
              </w:rPr>
              <w:t xml:space="preserve">, Bulgaria plans to reform minimum income support, thus strengthening social safety nets, which, in combination with more effective activation, contribute to the efforts targeting the achievement of the 2030 EU headline target on poverty reduction. The figures of the Social Scoreboard also point at the need for strengthening the provision of more tailored employment and social </w:t>
            </w:r>
            <w:r w:rsidRPr="00E76013">
              <w:rPr>
                <w:rFonts w:ascii="Times New Roman" w:hAnsi="Times New Roman" w:cs="Times New Roman"/>
                <w:noProof/>
                <w:sz w:val="24"/>
                <w:szCs w:val="24"/>
              </w:rPr>
              <w:t xml:space="preserve">services, particularly for vulnerable and under-represented groups (e.g. persons with disabilities and Roma). To foster social inclusion, the </w:t>
            </w:r>
            <w:r w:rsidR="7BED05D0" w:rsidRPr="00E76013">
              <w:rPr>
                <w:rFonts w:ascii="Times New Roman" w:hAnsi="Times New Roman" w:cs="Times New Roman"/>
                <w:noProof/>
                <w:sz w:val="24"/>
                <w:szCs w:val="24"/>
              </w:rPr>
              <w:t>P</w:t>
            </w:r>
            <w:r w:rsidRPr="00E76013">
              <w:rPr>
                <w:rFonts w:ascii="Times New Roman" w:hAnsi="Times New Roman" w:cs="Times New Roman"/>
                <w:noProof/>
                <w:sz w:val="24"/>
                <w:szCs w:val="24"/>
              </w:rPr>
              <w:t xml:space="preserve">lan also includes measures to improve the provision and integration of employment and social services and to modernize long-term care, with a focus on people with disabilities and </w:t>
            </w:r>
            <w:r w:rsidR="00A037C9">
              <w:rPr>
                <w:rFonts w:ascii="Times New Roman" w:hAnsi="Times New Roman" w:cs="Times New Roman"/>
                <w:noProof/>
                <w:sz w:val="24"/>
                <w:szCs w:val="24"/>
              </w:rPr>
              <w:t>older people</w:t>
            </w:r>
            <w:r w:rsidRPr="00E76013">
              <w:rPr>
                <w:rFonts w:ascii="Times New Roman" w:hAnsi="Times New Roman" w:cs="Times New Roman"/>
                <w:noProof/>
                <w:sz w:val="24"/>
                <w:szCs w:val="24"/>
              </w:rPr>
              <w:t>. Bulgaria will also invest, in the context of other EU funds,</w:t>
            </w:r>
            <w:r w:rsidR="00B175EE">
              <w:rPr>
                <w:rFonts w:ascii="Times New Roman" w:hAnsi="Times New Roman" w:cs="Times New Roman"/>
                <w:noProof/>
                <w:sz w:val="24"/>
                <w:szCs w:val="24"/>
              </w:rPr>
              <w:t xml:space="preserve"> notably ESF and ERDF,</w:t>
            </w:r>
            <w:r w:rsidRPr="00E76013">
              <w:rPr>
                <w:rFonts w:ascii="Times New Roman" w:hAnsi="Times New Roman" w:cs="Times New Roman"/>
                <w:noProof/>
                <w:sz w:val="24"/>
                <w:szCs w:val="24"/>
              </w:rPr>
              <w:t xml:space="preserve"> in actions to improve the capacity and effectiveness of public employment services and better social services.</w:t>
            </w:r>
            <w:r w:rsidRPr="00E76013">
              <w:rPr>
                <w:rFonts w:ascii="Times New Roman" w:hAnsi="Times New Roman" w:cs="Times New Roman"/>
                <w:noProof/>
                <w:color w:val="000000" w:themeColor="text1"/>
                <w:sz w:val="24"/>
                <w:szCs w:val="24"/>
              </w:rPr>
              <w:t xml:space="preserve"> </w:t>
            </w:r>
          </w:p>
        </w:tc>
      </w:tr>
    </w:tbl>
    <w:p w14:paraId="2D92A2AF" w14:textId="00F2B9E6" w:rsidR="149B30EC" w:rsidRPr="00E76013" w:rsidRDefault="149B30EC" w:rsidP="149B30EC">
      <w:pPr>
        <w:jc w:val="both"/>
        <w:rPr>
          <w:rFonts w:ascii="Times New Roman" w:eastAsia="Times New Roman" w:hAnsi="Times New Roman" w:cs="Times New Roman"/>
          <w:i/>
          <w:noProof/>
          <w:sz w:val="24"/>
          <w:szCs w:val="24"/>
          <w:lang w:val="en-GB"/>
        </w:rPr>
      </w:pPr>
    </w:p>
    <w:p w14:paraId="36603235" w14:textId="77777777" w:rsidR="002D66C7" w:rsidRDefault="002D66C7" w:rsidP="00751CDF">
      <w:pPr>
        <w:spacing w:line="276" w:lineRule="auto"/>
        <w:jc w:val="both"/>
        <w:rPr>
          <w:rFonts w:ascii="Times New Roman" w:eastAsia="Times New Roman" w:hAnsi="Times New Roman" w:cs="Times New Roman"/>
          <w:i/>
          <w:noProof/>
          <w:sz w:val="24"/>
          <w:szCs w:val="24"/>
          <w:lang w:val="en-GB"/>
        </w:rPr>
      </w:pPr>
    </w:p>
    <w:p w14:paraId="587996C9" w14:textId="745D3251" w:rsidR="00DC40A9" w:rsidRPr="00E76013" w:rsidRDefault="00DC40A9" w:rsidP="00751CDF">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Reducing vulnerability and increasing resilience</w:t>
      </w:r>
    </w:p>
    <w:p w14:paraId="45AB808A" w14:textId="1CD8232F" w:rsidR="00452DE4" w:rsidRPr="00E76013" w:rsidRDefault="00452DE4" w:rsidP="00751CDF">
      <w:pPr>
        <w:spacing w:line="276"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noProof/>
          <w:sz w:val="24"/>
          <w:szCs w:val="24"/>
          <w:lang w:val="en-GB"/>
        </w:rPr>
        <w:t xml:space="preserve">The Plan aims to address </w:t>
      </w:r>
      <w:r w:rsidR="00ED09FA">
        <w:rPr>
          <w:rFonts w:ascii="Times New Roman" w:eastAsia="Times New Roman" w:hAnsi="Times New Roman" w:cs="Times New Roman"/>
          <w:b/>
          <w:noProof/>
          <w:sz w:val="24"/>
          <w:szCs w:val="24"/>
          <w:lang w:val="en-GB"/>
        </w:rPr>
        <w:t>relevant Rule of Law concerns</w:t>
      </w:r>
      <w:r>
        <w:rPr>
          <w:rFonts w:ascii="Times New Roman" w:eastAsia="Times New Roman" w:hAnsi="Times New Roman" w:cs="Times New Roman"/>
          <w:b/>
          <w:noProof/>
          <w:sz w:val="24"/>
          <w:szCs w:val="24"/>
          <w:lang w:val="en-GB"/>
        </w:rPr>
        <w:t>.</w:t>
      </w:r>
      <w:r w:rsidRPr="009E4E44">
        <w:rPr>
          <w:rFonts w:ascii="Times New Roman" w:eastAsia="Times New Roman" w:hAnsi="Times New Roman" w:cs="Times New Roman"/>
          <w:b/>
          <w:noProof/>
          <w:sz w:val="24"/>
          <w:szCs w:val="24"/>
          <w:lang w:val="en-GB"/>
        </w:rPr>
        <w:t xml:space="preserve"> </w:t>
      </w:r>
      <w:r w:rsidRPr="00E76013">
        <w:rPr>
          <w:rFonts w:ascii="Times New Roman" w:eastAsia="Times New Roman" w:hAnsi="Times New Roman" w:cs="Times New Roman"/>
          <w:noProof/>
          <w:sz w:val="24"/>
          <w:szCs w:val="24"/>
          <w:lang w:val="en-GB"/>
        </w:rPr>
        <w:t xml:space="preserve">The Plan puts forward an ambitious reform agenda to improve the functioning of the judiciary system and the anti-corruption bodies. It also envisages reforms and investments in anti-money laundering, public procurement, whistle-blower protection, regulation of lobbying, e-government and </w:t>
      </w:r>
      <w:r w:rsidRPr="00E76013">
        <w:rPr>
          <w:rFonts w:ascii="Times New Roman" w:eastAsia="Times New Roman" w:hAnsi="Times New Roman" w:cs="Times New Roman"/>
          <w:bCs/>
          <w:noProof/>
          <w:sz w:val="24"/>
          <w:szCs w:val="24"/>
        </w:rPr>
        <w:t>integrity of public servants. These measures are expected</w:t>
      </w:r>
      <w:r w:rsidR="00ED09FA">
        <w:rPr>
          <w:rFonts w:ascii="Times New Roman" w:eastAsia="Times New Roman" w:hAnsi="Times New Roman" w:cs="Times New Roman"/>
          <w:bCs/>
          <w:noProof/>
          <w:sz w:val="24"/>
          <w:szCs w:val="24"/>
        </w:rPr>
        <w:t xml:space="preserve"> to</w:t>
      </w:r>
      <w:r w:rsidRPr="00E76013">
        <w:rPr>
          <w:rFonts w:ascii="Times New Roman" w:eastAsia="Times New Roman" w:hAnsi="Times New Roman" w:cs="Times New Roman"/>
          <w:bCs/>
          <w:noProof/>
          <w:sz w:val="24"/>
          <w:szCs w:val="24"/>
        </w:rPr>
        <w:t xml:space="preserve"> </w:t>
      </w:r>
      <w:r>
        <w:rPr>
          <w:rFonts w:ascii="Times New Roman" w:eastAsia="Times New Roman" w:hAnsi="Times New Roman" w:cs="Times New Roman"/>
          <w:bCs/>
          <w:noProof/>
          <w:sz w:val="24"/>
          <w:szCs w:val="24"/>
        </w:rPr>
        <w:t xml:space="preserve">strengthen the </w:t>
      </w:r>
      <w:r w:rsidRPr="00E76013">
        <w:rPr>
          <w:rFonts w:ascii="Times New Roman" w:eastAsia="Times New Roman" w:hAnsi="Times New Roman" w:cs="Times New Roman"/>
          <w:noProof/>
          <w:sz w:val="24"/>
          <w:szCs w:val="24"/>
          <w:lang w:val="en-GB"/>
        </w:rPr>
        <w:t xml:space="preserve">fight against corruption and </w:t>
      </w:r>
      <w:r w:rsidRPr="66071EFC">
        <w:rPr>
          <w:rFonts w:ascii="Times New Roman" w:eastAsia="Times New Roman" w:hAnsi="Times New Roman" w:cs="Times New Roman"/>
          <w:noProof/>
          <w:sz w:val="24"/>
          <w:szCs w:val="24"/>
          <w:lang w:val="en-GB"/>
        </w:rPr>
        <w:t>organised</w:t>
      </w:r>
      <w:r w:rsidRPr="00E76013">
        <w:rPr>
          <w:rFonts w:ascii="Times New Roman" w:eastAsia="Times New Roman" w:hAnsi="Times New Roman" w:cs="Times New Roman"/>
          <w:noProof/>
          <w:sz w:val="24"/>
          <w:szCs w:val="24"/>
          <w:lang w:val="en-GB"/>
        </w:rPr>
        <w:t xml:space="preserve"> crime</w:t>
      </w:r>
      <w:r>
        <w:rPr>
          <w:rFonts w:ascii="Times New Roman" w:eastAsia="Times New Roman" w:hAnsi="Times New Roman" w:cs="Times New Roman"/>
          <w:noProof/>
          <w:sz w:val="24"/>
          <w:szCs w:val="24"/>
          <w:lang w:val="en-GB"/>
        </w:rPr>
        <w:t xml:space="preserve"> and</w:t>
      </w:r>
      <w:r w:rsidRPr="00E76013">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improve</w:t>
      </w:r>
      <w:r w:rsidR="00ED09FA">
        <w:rPr>
          <w:rFonts w:ascii="Times New Roman" w:eastAsia="Times New Roman" w:hAnsi="Times New Roman" w:cs="Times New Roman"/>
          <w:noProof/>
          <w:sz w:val="24"/>
          <w:szCs w:val="24"/>
          <w:lang w:val="en-GB"/>
        </w:rPr>
        <w:t xml:space="preserve"> the</w:t>
      </w:r>
      <w:r>
        <w:rPr>
          <w:rFonts w:ascii="Times New Roman" w:eastAsia="Times New Roman" w:hAnsi="Times New Roman" w:cs="Times New Roman"/>
          <w:noProof/>
          <w:sz w:val="24"/>
          <w:szCs w:val="24"/>
          <w:lang w:val="en-GB"/>
        </w:rPr>
        <w:t xml:space="preserve"> business environment and</w:t>
      </w:r>
      <w:r w:rsidRPr="00E76013">
        <w:rPr>
          <w:rFonts w:ascii="Times New Roman" w:eastAsia="Times New Roman" w:hAnsi="Times New Roman" w:cs="Times New Roman"/>
          <w:noProof/>
          <w:sz w:val="24"/>
          <w:szCs w:val="24"/>
          <w:lang w:val="en-GB"/>
        </w:rPr>
        <w:t xml:space="preserve"> national security</w:t>
      </w:r>
      <w:r>
        <w:rPr>
          <w:rFonts w:ascii="Times New Roman" w:eastAsia="Times New Roman" w:hAnsi="Times New Roman" w:cs="Times New Roman"/>
          <w:noProof/>
          <w:sz w:val="24"/>
          <w:szCs w:val="24"/>
          <w:lang w:val="en-GB"/>
        </w:rPr>
        <w:t>.</w:t>
      </w:r>
      <w:r w:rsidR="004F2DAB">
        <w:rPr>
          <w:rFonts w:ascii="Times New Roman" w:eastAsia="Times New Roman" w:hAnsi="Times New Roman" w:cs="Times New Roman"/>
          <w:bCs/>
          <w:noProof/>
          <w:sz w:val="24"/>
          <w:szCs w:val="24"/>
        </w:rPr>
        <w:t xml:space="preserve"> </w:t>
      </w:r>
      <w:r>
        <w:rPr>
          <w:rFonts w:ascii="Times New Roman" w:eastAsia="Times New Roman" w:hAnsi="Times New Roman" w:cs="Times New Roman"/>
          <w:bCs/>
          <w:noProof/>
          <w:sz w:val="24"/>
          <w:szCs w:val="24"/>
        </w:rPr>
        <w:t xml:space="preserve">They are also set </w:t>
      </w:r>
      <w:r w:rsidRPr="00E76013">
        <w:rPr>
          <w:rFonts w:ascii="Times New Roman" w:eastAsia="Times New Roman" w:hAnsi="Times New Roman" w:cs="Times New Roman"/>
          <w:bCs/>
          <w:noProof/>
          <w:sz w:val="24"/>
          <w:szCs w:val="24"/>
        </w:rPr>
        <w:t>to boost the public trust in public systems and institutions</w:t>
      </w:r>
      <w:r>
        <w:rPr>
          <w:rFonts w:ascii="Times New Roman" w:eastAsia="Times New Roman" w:hAnsi="Times New Roman" w:cs="Times New Roman"/>
          <w:bCs/>
          <w:noProof/>
          <w:sz w:val="24"/>
          <w:szCs w:val="24"/>
        </w:rPr>
        <w:t xml:space="preserve">, which is </w:t>
      </w:r>
      <w:r w:rsidRPr="00E76013">
        <w:rPr>
          <w:rFonts w:ascii="Times New Roman" w:eastAsia="Times New Roman" w:hAnsi="Times New Roman" w:cs="Times New Roman"/>
          <w:noProof/>
          <w:sz w:val="24"/>
          <w:szCs w:val="24"/>
          <w:lang w:val="en-GB"/>
        </w:rPr>
        <w:t xml:space="preserve">essential for </w:t>
      </w:r>
      <w:r w:rsidR="00ED09FA">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country’s capacity to cope with various challenges</w:t>
      </w:r>
      <w:r w:rsidRPr="00E76013">
        <w:rPr>
          <w:rFonts w:ascii="Times New Roman" w:eastAsia="Times New Roman" w:hAnsi="Times New Roman" w:cs="Times New Roman"/>
          <w:bCs/>
          <w:noProof/>
          <w:sz w:val="24"/>
          <w:szCs w:val="24"/>
        </w:rPr>
        <w:t>.</w:t>
      </w:r>
      <w:r>
        <w:rPr>
          <w:rFonts w:ascii="Times New Roman" w:eastAsia="Times New Roman" w:hAnsi="Times New Roman" w:cs="Times New Roman"/>
          <w:bCs/>
          <w:noProof/>
          <w:sz w:val="24"/>
          <w:szCs w:val="24"/>
        </w:rPr>
        <w:t xml:space="preserve"> </w:t>
      </w:r>
    </w:p>
    <w:p w14:paraId="5F6F0413" w14:textId="3798CB07" w:rsidR="00452DE4" w:rsidRPr="00E76013" w:rsidRDefault="00452DE4" w:rsidP="00751CDF">
      <w:pPr>
        <w:spacing w:line="276" w:lineRule="auto"/>
        <w:jc w:val="both"/>
        <w:rPr>
          <w:rFonts w:ascii="Times New Roman" w:eastAsia="Times New Roman" w:hAnsi="Times New Roman" w:cs="Times New Roman"/>
          <w:noProof/>
          <w:sz w:val="24"/>
          <w:szCs w:val="24"/>
          <w:lang w:val="en-GB"/>
        </w:rPr>
      </w:pPr>
      <w:r w:rsidRPr="00DD214C">
        <w:rPr>
          <w:rFonts w:ascii="Times New Roman" w:eastAsia="Times New Roman" w:hAnsi="Times New Roman" w:cs="Times New Roman"/>
          <w:b/>
          <w:bCs/>
          <w:noProof/>
          <w:sz w:val="24"/>
          <w:szCs w:val="24"/>
        </w:rPr>
        <w:t>The Plan tackles the vulnerabilities related to the green transition and environment protection and improves environmental resilience.</w:t>
      </w:r>
      <w:r w:rsidRPr="00E76013">
        <w:rPr>
          <w:rFonts w:ascii="Times New Roman" w:eastAsia="Times New Roman" w:hAnsi="Times New Roman" w:cs="Times New Roman"/>
          <w:bCs/>
          <w:noProof/>
          <w:sz w:val="24"/>
          <w:szCs w:val="24"/>
        </w:rPr>
        <w:t xml:space="preserve"> </w:t>
      </w:r>
      <w:r>
        <w:rPr>
          <w:rFonts w:ascii="Times New Roman" w:eastAsia="Times New Roman" w:hAnsi="Times New Roman" w:cs="Times New Roman"/>
          <w:bCs/>
          <w:noProof/>
          <w:sz w:val="24"/>
          <w:szCs w:val="24"/>
        </w:rPr>
        <w:t>Bulgaria commits</w:t>
      </w:r>
      <w:r w:rsidRPr="00254E6C">
        <w:rPr>
          <w:rFonts w:ascii="Times New Roman" w:eastAsia="Times New Roman" w:hAnsi="Times New Roman" w:cs="Times New Roman"/>
          <w:bCs/>
          <w:noProof/>
          <w:sz w:val="24"/>
          <w:szCs w:val="24"/>
        </w:rPr>
        <w:t xml:space="preserve"> to a law/strategy for coal phase-out, accompanied by fast deployment of </w:t>
      </w:r>
      <w:r w:rsidR="004E4F26">
        <w:rPr>
          <w:rFonts w:ascii="Times New Roman" w:eastAsia="Times New Roman" w:hAnsi="Times New Roman" w:cs="Times New Roman"/>
          <w:bCs/>
          <w:noProof/>
          <w:sz w:val="24"/>
          <w:szCs w:val="24"/>
        </w:rPr>
        <w:t>renewable energy sources</w:t>
      </w:r>
      <w:r w:rsidRPr="00254E6C">
        <w:rPr>
          <w:rFonts w:ascii="Times New Roman" w:eastAsia="Times New Roman" w:hAnsi="Times New Roman" w:cs="Times New Roman"/>
          <w:bCs/>
          <w:noProof/>
          <w:sz w:val="24"/>
          <w:szCs w:val="24"/>
        </w:rPr>
        <w:t xml:space="preserve">. Investments in energy renovation of buildings and renewables are expected to reduce energy needs by at least 30%. Apart from addressing the environmental vulnerability, these measures, combined with reforms to cope with the energy poverty, also contribute to the economic and social resilience of the economy by curbing dependence on energy imports and reducing energy costs for businesses, households and administration. Another green transition challenge that is addressed by the Plan is the issue of sustainable mobility. The high carbon intensity of transport in Bulgaria is tackled by investment in electric rolling stock, expansion of the Sofia metro and promotion of electric car mobility with building of 10 000 charging stations. Other vulnerabilities </w:t>
      </w:r>
      <w:r w:rsidR="004E4F26">
        <w:rPr>
          <w:rFonts w:ascii="Times New Roman" w:eastAsia="Times New Roman" w:hAnsi="Times New Roman" w:cs="Times New Roman"/>
          <w:bCs/>
          <w:noProof/>
          <w:sz w:val="24"/>
          <w:szCs w:val="24"/>
        </w:rPr>
        <w:t>linked to the</w:t>
      </w:r>
      <w:r w:rsidRPr="00254E6C">
        <w:rPr>
          <w:rFonts w:ascii="Times New Roman" w:eastAsia="Times New Roman" w:hAnsi="Times New Roman" w:cs="Times New Roman"/>
          <w:bCs/>
          <w:noProof/>
          <w:sz w:val="24"/>
          <w:szCs w:val="24"/>
        </w:rPr>
        <w:t xml:space="preserve"> sustainable use of resources, such as water and waste management, circular economy, biodiversity and sustainable agriculture are</w:t>
      </w:r>
      <w:r w:rsidR="004F2DAB">
        <w:rPr>
          <w:rFonts w:ascii="Times New Roman" w:eastAsia="Times New Roman" w:hAnsi="Times New Roman" w:cs="Times New Roman"/>
          <w:bCs/>
          <w:noProof/>
          <w:sz w:val="24"/>
          <w:szCs w:val="24"/>
        </w:rPr>
        <w:t xml:space="preserve"> </w:t>
      </w:r>
      <w:r w:rsidR="00995619">
        <w:rPr>
          <w:rFonts w:ascii="Times New Roman" w:eastAsia="Times New Roman" w:hAnsi="Times New Roman" w:cs="Times New Roman"/>
          <w:bCs/>
          <w:noProof/>
          <w:sz w:val="24"/>
          <w:szCs w:val="24"/>
        </w:rPr>
        <w:t>partially</w:t>
      </w:r>
      <w:r w:rsidR="00995619" w:rsidRPr="00254E6C">
        <w:rPr>
          <w:rFonts w:ascii="Times New Roman" w:eastAsia="Times New Roman" w:hAnsi="Times New Roman" w:cs="Times New Roman"/>
          <w:bCs/>
          <w:noProof/>
          <w:sz w:val="24"/>
          <w:szCs w:val="24"/>
        </w:rPr>
        <w:t xml:space="preserve"> </w:t>
      </w:r>
      <w:r w:rsidRPr="00254E6C">
        <w:rPr>
          <w:rFonts w:ascii="Times New Roman" w:eastAsia="Times New Roman" w:hAnsi="Times New Roman" w:cs="Times New Roman"/>
          <w:bCs/>
          <w:noProof/>
          <w:sz w:val="24"/>
          <w:szCs w:val="24"/>
        </w:rPr>
        <w:t>addressed by a mix of investments and reforms in these areas.</w:t>
      </w:r>
      <w:r>
        <w:rPr>
          <w:rFonts w:ascii="Times New Roman" w:eastAsia="Times New Roman" w:hAnsi="Times New Roman" w:cs="Times New Roman"/>
          <w:bCs/>
          <w:noProof/>
          <w:sz w:val="24"/>
          <w:szCs w:val="24"/>
        </w:rPr>
        <w:t xml:space="preserve"> </w:t>
      </w:r>
    </w:p>
    <w:p w14:paraId="66B7C3FC" w14:textId="431565B8" w:rsidR="00452DE4" w:rsidRDefault="00452DE4" w:rsidP="00751CDF">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Bulgaria</w:t>
      </w:r>
      <w:r>
        <w:rPr>
          <w:rFonts w:ascii="Times New Roman" w:eastAsia="Times New Roman" w:hAnsi="Times New Roman" w:cs="Times New Roman"/>
          <w:b/>
          <w:bCs/>
          <w:noProof/>
          <w:sz w:val="24"/>
          <w:szCs w:val="24"/>
        </w:rPr>
        <w:t xml:space="preserve"> aims to address challenges associated with the </w:t>
      </w:r>
      <w:r w:rsidRPr="00E76013">
        <w:rPr>
          <w:rFonts w:ascii="Times New Roman" w:eastAsia="Times New Roman" w:hAnsi="Times New Roman" w:cs="Times New Roman"/>
          <w:b/>
          <w:bCs/>
          <w:noProof/>
          <w:sz w:val="24"/>
          <w:szCs w:val="24"/>
        </w:rPr>
        <w:t xml:space="preserve">various </w:t>
      </w:r>
      <w:r w:rsidR="004E4F26">
        <w:rPr>
          <w:rFonts w:ascii="Times New Roman" w:eastAsia="Times New Roman" w:hAnsi="Times New Roman" w:cs="Times New Roman"/>
          <w:b/>
          <w:bCs/>
          <w:noProof/>
          <w:sz w:val="24"/>
          <w:szCs w:val="24"/>
        </w:rPr>
        <w:t>aspects</w:t>
      </w:r>
      <w:r w:rsidR="004E4F26" w:rsidRPr="00E76013">
        <w:rPr>
          <w:rFonts w:ascii="Times New Roman" w:eastAsia="Times New Roman" w:hAnsi="Times New Roman" w:cs="Times New Roman"/>
          <w:b/>
          <w:bCs/>
          <w:noProof/>
          <w:sz w:val="24"/>
          <w:szCs w:val="24"/>
        </w:rPr>
        <w:t xml:space="preserve"> </w:t>
      </w:r>
      <w:r w:rsidRPr="00E76013">
        <w:rPr>
          <w:rFonts w:ascii="Times New Roman" w:eastAsia="Times New Roman" w:hAnsi="Times New Roman" w:cs="Times New Roman"/>
          <w:b/>
          <w:bCs/>
          <w:noProof/>
          <w:sz w:val="24"/>
          <w:szCs w:val="24"/>
        </w:rPr>
        <w:t>of digital transformation</w:t>
      </w:r>
      <w:r>
        <w:rPr>
          <w:rFonts w:ascii="Times New Roman" w:eastAsia="Times New Roman" w:hAnsi="Times New Roman" w:cs="Times New Roman"/>
          <w:b/>
          <w:bCs/>
          <w:noProof/>
          <w:sz w:val="24"/>
          <w:szCs w:val="24"/>
        </w:rPr>
        <w:t xml:space="preserve"> via a comprehensive package of measures</w:t>
      </w:r>
      <w:r w:rsidRPr="00E76013">
        <w:rPr>
          <w:rFonts w:ascii="Times New Roman" w:eastAsia="Times New Roman" w:hAnsi="Times New Roman" w:cs="Times New Roman"/>
          <w:b/>
          <w:bCs/>
          <w:noProof/>
          <w:sz w:val="24"/>
          <w:szCs w:val="24"/>
        </w:rPr>
        <w:t xml:space="preserve">. </w:t>
      </w:r>
      <w:r w:rsidRPr="00E76013">
        <w:rPr>
          <w:rFonts w:ascii="Times New Roman" w:eastAsia="Times New Roman" w:hAnsi="Times New Roman" w:cs="Times New Roman"/>
          <w:bCs/>
          <w:noProof/>
          <w:sz w:val="24"/>
          <w:szCs w:val="24"/>
        </w:rPr>
        <w:t xml:space="preserve">Investments in </w:t>
      </w:r>
      <w:r w:rsidR="004E4F26">
        <w:rPr>
          <w:rFonts w:ascii="Times New Roman" w:eastAsia="Times New Roman" w:hAnsi="Times New Roman" w:cs="Times New Roman"/>
          <w:bCs/>
          <w:noProof/>
          <w:sz w:val="24"/>
          <w:szCs w:val="24"/>
        </w:rPr>
        <w:t>the</w:t>
      </w:r>
      <w:r w:rsidRPr="00E76013">
        <w:rPr>
          <w:rFonts w:ascii="Times New Roman" w:eastAsia="Times New Roman" w:hAnsi="Times New Roman" w:cs="Times New Roman"/>
          <w:bCs/>
          <w:noProof/>
          <w:sz w:val="24"/>
          <w:szCs w:val="24"/>
        </w:rPr>
        <w:t xml:space="preserve"> broadband coverage in areas that are lagging behind aims at reducing the existing digital divide and hence the vulnerability of uneven territorial division. The Plan also emphasizes upgrading the digital skills at school and in adult learning and includes measures to support businesses in adapting their operations to the digital environment. These measures not only reduce key digital vulnerabilities, but also increase the resilience of the economy as a whole. With respect to public services and other key sectors, an ambitious upgrade to the current level of digitization is envisaged, e.g. e-government, interoperability of key registers, digitization of Post Offices, e-justice, digitization of healthcare, employment and social protection services, energy and transport services, construction sector and agriculture. These measures bear the potential to reduce costs, boost quality and timeliness of services and improve transparency and competition. The overarching priority of cybersecurity is also present in many of the measures mentioned above, which contributes to strengthening the digital resilience in these areas.</w:t>
      </w:r>
    </w:p>
    <w:p w14:paraId="26F46CE6" w14:textId="77777777" w:rsidR="00416946" w:rsidRDefault="00416946" w:rsidP="00751CDF">
      <w:pPr>
        <w:spacing w:line="276" w:lineRule="auto"/>
        <w:jc w:val="both"/>
        <w:rPr>
          <w:rFonts w:ascii="Times New Roman" w:eastAsia="Times New Roman" w:hAnsi="Times New Roman" w:cs="Times New Roman"/>
          <w:b/>
          <w:bCs/>
          <w:noProof/>
          <w:sz w:val="24"/>
          <w:szCs w:val="24"/>
        </w:rPr>
      </w:pPr>
    </w:p>
    <w:p w14:paraId="57628C8E" w14:textId="0DC057C9" w:rsidR="3905364C" w:rsidRPr="00E76013" w:rsidRDefault="6AB2F29C" w:rsidP="00751CDF">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rPr>
        <w:t xml:space="preserve">Some of the planned reforms and investments in the areas of education, training and skills are expected to improve resilience by </w:t>
      </w:r>
      <w:r w:rsidR="00F93DEE">
        <w:rPr>
          <w:rFonts w:ascii="Times New Roman" w:eastAsia="Times New Roman" w:hAnsi="Times New Roman" w:cs="Times New Roman"/>
          <w:b/>
          <w:bCs/>
          <w:noProof/>
          <w:sz w:val="24"/>
          <w:szCs w:val="24"/>
        </w:rPr>
        <w:t>improving the</w:t>
      </w:r>
      <w:r w:rsidR="00F93DEE" w:rsidRPr="00E76013">
        <w:rPr>
          <w:rFonts w:ascii="Times New Roman" w:eastAsia="Times New Roman" w:hAnsi="Times New Roman" w:cs="Times New Roman"/>
          <w:b/>
          <w:bCs/>
          <w:noProof/>
          <w:sz w:val="24"/>
          <w:szCs w:val="24"/>
        </w:rPr>
        <w:t xml:space="preserve"> </w:t>
      </w:r>
      <w:r w:rsidR="00C8014A" w:rsidRPr="58605E46">
        <w:rPr>
          <w:rFonts w:ascii="Times New Roman" w:eastAsia="Times New Roman" w:hAnsi="Times New Roman" w:cs="Times New Roman"/>
          <w:b/>
          <w:bCs/>
          <w:noProof/>
          <w:sz w:val="24"/>
          <w:szCs w:val="24"/>
        </w:rPr>
        <w:t xml:space="preserve">labour market </w:t>
      </w:r>
      <w:r w:rsidR="00C8014A" w:rsidRPr="00E76013">
        <w:rPr>
          <w:rFonts w:ascii="Times New Roman" w:eastAsia="Times New Roman" w:hAnsi="Times New Roman" w:cs="Times New Roman"/>
          <w:b/>
          <w:bCs/>
          <w:noProof/>
          <w:sz w:val="24"/>
          <w:szCs w:val="24"/>
        </w:rPr>
        <w:t>relevance</w:t>
      </w:r>
      <w:r w:rsidR="00C8014A" w:rsidRPr="58605E46">
        <w:rPr>
          <w:rFonts w:ascii="Times New Roman" w:eastAsia="Times New Roman" w:hAnsi="Times New Roman" w:cs="Times New Roman"/>
          <w:b/>
          <w:bCs/>
          <w:noProof/>
          <w:sz w:val="24"/>
          <w:szCs w:val="24"/>
        </w:rPr>
        <w:t xml:space="preserve"> of</w:t>
      </w:r>
      <w:r w:rsidRPr="00E76013">
        <w:rPr>
          <w:rFonts w:ascii="Times New Roman" w:eastAsia="Times New Roman" w:hAnsi="Times New Roman" w:cs="Times New Roman"/>
          <w:b/>
          <w:bCs/>
          <w:noProof/>
          <w:sz w:val="24"/>
          <w:szCs w:val="24"/>
        </w:rPr>
        <w:t xml:space="preserve"> skills. </w:t>
      </w:r>
      <w:r w:rsidRPr="00E76013">
        <w:rPr>
          <w:rFonts w:ascii="Times New Roman" w:eastAsia="Times New Roman" w:hAnsi="Times New Roman" w:cs="Times New Roman"/>
          <w:noProof/>
          <w:sz w:val="24"/>
          <w:szCs w:val="24"/>
        </w:rPr>
        <w:t xml:space="preserve">The </w:t>
      </w:r>
      <w:r w:rsidR="001C0B45" w:rsidRPr="00E76013">
        <w:rPr>
          <w:rFonts w:ascii="Times New Roman" w:eastAsia="Times New Roman" w:hAnsi="Times New Roman" w:cs="Times New Roman"/>
          <w:noProof/>
          <w:sz w:val="24"/>
          <w:szCs w:val="24"/>
        </w:rPr>
        <w:t>P</w:t>
      </w:r>
      <w:r w:rsidRPr="00E76013">
        <w:rPr>
          <w:rFonts w:ascii="Times New Roman" w:eastAsia="Times New Roman" w:hAnsi="Times New Roman" w:cs="Times New Roman"/>
          <w:noProof/>
          <w:sz w:val="24"/>
          <w:szCs w:val="24"/>
        </w:rPr>
        <w:t>lan includes a comprehensive reform in the education and training systems, encompassing vocational education, and an investment in a platform to promote up- and re-skilling of the Bulgarian population, which is expected to contribute to the acquisition of relevant skills, including digital, of the labour force. These measures, together with a reform of the research and innovation ecosystem, are expected to strengthen skills for the labour market and foster productivity, which should have a lasting impact on the resilience of Bulgaria's labour market.</w:t>
      </w:r>
    </w:p>
    <w:p w14:paraId="670D418A" w14:textId="36E444A8" w:rsidR="3905364C" w:rsidRPr="00E76013" w:rsidRDefault="6AB2F29C"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rPr>
        <w:t>Improved access to health and social services, and improved social protection are also expected to increase overall resilience.</w:t>
      </w:r>
      <w:r w:rsidRPr="00E76013">
        <w:rPr>
          <w:rFonts w:ascii="Times New Roman" w:eastAsia="Times New Roman" w:hAnsi="Times New Roman" w:cs="Times New Roman"/>
          <w:noProof/>
          <w:sz w:val="24"/>
          <w:szCs w:val="24"/>
        </w:rPr>
        <w:t xml:space="preserve"> The reforms and investments in healthcare are expected to strengthen the effectiveness and accessibility of the healthcare sector by focusing on the unequal distribution of </w:t>
      </w:r>
      <w:r w:rsidR="02001463" w:rsidRPr="00E76013">
        <w:rPr>
          <w:rFonts w:ascii="Times New Roman" w:eastAsia="Times New Roman" w:hAnsi="Times New Roman" w:cs="Times New Roman"/>
          <w:noProof/>
          <w:sz w:val="24"/>
          <w:szCs w:val="24"/>
        </w:rPr>
        <w:t xml:space="preserve">access to </w:t>
      </w:r>
      <w:r w:rsidRPr="00E76013">
        <w:rPr>
          <w:rFonts w:ascii="Times New Roman" w:eastAsia="Times New Roman" w:hAnsi="Times New Roman" w:cs="Times New Roman"/>
          <w:noProof/>
          <w:sz w:val="24"/>
          <w:szCs w:val="24"/>
        </w:rPr>
        <w:t xml:space="preserve">healthcare across the territory. This includes an investment in outpatient units and a reform targeting the shortages of healthcare professionals in underservices areas of the country. In addition, the </w:t>
      </w:r>
      <w:r w:rsidR="00A62E3C" w:rsidRPr="00E76013">
        <w:rPr>
          <w:rFonts w:ascii="Times New Roman" w:eastAsia="Times New Roman" w:hAnsi="Times New Roman" w:cs="Times New Roman"/>
          <w:noProof/>
          <w:sz w:val="24"/>
          <w:szCs w:val="24"/>
        </w:rPr>
        <w:t>P</w:t>
      </w:r>
      <w:r w:rsidRPr="00E76013">
        <w:rPr>
          <w:rFonts w:ascii="Times New Roman" w:eastAsia="Times New Roman" w:hAnsi="Times New Roman" w:cs="Times New Roman"/>
          <w:noProof/>
          <w:sz w:val="24"/>
          <w:szCs w:val="24"/>
        </w:rPr>
        <w:t xml:space="preserve">lan includes a reform of social services, including </w:t>
      </w:r>
      <w:r w:rsidR="00F93DEE">
        <w:rPr>
          <w:rFonts w:ascii="Times New Roman" w:eastAsia="Times New Roman" w:hAnsi="Times New Roman" w:cs="Times New Roman"/>
          <w:noProof/>
          <w:sz w:val="24"/>
          <w:szCs w:val="24"/>
        </w:rPr>
        <w:t xml:space="preserve">the </w:t>
      </w:r>
      <w:r w:rsidRPr="00E76013">
        <w:rPr>
          <w:rFonts w:ascii="Times New Roman" w:eastAsia="Times New Roman" w:hAnsi="Times New Roman" w:cs="Times New Roman"/>
          <w:noProof/>
          <w:sz w:val="24"/>
          <w:szCs w:val="24"/>
        </w:rPr>
        <w:t xml:space="preserve">long-term care, and of the minimum income scheme, which are expected to improve the inclusiveness, adequacy and effectiveness of the social protection system in Bulgaria. </w:t>
      </w:r>
    </w:p>
    <w:p w14:paraId="024FAAC2" w14:textId="5329B95C" w:rsidR="00DC40A9" w:rsidRPr="00E76013" w:rsidRDefault="00DC40A9" w:rsidP="00751CDF">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Cohesion and convergence</w:t>
      </w:r>
    </w:p>
    <w:p w14:paraId="48F5F7EC" w14:textId="6961AF6D" w:rsidR="3D5A946F" w:rsidRPr="00E76013" w:rsidRDefault="45745F8E"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Different</w:t>
      </w:r>
      <w:r w:rsidR="6A3EF431" w:rsidRPr="00E76013">
        <w:rPr>
          <w:rFonts w:ascii="Times New Roman" w:eastAsia="Times New Roman" w:hAnsi="Times New Roman" w:cs="Times New Roman"/>
          <w:b/>
          <w:bCs/>
          <w:noProof/>
          <w:sz w:val="24"/>
          <w:szCs w:val="24"/>
          <w:lang w:val="en-GB"/>
        </w:rPr>
        <w:t xml:space="preserve"> components of the </w:t>
      </w:r>
      <w:r w:rsidR="0B88693E" w:rsidRPr="00E76013">
        <w:rPr>
          <w:rFonts w:ascii="Times New Roman" w:eastAsia="Times New Roman" w:hAnsi="Times New Roman" w:cs="Times New Roman"/>
          <w:b/>
          <w:bCs/>
          <w:noProof/>
          <w:sz w:val="24"/>
          <w:szCs w:val="24"/>
          <w:lang w:val="en-GB"/>
        </w:rPr>
        <w:t>P</w:t>
      </w:r>
      <w:r w:rsidR="6A3EF431" w:rsidRPr="00E76013">
        <w:rPr>
          <w:rFonts w:ascii="Times New Roman" w:eastAsia="Times New Roman" w:hAnsi="Times New Roman" w:cs="Times New Roman"/>
          <w:b/>
          <w:bCs/>
          <w:noProof/>
          <w:sz w:val="24"/>
          <w:szCs w:val="24"/>
          <w:lang w:val="en-GB"/>
        </w:rPr>
        <w:t xml:space="preserve">lan intend to reduce or address to a certain extent the </w:t>
      </w:r>
      <w:r w:rsidRPr="00E76013">
        <w:rPr>
          <w:rFonts w:ascii="Times New Roman" w:eastAsia="Times New Roman" w:hAnsi="Times New Roman" w:cs="Times New Roman"/>
          <w:b/>
          <w:bCs/>
          <w:noProof/>
          <w:sz w:val="24"/>
          <w:szCs w:val="24"/>
          <w:lang w:val="en-GB"/>
        </w:rPr>
        <w:t xml:space="preserve">social, economic and </w:t>
      </w:r>
      <w:r w:rsidR="6A3EF431" w:rsidRPr="00E76013">
        <w:rPr>
          <w:rFonts w:ascii="Times New Roman" w:eastAsia="Times New Roman" w:hAnsi="Times New Roman" w:cs="Times New Roman"/>
          <w:b/>
          <w:bCs/>
          <w:noProof/>
          <w:sz w:val="24"/>
          <w:szCs w:val="24"/>
          <w:lang w:val="en-GB"/>
        </w:rPr>
        <w:t>territorial disparities across the regions in Bulgaria</w:t>
      </w:r>
      <w:r w:rsidR="6A3EF431" w:rsidRPr="00E76013">
        <w:rPr>
          <w:rFonts w:ascii="Times New Roman" w:eastAsia="Times New Roman" w:hAnsi="Times New Roman" w:cs="Times New Roman"/>
          <w:noProof/>
          <w:sz w:val="24"/>
          <w:szCs w:val="24"/>
          <w:lang w:val="en-GB"/>
        </w:rPr>
        <w:t xml:space="preserve">. Social aspects of these disparities are intertwined mainly with component 11 - Social inclusion and component 12 - Healthcare of the </w:t>
      </w:r>
      <w:r w:rsidR="0B88693E" w:rsidRPr="00E76013">
        <w:rPr>
          <w:rFonts w:ascii="Times New Roman" w:eastAsia="Times New Roman" w:hAnsi="Times New Roman" w:cs="Times New Roman"/>
          <w:noProof/>
          <w:sz w:val="24"/>
          <w:szCs w:val="24"/>
          <w:lang w:val="en-GB"/>
        </w:rPr>
        <w:t>P</w:t>
      </w:r>
      <w:r w:rsidR="6A3EF431" w:rsidRPr="00E76013">
        <w:rPr>
          <w:rFonts w:ascii="Times New Roman" w:eastAsia="Times New Roman" w:hAnsi="Times New Roman" w:cs="Times New Roman"/>
          <w:noProof/>
          <w:sz w:val="24"/>
          <w:szCs w:val="24"/>
          <w:lang w:val="en-GB"/>
        </w:rPr>
        <w:t>lan. Bulgaria faces very high levels of income inequality and risk of poverty or social exclusion, which is even higher for children, older people, persons with disabilities and Roma. At the same time, access to social protection is limited and the healthcare system faces challenges concerning accessibility, effectiveness and resilience. Social inclusion investment and reforms focus on improving social protection and service provision, including a reform of the minimum income scheme.</w:t>
      </w:r>
      <w:r w:rsidR="004F2DAB">
        <w:rPr>
          <w:rFonts w:ascii="Times New Roman" w:eastAsia="Times New Roman" w:hAnsi="Times New Roman" w:cs="Times New Roman"/>
          <w:noProof/>
          <w:sz w:val="24"/>
          <w:szCs w:val="24"/>
          <w:lang w:val="en-GB"/>
        </w:rPr>
        <w:t xml:space="preserve"> </w:t>
      </w:r>
      <w:r w:rsidR="6A3EF431" w:rsidRPr="00E76013">
        <w:rPr>
          <w:rFonts w:ascii="Times New Roman" w:eastAsia="Times New Roman" w:hAnsi="Times New Roman" w:cs="Times New Roman"/>
          <w:noProof/>
          <w:sz w:val="24"/>
          <w:szCs w:val="24"/>
          <w:lang w:val="en-GB"/>
        </w:rPr>
        <w:t xml:space="preserve">However, further efforts are needed to further decrease the country’s consistently high poverty rates. </w:t>
      </w:r>
      <w:r w:rsidR="008E0695">
        <w:rPr>
          <w:rFonts w:ascii="Times New Roman" w:eastAsia="Times New Roman" w:hAnsi="Times New Roman" w:cs="Times New Roman"/>
          <w:noProof/>
          <w:sz w:val="24"/>
          <w:szCs w:val="24"/>
          <w:lang w:val="en-GB"/>
        </w:rPr>
        <w:t>Further s</w:t>
      </w:r>
      <w:r w:rsidR="6A3EF431" w:rsidRPr="00E76013">
        <w:rPr>
          <w:rFonts w:ascii="Times New Roman" w:eastAsia="Times New Roman" w:hAnsi="Times New Roman" w:cs="Times New Roman"/>
          <w:noProof/>
          <w:sz w:val="24"/>
          <w:szCs w:val="24"/>
          <w:lang w:val="en-GB"/>
        </w:rPr>
        <w:t>trengthening social safety nets can contribute to reaching the 2030 EU target on poverty reduction.</w:t>
      </w:r>
    </w:p>
    <w:p w14:paraId="44039CF9" w14:textId="3A2EEAFA" w:rsidR="3D5A946F" w:rsidRPr="00E76013" w:rsidRDefault="1B3F02A3"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Cohesion</w:t>
      </w:r>
      <w:r w:rsidR="3D5A946F" w:rsidRPr="00E76013">
        <w:rPr>
          <w:rFonts w:ascii="Times New Roman" w:eastAsia="Times New Roman" w:hAnsi="Times New Roman" w:cs="Times New Roman"/>
          <w:b/>
          <w:noProof/>
          <w:sz w:val="24"/>
          <w:szCs w:val="24"/>
          <w:lang w:val="en-GB"/>
        </w:rPr>
        <w:t>-oriented investment</w:t>
      </w:r>
      <w:r w:rsidR="00641B06">
        <w:rPr>
          <w:rFonts w:ascii="Times New Roman" w:eastAsia="Times New Roman" w:hAnsi="Times New Roman" w:cs="Times New Roman"/>
          <w:b/>
          <w:noProof/>
          <w:sz w:val="24"/>
          <w:szCs w:val="24"/>
          <w:lang w:val="en-GB"/>
        </w:rPr>
        <w:t>s</w:t>
      </w:r>
      <w:r w:rsidR="3D5A946F" w:rsidRPr="00E76013">
        <w:rPr>
          <w:rFonts w:ascii="Times New Roman" w:eastAsia="Times New Roman" w:hAnsi="Times New Roman" w:cs="Times New Roman"/>
          <w:b/>
          <w:noProof/>
          <w:sz w:val="24"/>
          <w:szCs w:val="24"/>
          <w:lang w:val="en-GB"/>
        </w:rPr>
        <w:t xml:space="preserve"> and reforms are present in </w:t>
      </w:r>
      <w:r w:rsidRPr="00E76013">
        <w:rPr>
          <w:rFonts w:ascii="Times New Roman" w:eastAsia="Times New Roman" w:hAnsi="Times New Roman" w:cs="Times New Roman"/>
          <w:b/>
          <w:noProof/>
          <w:sz w:val="24"/>
          <w:szCs w:val="24"/>
          <w:lang w:val="en-GB"/>
        </w:rPr>
        <w:t>several</w:t>
      </w:r>
      <w:r w:rsidR="3D5A946F" w:rsidRPr="00E76013">
        <w:rPr>
          <w:rFonts w:ascii="Times New Roman" w:eastAsia="Times New Roman" w:hAnsi="Times New Roman" w:cs="Times New Roman"/>
          <w:b/>
          <w:noProof/>
          <w:sz w:val="24"/>
          <w:szCs w:val="24"/>
          <w:lang w:val="en-GB"/>
        </w:rPr>
        <w:t xml:space="preserve"> sections of the Bulgarian </w:t>
      </w:r>
      <w:r w:rsidR="000516C4" w:rsidRPr="00E76013">
        <w:rPr>
          <w:rFonts w:ascii="Times New Roman" w:eastAsia="Times New Roman" w:hAnsi="Times New Roman" w:cs="Times New Roman"/>
          <w:b/>
          <w:noProof/>
          <w:sz w:val="24"/>
          <w:szCs w:val="24"/>
          <w:lang w:val="en-GB"/>
        </w:rPr>
        <w:t>Plan</w:t>
      </w:r>
      <w:r w:rsidR="3D5A946F" w:rsidRPr="00E76013">
        <w:rPr>
          <w:rFonts w:ascii="Times New Roman" w:eastAsia="Times New Roman" w:hAnsi="Times New Roman" w:cs="Times New Roman"/>
          <w:b/>
          <w:noProof/>
          <w:sz w:val="24"/>
          <w:szCs w:val="24"/>
          <w:lang w:val="en-GB"/>
        </w:rPr>
        <w:t>.</w:t>
      </w:r>
      <w:r w:rsidR="3D5A946F" w:rsidRPr="00E76013">
        <w:rPr>
          <w:rFonts w:ascii="Times New Roman" w:eastAsia="Times New Roman" w:hAnsi="Times New Roman" w:cs="Times New Roman"/>
          <w:noProof/>
          <w:sz w:val="24"/>
          <w:szCs w:val="24"/>
          <w:lang w:val="en-GB"/>
        </w:rPr>
        <w:t xml:space="preserve"> Component 1 – Education and skills has a territorial dimension in terms of modernization of educational institutions and the establishment of centres for personal development of youth. Component 3 – Smart Industry anticipates investments in different regions of the country.</w:t>
      </w:r>
      <w:r w:rsidR="00DC40A9" w:rsidRPr="00E76013">
        <w:rPr>
          <w:rFonts w:ascii="Times New Roman" w:eastAsia="Times New Roman" w:hAnsi="Times New Roman" w:cs="Times New Roman"/>
          <w:noProof/>
          <w:sz w:val="24"/>
          <w:szCs w:val="24"/>
          <w:lang w:val="en-GB"/>
        </w:rPr>
        <w:t xml:space="preserve"> </w:t>
      </w:r>
      <w:r w:rsidR="3D5A946F" w:rsidRPr="00E76013">
        <w:rPr>
          <w:rFonts w:ascii="Times New Roman" w:eastAsia="Times New Roman" w:hAnsi="Times New Roman" w:cs="Times New Roman"/>
          <w:noProof/>
          <w:sz w:val="24"/>
          <w:szCs w:val="24"/>
          <w:lang w:val="en-GB"/>
        </w:rPr>
        <w:t xml:space="preserve">Component 4 – Low-carbon economy has a strong territorial approach in terms of the building stock supported when pursuing energy efficiency, but also in investments in infrastructure. The </w:t>
      </w:r>
      <w:r w:rsidR="00751BC8" w:rsidRPr="00E76013">
        <w:rPr>
          <w:rFonts w:ascii="Times New Roman" w:eastAsia="Times New Roman" w:hAnsi="Times New Roman" w:cs="Times New Roman"/>
          <w:noProof/>
          <w:sz w:val="24"/>
          <w:szCs w:val="24"/>
          <w:lang w:val="en-GB"/>
        </w:rPr>
        <w:t>P</w:t>
      </w:r>
      <w:r w:rsidR="3D5A946F" w:rsidRPr="00E76013">
        <w:rPr>
          <w:rFonts w:ascii="Times New Roman" w:eastAsia="Times New Roman" w:hAnsi="Times New Roman" w:cs="Times New Roman"/>
          <w:noProof/>
          <w:sz w:val="24"/>
          <w:szCs w:val="24"/>
          <w:lang w:val="en-GB"/>
        </w:rPr>
        <w:t xml:space="preserve">lan is expected to support the sustainable renovation of residential buildings across the country and, therefore, also outside of large cities. This effort should contribute to </w:t>
      </w:r>
      <w:r w:rsidR="00641B06" w:rsidRPr="00E76013">
        <w:rPr>
          <w:rFonts w:ascii="Times New Roman" w:eastAsia="Times New Roman" w:hAnsi="Times New Roman" w:cs="Times New Roman"/>
          <w:noProof/>
          <w:sz w:val="24"/>
          <w:szCs w:val="24"/>
          <w:lang w:val="en-GB"/>
        </w:rPr>
        <w:t>increas</w:t>
      </w:r>
      <w:r w:rsidR="00641B06">
        <w:rPr>
          <w:rFonts w:ascii="Times New Roman" w:eastAsia="Times New Roman" w:hAnsi="Times New Roman" w:cs="Times New Roman"/>
          <w:noProof/>
          <w:sz w:val="24"/>
          <w:szCs w:val="24"/>
          <w:lang w:val="en-GB"/>
        </w:rPr>
        <w:t>ing</w:t>
      </w:r>
      <w:r w:rsidR="3D5A946F" w:rsidRPr="00E76013">
        <w:rPr>
          <w:rFonts w:ascii="Times New Roman" w:eastAsia="Times New Roman" w:hAnsi="Times New Roman" w:cs="Times New Roman"/>
          <w:noProof/>
          <w:sz w:val="24"/>
          <w:szCs w:val="24"/>
          <w:lang w:val="en-GB"/>
        </w:rPr>
        <w:t xml:space="preserve"> the prospect of regional employment in the construction sector in the different regions. While Bulgaria is the most energy intensive economy in the EU and its CO2 emissions in comparison to GDP remain the highest in Europe, the concentration of coal-fired plants justifies locally targeted measures to support regions with the highest number of people affected by the climate transition.</w:t>
      </w:r>
      <w:r w:rsidR="00DC40A9" w:rsidRPr="00E76013">
        <w:rPr>
          <w:rFonts w:ascii="Times New Roman" w:eastAsia="Times New Roman" w:hAnsi="Times New Roman" w:cs="Times New Roman"/>
          <w:noProof/>
          <w:sz w:val="24"/>
          <w:szCs w:val="24"/>
          <w:lang w:val="en-GB"/>
        </w:rPr>
        <w:t xml:space="preserve"> </w:t>
      </w:r>
      <w:r w:rsidR="3D5A946F" w:rsidRPr="00E76013">
        <w:rPr>
          <w:rFonts w:ascii="Times New Roman" w:eastAsia="Times New Roman" w:hAnsi="Times New Roman" w:cs="Times New Roman"/>
          <w:noProof/>
          <w:sz w:val="24"/>
          <w:szCs w:val="24"/>
          <w:lang w:val="en-GB"/>
        </w:rPr>
        <w:t xml:space="preserve">Components 7 and 8 envisage relevant territorial and local interventions in terms of digital and transport connectivity. Improving digital connectivity, via the deployment of broadband and ensuring access to services in remote areas, has a significant impact in terms of territorial cohesion. The transport component </w:t>
      </w:r>
      <w:r w:rsidR="1F0D3133" w:rsidRPr="00E76013">
        <w:rPr>
          <w:rFonts w:ascii="Times New Roman" w:eastAsia="Times New Roman" w:hAnsi="Times New Roman" w:cs="Times New Roman"/>
          <w:noProof/>
          <w:sz w:val="24"/>
          <w:szCs w:val="24"/>
          <w:lang w:val="en-GB"/>
        </w:rPr>
        <w:t xml:space="preserve">covers several areas of the country, particularly in the </w:t>
      </w:r>
      <w:r w:rsidR="3D5A946F" w:rsidRPr="00E76013">
        <w:rPr>
          <w:rFonts w:ascii="Times New Roman" w:eastAsia="Times New Roman" w:hAnsi="Times New Roman" w:cs="Times New Roman"/>
          <w:noProof/>
          <w:sz w:val="24"/>
          <w:szCs w:val="24"/>
          <w:lang w:val="en-GB"/>
        </w:rPr>
        <w:t>northern</w:t>
      </w:r>
      <w:r w:rsidR="1F0D3133" w:rsidRPr="00E76013">
        <w:rPr>
          <w:rFonts w:ascii="Times New Roman" w:eastAsia="Times New Roman" w:hAnsi="Times New Roman" w:cs="Times New Roman"/>
          <w:noProof/>
          <w:sz w:val="24"/>
          <w:szCs w:val="24"/>
          <w:lang w:val="en-GB"/>
        </w:rPr>
        <w:t>, central and western regions, in line with</w:t>
      </w:r>
      <w:r w:rsidR="3D5A946F" w:rsidRPr="00E76013">
        <w:rPr>
          <w:rFonts w:ascii="Times New Roman" w:eastAsia="Times New Roman" w:hAnsi="Times New Roman" w:cs="Times New Roman"/>
          <w:noProof/>
          <w:sz w:val="24"/>
          <w:szCs w:val="24"/>
          <w:lang w:val="en-GB"/>
        </w:rPr>
        <w:t xml:space="preserve"> the strategic importance </w:t>
      </w:r>
      <w:r w:rsidR="1F0D3133" w:rsidRPr="00E76013">
        <w:rPr>
          <w:rFonts w:ascii="Times New Roman" w:eastAsia="Times New Roman" w:hAnsi="Times New Roman" w:cs="Times New Roman"/>
          <w:noProof/>
          <w:sz w:val="24"/>
          <w:szCs w:val="24"/>
          <w:lang w:val="en-GB"/>
        </w:rPr>
        <w:t>of having a better connected country and correcting</w:t>
      </w:r>
      <w:r w:rsidR="3D5A946F" w:rsidRPr="00E76013">
        <w:rPr>
          <w:rFonts w:ascii="Times New Roman" w:eastAsia="Times New Roman" w:hAnsi="Times New Roman" w:cs="Times New Roman"/>
          <w:noProof/>
          <w:sz w:val="24"/>
          <w:szCs w:val="24"/>
          <w:lang w:val="en-GB"/>
        </w:rPr>
        <w:t xml:space="preserve"> the current distort in favour of Southern regions and particularly</w:t>
      </w:r>
      <w:r w:rsidR="004F2DAB">
        <w:rPr>
          <w:rFonts w:ascii="Times New Roman" w:eastAsia="Times New Roman" w:hAnsi="Times New Roman" w:cs="Times New Roman"/>
          <w:noProof/>
          <w:sz w:val="24"/>
          <w:szCs w:val="24"/>
          <w:lang w:val="en-GB"/>
        </w:rPr>
        <w:t xml:space="preserve"> </w:t>
      </w:r>
      <w:r w:rsidR="3D5A946F" w:rsidRPr="00E76013">
        <w:rPr>
          <w:rFonts w:ascii="Times New Roman" w:eastAsia="Times New Roman" w:hAnsi="Times New Roman" w:cs="Times New Roman"/>
          <w:noProof/>
          <w:sz w:val="24"/>
          <w:szCs w:val="24"/>
          <w:lang w:val="en-GB"/>
        </w:rPr>
        <w:t xml:space="preserve">the capital region. On the other hand, a key objective of digital connectivity is to address territorial imbalances related to </w:t>
      </w:r>
      <w:r w:rsidR="00641B06">
        <w:rPr>
          <w:rFonts w:ascii="Times New Roman" w:eastAsia="Times New Roman" w:hAnsi="Times New Roman" w:cs="Times New Roman"/>
          <w:noProof/>
          <w:sz w:val="24"/>
          <w:szCs w:val="24"/>
          <w:lang w:val="en-GB"/>
        </w:rPr>
        <w:t xml:space="preserve">the </w:t>
      </w:r>
      <w:r w:rsidR="3D5A946F" w:rsidRPr="00E76013">
        <w:rPr>
          <w:rFonts w:ascii="Times New Roman" w:eastAsia="Times New Roman" w:hAnsi="Times New Roman" w:cs="Times New Roman"/>
          <w:noProof/>
          <w:sz w:val="24"/>
          <w:szCs w:val="24"/>
          <w:lang w:val="en-GB"/>
        </w:rPr>
        <w:t xml:space="preserve">broadband penetration. Moreover, specific investments are planned to cover smaller agglomerations across the country (in component 9 – Local development) and in rural areas and Natura 2000 protected sites, through the biodiversity and sustainable agriculture components. </w:t>
      </w:r>
      <w:r w:rsidR="00641B06">
        <w:rPr>
          <w:rFonts w:ascii="Times New Roman" w:eastAsia="Times New Roman" w:hAnsi="Times New Roman" w:cs="Times New Roman"/>
          <w:noProof/>
          <w:sz w:val="24"/>
          <w:szCs w:val="24"/>
          <w:lang w:val="en-GB"/>
        </w:rPr>
        <w:t>Component 10 on business environment includes measures on digitalisation of the judiciary aiming to enable remote court hearings and the electronic submission of documents.</w:t>
      </w:r>
      <w:r w:rsidR="3D5A946F" w:rsidRPr="00E76013">
        <w:rPr>
          <w:rFonts w:ascii="Times New Roman" w:eastAsia="Times New Roman" w:hAnsi="Times New Roman" w:cs="Times New Roman"/>
          <w:noProof/>
          <w:sz w:val="24"/>
          <w:szCs w:val="24"/>
          <w:lang w:val="en-GB"/>
        </w:rPr>
        <w:t xml:space="preserve"> Component 12 –Healthcare envisions the set-up of outpatient clinics in remote</w:t>
      </w:r>
      <w:r w:rsidR="420A2D5C" w:rsidRPr="00E76013">
        <w:rPr>
          <w:rFonts w:ascii="Times New Roman" w:eastAsia="Times New Roman" w:hAnsi="Times New Roman" w:cs="Times New Roman"/>
          <w:noProof/>
          <w:sz w:val="24"/>
          <w:szCs w:val="24"/>
          <w:lang w:val="en-GB"/>
        </w:rPr>
        <w:t xml:space="preserve"> areas and the establishment of an air ambulance system, thus improving healthcare coverage across the territory.</w:t>
      </w:r>
    </w:p>
    <w:p w14:paraId="780856E0" w14:textId="59ABC8AC" w:rsidR="00C22687" w:rsidRPr="00E76013" w:rsidRDefault="3D5A946F"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Bulgarian </w:t>
      </w:r>
      <w:r w:rsidR="00751BC8" w:rsidRPr="00E76013">
        <w:rPr>
          <w:rFonts w:ascii="Times New Roman" w:eastAsia="Times New Roman" w:hAnsi="Times New Roman" w:cs="Times New Roman"/>
          <w:b/>
          <w:noProof/>
          <w:sz w:val="24"/>
          <w:szCs w:val="24"/>
          <w:lang w:val="en-GB"/>
        </w:rPr>
        <w:t>P</w:t>
      </w:r>
      <w:r w:rsidRPr="00E76013">
        <w:rPr>
          <w:rFonts w:ascii="Times New Roman" w:eastAsia="Times New Roman" w:hAnsi="Times New Roman" w:cs="Times New Roman"/>
          <w:b/>
          <w:noProof/>
          <w:sz w:val="24"/>
          <w:szCs w:val="24"/>
          <w:lang w:val="en-GB"/>
        </w:rPr>
        <w:t xml:space="preserve">lan includes a package of reforms and investments to improve productivity. </w:t>
      </w:r>
      <w:r w:rsidRPr="00E76013">
        <w:rPr>
          <w:rFonts w:ascii="Times New Roman" w:eastAsia="Times New Roman" w:hAnsi="Times New Roman" w:cs="Times New Roman"/>
          <w:noProof/>
          <w:sz w:val="24"/>
          <w:szCs w:val="24"/>
          <w:lang w:val="en-GB"/>
        </w:rPr>
        <w:t xml:space="preserve">Several components target some of the root causes that have contributed to Bulgaria’s low competitiveness, which hinders the convergence path towards the EU average in terms of GDP per capita. In particular, components </w:t>
      </w:r>
      <w:r w:rsidR="007226FB">
        <w:rPr>
          <w:rFonts w:ascii="Times New Roman" w:eastAsia="Times New Roman" w:hAnsi="Times New Roman" w:cs="Times New Roman"/>
          <w:noProof/>
          <w:sz w:val="24"/>
          <w:szCs w:val="24"/>
          <w:lang w:val="en-GB"/>
        </w:rPr>
        <w:t xml:space="preserve">on education and skills, R&amp;I, smart industry, sustainable transport and business environment </w:t>
      </w:r>
      <w:r w:rsidRPr="00E76013">
        <w:rPr>
          <w:rFonts w:ascii="Times New Roman" w:eastAsia="Times New Roman" w:hAnsi="Times New Roman" w:cs="Times New Roman"/>
          <w:noProof/>
          <w:sz w:val="24"/>
          <w:szCs w:val="24"/>
          <w:lang w:val="en-GB"/>
        </w:rPr>
        <w:t>and the investments and reforms planned in the low-carbon economy and digital components could contribute to boost</w:t>
      </w:r>
      <w:r w:rsidR="007226FB">
        <w:rPr>
          <w:rFonts w:ascii="Times New Roman" w:eastAsia="Times New Roman" w:hAnsi="Times New Roman" w:cs="Times New Roman"/>
          <w:noProof/>
          <w:sz w:val="24"/>
          <w:szCs w:val="24"/>
          <w:lang w:val="en-GB"/>
        </w:rPr>
        <w:t>ing</w:t>
      </w:r>
      <w:r w:rsidRPr="00E76013">
        <w:rPr>
          <w:rFonts w:ascii="Times New Roman" w:eastAsia="Times New Roman" w:hAnsi="Times New Roman" w:cs="Times New Roman"/>
          <w:noProof/>
          <w:sz w:val="24"/>
          <w:szCs w:val="24"/>
          <w:lang w:val="en-GB"/>
        </w:rPr>
        <w:t xml:space="preserve"> productivity </w:t>
      </w:r>
      <w:r w:rsidR="007226FB">
        <w:rPr>
          <w:rFonts w:ascii="Times New Roman" w:eastAsia="Times New Roman" w:hAnsi="Times New Roman" w:cs="Times New Roman"/>
          <w:noProof/>
          <w:sz w:val="24"/>
          <w:szCs w:val="24"/>
          <w:lang w:val="en-GB"/>
        </w:rPr>
        <w:t>and achieving the objectives of</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climate and digital transition. Yet, </w:t>
      </w:r>
      <w:r w:rsidR="007226FB">
        <w:rPr>
          <w:rFonts w:ascii="Times New Roman" w:eastAsia="Times New Roman" w:hAnsi="Times New Roman" w:cs="Times New Roman"/>
          <w:noProof/>
          <w:sz w:val="24"/>
          <w:szCs w:val="24"/>
          <w:lang w:val="en-GB"/>
        </w:rPr>
        <w:t>investments</w:t>
      </w:r>
      <w:r w:rsidR="007226FB"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in key assets such as transport infrastructure and human capital </w:t>
      </w:r>
      <w:r w:rsidR="007226FB">
        <w:rPr>
          <w:rFonts w:ascii="Times New Roman" w:eastAsia="Times New Roman" w:hAnsi="Times New Roman" w:cs="Times New Roman"/>
          <w:noProof/>
          <w:sz w:val="24"/>
          <w:szCs w:val="24"/>
          <w:lang w:val="en-GB"/>
        </w:rPr>
        <w:t>are</w:t>
      </w:r>
      <w:r w:rsidR="007226FB"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still lacking in </w:t>
      </w:r>
      <w:r w:rsidR="007226FB">
        <w:rPr>
          <w:rFonts w:ascii="Times New Roman" w:eastAsia="Times New Roman" w:hAnsi="Times New Roman" w:cs="Times New Roman"/>
          <w:noProof/>
          <w:sz w:val="24"/>
          <w:szCs w:val="24"/>
          <w:lang w:val="en-GB"/>
        </w:rPr>
        <w:t xml:space="preserve">a </w:t>
      </w:r>
      <w:r w:rsidRPr="00E76013">
        <w:rPr>
          <w:rFonts w:ascii="Times New Roman" w:eastAsia="Times New Roman" w:hAnsi="Times New Roman" w:cs="Times New Roman"/>
          <w:noProof/>
          <w:sz w:val="24"/>
          <w:szCs w:val="24"/>
          <w:lang w:val="en-GB"/>
        </w:rPr>
        <w:t xml:space="preserve">large part of the country, </w:t>
      </w:r>
      <w:r w:rsidR="000221C5">
        <w:rPr>
          <w:rFonts w:ascii="Times New Roman" w:eastAsia="Times New Roman" w:hAnsi="Times New Roman" w:cs="Times New Roman"/>
          <w:noProof/>
          <w:sz w:val="24"/>
          <w:szCs w:val="24"/>
          <w:lang w:val="en-GB"/>
        </w:rPr>
        <w:t>contri</w:t>
      </w:r>
      <w:r w:rsidR="008E12B9">
        <w:rPr>
          <w:rFonts w:ascii="Times New Roman" w:eastAsia="Times New Roman" w:hAnsi="Times New Roman" w:cs="Times New Roman"/>
          <w:noProof/>
          <w:sz w:val="24"/>
          <w:szCs w:val="24"/>
          <w:lang w:val="en-GB"/>
        </w:rPr>
        <w:t>buting to</w:t>
      </w:r>
      <w:r w:rsidRPr="00E76013">
        <w:rPr>
          <w:rFonts w:ascii="Times New Roman" w:eastAsia="Times New Roman" w:hAnsi="Times New Roman" w:cs="Times New Roman"/>
          <w:noProof/>
          <w:sz w:val="24"/>
          <w:szCs w:val="24"/>
          <w:lang w:val="en-GB"/>
        </w:rPr>
        <w:t xml:space="preserve"> the low innovation performance. The ICT uptake is low, and disparities are also driven by gaps in labour productivity, demographics and education levels. Measures </w:t>
      </w:r>
      <w:r w:rsidR="008E12B9">
        <w:rPr>
          <w:rFonts w:ascii="Times New Roman" w:eastAsia="Times New Roman" w:hAnsi="Times New Roman" w:cs="Times New Roman"/>
          <w:noProof/>
          <w:sz w:val="24"/>
          <w:szCs w:val="24"/>
          <w:lang w:val="en-GB"/>
        </w:rPr>
        <w:t>in</w:t>
      </w:r>
      <w:r w:rsidRPr="00E76013">
        <w:rPr>
          <w:rFonts w:ascii="Times New Roman" w:eastAsia="Times New Roman" w:hAnsi="Times New Roman" w:cs="Times New Roman"/>
          <w:noProof/>
          <w:sz w:val="24"/>
          <w:szCs w:val="24"/>
          <w:lang w:val="en-GB"/>
        </w:rPr>
        <w:t xml:space="preserve"> these components, while going in the right direction, may need to be complemented by reforms and investments that further enhance labour skills, promote innovation and strengthen public administration and institutional capacity.</w:t>
      </w:r>
    </w:p>
    <w:p w14:paraId="66714FB4" w14:textId="17653864" w:rsidR="3FE7C014" w:rsidRPr="00E76013" w:rsidRDefault="3FE7C014"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GB"/>
        </w:rPr>
        <w:t xml:space="preserve">Taking into consideration all reforms and investments envisaged by </w:t>
      </w:r>
      <w:r w:rsidR="48A2CCED" w:rsidRPr="00E76013">
        <w:rPr>
          <w:rFonts w:ascii="Times New Roman" w:eastAsia="Times New Roman" w:hAnsi="Times New Roman" w:cs="Times New Roman"/>
          <w:i/>
          <w:iCs/>
          <w:noProof/>
          <w:sz w:val="24"/>
          <w:szCs w:val="24"/>
          <w:lang w:val="en-GB"/>
        </w:rPr>
        <w:t>Bulgaria,</w:t>
      </w:r>
      <w:r w:rsidRPr="00E76013">
        <w:rPr>
          <w:rFonts w:ascii="Times New Roman" w:eastAsia="Times New Roman" w:hAnsi="Times New Roman" w:cs="Times New Roman"/>
          <w:i/>
          <w:noProof/>
          <w:sz w:val="24"/>
          <w:szCs w:val="24"/>
          <w:lang w:val="en-GB"/>
        </w:rPr>
        <w:t xml:space="preserve"> its </w:t>
      </w:r>
      <w:r w:rsidRPr="00E76013">
        <w:rPr>
          <w:rFonts w:ascii="Times New Roman" w:eastAsia="Times New Roman" w:hAnsi="Times New Roman" w:cs="Times New Roman"/>
          <w:i/>
          <w:iCs/>
          <w:noProof/>
          <w:sz w:val="24"/>
          <w:szCs w:val="24"/>
          <w:lang w:val="en-GB"/>
        </w:rPr>
        <w:t>Plan</w:t>
      </w:r>
      <w:r w:rsidRPr="00E76013">
        <w:rPr>
          <w:rFonts w:ascii="Times New Roman" w:eastAsia="Times New Roman" w:hAnsi="Times New Roman" w:cs="Times New Roman"/>
          <w:i/>
          <w:noProof/>
          <w:sz w:val="24"/>
          <w:szCs w:val="24"/>
          <w:lang w:val="en-GB"/>
        </w:rPr>
        <w:t xml:space="preserve"> is expected to have a high impact on strengthening the growth potential, job creation, and economic, social and institutional resilience of the Member State, on contributing to the implementation of the European Pillar of Social Rights, including through the promotion of policies for children and youth, and on mitigating the economic and social impact of the COVID-19 crisis, thereby enhancing the economic, social and territorial cohesion and convergence within the Union. This would warrant a rating of A under the assessment criterion 2.3 of Annex V </w:t>
      </w:r>
      <w:r w:rsidR="002D6FF8">
        <w:rPr>
          <w:rFonts w:ascii="Times New Roman" w:eastAsia="Times New Roman" w:hAnsi="Times New Roman" w:cs="Times New Roman"/>
          <w:i/>
          <w:noProof/>
          <w:sz w:val="24"/>
          <w:szCs w:val="24"/>
          <w:lang w:val="en-GB"/>
        </w:rPr>
        <w:t>to</w:t>
      </w:r>
      <w:r w:rsidR="002D6FF8" w:rsidRPr="00E76013">
        <w:rPr>
          <w:rFonts w:ascii="Times New Roman" w:eastAsia="Times New Roman" w:hAnsi="Times New Roman" w:cs="Times New Roman"/>
          <w:i/>
          <w:noProof/>
          <w:sz w:val="24"/>
          <w:szCs w:val="24"/>
          <w:lang w:val="en-GB"/>
        </w:rPr>
        <w:t xml:space="preserve"> </w:t>
      </w:r>
      <w:r w:rsidRPr="00E76013">
        <w:rPr>
          <w:rFonts w:ascii="Times New Roman" w:eastAsia="Times New Roman" w:hAnsi="Times New Roman" w:cs="Times New Roman"/>
          <w:i/>
          <w:noProof/>
          <w:sz w:val="24"/>
          <w:szCs w:val="24"/>
          <w:lang w:val="en-GB"/>
        </w:rPr>
        <w:t>the RRF Regulation.</w:t>
      </w:r>
    </w:p>
    <w:p w14:paraId="1A2A05B9" w14:textId="60E70BA5" w:rsidR="358F026F" w:rsidRPr="00E76013" w:rsidRDefault="358F026F" w:rsidP="358F026F">
      <w:pPr>
        <w:spacing w:before="120" w:after="0" w:line="240" w:lineRule="atLeast"/>
        <w:jc w:val="both"/>
        <w:rPr>
          <w:rFonts w:ascii="Times New Roman" w:hAnsi="Times New Roman" w:cs="Times New Roman"/>
          <w:b/>
          <w:bCs/>
          <w:noProof/>
        </w:rPr>
      </w:pPr>
    </w:p>
    <w:p w14:paraId="5A6221DA" w14:textId="4720A2F5" w:rsidR="00053212" w:rsidRPr="000013DC" w:rsidRDefault="007F113D" w:rsidP="00E01A1F">
      <w:pPr>
        <w:pStyle w:val="Heading2"/>
        <w:numPr>
          <w:ilvl w:val="1"/>
          <w:numId w:val="7"/>
        </w:numPr>
        <w:spacing w:after="160" w:line="276" w:lineRule="auto"/>
        <w:rPr>
          <w:noProof/>
        </w:rPr>
      </w:pPr>
      <w:bookmarkStart w:id="304" w:name="_Toc66388708"/>
      <w:bookmarkStart w:id="305" w:name="_Toc99399072"/>
      <w:bookmarkStart w:id="306" w:name="_Toc99400005"/>
      <w:bookmarkStart w:id="307" w:name="_Toc99400433"/>
      <w:bookmarkStart w:id="308" w:name="_Toc99719448"/>
      <w:bookmarkStart w:id="309" w:name="_Toc99728661"/>
      <w:bookmarkStart w:id="310" w:name="_Toc99729655"/>
      <w:bookmarkStart w:id="311" w:name="_Toc99730632"/>
      <w:bookmarkStart w:id="312" w:name="_Toc99731356"/>
      <w:bookmarkStart w:id="313" w:name="_Toc99756895"/>
      <w:bookmarkStart w:id="314" w:name="_Toc99909925"/>
      <w:bookmarkStart w:id="315" w:name="_Toc98952827"/>
      <w:bookmarkStart w:id="316" w:name="_Toc98953998"/>
      <w:bookmarkEnd w:id="304"/>
      <w:r w:rsidRPr="000013DC">
        <w:rPr>
          <w:noProof/>
        </w:rPr>
        <w:t>The principle of</w:t>
      </w:r>
      <w:r w:rsidR="005F5E58" w:rsidRPr="000013DC" w:rsidDel="005F5E58">
        <w:rPr>
          <w:noProof/>
        </w:rPr>
        <w:t xml:space="preserve"> </w:t>
      </w:r>
      <w:bookmarkStart w:id="317" w:name="_Toc62455203"/>
      <w:bookmarkStart w:id="318" w:name="_Toc62818226"/>
      <w:bookmarkStart w:id="319" w:name="_Toc62818773"/>
      <w:bookmarkStart w:id="320" w:name="_Toc63417222"/>
      <w:bookmarkStart w:id="321" w:name="_Toc63418912"/>
      <w:bookmarkStart w:id="322" w:name="_Toc63418937"/>
      <w:bookmarkStart w:id="323" w:name="_Toc64281623"/>
      <w:r w:rsidR="00053212" w:rsidRPr="000013DC">
        <w:rPr>
          <w:noProof/>
        </w:rPr>
        <w:t>‘</w:t>
      </w:r>
      <w:r w:rsidRPr="000013DC">
        <w:rPr>
          <w:noProof/>
        </w:rPr>
        <w:t>d</w:t>
      </w:r>
      <w:r w:rsidR="00053212" w:rsidRPr="000013DC">
        <w:rPr>
          <w:noProof/>
        </w:rPr>
        <w:t>o no significant harm’</w:t>
      </w:r>
      <w:bookmarkEnd w:id="305"/>
      <w:bookmarkEnd w:id="306"/>
      <w:bookmarkEnd w:id="307"/>
      <w:bookmarkEnd w:id="308"/>
      <w:bookmarkEnd w:id="309"/>
      <w:bookmarkEnd w:id="310"/>
      <w:bookmarkEnd w:id="311"/>
      <w:bookmarkEnd w:id="312"/>
      <w:bookmarkEnd w:id="313"/>
      <w:bookmarkEnd w:id="314"/>
      <w:r w:rsidR="00053212" w:rsidRPr="000013DC">
        <w:rPr>
          <w:noProof/>
        </w:rPr>
        <w:t xml:space="preserve"> </w:t>
      </w:r>
      <w:bookmarkEnd w:id="315"/>
      <w:bookmarkEnd w:id="316"/>
      <w:bookmarkEnd w:id="317"/>
      <w:bookmarkEnd w:id="318"/>
      <w:bookmarkEnd w:id="319"/>
      <w:bookmarkEnd w:id="320"/>
      <w:bookmarkEnd w:id="321"/>
      <w:bookmarkEnd w:id="322"/>
      <w:bookmarkEnd w:id="323"/>
    </w:p>
    <w:p w14:paraId="120F543C" w14:textId="3B624967" w:rsidR="00FE5303" w:rsidRPr="00E76013" w:rsidRDefault="59AE668D" w:rsidP="00751CDF">
      <w:pPr>
        <w:spacing w:line="276" w:lineRule="auto"/>
        <w:jc w:val="both"/>
        <w:rPr>
          <w:rFonts w:ascii="Times New Roman" w:eastAsia="Times New Roman" w:hAnsi="Times New Roman" w:cs="Times New Roman"/>
          <w:noProof/>
          <w:sz w:val="24"/>
          <w:szCs w:val="24"/>
          <w:lang w:val="en-IE"/>
        </w:rPr>
      </w:pPr>
      <w:bookmarkStart w:id="324" w:name="_Toc66388710"/>
      <w:bookmarkStart w:id="325" w:name="_Toc62455204"/>
      <w:bookmarkStart w:id="326" w:name="_Toc62818227"/>
      <w:bookmarkStart w:id="327" w:name="_Toc62818774"/>
      <w:bookmarkStart w:id="328" w:name="_Toc63417223"/>
      <w:bookmarkStart w:id="329" w:name="_Toc63418913"/>
      <w:bookmarkStart w:id="330" w:name="_Toc63418938"/>
      <w:bookmarkStart w:id="331" w:name="_Toc64281624"/>
      <w:bookmarkEnd w:id="324"/>
      <w:r w:rsidRPr="00E76013">
        <w:rPr>
          <w:rFonts w:ascii="Times New Roman" w:eastAsia="Times New Roman" w:hAnsi="Times New Roman" w:cs="Times New Roman"/>
          <w:b/>
          <w:bCs/>
          <w:noProof/>
          <w:sz w:val="24"/>
          <w:szCs w:val="24"/>
          <w:lang w:val="en-IE"/>
        </w:rPr>
        <w:t xml:space="preserve">The RRF Regulation provides that no measure included in the </w:t>
      </w:r>
      <w:r w:rsidR="650B8C4E" w:rsidRPr="00E76013">
        <w:rPr>
          <w:rFonts w:ascii="Times New Roman" w:eastAsia="Times New Roman" w:hAnsi="Times New Roman" w:cs="Times New Roman"/>
          <w:b/>
          <w:bCs/>
          <w:noProof/>
          <w:sz w:val="24"/>
          <w:szCs w:val="24"/>
          <w:lang w:val="en-IE"/>
        </w:rPr>
        <w:t>Plan</w:t>
      </w:r>
      <w:r w:rsidRPr="00E76013">
        <w:rPr>
          <w:rFonts w:ascii="Times New Roman" w:eastAsia="Times New Roman" w:hAnsi="Times New Roman" w:cs="Times New Roman"/>
          <w:b/>
          <w:bCs/>
          <w:noProof/>
          <w:sz w:val="24"/>
          <w:szCs w:val="24"/>
          <w:lang w:val="en-IE"/>
        </w:rPr>
        <w:t xml:space="preserve"> should lead to significant harm to any of the six environmental objectives within the meaning of Article 17 of the Taxonomy Regulation</w:t>
      </w:r>
      <w:r w:rsidR="00FE5303" w:rsidRPr="00E76013">
        <w:rPr>
          <w:rStyle w:val="FootnoteReference"/>
          <w:rFonts w:ascii="Times New Roman" w:eastAsia="Times New Roman" w:hAnsi="Times New Roman" w:cs="Times New Roman"/>
          <w:b/>
          <w:bCs/>
          <w:noProof/>
          <w:sz w:val="24"/>
          <w:szCs w:val="24"/>
          <w:lang w:val="en-IE"/>
        </w:rPr>
        <w:footnoteReference w:id="15"/>
      </w:r>
      <w:r w:rsidRPr="00E76013">
        <w:rPr>
          <w:rFonts w:ascii="Times New Roman" w:eastAsia="Times New Roman" w:hAnsi="Times New Roman" w:cs="Times New Roman"/>
          <w:b/>
          <w:bCs/>
          <w:noProof/>
          <w:sz w:val="24"/>
          <w:szCs w:val="24"/>
          <w:lang w:val="en-IE"/>
        </w:rPr>
        <w:t>.</w:t>
      </w:r>
      <w:r w:rsidRPr="00E76013">
        <w:rPr>
          <w:rFonts w:ascii="Times New Roman" w:eastAsia="Times New Roman" w:hAnsi="Times New Roman" w:cs="Times New Roman"/>
          <w:noProof/>
          <w:sz w:val="24"/>
          <w:szCs w:val="24"/>
          <w:lang w:val="en-IE"/>
        </w:rPr>
        <w:t xml:space="preserve"> In line with the RRF Regulation and the Technical Guidance on the Application of ‘do no significant harm’ under the RRF Regulation (2021/C58/01; ‘DNSH Technical Guidance’), Member States provide a ‘do no significant harm’ (DNSH) assessment, on which basis the Commission assesses whether each and every measure (i.e. each reform and each investment) included in the plans complies with the DNSH principle. Compliance with the DNSH principle is a necessary condition for the Commission to positively assess the </w:t>
      </w:r>
      <w:r w:rsidR="3A20AA09"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Bulgaria has included a satisfactory DNSH assessment for each measure in its </w:t>
      </w:r>
      <w:r w:rsidR="76BDBCDB"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and has provided more detail, when relevant, in accordance with the template provided by the Commission, and in line with the DNSH Technical Guidance. The Commission has assessed whether and how each measure in Bulgaria’s </w:t>
      </w:r>
      <w:r w:rsidR="76BDBCDB"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complies with the DNSH principle on that basis. </w:t>
      </w:r>
    </w:p>
    <w:p w14:paraId="7FF2D488" w14:textId="27E4D8C1" w:rsidR="004576E1" w:rsidRPr="00E76013" w:rsidRDefault="004576E1" w:rsidP="00751CDF">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Each ‘do no significant harm’ assessment follows a two-step approach.</w:t>
      </w:r>
      <w:r w:rsidRPr="00E76013">
        <w:rPr>
          <w:rFonts w:ascii="Times New Roman" w:eastAsia="Times New Roman" w:hAnsi="Times New Roman" w:cs="Times New Roman"/>
          <w:noProof/>
          <w:sz w:val="24"/>
          <w:szCs w:val="24"/>
          <w:lang w:val="en-GB"/>
        </w:rPr>
        <w:t xml:space="preserve"> The first step assesses whether there is a risk that a measure could do significant harm to one or more of the environmental objectives. In some cases, the assessment concludes that there is no risk of significant harm, in which case the measure is assessed as compliant with this objective of the Regulation. In cases where the analysis identifies a risk</w:t>
      </w:r>
      <w:r w:rsidRPr="3F174A80">
        <w:rPr>
          <w:rFonts w:ascii="Times New Roman" w:eastAsia="Times New Roman" w:hAnsi="Times New Roman" w:cs="Times New Roman"/>
          <w:noProof/>
          <w:sz w:val="24"/>
          <w:szCs w:val="24"/>
          <w:lang w:val="en-GB"/>
        </w:rPr>
        <w:t xml:space="preserve"> to</w:t>
      </w:r>
      <w:r w:rsidR="004F2DAB">
        <w:rPr>
          <w:rFonts w:ascii="Times New Roman" w:eastAsia="Times New Roman" w:hAnsi="Times New Roman" w:cs="Times New Roman"/>
          <w:noProof/>
          <w:sz w:val="24"/>
          <w:szCs w:val="24"/>
          <w:lang w:val="en-GB"/>
        </w:rPr>
        <w:t xml:space="preserve"> </w:t>
      </w:r>
      <w:r w:rsidRPr="3F174A80">
        <w:rPr>
          <w:rFonts w:ascii="Times New Roman" w:eastAsia="Times New Roman" w:hAnsi="Times New Roman" w:cs="Times New Roman"/>
          <w:noProof/>
          <w:sz w:val="24"/>
          <w:szCs w:val="24"/>
          <w:lang w:val="en-GB"/>
        </w:rPr>
        <w:t>a particular environmetnal objective</w:t>
      </w:r>
      <w:r w:rsidRPr="00E76013">
        <w:rPr>
          <w:rFonts w:ascii="Times New Roman" w:eastAsia="Times New Roman" w:hAnsi="Times New Roman" w:cs="Times New Roman"/>
          <w:noProof/>
          <w:sz w:val="24"/>
          <w:szCs w:val="24"/>
          <w:lang w:val="en-GB"/>
        </w:rPr>
        <w:t xml:space="preserve">, as a second step, a more detailed assessment is performed in which Bulgaria demonstrates the absence of significant harm. </w:t>
      </w:r>
    </w:p>
    <w:p w14:paraId="711F40A9" w14:textId="44A6BA40" w:rsidR="00FE5303" w:rsidRPr="00E76013" w:rsidRDefault="00FE5303" w:rsidP="00751CDF">
      <w:pPr>
        <w:spacing w:line="276" w:lineRule="auto"/>
        <w:jc w:val="both"/>
        <w:rPr>
          <w:rFonts w:ascii="Times New Roman" w:eastAsia="Times New Roman" w:hAnsi="Times New Roman" w:cs="Times New Roman"/>
          <w:noProof/>
          <w:sz w:val="24"/>
          <w:szCs w:val="24"/>
          <w:lang w:val="en-IE"/>
        </w:rPr>
      </w:pPr>
      <w:r w:rsidRPr="00E76013">
        <w:rPr>
          <w:rFonts w:ascii="Times New Roman" w:eastAsia="Times New Roman" w:hAnsi="Times New Roman" w:cs="Times New Roman"/>
          <w:b/>
          <w:noProof/>
          <w:sz w:val="24"/>
          <w:szCs w:val="24"/>
          <w:lang w:val="en-IE"/>
        </w:rPr>
        <w:t>Bulgaria ensures that no significant harm is done to environmental objectives by selecting or designing measures complying with the DNSH principle, and by substantiating DNSH compliance as part of the DNSH assessment.</w:t>
      </w:r>
      <w:r w:rsidRPr="00E76013">
        <w:rPr>
          <w:rFonts w:ascii="Times New Roman" w:eastAsia="Times New Roman" w:hAnsi="Times New Roman" w:cs="Times New Roman"/>
          <w:noProof/>
          <w:sz w:val="24"/>
          <w:szCs w:val="24"/>
          <w:lang w:val="en-IE"/>
        </w:rPr>
        <w:t xml:space="preserve"> By selecting measures that either contribute substantially to environmental objectives, or have no or an insignificant foreseeable impact on environmental objectives, many measures in Bulgaria’s </w:t>
      </w:r>
      <w:r w:rsidR="00777956"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lan can be considered DNSH compliant from the outset (e.g. certain measures in education and training, labour market, public administration and justice, and digitalisation). Other measures are designed to ensure compliance with DNSH, including broad support schemes (e.g. Economic Transformation Programme</w:t>
      </w:r>
      <w:r w:rsidR="00734338" w:rsidRPr="00E76013">
        <w:rPr>
          <w:rFonts w:ascii="Times New Roman" w:eastAsia="Times New Roman" w:hAnsi="Times New Roman" w:cs="Times New Roman"/>
          <w:noProof/>
          <w:sz w:val="24"/>
          <w:szCs w:val="24"/>
          <w:lang w:val="en-IE"/>
        </w:rPr>
        <w:t xml:space="preserve">, </w:t>
      </w:r>
      <w:r w:rsidR="003473A2" w:rsidRPr="00E76013">
        <w:rPr>
          <w:rFonts w:ascii="Times New Roman" w:eastAsia="Times New Roman" w:hAnsi="Times New Roman" w:cs="Times New Roman"/>
          <w:noProof/>
          <w:sz w:val="24"/>
          <w:szCs w:val="24"/>
          <w:lang w:val="en-IE"/>
        </w:rPr>
        <w:t>the programme for industrial parks</w:t>
      </w:r>
      <w:r w:rsidR="00734338" w:rsidRPr="00E76013">
        <w:rPr>
          <w:rFonts w:ascii="Times New Roman" w:eastAsia="Times New Roman" w:hAnsi="Times New Roman" w:cs="Times New Roman"/>
          <w:noProof/>
          <w:sz w:val="24"/>
          <w:szCs w:val="24"/>
          <w:lang w:val="en-IE"/>
        </w:rPr>
        <w:t xml:space="preserve"> and the Fund for promoting the technological and ecological transition of agriculture</w:t>
      </w:r>
      <w:r w:rsidRPr="00E76013">
        <w:rPr>
          <w:rFonts w:ascii="Times New Roman" w:eastAsia="Times New Roman" w:hAnsi="Times New Roman" w:cs="Times New Roman"/>
          <w:noProof/>
          <w:sz w:val="24"/>
          <w:szCs w:val="24"/>
          <w:lang w:val="en-IE"/>
        </w:rPr>
        <w:t xml:space="preserve">). For measures requiring a ‘substantive DNSH assessment’ according to the DNSH Technical Guidance (e.g. sustainable mobility, energy efficiency and renewable energy investments), Bulgaria has provided evidence and assurances substantiating that the measures do not lead to significant harm to any of the six environmental objectives. </w:t>
      </w:r>
    </w:p>
    <w:p w14:paraId="014408FF" w14:textId="19A7D7FD" w:rsidR="00FE5303" w:rsidRPr="00DF5D93" w:rsidRDefault="00FE5303" w:rsidP="00751CDF">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lang w:val="en-IE"/>
        </w:rPr>
        <w:t xml:space="preserve">Bulgaria has committed to apply a number of DNSH requirements horizontally across the </w:t>
      </w:r>
      <w:r w:rsidR="005608BF" w:rsidRPr="00E76013">
        <w:rPr>
          <w:rFonts w:ascii="Times New Roman" w:eastAsia="Times New Roman" w:hAnsi="Times New Roman" w:cs="Times New Roman"/>
          <w:b/>
          <w:noProof/>
          <w:sz w:val="24"/>
          <w:szCs w:val="24"/>
          <w:lang w:val="en-IE"/>
        </w:rPr>
        <w:t>P</w:t>
      </w:r>
      <w:r w:rsidRPr="00E76013">
        <w:rPr>
          <w:rFonts w:ascii="Times New Roman" w:eastAsia="Times New Roman" w:hAnsi="Times New Roman" w:cs="Times New Roman"/>
          <w:b/>
          <w:noProof/>
          <w:sz w:val="24"/>
          <w:szCs w:val="24"/>
          <w:lang w:val="en-IE"/>
        </w:rPr>
        <w:t>lan.</w:t>
      </w:r>
      <w:r w:rsidRPr="00E76013">
        <w:rPr>
          <w:rFonts w:ascii="Times New Roman" w:eastAsia="Times New Roman" w:hAnsi="Times New Roman" w:cs="Times New Roman"/>
          <w:noProof/>
          <w:sz w:val="24"/>
          <w:szCs w:val="24"/>
          <w:lang w:val="en-IE"/>
        </w:rPr>
        <w:t xml:space="preserve"> For example, i</w:t>
      </w:r>
      <w:r w:rsidRPr="00E76013">
        <w:rPr>
          <w:rFonts w:ascii="Times New Roman" w:hAnsi="Times New Roman" w:cs="Times New Roman"/>
          <w:noProof/>
          <w:sz w:val="24"/>
          <w:szCs w:val="24"/>
          <w:lang w:val="en-IE"/>
        </w:rPr>
        <w:t xml:space="preserve">n all measures that involve building renovations, compliance with the Energy Performance of Buildings Directives 2010/31/EU and Directive (EU) 2018/844 is required. </w:t>
      </w:r>
      <w:r w:rsidRPr="00DF5D93">
        <w:rPr>
          <w:rFonts w:ascii="Times New Roman" w:hAnsi="Times New Roman" w:cs="Times New Roman"/>
          <w:noProof/>
          <w:sz w:val="24"/>
          <w:szCs w:val="24"/>
          <w:lang w:val="en-IE"/>
        </w:rPr>
        <w:t>Vehicles to be procured must comply with high environmental performance standards,</w:t>
      </w:r>
      <w:r w:rsidRPr="00E76013">
        <w:rPr>
          <w:rFonts w:ascii="Times New Roman" w:hAnsi="Times New Roman" w:cs="Times New Roman"/>
          <w:noProof/>
          <w:sz w:val="24"/>
          <w:szCs w:val="24"/>
          <w:lang w:val="en-IE"/>
        </w:rPr>
        <w:t xml:space="preserve"> e.g. &lt;50 g CO</w:t>
      </w:r>
      <w:r w:rsidRPr="00E76013">
        <w:rPr>
          <w:rFonts w:ascii="Times New Roman" w:hAnsi="Times New Roman" w:cs="Times New Roman"/>
          <w:noProof/>
          <w:sz w:val="24"/>
          <w:szCs w:val="24"/>
          <w:vertAlign w:val="subscript"/>
          <w:lang w:val="en-IE"/>
        </w:rPr>
        <w:t>2</w:t>
      </w:r>
      <w:r w:rsidRPr="00E76013">
        <w:rPr>
          <w:rFonts w:ascii="Times New Roman" w:hAnsi="Times New Roman" w:cs="Times New Roman"/>
          <w:noProof/>
          <w:sz w:val="24"/>
          <w:szCs w:val="24"/>
          <w:lang w:val="en-IE"/>
        </w:rPr>
        <w:t xml:space="preserve"> emissions / km in the case of light duty road vehicles.</w:t>
      </w:r>
      <w:r w:rsidRPr="00E76013">
        <w:rPr>
          <w:rFonts w:ascii="Times New Roman" w:eastAsia="Times New Roman" w:hAnsi="Times New Roman" w:cs="Times New Roman"/>
          <w:noProof/>
          <w:sz w:val="24"/>
          <w:szCs w:val="24"/>
          <w:lang w:val="en-IE"/>
        </w:rPr>
        <w:t xml:space="preserve"> </w:t>
      </w:r>
      <w:r w:rsidRPr="00E76013">
        <w:rPr>
          <w:rFonts w:ascii="Times New Roman" w:hAnsi="Times New Roman" w:cs="Times New Roman"/>
          <w:noProof/>
          <w:sz w:val="24"/>
          <w:szCs w:val="24"/>
          <w:lang w:val="en-IE"/>
        </w:rPr>
        <w:t>In case of special purpose vehicles, the best-available technology in that vehicle category should be supported (e.g. for helicopters to be purchased under the healthcare component).</w:t>
      </w:r>
      <w:r w:rsidR="00DF5D93">
        <w:rPr>
          <w:rFonts w:ascii="Times New Roman" w:hAnsi="Times New Roman" w:cs="Times New Roman"/>
          <w:noProof/>
          <w:sz w:val="24"/>
          <w:szCs w:val="24"/>
          <w:lang w:val="en-IE"/>
        </w:rPr>
        <w:t xml:space="preserve"> </w:t>
      </w:r>
      <w:r w:rsidRPr="00E76013">
        <w:rPr>
          <w:rFonts w:ascii="Times New Roman" w:hAnsi="Times New Roman" w:cs="Times New Roman"/>
          <w:noProof/>
          <w:sz w:val="24"/>
          <w:szCs w:val="24"/>
          <w:lang w:val="en-IE"/>
        </w:rPr>
        <w:t xml:space="preserve">None of the investments and reforms included in the </w:t>
      </w:r>
      <w:r w:rsidR="00F65078" w:rsidRPr="00E76013">
        <w:rPr>
          <w:rFonts w:ascii="Times New Roman" w:hAnsi="Times New Roman" w:cs="Times New Roman"/>
          <w:noProof/>
          <w:sz w:val="24"/>
          <w:szCs w:val="24"/>
          <w:lang w:val="en-IE"/>
        </w:rPr>
        <w:t>P</w:t>
      </w:r>
      <w:r w:rsidRPr="00E76013">
        <w:rPr>
          <w:rFonts w:ascii="Times New Roman" w:hAnsi="Times New Roman" w:cs="Times New Roman"/>
          <w:noProof/>
          <w:sz w:val="24"/>
          <w:szCs w:val="24"/>
          <w:lang w:val="en-IE"/>
        </w:rPr>
        <w:t>lan</w:t>
      </w:r>
      <w:r w:rsidRPr="00E76013">
        <w:rPr>
          <w:rFonts w:ascii="Times New Roman" w:hAnsi="Times New Roman" w:cs="Times New Roman"/>
          <w:b/>
          <w:noProof/>
          <w:sz w:val="24"/>
          <w:szCs w:val="24"/>
          <w:lang w:val="en-IE"/>
        </w:rPr>
        <w:t xml:space="preserve"> </w:t>
      </w:r>
      <w:r w:rsidR="000D3CB3" w:rsidRPr="000D3CB3">
        <w:rPr>
          <w:rFonts w:ascii="Times New Roman" w:hAnsi="Times New Roman" w:cs="Times New Roman"/>
          <w:noProof/>
          <w:sz w:val="24"/>
          <w:szCs w:val="24"/>
          <w:lang w:val="en-IE"/>
        </w:rPr>
        <w:t>is expect</w:t>
      </w:r>
      <w:r w:rsidR="00771622">
        <w:rPr>
          <w:rFonts w:ascii="Times New Roman" w:hAnsi="Times New Roman" w:cs="Times New Roman"/>
          <w:noProof/>
          <w:sz w:val="24"/>
          <w:szCs w:val="24"/>
          <w:lang w:val="en-IE"/>
        </w:rPr>
        <w:t>ed</w:t>
      </w:r>
      <w:r w:rsidR="000D3CB3" w:rsidRPr="000D3CB3">
        <w:rPr>
          <w:rFonts w:ascii="Times New Roman" w:hAnsi="Times New Roman" w:cs="Times New Roman"/>
          <w:noProof/>
          <w:sz w:val="24"/>
          <w:szCs w:val="24"/>
          <w:lang w:val="en-IE"/>
        </w:rPr>
        <w:t xml:space="preserve"> to affect or</w:t>
      </w:r>
      <w:r w:rsidR="004F2DAB">
        <w:rPr>
          <w:rFonts w:ascii="Times New Roman" w:hAnsi="Times New Roman" w:cs="Times New Roman"/>
          <w:noProof/>
          <w:sz w:val="24"/>
          <w:szCs w:val="24"/>
          <w:lang w:val="en-IE"/>
        </w:rPr>
        <w:t xml:space="preserve"> </w:t>
      </w:r>
      <w:r w:rsidRPr="00E76013">
        <w:rPr>
          <w:rFonts w:ascii="Times New Roman" w:hAnsi="Times New Roman" w:cs="Times New Roman"/>
          <w:noProof/>
          <w:sz w:val="24"/>
          <w:szCs w:val="24"/>
          <w:lang w:val="en-IE"/>
        </w:rPr>
        <w:t>have significant effect to the areas and species protected by relevant national legislation, the Natura 2000 network of protected areas, UNESCO World Heritage sites and Key Biodiversity Areas.</w:t>
      </w:r>
      <w:r w:rsidR="00DF5D93">
        <w:rPr>
          <w:rFonts w:ascii="Times New Roman" w:hAnsi="Times New Roman" w:cs="Times New Roman"/>
          <w:noProof/>
          <w:sz w:val="24"/>
          <w:szCs w:val="24"/>
          <w:lang w:val="en-IE"/>
        </w:rPr>
        <w:t xml:space="preserve"> </w:t>
      </w:r>
      <w:r w:rsidRPr="00DF5D93">
        <w:rPr>
          <w:rFonts w:ascii="Times New Roman" w:eastAsia="Times New Roman" w:hAnsi="Times New Roman" w:cs="Times New Roman"/>
          <w:noProof/>
          <w:sz w:val="24"/>
          <w:szCs w:val="24"/>
        </w:rPr>
        <w:t>Where relevant, compliance with Strategic Environmental Assessment/ Environmental Impact Assessments/ Appropriate Assessments will be ensured and the results of relevant assessments will be taken into account.</w:t>
      </w:r>
    </w:p>
    <w:p w14:paraId="3E0B5846" w14:textId="0E76BA9F" w:rsidR="00FE5303" w:rsidRPr="00E76013" w:rsidRDefault="004576E1" w:rsidP="00751CDF">
      <w:pPr>
        <w:spacing w:line="276" w:lineRule="auto"/>
        <w:jc w:val="both"/>
        <w:rPr>
          <w:rFonts w:ascii="Times New Roman" w:hAnsi="Times New Roman" w:cs="Times New Roman"/>
          <w:noProof/>
          <w:sz w:val="24"/>
          <w:szCs w:val="24"/>
          <w:lang w:val="en-IE"/>
        </w:rPr>
      </w:pPr>
      <w:r w:rsidRPr="00E76013">
        <w:rPr>
          <w:rFonts w:ascii="Times New Roman" w:eastAsia="Times New Roman" w:hAnsi="Times New Roman" w:cs="Times New Roman"/>
          <w:b/>
          <w:noProof/>
          <w:sz w:val="24"/>
          <w:szCs w:val="24"/>
        </w:rPr>
        <w:t xml:space="preserve">Where needed, the requirements of the DNSH assessment are enshrined in the design of a measure and specified in a milestone or target of </w:t>
      </w:r>
      <w:r w:rsidR="00A612FC">
        <w:rPr>
          <w:rFonts w:ascii="Times New Roman" w:eastAsia="Times New Roman" w:hAnsi="Times New Roman" w:cs="Times New Roman"/>
          <w:b/>
          <w:noProof/>
          <w:sz w:val="24"/>
          <w:szCs w:val="24"/>
        </w:rPr>
        <w:t>the</w:t>
      </w:r>
      <w:r w:rsidRPr="00E76013">
        <w:rPr>
          <w:rFonts w:ascii="Times New Roman" w:eastAsia="Times New Roman" w:hAnsi="Times New Roman" w:cs="Times New Roman"/>
          <w:b/>
          <w:noProof/>
          <w:sz w:val="24"/>
          <w:szCs w:val="24"/>
        </w:rPr>
        <w:t xml:space="preserve"> measure.</w:t>
      </w:r>
      <w:r w:rsidRPr="00E76013">
        <w:rPr>
          <w:rFonts w:ascii="Times New Roman" w:eastAsia="Times New Roman" w:hAnsi="Times New Roman" w:cs="Times New Roman"/>
          <w:noProof/>
          <w:sz w:val="24"/>
          <w:szCs w:val="24"/>
        </w:rPr>
        <w:t xml:space="preserve"> For instance, t</w:t>
      </w:r>
      <w:r w:rsidR="00FE5303" w:rsidRPr="00E76013">
        <w:rPr>
          <w:rFonts w:ascii="Times New Roman" w:hAnsi="Times New Roman" w:cs="Times New Roman"/>
          <w:noProof/>
          <w:sz w:val="24"/>
          <w:szCs w:val="24"/>
          <w:lang w:val="en-IE"/>
        </w:rPr>
        <w:t xml:space="preserve">he </w:t>
      </w:r>
      <w:r w:rsidR="000A0B56" w:rsidRPr="00E76013">
        <w:rPr>
          <w:rFonts w:ascii="Times New Roman" w:hAnsi="Times New Roman" w:cs="Times New Roman"/>
          <w:noProof/>
          <w:sz w:val="24"/>
          <w:szCs w:val="24"/>
          <w:lang w:val="en-IE"/>
        </w:rPr>
        <w:t>Bulgarian</w:t>
      </w:r>
      <w:r w:rsidR="00FE5303" w:rsidRPr="00E76013">
        <w:rPr>
          <w:rFonts w:ascii="Times New Roman" w:hAnsi="Times New Roman" w:cs="Times New Roman"/>
          <w:noProof/>
          <w:sz w:val="24"/>
          <w:szCs w:val="24"/>
          <w:lang w:val="en-IE"/>
        </w:rPr>
        <w:t xml:space="preserve"> </w:t>
      </w:r>
      <w:r w:rsidR="009601A7" w:rsidRPr="00E76013">
        <w:rPr>
          <w:rFonts w:ascii="Times New Roman" w:hAnsi="Times New Roman" w:cs="Times New Roman"/>
          <w:noProof/>
          <w:sz w:val="24"/>
          <w:szCs w:val="24"/>
          <w:lang w:val="en-IE"/>
        </w:rPr>
        <w:t>P</w:t>
      </w:r>
      <w:r w:rsidR="00FE5303" w:rsidRPr="00E76013">
        <w:rPr>
          <w:rFonts w:ascii="Times New Roman" w:hAnsi="Times New Roman" w:cs="Times New Roman"/>
          <w:noProof/>
          <w:sz w:val="24"/>
          <w:szCs w:val="24"/>
          <w:lang w:val="en-IE"/>
        </w:rPr>
        <w:t xml:space="preserve">lan includes </w:t>
      </w:r>
      <w:r w:rsidR="000A0B56" w:rsidRPr="00E76013">
        <w:rPr>
          <w:rFonts w:ascii="Times New Roman" w:hAnsi="Times New Roman" w:cs="Times New Roman"/>
          <w:noProof/>
          <w:sz w:val="24"/>
          <w:szCs w:val="24"/>
          <w:lang w:val="en-IE"/>
        </w:rPr>
        <w:t>some</w:t>
      </w:r>
      <w:r w:rsidR="00FE5303" w:rsidRPr="00E76013">
        <w:rPr>
          <w:rFonts w:ascii="Times New Roman" w:hAnsi="Times New Roman" w:cs="Times New Roman"/>
          <w:noProof/>
          <w:sz w:val="24"/>
          <w:szCs w:val="24"/>
          <w:lang w:val="en-IE"/>
        </w:rPr>
        <w:t xml:space="preserve"> broad measures spanning across sectors and activities, which are designed to be DNSH compliant (in line with Technical Guidance (2021/C58/01). These include </w:t>
      </w:r>
      <w:r w:rsidR="000A0B56" w:rsidRPr="00E76013">
        <w:rPr>
          <w:rFonts w:ascii="Times New Roman" w:hAnsi="Times New Roman" w:cs="Times New Roman"/>
          <w:noProof/>
          <w:sz w:val="24"/>
          <w:szCs w:val="24"/>
          <w:lang w:val="en-IE"/>
        </w:rPr>
        <w:t xml:space="preserve">measures such as </w:t>
      </w:r>
      <w:r w:rsidR="00FE5303" w:rsidRPr="00E76013">
        <w:rPr>
          <w:rFonts w:ascii="Times New Roman" w:hAnsi="Times New Roman" w:cs="Times New Roman"/>
          <w:noProof/>
          <w:sz w:val="24"/>
          <w:szCs w:val="24"/>
          <w:lang w:val="en-IE"/>
        </w:rPr>
        <w:t>the</w:t>
      </w:r>
      <w:r w:rsidR="000A0B56" w:rsidRPr="00E76013">
        <w:rPr>
          <w:rFonts w:ascii="Times New Roman" w:hAnsi="Times New Roman" w:cs="Times New Roman"/>
          <w:noProof/>
          <w:sz w:val="24"/>
          <w:szCs w:val="24"/>
          <w:lang w:val="en-IE"/>
        </w:rPr>
        <w:t xml:space="preserve"> Public support programme to develop industrial parks and improve their infrastructure connectivity and the Economic Transformation Programme under the Smart Industry component</w:t>
      </w:r>
      <w:r w:rsidR="00734338" w:rsidRPr="00E76013">
        <w:rPr>
          <w:rFonts w:ascii="Times New Roman" w:hAnsi="Times New Roman" w:cs="Times New Roman"/>
          <w:noProof/>
          <w:sz w:val="24"/>
          <w:szCs w:val="24"/>
          <w:lang w:val="en-IE"/>
        </w:rPr>
        <w:t>, as well as the Fund for promoting the technological and ecological transition of agriculture</w:t>
      </w:r>
      <w:r w:rsidR="00FE5303" w:rsidRPr="00E76013">
        <w:rPr>
          <w:rFonts w:ascii="Times New Roman" w:hAnsi="Times New Roman" w:cs="Times New Roman"/>
          <w:noProof/>
          <w:sz w:val="24"/>
          <w:szCs w:val="24"/>
          <w:lang w:val="en-IE"/>
        </w:rPr>
        <w:t xml:space="preserve">. </w:t>
      </w:r>
      <w:r w:rsidR="00FE5303" w:rsidRPr="00E76013">
        <w:rPr>
          <w:rFonts w:ascii="Times New Roman" w:hAnsi="Times New Roman" w:cs="Times New Roman"/>
          <w:bCs/>
          <w:noProof/>
          <w:sz w:val="24"/>
          <w:szCs w:val="24"/>
          <w:lang w:val="en-IE"/>
        </w:rPr>
        <w:t xml:space="preserve">Provisions and milestones associated to these measures </w:t>
      </w:r>
      <w:r w:rsidR="000D3CB3" w:rsidRPr="000D3CB3">
        <w:rPr>
          <w:rFonts w:ascii="Times New Roman" w:hAnsi="Times New Roman" w:cs="Times New Roman"/>
          <w:bCs/>
          <w:noProof/>
          <w:sz w:val="24"/>
          <w:szCs w:val="24"/>
          <w:lang w:val="en-IE"/>
        </w:rPr>
        <w:t>require t</w:t>
      </w:r>
      <w:r w:rsidR="000D3CB3">
        <w:rPr>
          <w:rFonts w:ascii="Times New Roman" w:hAnsi="Times New Roman" w:cs="Times New Roman"/>
          <w:bCs/>
          <w:noProof/>
          <w:sz w:val="24"/>
          <w:szCs w:val="24"/>
          <w:lang w:val="en-IE"/>
        </w:rPr>
        <w:t>he introduction of</w:t>
      </w:r>
      <w:r w:rsidR="00FE5303" w:rsidRPr="00E76013">
        <w:rPr>
          <w:rFonts w:ascii="Times New Roman" w:hAnsi="Times New Roman" w:cs="Times New Roman"/>
          <w:bCs/>
          <w:noProof/>
          <w:sz w:val="24"/>
          <w:szCs w:val="24"/>
          <w:lang w:val="en-IE"/>
        </w:rPr>
        <w:t>appropriate criteria in the development of the terms of reference of the calls for proposals or calls for interest.</w:t>
      </w:r>
      <w:r w:rsidR="00FE5303" w:rsidRPr="00E76013">
        <w:rPr>
          <w:rFonts w:ascii="Times New Roman" w:hAnsi="Times New Roman" w:cs="Times New Roman"/>
          <w:noProof/>
          <w:sz w:val="24"/>
          <w:szCs w:val="24"/>
          <w:lang w:val="en-IE"/>
        </w:rPr>
        <w:t xml:space="preserve"> The terms of reference should ensure that all projects selected under these calls comply with the ‘do no significant harm’ principle, by preventing activities that could do significant harm to environmental objectives (e.g. activities related to fossil fuels, activities above the ETS benchmarks for free allocation, waste landfills and incinerators, among others) from being selected as part of the calls. For the activities under the E</w:t>
      </w:r>
      <w:r w:rsidR="00865C88">
        <w:rPr>
          <w:rFonts w:ascii="Times New Roman" w:hAnsi="Times New Roman" w:cs="Times New Roman"/>
          <w:noProof/>
          <w:sz w:val="24"/>
          <w:szCs w:val="24"/>
          <w:lang w:val="en-IE"/>
        </w:rPr>
        <w:t xml:space="preserve">missions </w:t>
      </w:r>
      <w:r w:rsidR="00FE5303" w:rsidRPr="00E76013">
        <w:rPr>
          <w:rFonts w:ascii="Times New Roman" w:hAnsi="Times New Roman" w:cs="Times New Roman"/>
          <w:noProof/>
          <w:sz w:val="24"/>
          <w:szCs w:val="24"/>
          <w:lang w:val="en-IE"/>
        </w:rPr>
        <w:t>T</w:t>
      </w:r>
      <w:r w:rsidR="00865C88">
        <w:rPr>
          <w:rFonts w:ascii="Times New Roman" w:hAnsi="Times New Roman" w:cs="Times New Roman"/>
          <w:noProof/>
          <w:sz w:val="24"/>
          <w:szCs w:val="24"/>
          <w:lang w:val="en-IE"/>
        </w:rPr>
        <w:t xml:space="preserve">rading </w:t>
      </w:r>
      <w:r w:rsidR="00FE5303" w:rsidRPr="00E76013">
        <w:rPr>
          <w:rFonts w:ascii="Times New Roman" w:hAnsi="Times New Roman" w:cs="Times New Roman"/>
          <w:noProof/>
          <w:sz w:val="24"/>
          <w:szCs w:val="24"/>
          <w:lang w:val="en-IE"/>
        </w:rPr>
        <w:t>S</w:t>
      </w:r>
      <w:r w:rsidR="00865C88">
        <w:rPr>
          <w:rFonts w:ascii="Times New Roman" w:hAnsi="Times New Roman" w:cs="Times New Roman"/>
          <w:noProof/>
          <w:sz w:val="24"/>
          <w:szCs w:val="24"/>
          <w:lang w:val="en-IE"/>
        </w:rPr>
        <w:t>ystem</w:t>
      </w:r>
      <w:r w:rsidR="00FE5303" w:rsidRPr="00E76013">
        <w:rPr>
          <w:rFonts w:ascii="Times New Roman" w:hAnsi="Times New Roman" w:cs="Times New Roman"/>
          <w:noProof/>
          <w:sz w:val="24"/>
          <w:szCs w:val="24"/>
          <w:lang w:val="en-IE"/>
        </w:rPr>
        <w:t>, where the emission reductions are not substantially lower than the relevant benchmarks, an explanation on why this level of emission reductions cannot be achieved is expected to be provided.</w:t>
      </w:r>
    </w:p>
    <w:p w14:paraId="28D8E627" w14:textId="49586387" w:rsidR="00FE5303" w:rsidRPr="00E76013" w:rsidRDefault="00FE5303" w:rsidP="00751CDF">
      <w:pPr>
        <w:pStyle w:val="CommentText"/>
        <w:spacing w:line="276" w:lineRule="auto"/>
        <w:jc w:val="both"/>
        <w:rPr>
          <w:rFonts w:ascii="Times New Roman" w:hAnsi="Times New Roman" w:cs="Times New Roman"/>
          <w:i/>
          <w:noProof/>
        </w:rPr>
      </w:pPr>
      <w:r w:rsidRPr="00E76013">
        <w:rPr>
          <w:rFonts w:ascii="Times New Roman" w:hAnsi="Times New Roman" w:cs="Times New Roman"/>
          <w:i/>
          <w:noProof/>
          <w:sz w:val="24"/>
          <w:szCs w:val="24"/>
        </w:rPr>
        <w:t xml:space="preserve">Taking into consideration the assessment of all the measures envisaged, no measure for the implementation of reforms and investments projects included in Bulgaria’s </w:t>
      </w:r>
      <w:r w:rsidR="00767C9B" w:rsidRPr="00E76013">
        <w:rPr>
          <w:rFonts w:ascii="Times New Roman" w:hAnsi="Times New Roman" w:cs="Times New Roman"/>
          <w:i/>
          <w:noProof/>
          <w:sz w:val="24"/>
          <w:szCs w:val="24"/>
        </w:rPr>
        <w:t>P</w:t>
      </w:r>
      <w:r w:rsidRPr="00E76013">
        <w:rPr>
          <w:rFonts w:ascii="Times New Roman" w:hAnsi="Times New Roman" w:cs="Times New Roman"/>
          <w:i/>
          <w:noProof/>
          <w:sz w:val="24"/>
          <w:szCs w:val="24"/>
        </w:rPr>
        <w:t>lan is expected to do a significant harm to environmental objectives within the meaning of Article 17 of Regulation (EU) No 2020/852 (the principle of ‘do no significant harm’). This would warrant a rating of A under the assessment criterion 2.4 in Annex V to the RRF Regulation</w:t>
      </w:r>
      <w:r w:rsidRPr="00E76013">
        <w:rPr>
          <w:rFonts w:ascii="Times New Roman" w:eastAsia="Times New Roman" w:hAnsi="Times New Roman" w:cs="Times New Roman"/>
          <w:i/>
          <w:noProof/>
          <w:sz w:val="24"/>
          <w:szCs w:val="24"/>
        </w:rPr>
        <w:t>.</w:t>
      </w:r>
    </w:p>
    <w:p w14:paraId="65D1F69D" w14:textId="72CDEE6F" w:rsidR="005B610E" w:rsidRPr="00DF5D93" w:rsidRDefault="005B610E" w:rsidP="00E01A1F">
      <w:pPr>
        <w:pStyle w:val="Heading2"/>
        <w:numPr>
          <w:ilvl w:val="1"/>
          <w:numId w:val="7"/>
        </w:numPr>
        <w:spacing w:after="160" w:line="276" w:lineRule="auto"/>
        <w:rPr>
          <w:noProof/>
        </w:rPr>
      </w:pPr>
      <w:bookmarkStart w:id="332" w:name="_Toc99399073"/>
      <w:bookmarkStart w:id="333" w:name="_Toc99400006"/>
      <w:bookmarkStart w:id="334" w:name="_Toc99400434"/>
      <w:bookmarkStart w:id="335" w:name="_Toc99719449"/>
      <w:bookmarkStart w:id="336" w:name="_Toc99728662"/>
      <w:bookmarkStart w:id="337" w:name="_Toc99729656"/>
      <w:bookmarkStart w:id="338" w:name="_Toc99730633"/>
      <w:bookmarkStart w:id="339" w:name="_Toc99731357"/>
      <w:bookmarkStart w:id="340" w:name="_Toc99756896"/>
      <w:bookmarkStart w:id="341" w:name="_Toc99909926"/>
      <w:bookmarkStart w:id="342" w:name="_Toc98952828"/>
      <w:bookmarkStart w:id="343" w:name="_Toc98953999"/>
      <w:r w:rsidRPr="00DF5D93">
        <w:rPr>
          <w:noProof/>
        </w:rPr>
        <w:t>Green transition</w:t>
      </w:r>
      <w:bookmarkEnd w:id="332"/>
      <w:bookmarkEnd w:id="333"/>
      <w:bookmarkEnd w:id="334"/>
      <w:bookmarkEnd w:id="335"/>
      <w:bookmarkEnd w:id="336"/>
      <w:bookmarkEnd w:id="337"/>
      <w:bookmarkEnd w:id="338"/>
      <w:bookmarkEnd w:id="339"/>
      <w:bookmarkEnd w:id="340"/>
      <w:bookmarkEnd w:id="341"/>
      <w:r w:rsidRPr="00DF5D93">
        <w:rPr>
          <w:noProof/>
        </w:rPr>
        <w:t xml:space="preserve"> </w:t>
      </w:r>
      <w:bookmarkEnd w:id="325"/>
      <w:bookmarkEnd w:id="326"/>
      <w:bookmarkEnd w:id="327"/>
      <w:bookmarkEnd w:id="328"/>
      <w:bookmarkEnd w:id="329"/>
      <w:bookmarkEnd w:id="330"/>
      <w:bookmarkEnd w:id="331"/>
      <w:bookmarkEnd w:id="342"/>
      <w:bookmarkEnd w:id="343"/>
    </w:p>
    <w:p w14:paraId="0A032CDD" w14:textId="77777777" w:rsidR="003A21E6" w:rsidRPr="00E76013" w:rsidRDefault="003A21E6" w:rsidP="00751CDF">
      <w:pPr>
        <w:keepNext/>
        <w:spacing w:line="276" w:lineRule="auto"/>
        <w:jc w:val="both"/>
        <w:rPr>
          <w:rFonts w:ascii="Times New Roman" w:eastAsia="Times New Roman" w:hAnsi="Times New Roman" w:cs="Times New Roman"/>
          <w:i/>
          <w:noProof/>
          <w:sz w:val="24"/>
          <w:szCs w:val="24"/>
        </w:rPr>
      </w:pPr>
      <w:bookmarkStart w:id="344" w:name="_Toc62455205"/>
      <w:bookmarkStart w:id="345" w:name="_Toc62818228"/>
      <w:bookmarkStart w:id="346" w:name="_Toc62818775"/>
      <w:bookmarkStart w:id="347" w:name="_Toc63417224"/>
      <w:bookmarkStart w:id="348" w:name="_Toc63418914"/>
      <w:bookmarkStart w:id="349" w:name="_Toc63418939"/>
      <w:bookmarkStart w:id="350" w:name="_Toc64281625"/>
      <w:r w:rsidRPr="00E76013">
        <w:rPr>
          <w:rFonts w:ascii="Times New Roman" w:eastAsia="Times New Roman" w:hAnsi="Times New Roman" w:cs="Times New Roman"/>
          <w:i/>
          <w:noProof/>
          <w:sz w:val="24"/>
          <w:szCs w:val="24"/>
        </w:rPr>
        <w:t>Climate target</w:t>
      </w:r>
    </w:p>
    <w:p w14:paraId="36DCC8AB" w14:textId="5B90DA76" w:rsidR="003A21E6" w:rsidRPr="00E76013" w:rsidRDefault="00DC0F55" w:rsidP="00751CDF">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Bulgaria</w:t>
      </w:r>
      <w:r w:rsidR="003A21E6" w:rsidRPr="00E76013">
        <w:rPr>
          <w:rFonts w:ascii="Times New Roman" w:eastAsia="Times New Roman" w:hAnsi="Times New Roman" w:cs="Times New Roman"/>
          <w:b/>
          <w:noProof/>
          <w:sz w:val="24"/>
          <w:szCs w:val="24"/>
        </w:rPr>
        <w:t>’s Plan correctly follows the methodology for climate tracking set out in Annex VI to the RRF Regulation</w:t>
      </w:r>
      <w:r w:rsidR="003A21E6" w:rsidRPr="00E76013">
        <w:rPr>
          <w:rFonts w:ascii="Times New Roman" w:eastAsia="Times New Roman" w:hAnsi="Times New Roman" w:cs="Times New Roman"/>
          <w:noProof/>
          <w:sz w:val="24"/>
          <w:szCs w:val="24"/>
        </w:rPr>
        <w:t xml:space="preserve">. It identifies intervention fields and corresponding coefficients for the calculation of support to the climate objectives, for most measures. The choice of intervention fields for the climate transition is well justified and reflects the nature, focus, objective or expected outcome of the investments. </w:t>
      </w:r>
    </w:p>
    <w:p w14:paraId="4F0B0C4E" w14:textId="6590CA0A" w:rsidR="003A21E6" w:rsidRPr="00E76013" w:rsidRDefault="003A21E6" w:rsidP="003A21E6">
      <w:pPr>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noProof/>
          <w:sz w:val="24"/>
          <w:szCs w:val="24"/>
        </w:rPr>
        <w:t xml:space="preserve">It should be noted that: </w:t>
      </w:r>
    </w:p>
    <w:p w14:paraId="75E3F169" w14:textId="77777777" w:rsidR="003A21E6" w:rsidRPr="00E76013" w:rsidRDefault="003A21E6" w:rsidP="00E01A1F">
      <w:pPr>
        <w:pStyle w:val="ListParagraph"/>
        <w:numPr>
          <w:ilvl w:val="0"/>
          <w:numId w:val="13"/>
        </w:numPr>
        <w:spacing w:line="257"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noProof/>
          <w:sz w:val="24"/>
          <w:szCs w:val="24"/>
        </w:rPr>
        <w:t xml:space="preserve">the measures of the Plan often consist of several sub-measures – for these measures, the Plan indicates an intervention field for each sub-measure and computes the climate contribution at sub-measure level; </w:t>
      </w:r>
    </w:p>
    <w:p w14:paraId="44B14A9F" w14:textId="48FA5AEF" w:rsidR="003A21E6" w:rsidRPr="00E76013" w:rsidRDefault="003A21E6" w:rsidP="00E01A1F">
      <w:pPr>
        <w:pStyle w:val="ListParagraph"/>
        <w:numPr>
          <w:ilvl w:val="0"/>
          <w:numId w:val="13"/>
        </w:numPr>
        <w:spacing w:line="257"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noProof/>
          <w:sz w:val="24"/>
          <w:szCs w:val="24"/>
        </w:rPr>
        <w:t>where relevant, milestones and targets include specifications that ensure that the requirements of an intervention field are met (for instance, where intervention field 025bis – “Energy efficiency renovation of existing housing stock, demonstration projects and supporting measures compliant with energy efficiency criteria” is used, a target specifies that the measure must achieve the conditions of the intervention field i.e. on average, at least a medium-depth level renovation as defined in the Commission Recommendation on Building Renovation (EU) 2019/786;</w:t>
      </w:r>
    </w:p>
    <w:p w14:paraId="5236AC04" w14:textId="6088A1DF" w:rsidR="00932F88" w:rsidRPr="00E76013" w:rsidRDefault="003A21E6" w:rsidP="00751CDF">
      <w:pPr>
        <w:spacing w:line="276" w:lineRule="auto"/>
        <w:jc w:val="both"/>
        <w:rPr>
          <w:rFonts w:ascii="Times New Roman" w:eastAsia="Times New Roman" w:hAnsi="Times New Roman" w:cs="Times New Roman"/>
          <w:b/>
          <w:bCs/>
          <w:noProof/>
          <w:sz w:val="24"/>
          <w:szCs w:val="24"/>
        </w:rPr>
      </w:pPr>
      <w:r w:rsidRPr="00E76013">
        <w:rPr>
          <w:rFonts w:ascii="Times New Roman" w:eastAsia="Times New Roman" w:hAnsi="Times New Roman" w:cs="Times New Roman"/>
          <w:b/>
          <w:bCs/>
          <w:noProof/>
          <w:sz w:val="24"/>
          <w:szCs w:val="24"/>
        </w:rPr>
        <w:t xml:space="preserve">Measures supporting climate change objectives in </w:t>
      </w:r>
      <w:r w:rsidRPr="6FB45A36">
        <w:rPr>
          <w:rFonts w:ascii="Times New Roman" w:eastAsia="Times New Roman" w:hAnsi="Times New Roman" w:cs="Times New Roman"/>
          <w:b/>
          <w:bCs/>
          <w:noProof/>
          <w:sz w:val="24"/>
          <w:szCs w:val="24"/>
        </w:rPr>
        <w:t>the</w:t>
      </w:r>
      <w:r w:rsidRPr="00E76013">
        <w:rPr>
          <w:rFonts w:ascii="Times New Roman" w:eastAsia="Times New Roman" w:hAnsi="Times New Roman" w:cs="Times New Roman"/>
          <w:b/>
          <w:bCs/>
          <w:noProof/>
          <w:sz w:val="24"/>
          <w:szCs w:val="24"/>
        </w:rPr>
        <w:t xml:space="preserve"> Plan account for EUR </w:t>
      </w:r>
      <w:r w:rsidR="00785E3F">
        <w:rPr>
          <w:rFonts w:ascii="Times New Roman" w:eastAsia="Times New Roman" w:hAnsi="Times New Roman" w:cs="Times New Roman"/>
          <w:b/>
          <w:bCs/>
          <w:noProof/>
          <w:sz w:val="24"/>
          <w:szCs w:val="24"/>
        </w:rPr>
        <w:t xml:space="preserve">3 </w:t>
      </w:r>
      <w:r w:rsidR="00DC0F55" w:rsidRPr="00E76013">
        <w:rPr>
          <w:rFonts w:ascii="Times New Roman" w:eastAsia="Times New Roman" w:hAnsi="Times New Roman" w:cs="Times New Roman"/>
          <w:b/>
          <w:bCs/>
          <w:noProof/>
          <w:sz w:val="24"/>
          <w:szCs w:val="24"/>
        </w:rPr>
        <w:t>6</w:t>
      </w:r>
      <w:r w:rsidR="00AD37C8">
        <w:rPr>
          <w:rFonts w:ascii="Times New Roman" w:eastAsia="Times New Roman" w:hAnsi="Times New Roman" w:cs="Times New Roman"/>
          <w:b/>
          <w:bCs/>
          <w:noProof/>
          <w:sz w:val="24"/>
          <w:szCs w:val="24"/>
        </w:rPr>
        <w:t>96</w:t>
      </w:r>
      <w:r w:rsidRPr="00E76013">
        <w:rPr>
          <w:rFonts w:ascii="Times New Roman" w:eastAsia="Times New Roman" w:hAnsi="Times New Roman" w:cs="Times New Roman"/>
          <w:b/>
          <w:bCs/>
          <w:noProof/>
          <w:sz w:val="24"/>
          <w:szCs w:val="24"/>
        </w:rPr>
        <w:t xml:space="preserve"> million</w:t>
      </w:r>
      <w:r w:rsidRPr="00E76013">
        <w:rPr>
          <w:rFonts w:ascii="Times New Roman" w:eastAsia="Times New Roman" w:hAnsi="Times New Roman" w:cs="Times New Roman"/>
          <w:noProof/>
          <w:sz w:val="24"/>
          <w:szCs w:val="24"/>
        </w:rPr>
        <w:t xml:space="preserve">, which represent </w:t>
      </w:r>
      <w:r w:rsidR="00DC0F55" w:rsidRPr="00E76013">
        <w:rPr>
          <w:rFonts w:ascii="Times New Roman" w:eastAsia="Times New Roman" w:hAnsi="Times New Roman" w:cs="Times New Roman"/>
          <w:noProof/>
          <w:sz w:val="24"/>
          <w:szCs w:val="24"/>
        </w:rPr>
        <w:t>58.</w:t>
      </w:r>
      <w:r w:rsidR="00AD37C8">
        <w:rPr>
          <w:rFonts w:ascii="Times New Roman" w:eastAsia="Times New Roman" w:hAnsi="Times New Roman" w:cs="Times New Roman"/>
          <w:noProof/>
          <w:sz w:val="24"/>
          <w:szCs w:val="24"/>
        </w:rPr>
        <w:t>9</w:t>
      </w:r>
      <w:r w:rsidRPr="00E76013">
        <w:rPr>
          <w:rFonts w:ascii="Times New Roman" w:eastAsia="Times New Roman" w:hAnsi="Times New Roman" w:cs="Times New Roman"/>
          <w:noProof/>
          <w:sz w:val="24"/>
          <w:szCs w:val="24"/>
        </w:rPr>
        <w:t xml:space="preserve">% of the Plan’s total allocation of </w:t>
      </w:r>
      <w:r w:rsidR="00DC0F55" w:rsidRPr="00E76013">
        <w:rPr>
          <w:rFonts w:ascii="Times New Roman" w:eastAsia="Times New Roman" w:hAnsi="Times New Roman" w:cs="Times New Roman"/>
          <w:noProof/>
          <w:sz w:val="24"/>
          <w:szCs w:val="24"/>
        </w:rPr>
        <w:t xml:space="preserve">EUR 6.27 </w:t>
      </w:r>
      <w:r w:rsidRPr="00E76013">
        <w:rPr>
          <w:rFonts w:ascii="Times New Roman" w:eastAsia="Times New Roman" w:hAnsi="Times New Roman" w:cs="Times New Roman"/>
          <w:noProof/>
          <w:sz w:val="24"/>
          <w:szCs w:val="24"/>
        </w:rPr>
        <w:t xml:space="preserve">billion. Of the </w:t>
      </w:r>
      <w:r w:rsidR="00434F23">
        <w:rPr>
          <w:rFonts w:ascii="Times New Roman" w:eastAsia="Times New Roman" w:hAnsi="Times New Roman" w:cs="Times New Roman"/>
          <w:noProof/>
          <w:sz w:val="24"/>
          <w:szCs w:val="24"/>
        </w:rPr>
        <w:t>twelve</w:t>
      </w:r>
      <w:r w:rsidRPr="00E76013">
        <w:rPr>
          <w:rFonts w:ascii="Times New Roman" w:eastAsia="Times New Roman" w:hAnsi="Times New Roman" w:cs="Times New Roman"/>
          <w:noProof/>
          <w:sz w:val="24"/>
          <w:szCs w:val="24"/>
        </w:rPr>
        <w:t xml:space="preserve"> components in the Plan, </w:t>
      </w:r>
      <w:r w:rsidR="00434F23">
        <w:rPr>
          <w:rFonts w:ascii="Times New Roman" w:eastAsia="Times New Roman" w:hAnsi="Times New Roman" w:cs="Times New Roman"/>
          <w:noProof/>
          <w:sz w:val="24"/>
          <w:szCs w:val="24"/>
        </w:rPr>
        <w:t>ten</w:t>
      </w:r>
      <w:r w:rsidR="00434F23" w:rsidRPr="00E76013">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noProof/>
          <w:sz w:val="24"/>
          <w:szCs w:val="24"/>
        </w:rPr>
        <w:t xml:space="preserve">components include expenditure that contributes to climate objectives, most notably </w:t>
      </w:r>
      <w:r w:rsidR="003F6617" w:rsidRPr="00E76013">
        <w:rPr>
          <w:rFonts w:ascii="Times New Roman" w:eastAsia="Times New Roman" w:hAnsi="Times New Roman" w:cs="Times New Roman"/>
          <w:noProof/>
          <w:sz w:val="24"/>
          <w:szCs w:val="24"/>
        </w:rPr>
        <w:t>the l</w:t>
      </w:r>
      <w:r w:rsidRPr="00E76013">
        <w:rPr>
          <w:rFonts w:ascii="Times New Roman" w:eastAsia="Times New Roman" w:hAnsi="Times New Roman" w:cs="Times New Roman"/>
          <w:noProof/>
          <w:sz w:val="24"/>
          <w:szCs w:val="24"/>
        </w:rPr>
        <w:t xml:space="preserve">ow-carbon economy, sustainable transport and smart industry. With a total of EUR </w:t>
      </w:r>
      <w:r w:rsidR="0BA9CB3E" w:rsidRPr="00E76013">
        <w:rPr>
          <w:rFonts w:ascii="Times New Roman" w:eastAsia="Times New Roman" w:hAnsi="Times New Roman" w:cs="Times New Roman"/>
          <w:noProof/>
          <w:sz w:val="24"/>
          <w:szCs w:val="24"/>
        </w:rPr>
        <w:t xml:space="preserve">2612.5 </w:t>
      </w:r>
      <w:r w:rsidRPr="00E76013">
        <w:rPr>
          <w:rFonts w:ascii="Times New Roman" w:eastAsia="Times New Roman" w:hAnsi="Times New Roman" w:cs="Times New Roman"/>
          <w:noProof/>
          <w:sz w:val="24"/>
          <w:szCs w:val="24"/>
        </w:rPr>
        <w:t xml:space="preserve">million, the largest climate contribution of the Plan results from </w:t>
      </w:r>
      <w:r w:rsidR="003F6617" w:rsidRPr="00E76013">
        <w:rPr>
          <w:rFonts w:ascii="Times New Roman" w:eastAsia="Times New Roman" w:hAnsi="Times New Roman" w:cs="Times New Roman"/>
          <w:noProof/>
          <w:sz w:val="24"/>
          <w:szCs w:val="24"/>
        </w:rPr>
        <w:t xml:space="preserve">the </w:t>
      </w:r>
      <w:r w:rsidRPr="00E76013">
        <w:rPr>
          <w:rFonts w:ascii="Times New Roman" w:eastAsia="Times New Roman" w:hAnsi="Times New Roman" w:cs="Times New Roman"/>
          <w:noProof/>
          <w:sz w:val="24"/>
          <w:szCs w:val="24"/>
        </w:rPr>
        <w:t>component l</w:t>
      </w:r>
      <w:r w:rsidR="00932F88" w:rsidRPr="00E76013">
        <w:rPr>
          <w:rFonts w:ascii="Times New Roman" w:eastAsia="Times New Roman" w:hAnsi="Times New Roman" w:cs="Times New Roman"/>
          <w:noProof/>
          <w:sz w:val="24"/>
          <w:szCs w:val="24"/>
        </w:rPr>
        <w:t>ow-carbon economy</w:t>
      </w:r>
      <w:r w:rsidRPr="00E76013">
        <w:rPr>
          <w:rFonts w:ascii="Times New Roman" w:eastAsia="Times New Roman" w:hAnsi="Times New Roman" w:cs="Times New Roman"/>
          <w:noProof/>
          <w:sz w:val="24"/>
          <w:szCs w:val="24"/>
        </w:rPr>
        <w:t>.</w:t>
      </w:r>
    </w:p>
    <w:p w14:paraId="5BE8B8A9" w14:textId="7E991628" w:rsidR="000B19B4" w:rsidRPr="00E76013" w:rsidRDefault="000B19B4" w:rsidP="000B19B4">
      <w:pPr>
        <w:pStyle w:val="Caption"/>
        <w:keepNext/>
        <w:rPr>
          <w:rFonts w:ascii="Times New Roman" w:hAnsi="Times New Roman" w:cs="Times New Roman"/>
          <w:b/>
          <w:i w:val="0"/>
          <w:noProof/>
          <w:color w:val="auto"/>
          <w:sz w:val="22"/>
          <w:szCs w:val="22"/>
        </w:rPr>
      </w:pPr>
      <w:r w:rsidRPr="00E76013">
        <w:rPr>
          <w:rFonts w:ascii="Times New Roman" w:hAnsi="Times New Roman" w:cs="Times New Roman"/>
          <w:b/>
          <w:i w:val="0"/>
          <w:noProof/>
          <w:color w:val="auto"/>
          <w:sz w:val="22"/>
          <w:szCs w:val="22"/>
        </w:rPr>
        <w:t xml:space="preserve">Table </w:t>
      </w:r>
      <w:r w:rsidRPr="00E76013">
        <w:rPr>
          <w:rFonts w:ascii="Times New Roman" w:hAnsi="Times New Roman" w:cs="Times New Roman"/>
          <w:b/>
          <w:i w:val="0"/>
          <w:noProof/>
          <w:color w:val="auto"/>
          <w:sz w:val="22"/>
          <w:szCs w:val="22"/>
        </w:rPr>
        <w:fldChar w:fldCharType="begin"/>
      </w:r>
      <w:r w:rsidRPr="00E76013">
        <w:rPr>
          <w:rFonts w:ascii="Times New Roman" w:hAnsi="Times New Roman" w:cs="Times New Roman"/>
          <w:b/>
          <w:i w:val="0"/>
          <w:noProof/>
          <w:color w:val="auto"/>
          <w:sz w:val="22"/>
          <w:szCs w:val="22"/>
        </w:rPr>
        <w:instrText xml:space="preserve"> SEQ Table \* ARABIC </w:instrText>
      </w:r>
      <w:r w:rsidRPr="00E76013">
        <w:rPr>
          <w:rFonts w:ascii="Times New Roman" w:hAnsi="Times New Roman" w:cs="Times New Roman"/>
          <w:b/>
          <w:i w:val="0"/>
          <w:noProof/>
          <w:color w:val="auto"/>
          <w:sz w:val="22"/>
          <w:szCs w:val="22"/>
        </w:rPr>
        <w:fldChar w:fldCharType="separate"/>
      </w:r>
      <w:r w:rsidR="00C84127" w:rsidRPr="00E76013">
        <w:rPr>
          <w:rFonts w:ascii="Times New Roman" w:hAnsi="Times New Roman" w:cs="Times New Roman"/>
          <w:b/>
          <w:i w:val="0"/>
          <w:noProof/>
          <w:color w:val="auto"/>
          <w:sz w:val="22"/>
          <w:szCs w:val="22"/>
        </w:rPr>
        <w:t>7</w:t>
      </w:r>
      <w:r w:rsidRPr="00E76013">
        <w:rPr>
          <w:rFonts w:ascii="Times New Roman" w:hAnsi="Times New Roman" w:cs="Times New Roman"/>
          <w:b/>
          <w:i w:val="0"/>
          <w:noProof/>
          <w:color w:val="auto"/>
          <w:sz w:val="22"/>
          <w:szCs w:val="22"/>
        </w:rPr>
        <w:fldChar w:fldCharType="end"/>
      </w:r>
      <w:r w:rsidRPr="00E76013">
        <w:rPr>
          <w:rFonts w:ascii="Times New Roman" w:hAnsi="Times New Roman" w:cs="Times New Roman"/>
          <w:b/>
          <w:i w:val="0"/>
          <w:noProof/>
          <w:color w:val="auto"/>
          <w:sz w:val="22"/>
          <w:szCs w:val="22"/>
        </w:rPr>
        <w:t>: Contribution to climate objectives per component</w:t>
      </w:r>
    </w:p>
    <w:tbl>
      <w:tblPr>
        <w:tblStyle w:val="TableGrid11"/>
        <w:tblW w:w="0" w:type="auto"/>
        <w:tblLayout w:type="fixed"/>
        <w:tblLook w:val="04A0" w:firstRow="1" w:lastRow="0" w:firstColumn="1" w:lastColumn="0" w:noHBand="0" w:noVBand="1"/>
      </w:tblPr>
      <w:tblGrid>
        <w:gridCol w:w="4785"/>
        <w:gridCol w:w="1560"/>
        <w:gridCol w:w="1560"/>
        <w:gridCol w:w="1395"/>
      </w:tblGrid>
      <w:tr w:rsidR="003A21E6" w:rsidRPr="00E76013" w14:paraId="20CDD420" w14:textId="77777777" w:rsidTr="00790D38">
        <w:tc>
          <w:tcPr>
            <w:tcW w:w="478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9E24CB5" w14:textId="77777777" w:rsidR="003A21E6" w:rsidRPr="000733F2" w:rsidRDefault="003A21E6" w:rsidP="00790D38">
            <w:pPr>
              <w:jc w:val="center"/>
              <w:rPr>
                <w:rFonts w:ascii="Times New Roman" w:hAnsi="Times New Roman" w:cs="Times New Roman"/>
                <w:noProof/>
                <w:sz w:val="20"/>
                <w:szCs w:val="20"/>
              </w:rPr>
            </w:pPr>
            <w:r w:rsidRPr="000733F2">
              <w:rPr>
                <w:rFonts w:ascii="Times New Roman" w:eastAsia="Times New Roman" w:hAnsi="Times New Roman" w:cs="Times New Roman"/>
                <w:b/>
                <w:bCs/>
                <w:noProof/>
                <w:sz w:val="20"/>
                <w:szCs w:val="20"/>
              </w:rPr>
              <w:t>Component</w:t>
            </w:r>
          </w:p>
        </w:tc>
        <w:tc>
          <w:tcPr>
            <w:tcW w:w="156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9A589AD" w14:textId="77777777" w:rsidR="003A21E6" w:rsidRPr="000733F2" w:rsidRDefault="003A21E6" w:rsidP="00790D38">
            <w:pPr>
              <w:jc w:val="center"/>
              <w:rPr>
                <w:rFonts w:ascii="Times New Roman" w:hAnsi="Times New Roman" w:cs="Times New Roman"/>
                <w:noProof/>
                <w:sz w:val="20"/>
                <w:szCs w:val="20"/>
              </w:rPr>
            </w:pPr>
            <w:r w:rsidRPr="000733F2">
              <w:rPr>
                <w:rFonts w:ascii="Times New Roman" w:eastAsia="Times New Roman" w:hAnsi="Times New Roman" w:cs="Times New Roman"/>
                <w:b/>
                <w:bCs/>
                <w:noProof/>
                <w:sz w:val="20"/>
                <w:szCs w:val="20"/>
              </w:rPr>
              <w:t>Total cost (EUR million)</w:t>
            </w:r>
          </w:p>
        </w:tc>
        <w:tc>
          <w:tcPr>
            <w:tcW w:w="156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0E9FAE75" w14:textId="77777777" w:rsidR="003A21E6" w:rsidRPr="000733F2" w:rsidRDefault="003A21E6" w:rsidP="00790D38">
            <w:pPr>
              <w:jc w:val="center"/>
              <w:rPr>
                <w:rFonts w:ascii="Times New Roman" w:hAnsi="Times New Roman" w:cs="Times New Roman"/>
                <w:noProof/>
                <w:sz w:val="20"/>
                <w:szCs w:val="20"/>
              </w:rPr>
            </w:pPr>
            <w:r w:rsidRPr="000733F2">
              <w:rPr>
                <w:rFonts w:ascii="Times New Roman" w:eastAsia="Times New Roman" w:hAnsi="Times New Roman" w:cs="Times New Roman"/>
                <w:b/>
                <w:bCs/>
                <w:noProof/>
                <w:sz w:val="20"/>
                <w:szCs w:val="20"/>
              </w:rPr>
              <w:t>Contribution to climate objectives</w:t>
            </w:r>
          </w:p>
          <w:p w14:paraId="1EF4749B" w14:textId="77777777" w:rsidR="003A21E6" w:rsidRPr="000733F2" w:rsidRDefault="003A21E6" w:rsidP="00790D38">
            <w:pPr>
              <w:jc w:val="center"/>
              <w:rPr>
                <w:rFonts w:ascii="Times New Roman" w:hAnsi="Times New Roman" w:cs="Times New Roman"/>
                <w:noProof/>
                <w:sz w:val="20"/>
                <w:szCs w:val="20"/>
              </w:rPr>
            </w:pPr>
            <w:r w:rsidRPr="000733F2">
              <w:rPr>
                <w:rFonts w:ascii="Times New Roman" w:eastAsia="Times New Roman" w:hAnsi="Times New Roman" w:cs="Times New Roman"/>
                <w:b/>
                <w:bCs/>
                <w:noProof/>
                <w:sz w:val="20"/>
                <w:szCs w:val="20"/>
              </w:rPr>
              <w:t>(EUR million)</w:t>
            </w:r>
          </w:p>
        </w:tc>
        <w:tc>
          <w:tcPr>
            <w:tcW w:w="139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32A1755" w14:textId="77777777" w:rsidR="003A21E6" w:rsidRPr="000733F2" w:rsidRDefault="003A21E6" w:rsidP="00790D38">
            <w:pPr>
              <w:jc w:val="center"/>
              <w:rPr>
                <w:rFonts w:ascii="Times New Roman" w:hAnsi="Times New Roman" w:cs="Times New Roman"/>
                <w:noProof/>
                <w:sz w:val="20"/>
                <w:szCs w:val="20"/>
              </w:rPr>
            </w:pPr>
            <w:r w:rsidRPr="000733F2">
              <w:rPr>
                <w:rFonts w:ascii="Times New Roman" w:eastAsia="Times New Roman" w:hAnsi="Times New Roman" w:cs="Times New Roman"/>
                <w:b/>
                <w:bCs/>
                <w:noProof/>
                <w:sz w:val="20"/>
                <w:szCs w:val="20"/>
              </w:rPr>
              <w:t>Share of contribution to climate objectives</w:t>
            </w:r>
          </w:p>
        </w:tc>
      </w:tr>
      <w:tr w:rsidR="000262F2" w:rsidRPr="00E76013" w14:paraId="46D1802D" w14:textId="77777777" w:rsidTr="00790D38">
        <w:tc>
          <w:tcPr>
            <w:tcW w:w="4785" w:type="dxa"/>
          </w:tcPr>
          <w:p w14:paraId="134F849A" w14:textId="18DF6316" w:rsidR="000262F2" w:rsidRPr="00E76013" w:rsidRDefault="000262F2" w:rsidP="00E01A1F">
            <w:pPr>
              <w:pStyle w:val="ListParagraph"/>
              <w:numPr>
                <w:ilvl w:val="0"/>
                <w:numId w:val="12"/>
              </w:numPr>
              <w:jc w:val="both"/>
              <w:rPr>
                <w:rFonts w:ascii="Times New Roman" w:eastAsia="Times New Roman" w:hAnsi="Times New Roman" w:cs="Times New Roman"/>
                <w:noProof/>
                <w:color w:val="000000" w:themeColor="text1"/>
                <w:sz w:val="20"/>
                <w:szCs w:val="20"/>
              </w:rPr>
            </w:pPr>
            <w:r w:rsidRPr="00E76013">
              <w:rPr>
                <w:rFonts w:ascii="Times New Roman" w:hAnsi="Times New Roman" w:cs="Times New Roman"/>
                <w:noProof/>
              </w:rPr>
              <w:t>Education and skills</w:t>
            </w:r>
          </w:p>
        </w:tc>
        <w:tc>
          <w:tcPr>
            <w:tcW w:w="1560" w:type="dxa"/>
          </w:tcPr>
          <w:p w14:paraId="6C9ECB87" w14:textId="2653B600"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733.53</w:t>
            </w:r>
          </w:p>
        </w:tc>
        <w:tc>
          <w:tcPr>
            <w:tcW w:w="1560" w:type="dxa"/>
            <w:tcBorders>
              <w:top w:val="single" w:sz="4" w:space="0" w:color="auto"/>
              <w:left w:val="single" w:sz="4" w:space="0" w:color="auto"/>
              <w:bottom w:val="single" w:sz="4" w:space="0" w:color="auto"/>
              <w:right w:val="single" w:sz="4" w:space="0" w:color="auto"/>
            </w:tcBorders>
          </w:tcPr>
          <w:p w14:paraId="22F2F41A" w14:textId="03122837"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110.92</w:t>
            </w:r>
          </w:p>
        </w:tc>
        <w:tc>
          <w:tcPr>
            <w:tcW w:w="1395" w:type="dxa"/>
            <w:tcBorders>
              <w:top w:val="single" w:sz="4" w:space="0" w:color="auto"/>
              <w:left w:val="single" w:sz="4" w:space="0" w:color="auto"/>
              <w:bottom w:val="single" w:sz="4" w:space="0" w:color="auto"/>
              <w:right w:val="single" w:sz="4" w:space="0" w:color="auto"/>
            </w:tcBorders>
          </w:tcPr>
          <w:p w14:paraId="5D8B5F3D" w14:textId="525AB6DF"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15.1%</w:t>
            </w:r>
          </w:p>
        </w:tc>
      </w:tr>
      <w:tr w:rsidR="000262F2" w:rsidRPr="00E76013" w14:paraId="363455D1" w14:textId="77777777" w:rsidTr="00790D38">
        <w:tc>
          <w:tcPr>
            <w:tcW w:w="4785" w:type="dxa"/>
          </w:tcPr>
          <w:p w14:paraId="6E2F1018" w14:textId="4CE8F139"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Research and innovation</w:t>
            </w:r>
          </w:p>
        </w:tc>
        <w:tc>
          <w:tcPr>
            <w:tcW w:w="1560" w:type="dxa"/>
            <w:vAlign w:val="center"/>
          </w:tcPr>
          <w:p w14:paraId="1E894914" w14:textId="38B6333F"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211.28</w:t>
            </w:r>
          </w:p>
        </w:tc>
        <w:tc>
          <w:tcPr>
            <w:tcW w:w="1560" w:type="dxa"/>
            <w:tcBorders>
              <w:top w:val="single" w:sz="4" w:space="0" w:color="auto"/>
              <w:left w:val="single" w:sz="4" w:space="0" w:color="auto"/>
              <w:bottom w:val="single" w:sz="4" w:space="0" w:color="auto"/>
              <w:right w:val="single" w:sz="4" w:space="0" w:color="auto"/>
            </w:tcBorders>
            <w:vAlign w:val="center"/>
          </w:tcPr>
          <w:p w14:paraId="13C54E86" w14:textId="556926FB"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8.18</w:t>
            </w:r>
          </w:p>
        </w:tc>
        <w:tc>
          <w:tcPr>
            <w:tcW w:w="1395" w:type="dxa"/>
            <w:tcBorders>
              <w:top w:val="single" w:sz="4" w:space="0" w:color="auto"/>
              <w:left w:val="single" w:sz="4" w:space="0" w:color="auto"/>
              <w:bottom w:val="single" w:sz="4" w:space="0" w:color="auto"/>
              <w:right w:val="single" w:sz="4" w:space="0" w:color="auto"/>
            </w:tcBorders>
            <w:vAlign w:val="center"/>
          </w:tcPr>
          <w:p w14:paraId="13621E62" w14:textId="126F320D"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3.9%</w:t>
            </w:r>
          </w:p>
        </w:tc>
      </w:tr>
      <w:tr w:rsidR="000262F2" w:rsidRPr="00E76013" w14:paraId="44EEBA9D" w14:textId="77777777" w:rsidTr="00790D38">
        <w:tc>
          <w:tcPr>
            <w:tcW w:w="4785" w:type="dxa"/>
          </w:tcPr>
          <w:p w14:paraId="10CCFFF5" w14:textId="1F7AF452"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Smart industry</w:t>
            </w:r>
          </w:p>
        </w:tc>
        <w:tc>
          <w:tcPr>
            <w:tcW w:w="1560" w:type="dxa"/>
            <w:vAlign w:val="center"/>
          </w:tcPr>
          <w:p w14:paraId="238402FE" w14:textId="2A105C51" w:rsidR="000262F2" w:rsidRPr="00E76013" w:rsidRDefault="6F86208E"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800.6</w:t>
            </w:r>
            <w:r w:rsidR="00B227A2">
              <w:rPr>
                <w:rFonts w:ascii="Times New Roman" w:eastAsia="Times New Roman" w:hAnsi="Times New Roman" w:cs="Times New Roman"/>
                <w:noProof/>
                <w:color w:val="000000" w:themeColor="text1"/>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tcPr>
          <w:p w14:paraId="1A738B77" w14:textId="668032C1"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181.07</w:t>
            </w:r>
          </w:p>
        </w:tc>
        <w:tc>
          <w:tcPr>
            <w:tcW w:w="1395" w:type="dxa"/>
            <w:tcBorders>
              <w:top w:val="single" w:sz="4" w:space="0" w:color="auto"/>
              <w:left w:val="single" w:sz="4" w:space="0" w:color="auto"/>
              <w:bottom w:val="single" w:sz="4" w:space="0" w:color="auto"/>
              <w:right w:val="single" w:sz="4" w:space="0" w:color="auto"/>
            </w:tcBorders>
            <w:vAlign w:val="center"/>
          </w:tcPr>
          <w:p w14:paraId="5DBA08C1" w14:textId="3AA0C0B1"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22.6%</w:t>
            </w:r>
          </w:p>
        </w:tc>
      </w:tr>
      <w:tr w:rsidR="000262F2" w:rsidRPr="00E76013" w14:paraId="716C5B15" w14:textId="77777777" w:rsidTr="00790D38">
        <w:tc>
          <w:tcPr>
            <w:tcW w:w="4785" w:type="dxa"/>
          </w:tcPr>
          <w:p w14:paraId="157A0576" w14:textId="4AFBB4BF"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Low-carbon economy</w:t>
            </w:r>
          </w:p>
        </w:tc>
        <w:tc>
          <w:tcPr>
            <w:tcW w:w="1560" w:type="dxa"/>
            <w:vAlign w:val="center"/>
          </w:tcPr>
          <w:p w14:paraId="05302CFA" w14:textId="1CB6D816"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2612.51</w:t>
            </w:r>
          </w:p>
        </w:tc>
        <w:tc>
          <w:tcPr>
            <w:tcW w:w="1560" w:type="dxa"/>
            <w:tcBorders>
              <w:top w:val="single" w:sz="4" w:space="0" w:color="auto"/>
              <w:left w:val="single" w:sz="4" w:space="0" w:color="auto"/>
              <w:bottom w:val="single" w:sz="4" w:space="0" w:color="auto"/>
              <w:right w:val="single" w:sz="4" w:space="0" w:color="auto"/>
            </w:tcBorders>
            <w:vAlign w:val="center"/>
          </w:tcPr>
          <w:p w14:paraId="243A33A3" w14:textId="04E65932"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2612.51</w:t>
            </w:r>
          </w:p>
        </w:tc>
        <w:tc>
          <w:tcPr>
            <w:tcW w:w="1395" w:type="dxa"/>
            <w:tcBorders>
              <w:top w:val="single" w:sz="4" w:space="0" w:color="auto"/>
              <w:left w:val="single" w:sz="4" w:space="0" w:color="auto"/>
              <w:bottom w:val="single" w:sz="4" w:space="0" w:color="auto"/>
              <w:right w:val="single" w:sz="4" w:space="0" w:color="auto"/>
            </w:tcBorders>
            <w:vAlign w:val="center"/>
          </w:tcPr>
          <w:p w14:paraId="67DBAC42" w14:textId="36F7A7FC"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100%</w:t>
            </w:r>
          </w:p>
        </w:tc>
      </w:tr>
      <w:tr w:rsidR="000262F2" w:rsidRPr="00E76013" w14:paraId="4E05A25C" w14:textId="77777777" w:rsidTr="00790D38">
        <w:tc>
          <w:tcPr>
            <w:tcW w:w="4785" w:type="dxa"/>
          </w:tcPr>
          <w:p w14:paraId="64EF1F2D" w14:textId="3551DDC0"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Biodiversity</w:t>
            </w:r>
          </w:p>
        </w:tc>
        <w:tc>
          <w:tcPr>
            <w:tcW w:w="1560" w:type="dxa"/>
            <w:vAlign w:val="center"/>
          </w:tcPr>
          <w:p w14:paraId="448BE693" w14:textId="3FAB5AC0"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47.53</w:t>
            </w:r>
          </w:p>
        </w:tc>
        <w:tc>
          <w:tcPr>
            <w:tcW w:w="1560" w:type="dxa"/>
            <w:tcBorders>
              <w:top w:val="single" w:sz="4" w:space="0" w:color="auto"/>
              <w:left w:val="single" w:sz="4" w:space="0" w:color="auto"/>
              <w:bottom w:val="single" w:sz="4" w:space="0" w:color="auto"/>
              <w:right w:val="single" w:sz="4" w:space="0" w:color="auto"/>
            </w:tcBorders>
            <w:vAlign w:val="center"/>
          </w:tcPr>
          <w:p w14:paraId="46197E74" w14:textId="4D19D10B"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19.01</w:t>
            </w:r>
          </w:p>
        </w:tc>
        <w:tc>
          <w:tcPr>
            <w:tcW w:w="1395" w:type="dxa"/>
            <w:tcBorders>
              <w:top w:val="single" w:sz="4" w:space="0" w:color="auto"/>
              <w:left w:val="single" w:sz="4" w:space="0" w:color="auto"/>
              <w:bottom w:val="single" w:sz="4" w:space="0" w:color="auto"/>
              <w:right w:val="single" w:sz="4" w:space="0" w:color="auto"/>
            </w:tcBorders>
            <w:vAlign w:val="center"/>
          </w:tcPr>
          <w:p w14:paraId="5B14F4F1" w14:textId="16052E12"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40%</w:t>
            </w:r>
          </w:p>
        </w:tc>
      </w:tr>
      <w:tr w:rsidR="000262F2" w:rsidRPr="00E76013" w14:paraId="05C88EE3" w14:textId="77777777" w:rsidTr="00790D38">
        <w:tc>
          <w:tcPr>
            <w:tcW w:w="4785" w:type="dxa"/>
          </w:tcPr>
          <w:p w14:paraId="493270F9" w14:textId="20B4EAD7"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Sustainable Agriculture</w:t>
            </w:r>
          </w:p>
        </w:tc>
        <w:tc>
          <w:tcPr>
            <w:tcW w:w="1560" w:type="dxa"/>
            <w:vAlign w:val="center"/>
          </w:tcPr>
          <w:p w14:paraId="2F24DA39" w14:textId="1D9DE243"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233.83</w:t>
            </w:r>
          </w:p>
        </w:tc>
        <w:tc>
          <w:tcPr>
            <w:tcW w:w="1560" w:type="dxa"/>
            <w:tcBorders>
              <w:top w:val="single" w:sz="4" w:space="0" w:color="auto"/>
              <w:left w:val="single" w:sz="4" w:space="0" w:color="auto"/>
              <w:bottom w:val="single" w:sz="4" w:space="0" w:color="auto"/>
              <w:right w:val="single" w:sz="4" w:space="0" w:color="auto"/>
            </w:tcBorders>
            <w:vAlign w:val="center"/>
          </w:tcPr>
          <w:p w14:paraId="33D48769" w14:textId="4352A752"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85.45</w:t>
            </w:r>
          </w:p>
        </w:tc>
        <w:tc>
          <w:tcPr>
            <w:tcW w:w="1395" w:type="dxa"/>
            <w:tcBorders>
              <w:top w:val="single" w:sz="4" w:space="0" w:color="auto"/>
              <w:left w:val="single" w:sz="4" w:space="0" w:color="auto"/>
              <w:bottom w:val="single" w:sz="4" w:space="0" w:color="auto"/>
              <w:right w:val="single" w:sz="4" w:space="0" w:color="auto"/>
            </w:tcBorders>
            <w:vAlign w:val="center"/>
          </w:tcPr>
          <w:p w14:paraId="7B5BA4A7" w14:textId="30AE09B8"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36.5%</w:t>
            </w:r>
          </w:p>
        </w:tc>
      </w:tr>
      <w:tr w:rsidR="000262F2" w:rsidRPr="00E76013" w14:paraId="0FA7D373" w14:textId="77777777" w:rsidTr="00790D38">
        <w:tc>
          <w:tcPr>
            <w:tcW w:w="4785" w:type="dxa"/>
          </w:tcPr>
          <w:p w14:paraId="7A1E4373" w14:textId="57A1F6A5"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Digital Connectivity</w:t>
            </w:r>
          </w:p>
        </w:tc>
        <w:tc>
          <w:tcPr>
            <w:tcW w:w="1560" w:type="dxa"/>
            <w:vAlign w:val="center"/>
          </w:tcPr>
          <w:p w14:paraId="760E7A53" w14:textId="411E05BF"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385.</w:t>
            </w:r>
            <w:r w:rsidR="00B227A2">
              <w:rPr>
                <w:rFonts w:ascii="Times New Roman" w:eastAsia="Times New Roman" w:hAnsi="Times New Roman" w:cs="Times New Roman"/>
                <w:noProof/>
                <w:color w:val="000000" w:themeColor="text1"/>
                <w:sz w:val="20"/>
                <w:szCs w:val="20"/>
              </w:rPr>
              <w:t>22</w:t>
            </w:r>
          </w:p>
        </w:tc>
        <w:tc>
          <w:tcPr>
            <w:tcW w:w="1560" w:type="dxa"/>
            <w:tcBorders>
              <w:top w:val="single" w:sz="4" w:space="0" w:color="auto"/>
              <w:left w:val="single" w:sz="4" w:space="0" w:color="auto"/>
              <w:bottom w:val="single" w:sz="4" w:space="0" w:color="auto"/>
              <w:right w:val="single" w:sz="4" w:space="0" w:color="auto"/>
            </w:tcBorders>
            <w:vAlign w:val="center"/>
          </w:tcPr>
          <w:p w14:paraId="2477C38E" w14:textId="28E1F6B6" w:rsidR="000262F2" w:rsidRPr="00E76013" w:rsidRDefault="00B227A2" w:rsidP="000262F2">
            <w:pPr>
              <w:jc w:val="cente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4.09</w:t>
            </w:r>
          </w:p>
        </w:tc>
        <w:tc>
          <w:tcPr>
            <w:tcW w:w="1395" w:type="dxa"/>
            <w:tcBorders>
              <w:top w:val="single" w:sz="4" w:space="0" w:color="auto"/>
              <w:left w:val="single" w:sz="4" w:space="0" w:color="auto"/>
              <w:bottom w:val="single" w:sz="4" w:space="0" w:color="auto"/>
              <w:right w:val="single" w:sz="4" w:space="0" w:color="auto"/>
            </w:tcBorders>
            <w:vAlign w:val="center"/>
          </w:tcPr>
          <w:p w14:paraId="2195ECBD" w14:textId="7FC26A79"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w:t>
            </w:r>
            <w:r w:rsidR="00B227A2">
              <w:rPr>
                <w:rFonts w:ascii="Times New Roman" w:eastAsia="Times New Roman" w:hAnsi="Times New Roman" w:cs="Times New Roman"/>
                <w:noProof/>
                <w:color w:val="000000" w:themeColor="text1"/>
                <w:sz w:val="20"/>
                <w:szCs w:val="20"/>
              </w:rPr>
              <w:t>1</w:t>
            </w:r>
            <w:r w:rsidRPr="00E76013">
              <w:rPr>
                <w:rFonts w:ascii="Times New Roman" w:eastAsia="Times New Roman" w:hAnsi="Times New Roman" w:cs="Times New Roman"/>
                <w:noProof/>
                <w:color w:val="000000" w:themeColor="text1"/>
                <w:sz w:val="20"/>
                <w:szCs w:val="20"/>
              </w:rPr>
              <w:t>%</w:t>
            </w:r>
          </w:p>
        </w:tc>
      </w:tr>
      <w:tr w:rsidR="000262F2" w:rsidRPr="00E76013" w14:paraId="394CC2CC" w14:textId="77777777" w:rsidTr="00790D38">
        <w:tc>
          <w:tcPr>
            <w:tcW w:w="4785" w:type="dxa"/>
          </w:tcPr>
          <w:p w14:paraId="34678C83" w14:textId="19D726E5" w:rsidR="000262F2" w:rsidRPr="00E76013" w:rsidRDefault="0084623D"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 xml:space="preserve">Sustainable </w:t>
            </w:r>
            <w:r w:rsidR="000262F2" w:rsidRPr="00E76013">
              <w:rPr>
                <w:rFonts w:ascii="Times New Roman" w:hAnsi="Times New Roman" w:cs="Times New Roman"/>
                <w:noProof/>
              </w:rPr>
              <w:t xml:space="preserve">Transport </w:t>
            </w:r>
          </w:p>
        </w:tc>
        <w:tc>
          <w:tcPr>
            <w:tcW w:w="1560" w:type="dxa"/>
            <w:vAlign w:val="center"/>
          </w:tcPr>
          <w:p w14:paraId="03865E1A" w14:textId="011CCEB7"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66</w:t>
            </w:r>
            <w:r w:rsidR="00B227A2">
              <w:rPr>
                <w:rFonts w:ascii="Times New Roman" w:eastAsia="Times New Roman" w:hAnsi="Times New Roman" w:cs="Times New Roman"/>
                <w:noProof/>
                <w:color w:val="000000" w:themeColor="text1"/>
                <w:sz w:val="20"/>
                <w:szCs w:val="20"/>
              </w:rPr>
              <w:t>5.79</w:t>
            </w:r>
          </w:p>
        </w:tc>
        <w:tc>
          <w:tcPr>
            <w:tcW w:w="1560" w:type="dxa"/>
            <w:tcBorders>
              <w:top w:val="single" w:sz="4" w:space="0" w:color="auto"/>
              <w:left w:val="single" w:sz="4" w:space="0" w:color="auto"/>
              <w:bottom w:val="single" w:sz="4" w:space="0" w:color="auto"/>
              <w:right w:val="single" w:sz="4" w:space="0" w:color="auto"/>
            </w:tcBorders>
            <w:vAlign w:val="center"/>
          </w:tcPr>
          <w:p w14:paraId="54D4BD1F" w14:textId="1D994B55"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5</w:t>
            </w:r>
            <w:r w:rsidR="00B227A2">
              <w:rPr>
                <w:rFonts w:ascii="Times New Roman" w:eastAsia="Times New Roman" w:hAnsi="Times New Roman" w:cs="Times New Roman"/>
                <w:noProof/>
                <w:color w:val="000000" w:themeColor="text1"/>
                <w:sz w:val="20"/>
                <w:szCs w:val="20"/>
              </w:rPr>
              <w:t>52.18</w:t>
            </w:r>
          </w:p>
        </w:tc>
        <w:tc>
          <w:tcPr>
            <w:tcW w:w="1395" w:type="dxa"/>
            <w:tcBorders>
              <w:top w:val="single" w:sz="4" w:space="0" w:color="auto"/>
              <w:left w:val="single" w:sz="4" w:space="0" w:color="auto"/>
              <w:bottom w:val="single" w:sz="4" w:space="0" w:color="auto"/>
              <w:right w:val="single" w:sz="4" w:space="0" w:color="auto"/>
            </w:tcBorders>
            <w:vAlign w:val="center"/>
          </w:tcPr>
          <w:p w14:paraId="00683884" w14:textId="1CEBCAA2" w:rsidR="000262F2" w:rsidRPr="00E76013" w:rsidRDefault="00B227A2" w:rsidP="000262F2">
            <w:pPr>
              <w:jc w:val="cente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82.9</w:t>
            </w:r>
            <w:r w:rsidR="49E96737" w:rsidRPr="00E76013">
              <w:rPr>
                <w:rFonts w:ascii="Times New Roman" w:eastAsia="Times New Roman" w:hAnsi="Times New Roman" w:cs="Times New Roman"/>
                <w:noProof/>
                <w:color w:val="000000" w:themeColor="text1"/>
                <w:sz w:val="20"/>
                <w:szCs w:val="20"/>
              </w:rPr>
              <w:t>%</w:t>
            </w:r>
          </w:p>
        </w:tc>
      </w:tr>
      <w:tr w:rsidR="000262F2" w:rsidRPr="00E76013" w14:paraId="28129B8B" w14:textId="77777777" w:rsidTr="00790D38">
        <w:tc>
          <w:tcPr>
            <w:tcW w:w="4785" w:type="dxa"/>
          </w:tcPr>
          <w:p w14:paraId="50D9D158" w14:textId="7AD224A1"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Local Development</w:t>
            </w:r>
          </w:p>
        </w:tc>
        <w:tc>
          <w:tcPr>
            <w:tcW w:w="1560" w:type="dxa"/>
            <w:vAlign w:val="center"/>
          </w:tcPr>
          <w:p w14:paraId="4F40FEE6" w14:textId="1DDE4F4F"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w:t>
            </w:r>
            <w:r w:rsidR="00B227A2">
              <w:rPr>
                <w:rFonts w:ascii="Times New Roman" w:eastAsia="Times New Roman" w:hAnsi="Times New Roman" w:cs="Times New Roman"/>
                <w:noProof/>
                <w:color w:val="000000" w:themeColor="text1"/>
                <w:sz w:val="20"/>
                <w:szCs w:val="20"/>
              </w:rPr>
              <w:t>11.11</w:t>
            </w:r>
          </w:p>
        </w:tc>
        <w:tc>
          <w:tcPr>
            <w:tcW w:w="1560" w:type="dxa"/>
            <w:tcBorders>
              <w:top w:val="single" w:sz="4" w:space="0" w:color="auto"/>
              <w:left w:val="single" w:sz="4" w:space="0" w:color="auto"/>
              <w:bottom w:val="single" w:sz="4" w:space="0" w:color="auto"/>
              <w:right w:val="single" w:sz="4" w:space="0" w:color="auto"/>
            </w:tcBorders>
            <w:vAlign w:val="center"/>
          </w:tcPr>
          <w:p w14:paraId="0B7FA6E8" w14:textId="19F572F0" w:rsidR="000262F2" w:rsidRPr="00E76013" w:rsidRDefault="18575674" w:rsidP="00FF5BBC">
            <w:pPr>
              <w:spacing w:line="259" w:lineRule="auto"/>
              <w:jc w:val="center"/>
              <w:rPr>
                <w:rFonts w:ascii="Times New Roman" w:eastAsia="Times New Roman" w:hAnsi="Times New Roman" w:cs="Times New Roman"/>
                <w:noProof/>
                <w:sz w:val="20"/>
                <w:szCs w:val="20"/>
              </w:rPr>
            </w:pPr>
            <w:r w:rsidRPr="00E76013">
              <w:rPr>
                <w:rFonts w:ascii="Times New Roman" w:eastAsia="Times New Roman" w:hAnsi="Times New Roman" w:cs="Times New Roman"/>
                <w:noProof/>
                <w:color w:val="000000" w:themeColor="text1"/>
                <w:sz w:val="20"/>
                <w:szCs w:val="20"/>
              </w:rPr>
              <w:t>2</w:t>
            </w:r>
            <w:r w:rsidR="00B227A2">
              <w:rPr>
                <w:rFonts w:ascii="Times New Roman" w:eastAsia="Times New Roman" w:hAnsi="Times New Roman" w:cs="Times New Roman"/>
                <w:noProof/>
                <w:color w:val="000000" w:themeColor="text1"/>
                <w:sz w:val="20"/>
                <w:szCs w:val="20"/>
              </w:rPr>
              <w:t>3.09</w:t>
            </w:r>
          </w:p>
        </w:tc>
        <w:tc>
          <w:tcPr>
            <w:tcW w:w="1395" w:type="dxa"/>
            <w:tcBorders>
              <w:top w:val="single" w:sz="4" w:space="0" w:color="auto"/>
              <w:left w:val="single" w:sz="4" w:space="0" w:color="auto"/>
              <w:bottom w:val="single" w:sz="4" w:space="0" w:color="auto"/>
              <w:right w:val="single" w:sz="4" w:space="0" w:color="auto"/>
            </w:tcBorders>
            <w:vAlign w:val="center"/>
          </w:tcPr>
          <w:p w14:paraId="3B32D498" w14:textId="08F7B4A1" w:rsidR="000262F2" w:rsidRPr="00E76013" w:rsidRDefault="6C42BF92"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10.</w:t>
            </w:r>
            <w:r w:rsidR="005E722D">
              <w:rPr>
                <w:rFonts w:ascii="Times New Roman" w:eastAsia="Times New Roman" w:hAnsi="Times New Roman" w:cs="Times New Roman"/>
                <w:noProof/>
                <w:color w:val="000000" w:themeColor="text1"/>
                <w:sz w:val="20"/>
                <w:szCs w:val="20"/>
              </w:rPr>
              <w:t>9</w:t>
            </w:r>
            <w:r w:rsidRPr="00E76013">
              <w:rPr>
                <w:rFonts w:ascii="Times New Roman" w:eastAsia="Times New Roman" w:hAnsi="Times New Roman" w:cs="Times New Roman"/>
                <w:noProof/>
                <w:color w:val="000000" w:themeColor="text1"/>
                <w:sz w:val="20"/>
                <w:szCs w:val="20"/>
              </w:rPr>
              <w:t>%</w:t>
            </w:r>
          </w:p>
        </w:tc>
      </w:tr>
      <w:tr w:rsidR="000262F2" w:rsidRPr="00E76013" w14:paraId="18D96A8F" w14:textId="77777777" w:rsidTr="00790D38">
        <w:tc>
          <w:tcPr>
            <w:tcW w:w="4785" w:type="dxa"/>
          </w:tcPr>
          <w:p w14:paraId="6CE5F28B" w14:textId="6AD43031"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Business Environment</w:t>
            </w:r>
          </w:p>
        </w:tc>
        <w:tc>
          <w:tcPr>
            <w:tcW w:w="1560" w:type="dxa"/>
            <w:vAlign w:val="center"/>
          </w:tcPr>
          <w:p w14:paraId="4C96B089" w14:textId="318AB382" w:rsidR="000262F2" w:rsidRPr="00E76013" w:rsidRDefault="00B227A2" w:rsidP="000262F2">
            <w:pPr>
              <w:jc w:val="cente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188.08</w:t>
            </w:r>
          </w:p>
        </w:tc>
        <w:tc>
          <w:tcPr>
            <w:tcW w:w="1560" w:type="dxa"/>
            <w:tcBorders>
              <w:top w:val="single" w:sz="4" w:space="0" w:color="auto"/>
              <w:left w:val="single" w:sz="4" w:space="0" w:color="auto"/>
              <w:bottom w:val="single" w:sz="4" w:space="0" w:color="auto"/>
              <w:right w:val="single" w:sz="4" w:space="0" w:color="auto"/>
            </w:tcBorders>
            <w:vAlign w:val="center"/>
          </w:tcPr>
          <w:p w14:paraId="4BFF634B" w14:textId="5383B1C9"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0</w:t>
            </w:r>
          </w:p>
        </w:tc>
        <w:tc>
          <w:tcPr>
            <w:tcW w:w="1395" w:type="dxa"/>
            <w:tcBorders>
              <w:top w:val="single" w:sz="4" w:space="0" w:color="auto"/>
              <w:left w:val="single" w:sz="4" w:space="0" w:color="auto"/>
              <w:bottom w:val="single" w:sz="4" w:space="0" w:color="auto"/>
              <w:right w:val="single" w:sz="4" w:space="0" w:color="auto"/>
            </w:tcBorders>
            <w:vAlign w:val="center"/>
          </w:tcPr>
          <w:p w14:paraId="1F9100D3" w14:textId="2BE98502"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0%</w:t>
            </w:r>
          </w:p>
        </w:tc>
      </w:tr>
      <w:tr w:rsidR="000262F2" w:rsidRPr="00E76013" w14:paraId="5C846D0E" w14:textId="77777777" w:rsidTr="00790D38">
        <w:tc>
          <w:tcPr>
            <w:tcW w:w="4785" w:type="dxa"/>
          </w:tcPr>
          <w:p w14:paraId="67D9A37F" w14:textId="6949C3CE"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Social Inclusion</w:t>
            </w:r>
          </w:p>
        </w:tc>
        <w:tc>
          <w:tcPr>
            <w:tcW w:w="1560" w:type="dxa"/>
            <w:vAlign w:val="center"/>
          </w:tcPr>
          <w:p w14:paraId="23623E24" w14:textId="1B1AEE1E"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440.38</w:t>
            </w:r>
          </w:p>
        </w:tc>
        <w:tc>
          <w:tcPr>
            <w:tcW w:w="1560" w:type="dxa"/>
            <w:tcBorders>
              <w:top w:val="single" w:sz="4" w:space="0" w:color="auto"/>
              <w:left w:val="single" w:sz="4" w:space="0" w:color="auto"/>
              <w:bottom w:val="single" w:sz="4" w:space="0" w:color="auto"/>
              <w:right w:val="single" w:sz="4" w:space="0" w:color="auto"/>
            </w:tcBorders>
            <w:vAlign w:val="center"/>
          </w:tcPr>
          <w:p w14:paraId="0AF6C05A" w14:textId="3CB1F93E"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96.76</w:t>
            </w:r>
          </w:p>
        </w:tc>
        <w:tc>
          <w:tcPr>
            <w:tcW w:w="1395" w:type="dxa"/>
            <w:tcBorders>
              <w:top w:val="single" w:sz="4" w:space="0" w:color="auto"/>
              <w:left w:val="single" w:sz="4" w:space="0" w:color="auto"/>
              <w:bottom w:val="single" w:sz="4" w:space="0" w:color="auto"/>
              <w:right w:val="single" w:sz="4" w:space="0" w:color="auto"/>
            </w:tcBorders>
            <w:vAlign w:val="center"/>
          </w:tcPr>
          <w:p w14:paraId="373DE4EF" w14:textId="557DA077"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22%</w:t>
            </w:r>
          </w:p>
        </w:tc>
      </w:tr>
      <w:tr w:rsidR="000262F2" w:rsidRPr="00E76013" w14:paraId="1CB6A560" w14:textId="77777777" w:rsidTr="00790D38">
        <w:tc>
          <w:tcPr>
            <w:tcW w:w="4785" w:type="dxa"/>
          </w:tcPr>
          <w:p w14:paraId="5F588FD2" w14:textId="4DE9A75A" w:rsidR="000262F2" w:rsidRPr="00E76013" w:rsidRDefault="000262F2" w:rsidP="00E01A1F">
            <w:pPr>
              <w:pStyle w:val="ListParagraph"/>
              <w:numPr>
                <w:ilvl w:val="0"/>
                <w:numId w:val="12"/>
              </w:numPr>
              <w:jc w:val="both"/>
              <w:rPr>
                <w:rFonts w:ascii="Times New Roman" w:eastAsia="Times New Roman" w:hAnsi="Times New Roman" w:cs="Times New Roman"/>
                <w:noProof/>
                <w:sz w:val="20"/>
                <w:szCs w:val="20"/>
              </w:rPr>
            </w:pPr>
            <w:r w:rsidRPr="00E76013">
              <w:rPr>
                <w:rFonts w:ascii="Times New Roman" w:hAnsi="Times New Roman" w:cs="Times New Roman"/>
                <w:noProof/>
              </w:rPr>
              <w:t>Healthcare</w:t>
            </w:r>
          </w:p>
        </w:tc>
        <w:tc>
          <w:tcPr>
            <w:tcW w:w="1560" w:type="dxa"/>
            <w:vAlign w:val="center"/>
          </w:tcPr>
          <w:p w14:paraId="63924E0B" w14:textId="43257AB3"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367.9</w:t>
            </w:r>
            <w:r w:rsidR="00B227A2">
              <w:rPr>
                <w:rFonts w:ascii="Times New Roman" w:eastAsia="Times New Roman" w:hAnsi="Times New Roman" w:cs="Times New Roman"/>
                <w:noProof/>
                <w:color w:val="000000" w:themeColor="text1"/>
                <w:sz w:val="20"/>
                <w:szCs w:val="20"/>
              </w:rPr>
              <w:t>6</w:t>
            </w:r>
          </w:p>
        </w:tc>
        <w:tc>
          <w:tcPr>
            <w:tcW w:w="1560" w:type="dxa"/>
            <w:tcBorders>
              <w:top w:val="single" w:sz="4" w:space="0" w:color="auto"/>
              <w:left w:val="single" w:sz="4" w:space="0" w:color="auto"/>
              <w:bottom w:val="single" w:sz="4" w:space="0" w:color="auto"/>
              <w:right w:val="single" w:sz="4" w:space="0" w:color="auto"/>
            </w:tcBorders>
            <w:vAlign w:val="center"/>
          </w:tcPr>
          <w:p w14:paraId="7EC8E544" w14:textId="5516A9FB"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0</w:t>
            </w:r>
          </w:p>
        </w:tc>
        <w:tc>
          <w:tcPr>
            <w:tcW w:w="1395" w:type="dxa"/>
            <w:tcBorders>
              <w:top w:val="single" w:sz="4" w:space="0" w:color="auto"/>
              <w:left w:val="single" w:sz="4" w:space="0" w:color="auto"/>
              <w:bottom w:val="single" w:sz="4" w:space="0" w:color="auto"/>
              <w:right w:val="single" w:sz="4" w:space="0" w:color="auto"/>
            </w:tcBorders>
            <w:vAlign w:val="center"/>
          </w:tcPr>
          <w:p w14:paraId="7C1069C5" w14:textId="639E3B95" w:rsidR="000262F2" w:rsidRPr="00E76013" w:rsidRDefault="49E96737" w:rsidP="000262F2">
            <w:pPr>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0%</w:t>
            </w:r>
          </w:p>
        </w:tc>
      </w:tr>
    </w:tbl>
    <w:p w14:paraId="145B41F9" w14:textId="77777777" w:rsidR="003A21E6" w:rsidRPr="00751CDF" w:rsidRDefault="003A21E6" w:rsidP="00751CDF">
      <w:pPr>
        <w:spacing w:line="276" w:lineRule="auto"/>
        <w:jc w:val="both"/>
        <w:rPr>
          <w:rFonts w:ascii="Times New Roman" w:eastAsia="Times New Roman" w:hAnsi="Times New Roman" w:cs="Times New Roman"/>
          <w:i/>
          <w:noProof/>
          <w:sz w:val="24"/>
          <w:szCs w:val="24"/>
        </w:rPr>
      </w:pPr>
      <w:r w:rsidRPr="00751CDF">
        <w:rPr>
          <w:rFonts w:ascii="Times New Roman" w:eastAsia="Times New Roman" w:hAnsi="Times New Roman" w:cs="Times New Roman"/>
          <w:i/>
          <w:noProof/>
          <w:sz w:val="24"/>
          <w:szCs w:val="24"/>
        </w:rPr>
        <w:t>Green transition</w:t>
      </w:r>
    </w:p>
    <w:p w14:paraId="55AC790C" w14:textId="406BA9B4" w:rsidR="3303BACE" w:rsidRPr="00751CDF" w:rsidRDefault="003A21E6" w:rsidP="00751CDF">
      <w:pPr>
        <w:spacing w:line="276" w:lineRule="auto"/>
        <w:jc w:val="both"/>
        <w:rPr>
          <w:rFonts w:ascii="Times New Roman" w:eastAsia="Calibri" w:hAnsi="Times New Roman" w:cs="Times New Roman"/>
          <w:noProof/>
          <w:color w:val="000000" w:themeColor="text1"/>
          <w:sz w:val="24"/>
          <w:szCs w:val="24"/>
        </w:rPr>
      </w:pPr>
      <w:r w:rsidRPr="00751CDF">
        <w:rPr>
          <w:rFonts w:ascii="Times New Roman" w:eastAsia="Times New Roman" w:hAnsi="Times New Roman" w:cs="Times New Roman"/>
          <w:b/>
          <w:noProof/>
          <w:sz w:val="24"/>
          <w:szCs w:val="24"/>
        </w:rPr>
        <w:t xml:space="preserve">The measures in </w:t>
      </w:r>
      <w:r w:rsidR="00932F88" w:rsidRPr="00751CDF">
        <w:rPr>
          <w:rFonts w:ascii="Times New Roman" w:eastAsia="Times New Roman" w:hAnsi="Times New Roman" w:cs="Times New Roman"/>
          <w:b/>
          <w:noProof/>
          <w:sz w:val="24"/>
          <w:szCs w:val="24"/>
        </w:rPr>
        <w:t>Bulgaria</w:t>
      </w:r>
      <w:r w:rsidRPr="00751CDF">
        <w:rPr>
          <w:rFonts w:ascii="Times New Roman" w:eastAsia="Times New Roman" w:hAnsi="Times New Roman" w:cs="Times New Roman"/>
          <w:b/>
          <w:noProof/>
          <w:sz w:val="24"/>
          <w:szCs w:val="24"/>
        </w:rPr>
        <w:t xml:space="preserve">’s Plan are expected to effectively contribute to the green transition, and addressing the challenges resulting therefrom. </w:t>
      </w:r>
      <w:r w:rsidRPr="00751CDF">
        <w:rPr>
          <w:rFonts w:ascii="Times New Roman" w:eastAsia="Times New Roman" w:hAnsi="Times New Roman" w:cs="Times New Roman"/>
          <w:noProof/>
          <w:sz w:val="24"/>
          <w:szCs w:val="24"/>
        </w:rPr>
        <w:t xml:space="preserve">The Plan supports </w:t>
      </w:r>
      <w:r w:rsidR="00932F88" w:rsidRPr="00751CDF">
        <w:rPr>
          <w:rFonts w:ascii="Times New Roman" w:eastAsia="Times New Roman" w:hAnsi="Times New Roman" w:cs="Times New Roman"/>
          <w:noProof/>
          <w:sz w:val="24"/>
          <w:szCs w:val="24"/>
        </w:rPr>
        <w:t>Bulgaria</w:t>
      </w:r>
      <w:r w:rsidRPr="00751CDF">
        <w:rPr>
          <w:rFonts w:ascii="Times New Roman" w:eastAsia="Times New Roman" w:hAnsi="Times New Roman" w:cs="Times New Roman"/>
          <w:noProof/>
          <w:sz w:val="24"/>
          <w:szCs w:val="24"/>
        </w:rPr>
        <w:t>’s decarbonisation and energy transition objectives</w:t>
      </w:r>
      <w:r w:rsidR="00676A30" w:rsidRPr="00751CDF">
        <w:rPr>
          <w:rFonts w:ascii="Times New Roman" w:eastAsia="Times New Roman" w:hAnsi="Times New Roman" w:cs="Times New Roman"/>
          <w:noProof/>
          <w:sz w:val="24"/>
          <w:szCs w:val="24"/>
        </w:rPr>
        <w:t xml:space="preserve">, meeting the </w:t>
      </w:r>
      <w:r w:rsidR="110640E1" w:rsidRPr="00751CDF">
        <w:rPr>
          <w:rFonts w:ascii="Times New Roman" w:eastAsia="Times New Roman" w:hAnsi="Times New Roman" w:cs="Times New Roman"/>
          <w:noProof/>
          <w:sz w:val="24"/>
          <w:szCs w:val="24"/>
        </w:rPr>
        <w:t xml:space="preserve">country-specific recommendation </w:t>
      </w:r>
      <w:r w:rsidR="00676A30" w:rsidRPr="00751CDF">
        <w:rPr>
          <w:rFonts w:ascii="Times New Roman" w:eastAsia="Times New Roman" w:hAnsi="Times New Roman" w:cs="Times New Roman"/>
          <w:noProof/>
          <w:sz w:val="24"/>
          <w:szCs w:val="24"/>
        </w:rPr>
        <w:t xml:space="preserve">in relation to contributing to </w:t>
      </w:r>
      <w:r w:rsidR="00676A30" w:rsidRPr="004F2DAB">
        <w:rPr>
          <w:rFonts w:ascii="Times New Roman" w:eastAsia="Times New Roman" w:hAnsi="Times New Roman" w:cs="Times New Roman"/>
          <w:noProof/>
          <w:sz w:val="24"/>
          <w:szCs w:val="24"/>
        </w:rPr>
        <w:t>“a progressive decarbonisation of the economy”</w:t>
      </w:r>
      <w:r w:rsidRPr="004F2DAB">
        <w:rPr>
          <w:rFonts w:ascii="Times New Roman" w:eastAsia="Times New Roman" w:hAnsi="Times New Roman" w:cs="Times New Roman"/>
          <w:noProof/>
          <w:sz w:val="24"/>
          <w:szCs w:val="24"/>
        </w:rPr>
        <w:t>.</w:t>
      </w:r>
      <w:r w:rsidR="004F2DAB">
        <w:rPr>
          <w:rFonts w:ascii="Times New Roman" w:eastAsia="Times New Roman" w:hAnsi="Times New Roman" w:cs="Times New Roman"/>
          <w:noProof/>
          <w:sz w:val="24"/>
          <w:szCs w:val="24"/>
        </w:rPr>
        <w:t xml:space="preserve"> </w:t>
      </w:r>
    </w:p>
    <w:p w14:paraId="16340E11" w14:textId="234A7826" w:rsidR="28D8BF16" w:rsidRPr="00751CDF" w:rsidRDefault="28D8BF16" w:rsidP="00751CDF">
      <w:pPr>
        <w:spacing w:line="276" w:lineRule="auto"/>
        <w:jc w:val="both"/>
        <w:rPr>
          <w:rFonts w:ascii="Times New Roman" w:eastAsia="Calibri" w:hAnsi="Times New Roman" w:cs="Times New Roman"/>
          <w:noProof/>
          <w:color w:val="000000" w:themeColor="text1"/>
          <w:sz w:val="24"/>
          <w:szCs w:val="24"/>
          <w:lang w:val="en-GB"/>
        </w:rPr>
      </w:pPr>
      <w:r w:rsidRPr="004F2DAB">
        <w:rPr>
          <w:rFonts w:ascii="Times New Roman" w:eastAsia="Calibri" w:hAnsi="Times New Roman" w:cs="Times New Roman"/>
          <w:b/>
          <w:noProof/>
          <w:color w:val="000000" w:themeColor="text1"/>
          <w:sz w:val="24"/>
          <w:szCs w:val="24"/>
        </w:rPr>
        <w:t>“Energy and climate investments and reforms envisaged in the Plan are consistent with the N</w:t>
      </w:r>
      <w:r w:rsidRPr="004F2DAB">
        <w:rPr>
          <w:rFonts w:ascii="Times New Roman" w:eastAsia="Calibri" w:hAnsi="Times New Roman" w:cs="Times New Roman"/>
          <w:b/>
          <w:noProof/>
          <w:sz w:val="24"/>
          <w:szCs w:val="24"/>
        </w:rPr>
        <w:t>ational Energy and Climate Plan (NECP).</w:t>
      </w:r>
      <w:r w:rsidRPr="00751CDF">
        <w:rPr>
          <w:rFonts w:ascii="Times New Roman" w:eastAsia="Calibri" w:hAnsi="Times New Roman" w:cs="Times New Roman"/>
          <w:noProof/>
          <w:sz w:val="24"/>
          <w:szCs w:val="24"/>
        </w:rPr>
        <w:t xml:space="preserve"> These include a large package of reforms, notably in relation to </w:t>
      </w:r>
      <w:r w:rsidRPr="004F2DAB">
        <w:rPr>
          <w:rFonts w:ascii="Times New Roman" w:eastAsia="Calibri" w:hAnsi="Times New Roman" w:cs="Times New Roman"/>
          <w:noProof/>
          <w:sz w:val="24"/>
          <w:szCs w:val="24"/>
        </w:rPr>
        <w:t>decarbonisation of the power sector</w:t>
      </w:r>
      <w:r w:rsidRPr="00751CDF">
        <w:rPr>
          <w:rFonts w:ascii="Times New Roman" w:eastAsia="Calibri" w:hAnsi="Times New Roman" w:cs="Times New Roman"/>
          <w:noProof/>
          <w:sz w:val="24"/>
          <w:szCs w:val="24"/>
        </w:rPr>
        <w:t xml:space="preserve">, </w:t>
      </w:r>
      <w:r w:rsidRPr="004F2DAB">
        <w:rPr>
          <w:rFonts w:ascii="Times New Roman" w:eastAsia="Calibri" w:hAnsi="Times New Roman" w:cs="Times New Roman"/>
          <w:noProof/>
          <w:sz w:val="24"/>
          <w:szCs w:val="24"/>
        </w:rPr>
        <w:t>setting out a date for the coal phase-out</w:t>
      </w:r>
      <w:r w:rsidRPr="00751CDF">
        <w:rPr>
          <w:rFonts w:ascii="Times New Roman" w:eastAsia="Calibri" w:hAnsi="Times New Roman" w:cs="Times New Roman"/>
          <w:noProof/>
          <w:sz w:val="24"/>
          <w:szCs w:val="24"/>
        </w:rPr>
        <w:t xml:space="preserve"> and aiming to achieve a 40% reduction in CO2 emissions compared to 2019, including a regulatory cap </w:t>
      </w:r>
      <w:r w:rsidRPr="00751CDF">
        <w:rPr>
          <w:rFonts w:ascii="Times New Roman" w:eastAsia="Calibri" w:hAnsi="Times New Roman" w:cs="Times New Roman"/>
          <w:noProof/>
          <w:color w:val="000000" w:themeColor="text1"/>
          <w:sz w:val="24"/>
          <w:szCs w:val="24"/>
        </w:rPr>
        <w:t xml:space="preserve">kicking in 2026 to ensure </w:t>
      </w:r>
      <w:r w:rsidR="00705CB7">
        <w:rPr>
          <w:rFonts w:ascii="Times New Roman" w:eastAsia="Calibri" w:hAnsi="Times New Roman" w:cs="Times New Roman"/>
          <w:noProof/>
          <w:color w:val="000000" w:themeColor="text1"/>
          <w:sz w:val="24"/>
          <w:szCs w:val="24"/>
        </w:rPr>
        <w:t xml:space="preserve">that the </w:t>
      </w:r>
      <w:r w:rsidRPr="00751CDF">
        <w:rPr>
          <w:rFonts w:ascii="Times New Roman" w:eastAsia="Calibri" w:hAnsi="Times New Roman" w:cs="Times New Roman"/>
          <w:noProof/>
          <w:color w:val="000000" w:themeColor="text1"/>
          <w:sz w:val="24"/>
          <w:szCs w:val="24"/>
        </w:rPr>
        <w:t xml:space="preserve">achieved reductions are long lasting. The reform package also </w:t>
      </w:r>
      <w:r w:rsidRPr="00751CDF">
        <w:rPr>
          <w:rFonts w:ascii="Times New Roman" w:eastAsia="Calibri" w:hAnsi="Times New Roman" w:cs="Times New Roman"/>
          <w:noProof/>
          <w:sz w:val="24"/>
          <w:szCs w:val="24"/>
        </w:rPr>
        <w:t xml:space="preserve">includes concrete measures to </w:t>
      </w:r>
      <w:r w:rsidRPr="004F2DAB">
        <w:rPr>
          <w:rFonts w:ascii="Times New Roman" w:eastAsia="Calibri" w:hAnsi="Times New Roman" w:cs="Times New Roman"/>
          <w:noProof/>
          <w:sz w:val="24"/>
          <w:szCs w:val="24"/>
        </w:rPr>
        <w:t>speed up the deployment of RES</w:t>
      </w:r>
      <w:r w:rsidRPr="00751CDF">
        <w:rPr>
          <w:rFonts w:ascii="Times New Roman" w:eastAsia="Calibri" w:hAnsi="Times New Roman" w:cs="Times New Roman"/>
          <w:noProof/>
          <w:sz w:val="24"/>
          <w:szCs w:val="24"/>
        </w:rPr>
        <w:t xml:space="preserve"> (e.g. investments to modernise the grid and </w:t>
      </w:r>
      <w:r w:rsidR="007446CE" w:rsidRPr="00E96D3E">
        <w:rPr>
          <w:rFonts w:ascii="Times New Roman" w:eastAsia="Calibri" w:hAnsi="Times New Roman" w:cs="Times New Roman"/>
          <w:noProof/>
          <w:sz w:val="24"/>
          <w:szCs w:val="24"/>
        </w:rPr>
        <w:t xml:space="preserve">legislative changes to shorten permitting procedures </w:t>
      </w:r>
      <w:r w:rsidRPr="00751CDF">
        <w:rPr>
          <w:rFonts w:ascii="Times New Roman" w:eastAsia="Calibri" w:hAnsi="Times New Roman" w:cs="Times New Roman"/>
          <w:noProof/>
          <w:sz w:val="24"/>
          <w:szCs w:val="24"/>
        </w:rPr>
        <w:t>and ease connection) and commitments to more than tripling RES installed capacity within four years. Finally, the</w:t>
      </w:r>
      <w:r w:rsidR="004F2DAB">
        <w:rPr>
          <w:rFonts w:ascii="Times New Roman" w:eastAsia="Calibri" w:hAnsi="Times New Roman" w:cs="Times New Roman"/>
          <w:noProof/>
          <w:sz w:val="24"/>
          <w:szCs w:val="24"/>
        </w:rPr>
        <w:t xml:space="preserve"> </w:t>
      </w:r>
      <w:r w:rsidRPr="00751CDF">
        <w:rPr>
          <w:rFonts w:ascii="Times New Roman" w:eastAsia="Calibri" w:hAnsi="Times New Roman" w:cs="Times New Roman"/>
          <w:noProof/>
          <w:sz w:val="24"/>
          <w:szCs w:val="24"/>
        </w:rPr>
        <w:t xml:space="preserve">Plan includes market liberalization of the wholesale and retail electricity markets and governance reforms to ensure a level-playing field and transparency. Finally, the plan includes substantial investments in energy efficiency (over 1 billion EUR) and matching reforms to remove bottlenecks (e.g. establishment of a decarbonisation fund and amendments to the Condominium Act) In terms of investments, the Plan arrives at a high </w:t>
      </w:r>
      <w:r w:rsidRPr="004F2DAB">
        <w:rPr>
          <w:rFonts w:ascii="Times New Roman" w:eastAsia="Calibri" w:hAnsi="Times New Roman" w:cs="Times New Roman"/>
          <w:noProof/>
          <w:sz w:val="24"/>
          <w:szCs w:val="24"/>
        </w:rPr>
        <w:t>climate tracking contribution of</w:t>
      </w:r>
      <w:r w:rsidR="004F2DAB">
        <w:rPr>
          <w:rFonts w:ascii="Times New Roman" w:eastAsia="Calibri" w:hAnsi="Times New Roman" w:cs="Times New Roman"/>
          <w:noProof/>
          <w:sz w:val="24"/>
          <w:szCs w:val="24"/>
        </w:rPr>
        <w:t xml:space="preserve"> </w:t>
      </w:r>
      <w:r w:rsidRPr="004F2DAB">
        <w:rPr>
          <w:rFonts w:ascii="Times New Roman" w:eastAsia="Calibri" w:hAnsi="Times New Roman" w:cs="Times New Roman"/>
          <w:noProof/>
          <w:sz w:val="24"/>
          <w:szCs w:val="24"/>
        </w:rPr>
        <w:t>58.</w:t>
      </w:r>
      <w:r w:rsidR="006B535E">
        <w:rPr>
          <w:rFonts w:ascii="Times New Roman" w:eastAsia="Calibri" w:hAnsi="Times New Roman" w:cs="Times New Roman"/>
          <w:noProof/>
          <w:sz w:val="24"/>
          <w:szCs w:val="24"/>
        </w:rPr>
        <w:t>9.</w:t>
      </w:r>
      <w:r w:rsidRPr="00751CDF">
        <w:rPr>
          <w:rFonts w:ascii="Times New Roman" w:eastAsia="Calibri" w:hAnsi="Times New Roman" w:cs="Times New Roman"/>
          <w:noProof/>
          <w:color w:val="000000" w:themeColor="text1"/>
          <w:sz w:val="24"/>
          <w:szCs w:val="24"/>
          <w:lang w:val="en-GB"/>
        </w:rPr>
        <w:t xml:space="preserve"> </w:t>
      </w:r>
    </w:p>
    <w:p w14:paraId="04A2CA08" w14:textId="1930B550" w:rsidR="28D8BF16" w:rsidRPr="00751CDF" w:rsidRDefault="28D8BF16" w:rsidP="00751CDF">
      <w:pPr>
        <w:spacing w:line="276" w:lineRule="auto"/>
        <w:jc w:val="both"/>
        <w:rPr>
          <w:rFonts w:ascii="Times New Roman" w:eastAsia="Calibri" w:hAnsi="Times New Roman" w:cs="Times New Roman"/>
          <w:noProof/>
          <w:color w:val="000000" w:themeColor="text1"/>
          <w:sz w:val="24"/>
          <w:szCs w:val="24"/>
          <w:lang w:val="en-GB"/>
        </w:rPr>
      </w:pPr>
      <w:r w:rsidRPr="00751CDF">
        <w:rPr>
          <w:rFonts w:ascii="Times New Roman" w:eastAsia="Calibri" w:hAnsi="Times New Roman" w:cs="Times New Roman"/>
          <w:noProof/>
          <w:color w:val="000000" w:themeColor="text1"/>
          <w:sz w:val="24"/>
          <w:szCs w:val="24"/>
        </w:rPr>
        <w:t xml:space="preserve">In its self-assessment on the Do No Significant Harm principle, </w:t>
      </w:r>
      <w:r w:rsidRPr="00751CDF">
        <w:rPr>
          <w:rFonts w:ascii="Times New Roman" w:eastAsia="Calibri" w:hAnsi="Times New Roman" w:cs="Times New Roman"/>
          <w:noProof/>
          <w:sz w:val="24"/>
          <w:szCs w:val="24"/>
        </w:rPr>
        <w:t xml:space="preserve">Bulgaria has systematically provided reassurance that none of the proposed measures would cause significant harm to the </w:t>
      </w:r>
      <w:r w:rsidRPr="00751CDF">
        <w:rPr>
          <w:rFonts w:ascii="Times New Roman" w:eastAsia="Calibri" w:hAnsi="Times New Roman" w:cs="Times New Roman"/>
          <w:b/>
          <w:bCs/>
          <w:noProof/>
          <w:sz w:val="24"/>
          <w:szCs w:val="24"/>
        </w:rPr>
        <w:t>protection and restoration of biodiversity</w:t>
      </w:r>
      <w:r w:rsidRPr="00751CDF">
        <w:rPr>
          <w:rFonts w:ascii="Times New Roman" w:eastAsia="Calibri" w:hAnsi="Times New Roman" w:cs="Times New Roman"/>
          <w:noProof/>
          <w:sz w:val="24"/>
          <w:szCs w:val="24"/>
        </w:rPr>
        <w:t xml:space="preserve"> and ecosystems. More importantly, the Plan contains a dedicated component on biodiversity protection, with dedicated reforms and investments which amount to EUR 45.53 million.</w:t>
      </w:r>
    </w:p>
    <w:p w14:paraId="5226411C" w14:textId="7CEA4F06"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IE"/>
        </w:rPr>
        <w:t>Renewable energy</w:t>
      </w:r>
      <w:r w:rsidRPr="00E76013">
        <w:rPr>
          <w:rFonts w:ascii="Times New Roman" w:eastAsia="Times New Roman" w:hAnsi="Times New Roman" w:cs="Times New Roman"/>
          <w:noProof/>
          <w:sz w:val="24"/>
          <w:szCs w:val="24"/>
          <w:lang w:val="en-GB"/>
        </w:rPr>
        <w:t> </w:t>
      </w:r>
    </w:p>
    <w:p w14:paraId="7FB8889A" w14:textId="51AA773C"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4F2DAB">
        <w:rPr>
          <w:rFonts w:ascii="Times New Roman" w:eastAsia="Times New Roman" w:hAnsi="Times New Roman" w:cs="Times New Roman"/>
          <w:b/>
          <w:noProof/>
          <w:sz w:val="24"/>
          <w:szCs w:val="24"/>
          <w:lang w:val="en-GB"/>
        </w:rPr>
        <w:t xml:space="preserve">The </w:t>
      </w:r>
      <w:r w:rsidR="00471A3D" w:rsidRPr="004F2DAB">
        <w:rPr>
          <w:rFonts w:ascii="Times New Roman" w:eastAsia="Times New Roman" w:hAnsi="Times New Roman" w:cs="Times New Roman"/>
          <w:b/>
          <w:noProof/>
          <w:sz w:val="24"/>
          <w:szCs w:val="24"/>
          <w:lang w:val="en-GB"/>
        </w:rPr>
        <w:t>P</w:t>
      </w:r>
      <w:r w:rsidRPr="004F2DAB">
        <w:rPr>
          <w:rFonts w:ascii="Times New Roman" w:eastAsia="Times New Roman" w:hAnsi="Times New Roman" w:cs="Times New Roman"/>
          <w:b/>
          <w:noProof/>
          <w:sz w:val="24"/>
          <w:szCs w:val="24"/>
          <w:lang w:val="en-GB"/>
        </w:rPr>
        <w:t xml:space="preserve">lan includes reforms and investments to support </w:t>
      </w:r>
      <w:r w:rsidR="00705CB7" w:rsidRPr="004F2DAB">
        <w:rPr>
          <w:rFonts w:ascii="Times New Roman" w:eastAsia="Times New Roman" w:hAnsi="Times New Roman" w:cs="Times New Roman"/>
          <w:b/>
          <w:noProof/>
          <w:sz w:val="24"/>
          <w:szCs w:val="24"/>
          <w:lang w:val="en-GB"/>
        </w:rPr>
        <w:t xml:space="preserve">the </w:t>
      </w:r>
      <w:r w:rsidRPr="004F2DAB">
        <w:rPr>
          <w:rFonts w:ascii="Times New Roman" w:eastAsia="Times New Roman" w:hAnsi="Times New Roman" w:cs="Times New Roman"/>
          <w:b/>
          <w:noProof/>
          <w:sz w:val="24"/>
          <w:szCs w:val="24"/>
          <w:lang w:val="en-GB"/>
        </w:rPr>
        <w:t xml:space="preserve">deployment of </w:t>
      </w:r>
      <w:r w:rsidRPr="00E76013">
        <w:rPr>
          <w:rFonts w:ascii="Times New Roman" w:eastAsia="Times New Roman" w:hAnsi="Times New Roman" w:cs="Times New Roman"/>
          <w:b/>
          <w:bCs/>
          <w:noProof/>
          <w:sz w:val="24"/>
          <w:szCs w:val="24"/>
          <w:lang w:val="en-GB"/>
        </w:rPr>
        <w:t>renewable electricity generation</w:t>
      </w:r>
      <w:r w:rsidRPr="004F2DAB">
        <w:rPr>
          <w:rFonts w:ascii="Times New Roman" w:eastAsia="Times New Roman" w:hAnsi="Times New Roman" w:cs="Times New Roman"/>
          <w:b/>
          <w:noProof/>
          <w:sz w:val="24"/>
          <w:szCs w:val="24"/>
          <w:lang w:val="en-GB"/>
        </w:rPr>
        <w:t>.</w:t>
      </w:r>
      <w:r w:rsidRPr="00E76013">
        <w:rPr>
          <w:rFonts w:ascii="Times New Roman" w:eastAsia="Times New Roman" w:hAnsi="Times New Roman" w:cs="Times New Roman"/>
          <w:noProof/>
          <w:sz w:val="24"/>
          <w:szCs w:val="24"/>
          <w:lang w:val="en-GB"/>
        </w:rPr>
        <w:t xml:space="preserve"> By 2026, the following should be commissioned and connected to the grid: (i) </w:t>
      </w:r>
      <w:r w:rsidR="00584BE2">
        <w:rPr>
          <w:rFonts w:ascii="Times New Roman" w:eastAsia="Times New Roman" w:hAnsi="Times New Roman" w:cs="Times New Roman"/>
          <w:noProof/>
          <w:sz w:val="24"/>
          <w:szCs w:val="24"/>
          <w:lang w:val="en-GB"/>
        </w:rPr>
        <w:t>3</w:t>
      </w:r>
      <w:r w:rsidRPr="00E76013">
        <w:rPr>
          <w:rFonts w:ascii="Times New Roman" w:eastAsia="Times New Roman" w:hAnsi="Times New Roman" w:cs="Times New Roman"/>
          <w:noProof/>
          <w:sz w:val="24"/>
          <w:szCs w:val="24"/>
          <w:lang w:val="en-GB"/>
        </w:rPr>
        <w:t>.</w:t>
      </w:r>
      <w:r w:rsidRPr="28D8BF16">
        <w:rPr>
          <w:rFonts w:ascii="Times New Roman" w:eastAsia="Times New Roman" w:hAnsi="Times New Roman" w:cs="Times New Roman"/>
          <w:noProof/>
          <w:sz w:val="24"/>
          <w:szCs w:val="24"/>
          <w:lang w:val="en-GB"/>
        </w:rPr>
        <w:t>5</w:t>
      </w:r>
      <w:r w:rsidRPr="00E76013">
        <w:rPr>
          <w:rFonts w:ascii="Times New Roman" w:eastAsia="Times New Roman" w:hAnsi="Times New Roman" w:cs="Times New Roman"/>
          <w:noProof/>
          <w:sz w:val="24"/>
          <w:szCs w:val="24"/>
          <w:lang w:val="en-GB"/>
        </w:rPr>
        <w:t xml:space="preserve">GW of wind or solar collocated with  storage; (ii) </w:t>
      </w:r>
      <w:r w:rsidRPr="7C84D552">
        <w:rPr>
          <w:rFonts w:ascii="Times New Roman" w:eastAsia="Times New Roman" w:hAnsi="Times New Roman" w:cs="Times New Roman"/>
          <w:noProof/>
          <w:sz w:val="24"/>
          <w:szCs w:val="24"/>
          <w:lang w:val="en-GB"/>
        </w:rPr>
        <w:t>10 MW</w:t>
      </w:r>
      <w:r w:rsidRPr="00E76013">
        <w:rPr>
          <w:rFonts w:ascii="Times New Roman" w:eastAsia="Times New Roman" w:hAnsi="Times New Roman" w:cs="Times New Roman"/>
          <w:noProof/>
          <w:sz w:val="24"/>
          <w:szCs w:val="24"/>
          <w:lang w:val="en-GB"/>
        </w:rPr>
        <w:t xml:space="preserve"> of geothermal electricity generation capacity by 2026; and (iii) 500MW large-scale electricity storage with </w:t>
      </w:r>
      <w:r w:rsidRPr="4B484FA2">
        <w:rPr>
          <w:rFonts w:ascii="Times New Roman" w:eastAsia="Times New Roman" w:hAnsi="Times New Roman" w:cs="Times New Roman"/>
          <w:noProof/>
          <w:sz w:val="24"/>
          <w:szCs w:val="24"/>
          <w:lang w:val="en-GB"/>
        </w:rPr>
        <w:t>6,000MWh</w:t>
      </w:r>
      <w:r w:rsidRPr="00E76013">
        <w:rPr>
          <w:rFonts w:ascii="Times New Roman" w:eastAsia="Times New Roman" w:hAnsi="Times New Roman" w:cs="Times New Roman"/>
          <w:noProof/>
          <w:sz w:val="24"/>
          <w:szCs w:val="24"/>
          <w:lang w:val="en-GB"/>
        </w:rPr>
        <w:t xml:space="preserve"> discharge over 12h by 2026. </w:t>
      </w:r>
      <w:r w:rsidRPr="00E76013">
        <w:rPr>
          <w:rFonts w:ascii="Times New Roman" w:eastAsia="Times New Roman" w:hAnsi="Times New Roman" w:cs="Times New Roman"/>
          <w:noProof/>
          <w:sz w:val="24"/>
          <w:szCs w:val="24"/>
          <w:lang w:val="en-IE"/>
        </w:rPr>
        <w:t>The total planned resource is EUR 342 million for RES and EUR 799 million for electricity storage with an implementation period of 2022-2026.</w:t>
      </w:r>
      <w:r w:rsidRPr="00E76013">
        <w:rPr>
          <w:rFonts w:ascii="Times New Roman" w:eastAsia="Times New Roman" w:hAnsi="Times New Roman" w:cs="Times New Roman"/>
          <w:noProof/>
          <w:sz w:val="24"/>
          <w:szCs w:val="24"/>
          <w:lang w:val="en-GB"/>
        </w:rPr>
        <w:t> </w:t>
      </w:r>
    </w:p>
    <w:p w14:paraId="0D8E5AE6" w14:textId="63C3459A"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IE"/>
        </w:rPr>
        <w:t xml:space="preserve">The </w:t>
      </w:r>
      <w:r w:rsidR="00471A3D"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also includes a dedicated measure to support the development of pilot projects enabling the </w:t>
      </w:r>
      <w:r w:rsidRPr="00E76013">
        <w:rPr>
          <w:rFonts w:ascii="Times New Roman" w:eastAsia="Times New Roman" w:hAnsi="Times New Roman" w:cs="Times New Roman"/>
          <w:b/>
          <w:noProof/>
          <w:sz w:val="24"/>
          <w:szCs w:val="24"/>
          <w:lang w:val="en-IE"/>
        </w:rPr>
        <w:t>introduction of green hydrogen and biogas for industrial applications</w:t>
      </w:r>
      <w:r w:rsidRPr="00E76013">
        <w:rPr>
          <w:rFonts w:ascii="Times New Roman" w:eastAsia="Times New Roman" w:hAnsi="Times New Roman" w:cs="Times New Roman"/>
          <w:noProof/>
          <w:sz w:val="24"/>
          <w:szCs w:val="24"/>
          <w:lang w:val="en-IE"/>
        </w:rPr>
        <w:t>, as well as for their future use in transport and for the production of electricity and heat. It is expected that 55MW green hydrogen and 7MW biogas will be commissioned.</w:t>
      </w:r>
      <w:r w:rsidRPr="00E76013">
        <w:rPr>
          <w:rFonts w:ascii="Times New Roman" w:eastAsia="Times New Roman" w:hAnsi="Times New Roman" w:cs="Times New Roman"/>
          <w:noProof/>
          <w:sz w:val="24"/>
          <w:szCs w:val="24"/>
          <w:lang w:val="en-GB"/>
        </w:rPr>
        <w:t> </w:t>
      </w:r>
      <w:r w:rsidRPr="00E76013">
        <w:rPr>
          <w:rFonts w:ascii="Times New Roman" w:eastAsia="Times New Roman" w:hAnsi="Times New Roman" w:cs="Times New Roman"/>
          <w:noProof/>
          <w:sz w:val="24"/>
          <w:szCs w:val="24"/>
          <w:lang w:val="en-IE"/>
        </w:rPr>
        <w:t>The total planned resource is EUR 35 million with an implementation period of 2022-2026.</w:t>
      </w:r>
      <w:r w:rsidR="004F2DAB">
        <w:rPr>
          <w:rFonts w:ascii="Times New Roman" w:eastAsia="Times New Roman" w:hAnsi="Times New Roman" w:cs="Times New Roman"/>
          <w:noProof/>
          <w:sz w:val="24"/>
          <w:szCs w:val="24"/>
          <w:lang w:val="en-GB"/>
        </w:rPr>
        <w:t xml:space="preserve"> </w:t>
      </w:r>
    </w:p>
    <w:p w14:paraId="328A6FA0" w14:textId="77777777" w:rsidR="007476FF" w:rsidRDefault="00347BE8" w:rsidP="008963AA">
      <w:pPr>
        <w:spacing w:line="276" w:lineRule="auto"/>
        <w:jc w:val="both"/>
        <w:rPr>
          <w:rFonts w:ascii="Times New Roman" w:eastAsia="Times New Roman" w:hAnsi="Times New Roman" w:cs="Times New Roman"/>
          <w:noProof/>
          <w:sz w:val="24"/>
          <w:szCs w:val="24"/>
          <w:lang w:val="en-GB"/>
        </w:rPr>
      </w:pPr>
      <w:r w:rsidRPr="004F2DAB">
        <w:rPr>
          <w:rFonts w:ascii="Times New Roman" w:eastAsia="Times New Roman" w:hAnsi="Times New Roman" w:cs="Times New Roman"/>
          <w:b/>
          <w:noProof/>
          <w:sz w:val="24"/>
          <w:szCs w:val="24"/>
          <w:lang w:val="en-GB"/>
        </w:rPr>
        <w:t>Moreover, the Plan includes a reform aimed at reducing the administrative burden for investments from renewable sources concerning installation, connection and operation</w:t>
      </w:r>
      <w:r w:rsidR="00C41DF4" w:rsidRPr="004F2DAB">
        <w:rPr>
          <w:rFonts w:ascii="Times New Roman" w:eastAsia="Times New Roman" w:hAnsi="Times New Roman" w:cs="Times New Roman"/>
          <w:b/>
          <w:noProof/>
          <w:sz w:val="24"/>
          <w:szCs w:val="24"/>
          <w:lang w:val="en-GB"/>
        </w:rPr>
        <w:t>.</w:t>
      </w:r>
      <w:r w:rsidR="00C41DF4">
        <w:rPr>
          <w:rFonts w:ascii="Times New Roman" w:eastAsia="Times New Roman" w:hAnsi="Times New Roman" w:cs="Times New Roman"/>
          <w:noProof/>
          <w:sz w:val="24"/>
          <w:szCs w:val="24"/>
          <w:lang w:val="en-GB"/>
        </w:rPr>
        <w:t xml:space="preserve"> The reform is expected to (i) simplify licensing and permitting procedures for renewables (such as solar and onshore wind), including energy storage facilities, </w:t>
      </w:r>
      <w:r w:rsidR="00C41DF4" w:rsidRPr="00C41DF4">
        <w:rPr>
          <w:rFonts w:ascii="Times New Roman" w:eastAsia="Times New Roman" w:hAnsi="Times New Roman" w:cs="Times New Roman"/>
          <w:noProof/>
          <w:sz w:val="24"/>
          <w:szCs w:val="24"/>
          <w:lang w:val="en-GB"/>
        </w:rPr>
        <w:t>(ii) enable dedicated ‘go-to’ areas where onshore wind parks would be compliant with environmental legislation; (iii) simplify the procedure for renewables installations for own use up to 1 MW (e.g. rooftop PV installations for households and SMEs).</w:t>
      </w:r>
      <w:r w:rsidR="00B759CD">
        <w:rPr>
          <w:rFonts w:ascii="Times New Roman" w:eastAsia="Times New Roman" w:hAnsi="Times New Roman" w:cs="Times New Roman"/>
          <w:noProof/>
          <w:sz w:val="24"/>
          <w:szCs w:val="24"/>
          <w:lang w:val="en-GB"/>
        </w:rPr>
        <w:t xml:space="preserve"> The Plan also includes a reform aimed at unleashing the potential of </w:t>
      </w:r>
      <w:r w:rsidR="00B759CD" w:rsidRPr="00B759CD">
        <w:rPr>
          <w:rFonts w:ascii="Times New Roman" w:eastAsia="Times New Roman" w:hAnsi="Times New Roman" w:cs="Times New Roman"/>
          <w:noProof/>
          <w:sz w:val="24"/>
          <w:szCs w:val="24"/>
          <w:lang w:val="en-GB"/>
        </w:rPr>
        <w:t>hydrogen technologies and hydrogen production and supply</w:t>
      </w:r>
      <w:r w:rsidR="00B759CD">
        <w:rPr>
          <w:rFonts w:ascii="Times New Roman" w:eastAsia="Times New Roman" w:hAnsi="Times New Roman" w:cs="Times New Roman"/>
          <w:noProof/>
          <w:sz w:val="24"/>
          <w:szCs w:val="24"/>
          <w:lang w:val="en-GB"/>
        </w:rPr>
        <w:t xml:space="preserve">. </w:t>
      </w:r>
    </w:p>
    <w:p w14:paraId="5CC3E4DB" w14:textId="2C4D74E6"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IE"/>
        </w:rPr>
        <w:t>Electricity network infrastructure</w:t>
      </w:r>
    </w:p>
    <w:p w14:paraId="49306A40" w14:textId="36347C60" w:rsidR="00BE2044" w:rsidRPr="00E76013" w:rsidRDefault="647366B3" w:rsidP="008963AA">
      <w:pPr>
        <w:spacing w:line="276" w:lineRule="auto"/>
        <w:jc w:val="both"/>
        <w:rPr>
          <w:rFonts w:ascii="Times New Roman" w:eastAsia="Times New Roman" w:hAnsi="Times New Roman" w:cs="Times New Roman"/>
          <w:noProof/>
          <w:sz w:val="24"/>
          <w:szCs w:val="24"/>
          <w:lang w:val="en-GB"/>
        </w:rPr>
      </w:pPr>
      <w:r w:rsidRPr="467C1EFC">
        <w:rPr>
          <w:rFonts w:ascii="Times New Roman" w:eastAsia="Times New Roman" w:hAnsi="Times New Roman" w:cs="Times New Roman"/>
          <w:b/>
          <w:bCs/>
          <w:noProof/>
          <w:sz w:val="24"/>
          <w:szCs w:val="24"/>
          <w:lang w:val="en-GB"/>
        </w:rPr>
        <w:t xml:space="preserve">The Bulgarian </w:t>
      </w:r>
      <w:r w:rsidR="160B34DA" w:rsidRPr="467C1EFC">
        <w:rPr>
          <w:rFonts w:ascii="Times New Roman" w:eastAsia="Times New Roman" w:hAnsi="Times New Roman" w:cs="Times New Roman"/>
          <w:b/>
          <w:bCs/>
          <w:noProof/>
          <w:sz w:val="24"/>
          <w:szCs w:val="24"/>
          <w:lang w:val="en-GB"/>
        </w:rPr>
        <w:t>P</w:t>
      </w:r>
      <w:r w:rsidRPr="467C1EFC">
        <w:rPr>
          <w:rFonts w:ascii="Times New Roman" w:eastAsia="Times New Roman" w:hAnsi="Times New Roman" w:cs="Times New Roman"/>
          <w:b/>
          <w:bCs/>
          <w:noProof/>
          <w:sz w:val="24"/>
          <w:szCs w:val="24"/>
          <w:lang w:val="en-GB"/>
        </w:rPr>
        <w:t>lan includes an investment in electricity network infrastructure.</w:t>
      </w:r>
      <w:r w:rsidRPr="467C1EFC">
        <w:rPr>
          <w:rFonts w:ascii="Times New Roman" w:eastAsia="Times New Roman" w:hAnsi="Times New Roman" w:cs="Times New Roman"/>
          <w:noProof/>
          <w:sz w:val="24"/>
          <w:szCs w:val="24"/>
          <w:lang w:val="en-GB"/>
        </w:rPr>
        <w:t xml:space="preserve"> The aim of this investment is to modernise the electricity grid through the introduction of state-of-the-art digital tools and methods to provide the necessary tools for the management of the electricity system and to increase its flexibility to allow for increased penetration of electricity from renewable sources. Following its completion, a further capacity of 4,500 MW renewable energy could be integrated into the electricity system by Q4 2025. In addition, 1.8 GW at the borders with Romania and Greece would increase the net available interconnection capacity. The total planned resource is EUR 190 million with an implementation period of 2022-2025. As of last year, the Bulgarian day-ahead electricity market is coupled with Greece and Romania. The intraday electricity market coupling with Greece </w:t>
      </w:r>
      <w:r w:rsidRPr="425483EB">
        <w:rPr>
          <w:rFonts w:ascii="Times New Roman" w:eastAsia="Times New Roman" w:hAnsi="Times New Roman" w:cs="Times New Roman"/>
          <w:noProof/>
          <w:sz w:val="24"/>
          <w:szCs w:val="24"/>
          <w:lang w:val="en-GB"/>
        </w:rPr>
        <w:t>should</w:t>
      </w:r>
      <w:r w:rsidRPr="467C1EFC">
        <w:rPr>
          <w:rFonts w:ascii="Times New Roman" w:eastAsia="Times New Roman" w:hAnsi="Times New Roman" w:cs="Times New Roman"/>
          <w:noProof/>
          <w:sz w:val="24"/>
          <w:szCs w:val="24"/>
          <w:lang w:val="en-GB"/>
        </w:rPr>
        <w:t xml:space="preserve"> be completed and operational by Q4 2022. </w:t>
      </w:r>
    </w:p>
    <w:p w14:paraId="61690239" w14:textId="744DB350"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IE"/>
        </w:rPr>
        <w:t>Energy efficiency</w:t>
      </w:r>
      <w:r w:rsidRPr="00E76013">
        <w:rPr>
          <w:rFonts w:ascii="Times New Roman" w:eastAsia="Times New Roman" w:hAnsi="Times New Roman" w:cs="Times New Roman"/>
          <w:noProof/>
          <w:sz w:val="24"/>
          <w:szCs w:val="24"/>
          <w:lang w:val="en-GB"/>
        </w:rPr>
        <w:t> </w:t>
      </w:r>
    </w:p>
    <w:p w14:paraId="321AF603" w14:textId="494B8CCA"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w:t>
      </w:r>
      <w:r w:rsidR="007A6E1C" w:rsidRPr="00E76013">
        <w:rPr>
          <w:rFonts w:ascii="Times New Roman" w:eastAsia="Times New Roman" w:hAnsi="Times New Roman" w:cs="Times New Roman"/>
          <w:b/>
          <w:noProof/>
          <w:sz w:val="24"/>
          <w:szCs w:val="24"/>
          <w:lang w:val="en-GB"/>
        </w:rPr>
        <w:t>P</w:t>
      </w:r>
      <w:r w:rsidRPr="00E76013">
        <w:rPr>
          <w:rFonts w:ascii="Times New Roman" w:eastAsia="Times New Roman" w:hAnsi="Times New Roman" w:cs="Times New Roman"/>
          <w:b/>
          <w:noProof/>
          <w:sz w:val="24"/>
          <w:szCs w:val="24"/>
          <w:lang w:val="en-GB"/>
        </w:rPr>
        <w:t xml:space="preserve">lan includes significant investment in </w:t>
      </w:r>
      <w:r w:rsidR="00386D13">
        <w:rPr>
          <w:rFonts w:ascii="Times New Roman" w:eastAsia="Times New Roman" w:hAnsi="Times New Roman" w:cs="Times New Roman"/>
          <w:b/>
          <w:noProof/>
          <w:sz w:val="24"/>
          <w:szCs w:val="24"/>
          <w:lang w:val="en-GB"/>
        </w:rPr>
        <w:t xml:space="preserve">the energy </w:t>
      </w:r>
      <w:r w:rsidR="00501F6F">
        <w:rPr>
          <w:rFonts w:ascii="Times New Roman" w:eastAsia="Times New Roman" w:hAnsi="Times New Roman" w:cs="Times New Roman"/>
          <w:b/>
          <w:noProof/>
          <w:sz w:val="24"/>
          <w:szCs w:val="24"/>
          <w:lang w:val="en-GB"/>
        </w:rPr>
        <w:t>efficiency</w:t>
      </w:r>
      <w:r w:rsidRPr="00E76013">
        <w:rPr>
          <w:rFonts w:ascii="Times New Roman" w:eastAsia="Times New Roman" w:hAnsi="Times New Roman" w:cs="Times New Roman"/>
          <w:b/>
          <w:noProof/>
          <w:sz w:val="24"/>
          <w:szCs w:val="24"/>
          <w:lang w:val="en-GB"/>
        </w:rPr>
        <w:t xml:space="preserve"> of buildings.</w:t>
      </w:r>
      <w:r w:rsidRPr="00E76013">
        <w:rPr>
          <w:rFonts w:ascii="Times New Roman" w:eastAsia="Times New Roman" w:hAnsi="Times New Roman" w:cs="Times New Roman"/>
          <w:noProof/>
          <w:sz w:val="24"/>
          <w:szCs w:val="24"/>
          <w:lang w:val="en-GB"/>
        </w:rPr>
        <w:t xml:space="preserve"> The investments will finance energy renovations of residential and public/private buildings, street lightning and renewables for households not connected to natural gas and/or heat transmission networks.</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measures are expected to deliver at least 30% reduction of energy needs and lead </w:t>
      </w:r>
      <w:r w:rsidR="00386D13">
        <w:rPr>
          <w:rFonts w:ascii="Times New Roman" w:eastAsia="Times New Roman" w:hAnsi="Times New Roman" w:cs="Times New Roman"/>
          <w:noProof/>
          <w:sz w:val="24"/>
          <w:szCs w:val="24"/>
          <w:lang w:val="en-GB"/>
        </w:rPr>
        <w:t xml:space="preserve">to the </w:t>
      </w:r>
      <w:r w:rsidRPr="00E76013">
        <w:rPr>
          <w:rFonts w:ascii="Times New Roman" w:eastAsia="Times New Roman" w:hAnsi="Times New Roman" w:cs="Times New Roman"/>
          <w:noProof/>
          <w:sz w:val="24"/>
          <w:szCs w:val="24"/>
          <w:lang w:val="en-GB"/>
        </w:rPr>
        <w:t xml:space="preserve">primary energy </w:t>
      </w:r>
      <w:r w:rsidRPr="425483EB">
        <w:rPr>
          <w:rFonts w:ascii="Times New Roman" w:eastAsia="Times New Roman" w:hAnsi="Times New Roman" w:cs="Times New Roman"/>
          <w:noProof/>
          <w:sz w:val="24"/>
          <w:szCs w:val="24"/>
          <w:lang w:val="en-GB"/>
        </w:rPr>
        <w:t>savings</w:t>
      </w:r>
      <w:r w:rsidRPr="00E76013">
        <w:rPr>
          <w:rFonts w:ascii="Times New Roman" w:eastAsia="Times New Roman" w:hAnsi="Times New Roman" w:cs="Times New Roman"/>
          <w:noProof/>
          <w:sz w:val="24"/>
          <w:szCs w:val="24"/>
          <w:lang w:val="en-GB"/>
        </w:rPr>
        <w:t xml:space="preserve"> of 1.1 TWh/year. The total planned resource is EUR 92</w:t>
      </w:r>
      <w:r w:rsidR="00D04C47">
        <w:rPr>
          <w:rFonts w:ascii="Times New Roman" w:eastAsia="Times New Roman" w:hAnsi="Times New Roman" w:cs="Times New Roman"/>
          <w:noProof/>
          <w:sz w:val="24"/>
          <w:szCs w:val="24"/>
          <w:lang w:val="en-GB"/>
        </w:rPr>
        <w:t>4</w:t>
      </w:r>
      <w:r w:rsidRPr="00E76013">
        <w:rPr>
          <w:rFonts w:ascii="Times New Roman" w:eastAsia="Times New Roman" w:hAnsi="Times New Roman" w:cs="Times New Roman"/>
          <w:noProof/>
          <w:sz w:val="24"/>
          <w:szCs w:val="24"/>
          <w:lang w:val="en-GB"/>
        </w:rPr>
        <w:t xml:space="preserve"> million with an implementation period of 2022-2025. </w:t>
      </w:r>
    </w:p>
    <w:p w14:paraId="4A2F4999" w14:textId="2814BF39" w:rsidR="008818C7" w:rsidRPr="00E76013" w:rsidRDefault="008818C7" w:rsidP="008963AA">
      <w:pPr>
        <w:spacing w:line="276" w:lineRule="auto"/>
        <w:jc w:val="both"/>
        <w:rPr>
          <w:rFonts w:ascii="Times New Roman" w:eastAsia="Times New Roman" w:hAnsi="Times New Roman" w:cs="Times New Roman"/>
          <w:noProof/>
          <w:sz w:val="24"/>
          <w:szCs w:val="24"/>
          <w:lang w:val="en-GB"/>
        </w:rPr>
      </w:pPr>
      <w:r w:rsidRPr="00386D13">
        <w:rPr>
          <w:rFonts w:ascii="Times New Roman" w:eastAsia="Times New Roman" w:hAnsi="Times New Roman" w:cs="Times New Roman"/>
          <w:b/>
          <w:noProof/>
          <w:sz w:val="24"/>
          <w:szCs w:val="24"/>
          <w:lang w:val="en-GB"/>
        </w:rPr>
        <w:t>The Plan also features a</w:t>
      </w:r>
      <w:r>
        <w:rPr>
          <w:rFonts w:ascii="Times New Roman" w:eastAsia="Times New Roman" w:hAnsi="Times New Roman" w:cs="Times New Roman"/>
          <w:noProof/>
          <w:sz w:val="24"/>
          <w:szCs w:val="24"/>
          <w:lang w:val="en-GB"/>
        </w:rPr>
        <w:t xml:space="preserve"> </w:t>
      </w:r>
      <w:r w:rsidRPr="006E696E">
        <w:rPr>
          <w:rFonts w:ascii="Times New Roman" w:eastAsia="Times New Roman" w:hAnsi="Times New Roman" w:cs="Times New Roman"/>
          <w:b/>
          <w:noProof/>
          <w:sz w:val="24"/>
          <w:szCs w:val="24"/>
          <w:lang w:val="en-GB"/>
        </w:rPr>
        <w:t>reform to facilitate investments in energy efficiency renovations in residential buildings</w:t>
      </w:r>
      <w:r>
        <w:rPr>
          <w:rFonts w:ascii="Times New Roman" w:eastAsia="Times New Roman" w:hAnsi="Times New Roman" w:cs="Times New Roman"/>
          <w:noProof/>
          <w:sz w:val="24"/>
          <w:szCs w:val="24"/>
          <w:lang w:val="en-GB"/>
        </w:rPr>
        <w:t>. The reform aims at</w:t>
      </w:r>
      <w:r w:rsidR="004F2DAB">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tackling</w:t>
      </w:r>
      <w:r w:rsidRPr="000F38DA">
        <w:rPr>
          <w:rFonts w:ascii="Times New Roman" w:eastAsia="Times New Roman" w:hAnsi="Times New Roman" w:cs="Times New Roman"/>
          <w:noProof/>
          <w:sz w:val="24"/>
          <w:szCs w:val="24"/>
          <w:lang w:val="en-GB"/>
        </w:rPr>
        <w:t xml:space="preserve"> barriers to energy efficiency investments by </w:t>
      </w:r>
      <w:r w:rsidR="00CB5A41">
        <w:rPr>
          <w:rFonts w:ascii="Times New Roman" w:eastAsia="Times New Roman" w:hAnsi="Times New Roman" w:cs="Times New Roman"/>
          <w:noProof/>
          <w:sz w:val="24"/>
          <w:szCs w:val="24"/>
          <w:lang w:val="en-GB"/>
        </w:rPr>
        <w:t>facilitating</w:t>
      </w:r>
      <w:r w:rsidRPr="000F38DA">
        <w:rPr>
          <w:rFonts w:ascii="Times New Roman" w:eastAsia="Times New Roman" w:hAnsi="Times New Roman" w:cs="Times New Roman"/>
          <w:noProof/>
          <w:sz w:val="24"/>
          <w:szCs w:val="24"/>
          <w:lang w:val="en-GB"/>
        </w:rPr>
        <w:t xml:space="preserve"> the decision-making by owners of multi-apartment buildings</w:t>
      </w:r>
      <w:r>
        <w:rPr>
          <w:rFonts w:ascii="Times New Roman" w:eastAsia="Times New Roman" w:hAnsi="Times New Roman" w:cs="Times New Roman"/>
          <w:noProof/>
          <w:sz w:val="24"/>
          <w:szCs w:val="24"/>
          <w:lang w:val="en-GB"/>
        </w:rPr>
        <w:t xml:space="preserve">. </w:t>
      </w:r>
      <w:r w:rsidR="00CB5A41">
        <w:rPr>
          <w:rFonts w:ascii="Times New Roman" w:eastAsia="Times New Roman" w:hAnsi="Times New Roman" w:cs="Times New Roman"/>
          <w:noProof/>
          <w:sz w:val="24"/>
          <w:szCs w:val="24"/>
          <w:lang w:val="en-GB"/>
        </w:rPr>
        <w:t xml:space="preserve">Moreover, the Plan includes a reform which consists in setting up a one-stop shop for renovations that is expected to </w:t>
      </w:r>
      <w:r w:rsidR="00CB5A41" w:rsidRPr="00B15973">
        <w:rPr>
          <w:rFonts w:ascii="Times New Roman" w:eastAsia="Times New Roman" w:hAnsi="Times New Roman" w:cs="Times New Roman"/>
          <w:noProof/>
          <w:sz w:val="24"/>
          <w:szCs w:val="24"/>
          <w:lang w:val="en-GB"/>
        </w:rPr>
        <w:t xml:space="preserve">reduce administrative burden linked to the renovation process by assisting citizens and businesses with information, technical assistance and advice </w:t>
      </w:r>
      <w:r w:rsidR="00CB5A41">
        <w:rPr>
          <w:rFonts w:ascii="Times New Roman" w:eastAsia="Times New Roman" w:hAnsi="Times New Roman" w:cs="Times New Roman"/>
          <w:noProof/>
          <w:sz w:val="24"/>
          <w:szCs w:val="24"/>
          <w:lang w:val="en-GB"/>
        </w:rPr>
        <w:t>different</w:t>
      </w:r>
      <w:r w:rsidR="00CB5A41" w:rsidRPr="00B15973">
        <w:rPr>
          <w:rFonts w:ascii="Times New Roman" w:eastAsia="Times New Roman" w:hAnsi="Times New Roman" w:cs="Times New Roman"/>
          <w:noProof/>
          <w:sz w:val="24"/>
          <w:szCs w:val="24"/>
          <w:lang w:val="en-GB"/>
        </w:rPr>
        <w:t xml:space="preserve"> issues related to energy efficiency improvement projects.</w:t>
      </w:r>
      <w:r w:rsidR="00CB5A41">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 xml:space="preserve">In addition, the Plan is expected to contribute to tackling energy poverty and protecting vulnerable consumers by </w:t>
      </w:r>
      <w:r w:rsidRPr="005F505B">
        <w:rPr>
          <w:rFonts w:ascii="Times New Roman" w:eastAsia="Times New Roman" w:hAnsi="Times New Roman" w:cs="Times New Roman"/>
          <w:noProof/>
          <w:sz w:val="24"/>
          <w:szCs w:val="24"/>
          <w:lang w:val="en-GB"/>
        </w:rPr>
        <w:t>introducing in the Energy Act and secondary legislation a definition of “energy poverty” and criteria for identifying households in energy poverty and vulnerable consumers</w:t>
      </w:r>
      <w:r w:rsidR="00CB5A41">
        <w:rPr>
          <w:rFonts w:ascii="Times New Roman" w:eastAsia="Times New Roman" w:hAnsi="Times New Roman" w:cs="Times New Roman"/>
          <w:noProof/>
          <w:sz w:val="24"/>
          <w:szCs w:val="24"/>
          <w:lang w:val="en-GB"/>
        </w:rPr>
        <w:t xml:space="preserve"> and includes</w:t>
      </w:r>
      <w:r>
        <w:rPr>
          <w:rFonts w:ascii="Times New Roman" w:eastAsia="Times New Roman" w:hAnsi="Times New Roman" w:cs="Times New Roman"/>
          <w:noProof/>
          <w:sz w:val="24"/>
          <w:szCs w:val="24"/>
          <w:lang w:val="en-GB"/>
        </w:rPr>
        <w:t xml:space="preserve"> </w:t>
      </w:r>
      <w:r w:rsidR="00CB5A41">
        <w:rPr>
          <w:rFonts w:ascii="Times New Roman" w:eastAsia="Times New Roman" w:hAnsi="Times New Roman" w:cs="Times New Roman"/>
          <w:noProof/>
          <w:sz w:val="24"/>
          <w:szCs w:val="24"/>
          <w:lang w:val="en-GB"/>
        </w:rPr>
        <w:t>a</w:t>
      </w:r>
      <w:r>
        <w:rPr>
          <w:rFonts w:ascii="Times New Roman" w:eastAsia="Times New Roman" w:hAnsi="Times New Roman" w:cs="Times New Roman"/>
          <w:noProof/>
          <w:sz w:val="24"/>
          <w:szCs w:val="24"/>
          <w:lang w:val="en-GB"/>
        </w:rPr>
        <w:t xml:space="preserve"> reform aimed at b</w:t>
      </w:r>
      <w:r w:rsidRPr="002F0100">
        <w:rPr>
          <w:rFonts w:ascii="Times New Roman" w:eastAsia="Times New Roman" w:hAnsi="Times New Roman" w:cs="Times New Roman"/>
          <w:noProof/>
          <w:sz w:val="24"/>
          <w:szCs w:val="24"/>
          <w:lang w:val="en-GB"/>
        </w:rPr>
        <w:t>oosting energy efficiency and renewable energy projects through the energy bills</w:t>
      </w:r>
      <w:r w:rsidR="009A1482">
        <w:rPr>
          <w:rFonts w:ascii="Times New Roman" w:eastAsia="Times New Roman" w:hAnsi="Times New Roman" w:cs="Times New Roman"/>
          <w:noProof/>
          <w:sz w:val="24"/>
          <w:szCs w:val="24"/>
          <w:lang w:val="en-GB"/>
        </w:rPr>
        <w:t xml:space="preserve">. </w:t>
      </w:r>
    </w:p>
    <w:p w14:paraId="4F5CB066" w14:textId="2F44CB14"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noProof/>
          <w:sz w:val="24"/>
          <w:szCs w:val="24"/>
          <w:lang w:val="en-GB"/>
        </w:rPr>
        <w:t>Sustainable transport</w:t>
      </w:r>
    </w:p>
    <w:p w14:paraId="31E814B1" w14:textId="1C7AD8FA" w:rsidR="00BE2044" w:rsidRPr="00E76013" w:rsidRDefault="00BE204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w:t>
      </w:r>
      <w:r w:rsidRPr="39BF4F98">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noProof/>
          <w:sz w:val="24"/>
          <w:szCs w:val="24"/>
          <w:lang w:val="en-GB"/>
        </w:rPr>
        <w:t xml:space="preserve">lan includes a sizeable allocation to sustainable mobility (EUR </w:t>
      </w:r>
      <w:r w:rsidR="00D04C47">
        <w:rPr>
          <w:rFonts w:ascii="Times New Roman" w:eastAsia="Times New Roman" w:hAnsi="Times New Roman" w:cs="Times New Roman"/>
          <w:b/>
          <w:noProof/>
          <w:sz w:val="24"/>
          <w:szCs w:val="24"/>
          <w:lang w:val="en-GB"/>
        </w:rPr>
        <w:t>665.8</w:t>
      </w:r>
      <w:r w:rsidRPr="00E76013">
        <w:rPr>
          <w:rFonts w:ascii="Times New Roman" w:eastAsia="Times New Roman" w:hAnsi="Times New Roman" w:cs="Times New Roman"/>
          <w:b/>
          <w:noProof/>
          <w:sz w:val="24"/>
          <w:szCs w:val="24"/>
          <w:lang w:val="en-GB"/>
        </w:rPr>
        <w:t xml:space="preserve"> million).</w:t>
      </w:r>
      <w:r w:rsidRPr="00E76013">
        <w:rPr>
          <w:rFonts w:ascii="Times New Roman" w:eastAsia="Times New Roman" w:hAnsi="Times New Roman" w:cs="Times New Roman"/>
          <w:noProof/>
          <w:sz w:val="24"/>
          <w:szCs w:val="24"/>
          <w:lang w:val="en-GB"/>
        </w:rPr>
        <w:t xml:space="preserve"> The following key measures will be supported: road decarbonisation measures such as the promotion of electric car mobility with </w:t>
      </w:r>
      <w:r w:rsidR="00E4473B">
        <w:rPr>
          <w:rFonts w:ascii="Times New Roman" w:eastAsia="Times New Roman" w:hAnsi="Times New Roman" w:cs="Times New Roman"/>
          <w:noProof/>
          <w:sz w:val="24"/>
          <w:szCs w:val="24"/>
          <w:lang w:val="en-GB"/>
        </w:rPr>
        <w:t>construction</w:t>
      </w:r>
      <w:r w:rsidR="00E4473B"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of 10 000 charging stations</w:t>
      </w:r>
      <w:r w:rsidR="00E4473B">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including fast ones</w:t>
      </w:r>
      <w:r w:rsidR="00E4473B">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across the country, and new zero-emission and low-emission vehicles</w:t>
      </w:r>
      <w:r w:rsidR="00E4473B">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w:t>
      </w:r>
      <w:r w:rsidR="00E4473B">
        <w:rPr>
          <w:rFonts w:ascii="Times New Roman" w:eastAsia="Times New Roman" w:hAnsi="Times New Roman" w:cs="Times New Roman"/>
          <w:noProof/>
          <w:sz w:val="24"/>
          <w:szCs w:val="24"/>
          <w:lang w:val="en-GB"/>
        </w:rPr>
        <w:t>reaching</w:t>
      </w:r>
      <w:r w:rsidRPr="00E76013">
        <w:rPr>
          <w:rFonts w:ascii="Times New Roman" w:eastAsia="Times New Roman" w:hAnsi="Times New Roman" w:cs="Times New Roman"/>
          <w:noProof/>
          <w:sz w:val="24"/>
          <w:szCs w:val="24"/>
          <w:lang w:val="en-GB"/>
        </w:rPr>
        <w:t xml:space="preserve"> a total of 30 000 by mid 2026; road safety measure to reduce the number of victims of road accidents by 30% from 2019 to 2025 and reduce the number of road safety blackspot by 50% over the same period</w:t>
      </w:r>
      <w:r w:rsidR="00E4473B">
        <w:rPr>
          <w:rFonts w:ascii="Times New Roman" w:eastAsia="Times New Roman" w:hAnsi="Times New Roman" w:cs="Times New Roman"/>
          <w:noProof/>
          <w:sz w:val="24"/>
          <w:szCs w:val="24"/>
          <w:lang w:val="en-GB"/>
        </w:rPr>
        <w:t>,</w:t>
      </w:r>
      <w:r w:rsidR="677D5CEF"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new electric rolling stock for sub-urban and inter</w:t>
      </w:r>
      <w:r w:rsidR="00E4473B">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regional rail transport; the introduction of </w:t>
      </w:r>
      <w:r w:rsidR="00E4473B">
        <w:rPr>
          <w:rFonts w:ascii="Times New Roman" w:eastAsia="Times New Roman" w:hAnsi="Times New Roman" w:cs="Times New Roman"/>
          <w:noProof/>
          <w:sz w:val="24"/>
          <w:szCs w:val="24"/>
          <w:lang w:val="en-GB"/>
        </w:rPr>
        <w:t xml:space="preserve">a </w:t>
      </w:r>
      <w:r w:rsidRPr="00E76013">
        <w:rPr>
          <w:rFonts w:ascii="Times New Roman" w:eastAsia="Times New Roman" w:hAnsi="Times New Roman" w:cs="Times New Roman"/>
          <w:noProof/>
          <w:sz w:val="24"/>
          <w:szCs w:val="24"/>
          <w:lang w:val="en-GB"/>
        </w:rPr>
        <w:t xml:space="preserve">single ticket for passengers; the construction of </w:t>
      </w:r>
      <w:r w:rsidR="00E4473B">
        <w:rPr>
          <w:rFonts w:ascii="Times New Roman" w:eastAsia="Times New Roman" w:hAnsi="Times New Roman" w:cs="Times New Roman"/>
          <w:noProof/>
          <w:sz w:val="24"/>
          <w:szCs w:val="24"/>
          <w:lang w:val="en-GB"/>
        </w:rPr>
        <w:t xml:space="preserve">three </w:t>
      </w:r>
      <w:r w:rsidRPr="00E76013">
        <w:rPr>
          <w:rFonts w:ascii="Times New Roman" w:eastAsia="Times New Roman" w:hAnsi="Times New Roman" w:cs="Times New Roman"/>
          <w:noProof/>
          <w:sz w:val="24"/>
          <w:szCs w:val="24"/>
          <w:lang w:val="en-GB"/>
        </w:rPr>
        <w:t>k</w:t>
      </w:r>
      <w:r w:rsidR="00E4473B">
        <w:rPr>
          <w:rFonts w:ascii="Times New Roman" w:eastAsia="Times New Roman" w:hAnsi="Times New Roman" w:cs="Times New Roman"/>
          <w:noProof/>
          <w:sz w:val="24"/>
          <w:szCs w:val="24"/>
          <w:lang w:val="en-GB"/>
        </w:rPr>
        <w:t>ilometers</w:t>
      </w:r>
      <w:r w:rsidRPr="00E76013">
        <w:rPr>
          <w:rFonts w:ascii="Times New Roman" w:eastAsia="Times New Roman" w:hAnsi="Times New Roman" w:cs="Times New Roman"/>
          <w:noProof/>
          <w:sz w:val="24"/>
          <w:szCs w:val="24"/>
          <w:lang w:val="en-GB"/>
        </w:rPr>
        <w:t xml:space="preserve"> </w:t>
      </w:r>
      <w:r w:rsidR="00E4473B">
        <w:rPr>
          <w:rFonts w:ascii="Times New Roman" w:eastAsia="Times New Roman" w:hAnsi="Times New Roman" w:cs="Times New Roman"/>
          <w:noProof/>
          <w:sz w:val="24"/>
          <w:szCs w:val="24"/>
          <w:lang w:val="en-GB"/>
        </w:rPr>
        <w:t>of a</w:t>
      </w:r>
      <w:r w:rsidRPr="00E76013">
        <w:rPr>
          <w:rFonts w:ascii="Times New Roman" w:eastAsia="Times New Roman" w:hAnsi="Times New Roman" w:cs="Times New Roman"/>
          <w:noProof/>
          <w:sz w:val="24"/>
          <w:szCs w:val="24"/>
          <w:lang w:val="en-GB"/>
        </w:rPr>
        <w:t xml:space="preserve"> new section of </w:t>
      </w:r>
      <w:r w:rsidR="00E4473B">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Sofia metro; the digitalisation of rail transport with </w:t>
      </w:r>
      <w:r w:rsidR="00E4473B">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deployment of </w:t>
      </w:r>
      <w:r w:rsidR="00E4473B">
        <w:rPr>
          <w:rFonts w:ascii="Times New Roman" w:eastAsia="Times New Roman" w:hAnsi="Times New Roman" w:cs="Times New Roman"/>
          <w:noProof/>
          <w:sz w:val="24"/>
          <w:szCs w:val="24"/>
          <w:lang w:val="en-GB"/>
        </w:rPr>
        <w:t>the</w:t>
      </w:r>
      <w:r w:rsidRPr="00E76013">
        <w:rPr>
          <w:rFonts w:ascii="Times New Roman" w:eastAsia="Times New Roman" w:hAnsi="Times New Roman" w:cs="Times New Roman"/>
          <w:noProof/>
          <w:sz w:val="24"/>
          <w:szCs w:val="24"/>
          <w:lang w:val="en-GB"/>
        </w:rPr>
        <w:t xml:space="preserve"> European Rail Traffic Management System; a new intermodal terminal in Ruse; sustainable urban mobility pilot scheme with purchase of zero-emission public transport vehicles and charging station infrastructure. </w:t>
      </w:r>
    </w:p>
    <w:p w14:paraId="397EBB67" w14:textId="24091551" w:rsidR="00734338" w:rsidRPr="00E76013" w:rsidRDefault="00734338" w:rsidP="008963AA">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Water management</w:t>
      </w:r>
    </w:p>
    <w:p w14:paraId="01B83022" w14:textId="686B1EC5" w:rsidR="00734338" w:rsidRPr="00E76013" w:rsidRDefault="00585B54"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color w:val="000000" w:themeColor="text1"/>
          <w:sz w:val="24"/>
          <w:szCs w:val="24"/>
          <w:lang w:val="en-IE"/>
        </w:rPr>
        <w:t>Improving water management is one of the main environmental challenges that Bulgaria is facing</w:t>
      </w:r>
      <w:r w:rsidR="00CF4537">
        <w:rPr>
          <w:rFonts w:ascii="Times New Roman" w:eastAsia="Times New Roman" w:hAnsi="Times New Roman" w:cs="Times New Roman"/>
          <w:b/>
          <w:bCs/>
          <w:noProof/>
          <w:color w:val="000000" w:themeColor="text1"/>
          <w:sz w:val="24"/>
          <w:szCs w:val="24"/>
          <w:lang w:val="en-IE"/>
        </w:rPr>
        <w:t>.</w:t>
      </w:r>
      <w:r w:rsidRPr="00E76013">
        <w:rPr>
          <w:rFonts w:ascii="Times New Roman" w:eastAsia="Times New Roman" w:hAnsi="Times New Roman" w:cs="Times New Roman"/>
          <w:b/>
          <w:bCs/>
          <w:noProof/>
          <w:color w:val="000000" w:themeColor="text1"/>
          <w:sz w:val="24"/>
          <w:szCs w:val="24"/>
          <w:lang w:val="en-IE"/>
        </w:rPr>
        <w:t xml:space="preserve"> </w:t>
      </w:r>
      <w:r w:rsidR="00CF4537">
        <w:rPr>
          <w:rFonts w:ascii="Times New Roman" w:eastAsia="Times New Roman" w:hAnsi="Times New Roman" w:cs="Times New Roman"/>
          <w:bCs/>
          <w:noProof/>
          <w:color w:val="000000" w:themeColor="text1"/>
          <w:sz w:val="24"/>
          <w:szCs w:val="24"/>
          <w:lang w:val="en-IE"/>
        </w:rPr>
        <w:t>T</w:t>
      </w:r>
      <w:r w:rsidRPr="004F2DAB">
        <w:rPr>
          <w:rFonts w:ascii="Times New Roman" w:eastAsia="Times New Roman" w:hAnsi="Times New Roman" w:cs="Times New Roman"/>
          <w:bCs/>
          <w:noProof/>
          <w:color w:val="000000" w:themeColor="text1"/>
          <w:sz w:val="24"/>
          <w:szCs w:val="24"/>
          <w:lang w:val="en-IE"/>
        </w:rPr>
        <w:t>he</w:t>
      </w:r>
      <w:r w:rsidRPr="004F2DAB">
        <w:rPr>
          <w:rFonts w:ascii="Times New Roman" w:eastAsia="Times New Roman" w:hAnsi="Times New Roman" w:cs="Times New Roman"/>
          <w:noProof/>
          <w:color w:val="000000" w:themeColor="text1"/>
          <w:sz w:val="24"/>
          <w:szCs w:val="24"/>
          <w:lang w:val="en-IE"/>
        </w:rPr>
        <w:t xml:space="preserve"> </w:t>
      </w:r>
      <w:r w:rsidR="004A36E0" w:rsidRPr="004F2DAB">
        <w:rPr>
          <w:rFonts w:ascii="Times New Roman" w:eastAsia="Times New Roman" w:hAnsi="Times New Roman" w:cs="Times New Roman"/>
          <w:noProof/>
          <w:color w:val="000000" w:themeColor="text1"/>
          <w:sz w:val="24"/>
          <w:szCs w:val="24"/>
          <w:lang w:val="en-IE"/>
        </w:rPr>
        <w:t>P</w:t>
      </w:r>
      <w:r w:rsidRPr="004F2DAB">
        <w:rPr>
          <w:rFonts w:ascii="Times New Roman" w:eastAsia="Times New Roman" w:hAnsi="Times New Roman" w:cs="Times New Roman"/>
          <w:noProof/>
          <w:color w:val="000000" w:themeColor="text1"/>
          <w:sz w:val="24"/>
          <w:szCs w:val="24"/>
          <w:lang w:val="en-IE"/>
        </w:rPr>
        <w:t xml:space="preserve">lan addresses existing investment needs in </w:t>
      </w:r>
      <w:r w:rsidR="00CF4537">
        <w:rPr>
          <w:rFonts w:ascii="Times New Roman" w:eastAsia="Times New Roman" w:hAnsi="Times New Roman" w:cs="Times New Roman"/>
          <w:bCs/>
          <w:noProof/>
          <w:color w:val="000000" w:themeColor="text1"/>
          <w:sz w:val="24"/>
          <w:szCs w:val="24"/>
          <w:lang w:val="en-IE"/>
        </w:rPr>
        <w:t>the</w:t>
      </w:r>
      <w:r w:rsidR="00CF4537" w:rsidRPr="004F2DAB">
        <w:rPr>
          <w:rFonts w:ascii="Times New Roman" w:eastAsia="Times New Roman" w:hAnsi="Times New Roman" w:cs="Times New Roman"/>
          <w:bCs/>
          <w:noProof/>
          <w:color w:val="000000" w:themeColor="text1"/>
          <w:sz w:val="24"/>
          <w:szCs w:val="24"/>
          <w:lang w:val="en-IE"/>
        </w:rPr>
        <w:t xml:space="preserve"> </w:t>
      </w:r>
      <w:r w:rsidRPr="004F2DAB">
        <w:rPr>
          <w:rFonts w:ascii="Times New Roman" w:eastAsia="Times New Roman" w:hAnsi="Times New Roman" w:cs="Times New Roman"/>
          <w:noProof/>
          <w:color w:val="000000" w:themeColor="text1"/>
          <w:sz w:val="24"/>
          <w:szCs w:val="24"/>
          <w:lang w:val="en-IE"/>
        </w:rPr>
        <w:t>component 9</w:t>
      </w:r>
      <w:r w:rsidR="004F2DAB">
        <w:rPr>
          <w:rFonts w:ascii="Times New Roman" w:eastAsia="Times New Roman" w:hAnsi="Times New Roman" w:cs="Times New Roman"/>
          <w:noProof/>
          <w:color w:val="000000" w:themeColor="text1"/>
          <w:sz w:val="24"/>
          <w:szCs w:val="24"/>
          <w:lang w:val="en-IE"/>
        </w:rPr>
        <w:t xml:space="preserve"> </w:t>
      </w:r>
      <w:r w:rsidR="00CF4537">
        <w:rPr>
          <w:rFonts w:ascii="Times New Roman" w:eastAsia="Times New Roman" w:hAnsi="Times New Roman" w:cs="Times New Roman"/>
          <w:bCs/>
          <w:noProof/>
          <w:color w:val="000000" w:themeColor="text1"/>
          <w:sz w:val="24"/>
          <w:szCs w:val="24"/>
          <w:lang w:val="en-IE"/>
        </w:rPr>
        <w:t>on l</w:t>
      </w:r>
      <w:r w:rsidRPr="004F2DAB">
        <w:rPr>
          <w:rFonts w:ascii="Times New Roman" w:eastAsia="Times New Roman" w:hAnsi="Times New Roman" w:cs="Times New Roman"/>
          <w:bCs/>
          <w:noProof/>
          <w:color w:val="000000" w:themeColor="text1"/>
          <w:sz w:val="24"/>
          <w:szCs w:val="24"/>
          <w:lang w:val="en-IE"/>
        </w:rPr>
        <w:t>ocal</w:t>
      </w:r>
      <w:r w:rsidRPr="004F2DAB">
        <w:rPr>
          <w:rFonts w:ascii="Times New Roman" w:eastAsia="Times New Roman" w:hAnsi="Times New Roman" w:cs="Times New Roman"/>
          <w:noProof/>
          <w:color w:val="000000" w:themeColor="text1"/>
          <w:sz w:val="24"/>
          <w:szCs w:val="24"/>
          <w:lang w:val="en-IE"/>
        </w:rPr>
        <w:t xml:space="preserve"> development.</w:t>
      </w:r>
      <w:r w:rsidRPr="00E76013">
        <w:rPr>
          <w:rFonts w:ascii="Times New Roman" w:eastAsia="Times New Roman" w:hAnsi="Times New Roman" w:cs="Times New Roman"/>
          <w:noProof/>
          <w:color w:val="000000" w:themeColor="text1"/>
          <w:sz w:val="24"/>
          <w:szCs w:val="24"/>
          <w:lang w:val="en-IE"/>
        </w:rPr>
        <w:t xml:space="preserve"> </w:t>
      </w:r>
      <w:r w:rsidR="007446CE" w:rsidRPr="00E96D3E">
        <w:rPr>
          <w:rFonts w:ascii="Times New Roman" w:eastAsia="Times New Roman" w:hAnsi="Times New Roman" w:cs="Times New Roman"/>
          <w:noProof/>
          <w:color w:val="000000" w:themeColor="text1"/>
          <w:sz w:val="24"/>
          <w:szCs w:val="24"/>
          <w:lang w:val="en-IE"/>
        </w:rPr>
        <w:t xml:space="preserve">The </w:t>
      </w:r>
      <w:r w:rsidR="00B01D4D">
        <w:rPr>
          <w:rFonts w:ascii="Times New Roman" w:eastAsia="Times New Roman" w:hAnsi="Times New Roman" w:cs="Times New Roman"/>
          <w:noProof/>
          <w:color w:val="000000" w:themeColor="text1"/>
          <w:sz w:val="24"/>
          <w:szCs w:val="24"/>
          <w:lang w:val="en-IE"/>
        </w:rPr>
        <w:t xml:space="preserve">component </w:t>
      </w:r>
      <w:r w:rsidR="007446CE" w:rsidRPr="00E96D3E">
        <w:rPr>
          <w:rFonts w:ascii="Times New Roman" w:eastAsia="Times New Roman" w:hAnsi="Times New Roman" w:cs="Times New Roman"/>
          <w:noProof/>
          <w:color w:val="000000" w:themeColor="text1"/>
          <w:sz w:val="24"/>
          <w:szCs w:val="24"/>
          <w:lang w:val="en-IE"/>
        </w:rPr>
        <w:t xml:space="preserve">includes </w:t>
      </w:r>
      <w:r w:rsidRPr="00E76013">
        <w:rPr>
          <w:rFonts w:ascii="Times New Roman" w:eastAsia="Times New Roman" w:hAnsi="Times New Roman" w:cs="Times New Roman"/>
          <w:noProof/>
          <w:color w:val="000000" w:themeColor="text1"/>
          <w:sz w:val="24"/>
          <w:szCs w:val="24"/>
          <w:lang w:val="en-IE"/>
        </w:rPr>
        <w:t>a set of interrelated and reinforcing investments enhanced by a water sector</w:t>
      </w:r>
      <w:r w:rsidR="004A11BB">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reform, all of which are aimed at modernising water resource management and making it more sustainable.</w:t>
      </w:r>
      <w:r w:rsidR="00EA6A42" w:rsidRPr="00E76013">
        <w:rPr>
          <w:rFonts w:ascii="Times New Roman" w:eastAsia="Times New Roman" w:hAnsi="Times New Roman" w:cs="Times New Roman"/>
          <w:noProof/>
          <w:color w:val="000000" w:themeColor="text1"/>
          <w:sz w:val="24"/>
          <w:szCs w:val="24"/>
          <w:lang w:val="en-IE"/>
        </w:rPr>
        <w:t xml:space="preserve"> </w:t>
      </w:r>
      <w:r w:rsidR="73BFD295" w:rsidRPr="00E76013">
        <w:rPr>
          <w:rFonts w:ascii="Times New Roman" w:eastAsia="Times New Roman" w:hAnsi="Times New Roman" w:cs="Times New Roman"/>
          <w:noProof/>
          <w:sz w:val="24"/>
          <w:szCs w:val="24"/>
          <w:lang w:val="en-GB"/>
        </w:rPr>
        <w:t xml:space="preserve">The water sector reform is expected to optimise the regulatory framework for water supply and sewerage services. It consists of the adoption of a new law, the Water Supply and Sewerage Act, which aims </w:t>
      </w:r>
      <w:r w:rsidR="00B468FD">
        <w:rPr>
          <w:rFonts w:ascii="Times New Roman" w:eastAsia="Times New Roman" w:hAnsi="Times New Roman" w:cs="Times New Roman"/>
          <w:noProof/>
          <w:sz w:val="24"/>
          <w:szCs w:val="24"/>
          <w:lang w:val="en-GB"/>
        </w:rPr>
        <w:t>to provide</w:t>
      </w:r>
      <w:r w:rsidR="73BFD295" w:rsidRPr="00E76013">
        <w:rPr>
          <w:rFonts w:ascii="Times New Roman" w:eastAsia="Times New Roman" w:hAnsi="Times New Roman" w:cs="Times New Roman"/>
          <w:noProof/>
          <w:sz w:val="24"/>
          <w:szCs w:val="24"/>
          <w:lang w:val="en-GB"/>
        </w:rPr>
        <w:t xml:space="preserve"> the conditions for consolidation in the provision of water supply and sewerage services and introduce uniform conditions for service quality and efficiency criteria to be met by the water supply and sewerage operators. The new legislation is expected to refine the tariff setting mechanisms, ensuring cost-based pricing for the use of the systems and the consumed services while also ensuring financial sustainability of the operators.</w:t>
      </w:r>
      <w:r w:rsidR="00D321DF" w:rsidRPr="00E76013">
        <w:rPr>
          <w:rFonts w:ascii="Times New Roman" w:eastAsia="Times New Roman" w:hAnsi="Times New Roman" w:cs="Times New Roman"/>
          <w:noProof/>
          <w:sz w:val="24"/>
          <w:szCs w:val="24"/>
          <w:lang w:val="en-GB"/>
        </w:rPr>
        <w:t xml:space="preserve"> </w:t>
      </w:r>
      <w:r w:rsidR="00341EF4" w:rsidRPr="00E76013">
        <w:rPr>
          <w:rFonts w:ascii="Times New Roman" w:eastAsia="Times New Roman" w:hAnsi="Times New Roman" w:cs="Times New Roman"/>
          <w:noProof/>
          <w:sz w:val="24"/>
          <w:szCs w:val="24"/>
          <w:lang w:val="en-GB"/>
        </w:rPr>
        <w:t xml:space="preserve">The water management investments included in the </w:t>
      </w:r>
      <w:r w:rsidR="004A36E0" w:rsidRPr="00E76013">
        <w:rPr>
          <w:rFonts w:ascii="Times New Roman" w:eastAsia="Times New Roman" w:hAnsi="Times New Roman" w:cs="Times New Roman"/>
          <w:noProof/>
          <w:sz w:val="24"/>
          <w:szCs w:val="24"/>
          <w:lang w:val="en-GB"/>
        </w:rPr>
        <w:t>P</w:t>
      </w:r>
      <w:r w:rsidR="00341EF4" w:rsidRPr="00E76013">
        <w:rPr>
          <w:rFonts w:ascii="Times New Roman" w:eastAsia="Times New Roman" w:hAnsi="Times New Roman" w:cs="Times New Roman"/>
          <w:noProof/>
          <w:sz w:val="24"/>
          <w:szCs w:val="24"/>
          <w:lang w:val="en-GB"/>
        </w:rPr>
        <w:t>lan consist of the construction, reconstruction and modernisation of water supply and sewerage systems, and drinking and waste water treatment plants, as well as the digitalization of water management and improving the control of water use.</w:t>
      </w:r>
    </w:p>
    <w:p w14:paraId="3E750E43" w14:textId="6BE2B70E" w:rsidR="00734338" w:rsidRPr="00E76013" w:rsidRDefault="00734338" w:rsidP="008963AA">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Biodiversity</w:t>
      </w:r>
    </w:p>
    <w:p w14:paraId="73958CB8" w14:textId="25AF9B5B" w:rsidR="00790D38" w:rsidRPr="00E76013" w:rsidRDefault="00790D38" w:rsidP="008963AA">
      <w:pPr>
        <w:spacing w:line="276" w:lineRule="auto"/>
        <w:jc w:val="both"/>
        <w:rPr>
          <w:rFonts w:ascii="Times New Roman" w:eastAsia="Times New Roman" w:hAnsi="Times New Roman" w:cs="Times New Roman"/>
          <w:bCs/>
          <w:iCs/>
          <w:noProof/>
          <w:sz w:val="24"/>
          <w:szCs w:val="24"/>
          <w:lang w:val="en-GB"/>
        </w:rPr>
      </w:pPr>
      <w:r w:rsidRPr="00E76013">
        <w:rPr>
          <w:rFonts w:ascii="Times New Roman" w:eastAsia="Times New Roman" w:hAnsi="Times New Roman" w:cs="Times New Roman"/>
          <w:b/>
          <w:bCs/>
          <w:iCs/>
          <w:noProof/>
          <w:sz w:val="24"/>
          <w:szCs w:val="24"/>
          <w:lang w:val="en-GB"/>
        </w:rPr>
        <w:t>The main risks to biodiversity in Bulgaria relate to the loss of habitats and the degradation of ecosystems</w:t>
      </w:r>
      <w:r w:rsidR="00B468FD">
        <w:rPr>
          <w:rFonts w:ascii="Times New Roman" w:eastAsia="Times New Roman" w:hAnsi="Times New Roman" w:cs="Times New Roman"/>
          <w:b/>
          <w:bCs/>
          <w:iCs/>
          <w:noProof/>
          <w:sz w:val="24"/>
          <w:szCs w:val="24"/>
          <w:lang w:val="en-GB"/>
        </w:rPr>
        <w:t xml:space="preserve">. </w:t>
      </w:r>
      <w:r w:rsidR="00B468FD" w:rsidRPr="004F2DAB">
        <w:rPr>
          <w:rFonts w:ascii="Times New Roman" w:eastAsia="Times New Roman" w:hAnsi="Times New Roman" w:cs="Times New Roman"/>
          <w:bCs/>
          <w:iCs/>
          <w:noProof/>
          <w:sz w:val="24"/>
          <w:szCs w:val="24"/>
          <w:lang w:val="en-GB"/>
        </w:rPr>
        <w:t>This is</w:t>
      </w:r>
      <w:r w:rsidRPr="00E76013">
        <w:rPr>
          <w:rFonts w:ascii="Times New Roman" w:eastAsia="Times New Roman" w:hAnsi="Times New Roman" w:cs="Times New Roman"/>
          <w:bCs/>
          <w:iCs/>
          <w:noProof/>
          <w:sz w:val="24"/>
          <w:szCs w:val="24"/>
          <w:lang w:val="en-GB"/>
        </w:rPr>
        <w:t xml:space="preserve"> a result of urban and infrastructure development, unsustainable agriculture and the exploitation of species of economic importance. The </w:t>
      </w:r>
      <w:r w:rsidR="00184644" w:rsidRPr="00E76013">
        <w:rPr>
          <w:rFonts w:ascii="Times New Roman" w:eastAsia="Times New Roman" w:hAnsi="Times New Roman" w:cs="Times New Roman"/>
          <w:bCs/>
          <w:iCs/>
          <w:noProof/>
          <w:sz w:val="24"/>
          <w:szCs w:val="24"/>
          <w:lang w:val="en-GB"/>
        </w:rPr>
        <w:t>P</w:t>
      </w:r>
      <w:r w:rsidRPr="00E76013">
        <w:rPr>
          <w:rFonts w:ascii="Times New Roman" w:eastAsia="Times New Roman" w:hAnsi="Times New Roman" w:cs="Times New Roman"/>
          <w:bCs/>
          <w:iCs/>
          <w:noProof/>
          <w:sz w:val="24"/>
          <w:szCs w:val="24"/>
          <w:lang w:val="en-GB"/>
        </w:rPr>
        <w:t>lan includes a dedicated component aiming at protec</w:t>
      </w:r>
      <w:r w:rsidR="007446CE">
        <w:rPr>
          <w:rFonts w:ascii="Times New Roman" w:eastAsia="Times New Roman" w:hAnsi="Times New Roman" w:cs="Times New Roman"/>
          <w:bCs/>
          <w:iCs/>
          <w:noProof/>
          <w:sz w:val="24"/>
          <w:szCs w:val="24"/>
          <w:lang w:val="en-GB"/>
        </w:rPr>
        <w:t>t</w:t>
      </w:r>
      <w:r w:rsidRPr="00E76013">
        <w:rPr>
          <w:rFonts w:ascii="Times New Roman" w:eastAsia="Times New Roman" w:hAnsi="Times New Roman" w:cs="Times New Roman"/>
          <w:bCs/>
          <w:iCs/>
          <w:noProof/>
          <w:sz w:val="24"/>
          <w:szCs w:val="24"/>
          <w:lang w:val="en-GB"/>
        </w:rPr>
        <w:t>ing and restoring ecosystems and natural habitats and species of European and national importance. The reforms and investments in this component are expected to contribute to building effective Natura 2000 management structures in the country</w:t>
      </w:r>
      <w:r w:rsidR="00F12358" w:rsidRPr="00E76013">
        <w:rPr>
          <w:rFonts w:ascii="Times New Roman" w:eastAsia="Times New Roman" w:hAnsi="Times New Roman" w:cs="Times New Roman"/>
          <w:bCs/>
          <w:iCs/>
          <w:noProof/>
          <w:sz w:val="24"/>
          <w:szCs w:val="24"/>
          <w:lang w:val="en-GB"/>
        </w:rPr>
        <w:t xml:space="preserve">, as well as to </w:t>
      </w:r>
      <w:r w:rsidRPr="00E76013">
        <w:rPr>
          <w:rFonts w:ascii="Times New Roman" w:eastAsia="Times New Roman" w:hAnsi="Times New Roman" w:cs="Times New Roman"/>
          <w:bCs/>
          <w:iCs/>
          <w:noProof/>
          <w:sz w:val="24"/>
          <w:szCs w:val="24"/>
          <w:lang w:val="en-GB"/>
        </w:rPr>
        <w:t>restoring climate-related ecosystems</w:t>
      </w:r>
      <w:r w:rsidR="00F12358" w:rsidRPr="00E76013">
        <w:rPr>
          <w:rFonts w:ascii="Times New Roman" w:eastAsia="Times New Roman" w:hAnsi="Times New Roman" w:cs="Times New Roman"/>
          <w:bCs/>
          <w:iCs/>
          <w:noProof/>
          <w:sz w:val="24"/>
          <w:szCs w:val="24"/>
          <w:lang w:val="en-GB"/>
        </w:rPr>
        <w:t xml:space="preserve"> and protecting biodiversity</w:t>
      </w:r>
      <w:r w:rsidRPr="00E76013">
        <w:rPr>
          <w:rFonts w:ascii="Times New Roman" w:eastAsia="Times New Roman" w:hAnsi="Times New Roman" w:cs="Times New Roman"/>
          <w:bCs/>
          <w:iCs/>
          <w:noProof/>
          <w:sz w:val="24"/>
          <w:szCs w:val="24"/>
          <w:lang w:val="en-GB"/>
        </w:rPr>
        <w:t>.</w:t>
      </w:r>
    </w:p>
    <w:p w14:paraId="118C920E" w14:textId="0C01F435" w:rsidR="00734338" w:rsidRPr="00E76013" w:rsidRDefault="00734338" w:rsidP="008963AA">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Sustainable agriculture</w:t>
      </w:r>
    </w:p>
    <w:p w14:paraId="5988017B" w14:textId="433E2B76" w:rsidR="00734338" w:rsidRPr="00E76013" w:rsidRDefault="00734338"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iCs/>
          <w:noProof/>
          <w:sz w:val="24"/>
          <w:szCs w:val="24"/>
          <w:lang w:val="en-GB"/>
        </w:rPr>
        <w:t xml:space="preserve">The </w:t>
      </w:r>
      <w:r w:rsidR="00AC6A4F" w:rsidRPr="00E76013">
        <w:rPr>
          <w:rFonts w:ascii="Times New Roman" w:eastAsia="Times New Roman" w:hAnsi="Times New Roman" w:cs="Times New Roman"/>
          <w:b/>
          <w:bCs/>
          <w:iCs/>
          <w:noProof/>
          <w:sz w:val="24"/>
          <w:szCs w:val="24"/>
          <w:lang w:val="en-GB"/>
        </w:rPr>
        <w:t>Plan</w:t>
      </w:r>
      <w:r w:rsidRPr="00E76013">
        <w:rPr>
          <w:rFonts w:ascii="Times New Roman" w:eastAsia="Times New Roman" w:hAnsi="Times New Roman" w:cs="Times New Roman"/>
          <w:b/>
          <w:bCs/>
          <w:iCs/>
          <w:noProof/>
          <w:sz w:val="24"/>
          <w:szCs w:val="24"/>
          <w:lang w:val="en-GB"/>
        </w:rPr>
        <w:t xml:space="preserve"> includes measures that aim at enhancing the sustainable management and competitiveness of the agricultural sector in the context of the green transition.</w:t>
      </w:r>
      <w:r w:rsidRPr="00E76013">
        <w:rPr>
          <w:rFonts w:ascii="Times New Roman" w:eastAsia="Times New Roman" w:hAnsi="Times New Roman" w:cs="Times New Roman"/>
          <w:bCs/>
          <w:iCs/>
          <w:noProof/>
          <w:sz w:val="24"/>
          <w:szCs w:val="24"/>
          <w:lang w:val="en-GB"/>
        </w:rPr>
        <w:t xml:space="preserve"> </w:t>
      </w:r>
      <w:r w:rsidR="7F1D02CD" w:rsidRPr="00E76013">
        <w:rPr>
          <w:rFonts w:ascii="Times New Roman" w:eastAsia="Times New Roman" w:hAnsi="Times New Roman" w:cs="Times New Roman"/>
          <w:noProof/>
          <w:sz w:val="24"/>
          <w:szCs w:val="24"/>
          <w:lang w:val="en-GB"/>
        </w:rPr>
        <w:t xml:space="preserve">The plan includes a reform for </w:t>
      </w:r>
      <w:r w:rsidR="04289D2F" w:rsidRPr="00E76013">
        <w:rPr>
          <w:rFonts w:ascii="Times New Roman" w:eastAsia="Times New Roman" w:hAnsi="Times New Roman" w:cs="Times New Roman"/>
          <w:noProof/>
          <w:sz w:val="24"/>
          <w:szCs w:val="24"/>
          <w:lang w:val="en-GB"/>
        </w:rPr>
        <w:t xml:space="preserve">adopting </w:t>
      </w:r>
      <w:r w:rsidR="7F1D02CD" w:rsidRPr="00E76013">
        <w:rPr>
          <w:rFonts w:ascii="Times New Roman" w:eastAsia="Times New Roman" w:hAnsi="Times New Roman" w:cs="Times New Roman"/>
          <w:noProof/>
          <w:sz w:val="24"/>
          <w:szCs w:val="24"/>
          <w:lang w:val="en-GB"/>
        </w:rPr>
        <w:t>a National Action Programme, which is expected to set out a framework for the management and protection of the environment and natural resources in the field of agriculture.</w:t>
      </w:r>
      <w:r w:rsidR="04289D2F" w:rsidRPr="00E76013">
        <w:rPr>
          <w:rFonts w:ascii="Times New Roman" w:eastAsia="Times New Roman" w:hAnsi="Times New Roman" w:cs="Times New Roman"/>
          <w:noProof/>
          <w:sz w:val="24"/>
          <w:szCs w:val="24"/>
          <w:lang w:val="en-GB"/>
        </w:rPr>
        <w:t xml:space="preserve"> </w:t>
      </w:r>
      <w:r w:rsidR="7F1D02CD" w:rsidRPr="00E76013">
        <w:rPr>
          <w:rFonts w:ascii="Times New Roman" w:eastAsia="Times New Roman" w:hAnsi="Times New Roman" w:cs="Times New Roman"/>
          <w:noProof/>
          <w:sz w:val="24"/>
          <w:szCs w:val="24"/>
          <w:lang w:val="en-GB"/>
        </w:rPr>
        <w:t>The plan also includes dedicated investments that consist of setting up a Fund for promoting the technological and ecological transition of the Bulgarian agricultural sector</w:t>
      </w:r>
      <w:r w:rsidR="5D32A74E" w:rsidRPr="00E76013">
        <w:rPr>
          <w:rFonts w:ascii="Times New Roman" w:eastAsia="Times New Roman" w:hAnsi="Times New Roman" w:cs="Times New Roman"/>
          <w:noProof/>
          <w:sz w:val="24"/>
          <w:szCs w:val="24"/>
          <w:lang w:val="en-GB"/>
        </w:rPr>
        <w:t>, as well as a digitalisation measure that is expected to facilitate the automated data exchange between the administration and farmers.</w:t>
      </w:r>
    </w:p>
    <w:p w14:paraId="49AB4BC5" w14:textId="1D248755" w:rsidR="003A21E6" w:rsidRPr="00E76013" w:rsidRDefault="003A21E6" w:rsidP="008963AA">
      <w:pPr>
        <w:spacing w:line="276" w:lineRule="auto"/>
        <w:jc w:val="both"/>
        <w:rPr>
          <w:rFonts w:ascii="Times New Roman" w:eastAsia="Times New Roman" w:hAnsi="Times New Roman" w:cs="Times New Roman"/>
          <w:i/>
          <w:noProof/>
          <w:sz w:val="24"/>
          <w:szCs w:val="24"/>
        </w:rPr>
      </w:pPr>
      <w:r w:rsidRPr="00E76013">
        <w:rPr>
          <w:rFonts w:ascii="Times New Roman" w:hAnsi="Times New Roman" w:cs="Times New Roman"/>
          <w:i/>
          <w:noProof/>
          <w:sz w:val="24"/>
          <w:szCs w:val="24"/>
        </w:rPr>
        <w:t xml:space="preserve">Taking into consideration the assessment of all the measures envisaged, the Recovery and Resilience Plan is expected, to a large extent, to make a significant contribution to the green transition or to address the challenges resulting from it and ensures that at least 37% of its total allocation contribute to the climate target. This would warrant a rating of A under criterion 2.5 of Annex </w:t>
      </w:r>
      <w:r w:rsidRPr="00E76013">
        <w:rPr>
          <w:rFonts w:ascii="Times New Roman" w:hAnsi="Times New Roman" w:cs="Times New Roman"/>
          <w:bCs/>
          <w:i/>
          <w:iCs/>
          <w:noProof/>
          <w:sz w:val="24"/>
          <w:szCs w:val="24"/>
        </w:rPr>
        <w:t>V</w:t>
      </w:r>
      <w:r w:rsidRPr="00E76013">
        <w:rPr>
          <w:rFonts w:ascii="Times New Roman" w:hAnsi="Times New Roman" w:cs="Times New Roman"/>
          <w:i/>
          <w:noProof/>
          <w:sz w:val="24"/>
          <w:szCs w:val="24"/>
        </w:rPr>
        <w:t xml:space="preserve"> to the RRF Regulation</w:t>
      </w:r>
      <w:r w:rsidRPr="00E76013">
        <w:rPr>
          <w:rFonts w:ascii="Times New Roman" w:eastAsia="Times New Roman" w:hAnsi="Times New Roman" w:cs="Times New Roman"/>
          <w:i/>
          <w:noProof/>
          <w:sz w:val="24"/>
          <w:szCs w:val="24"/>
        </w:rPr>
        <w:t>.</w:t>
      </w:r>
    </w:p>
    <w:p w14:paraId="0881E0E9" w14:textId="61446649" w:rsidR="005B610E" w:rsidRPr="00785E3F" w:rsidRDefault="005B610E" w:rsidP="00E01A1F">
      <w:pPr>
        <w:pStyle w:val="Heading2"/>
        <w:numPr>
          <w:ilvl w:val="1"/>
          <w:numId w:val="7"/>
        </w:numPr>
        <w:spacing w:after="160" w:line="276" w:lineRule="auto"/>
        <w:rPr>
          <w:noProof/>
        </w:rPr>
      </w:pPr>
      <w:bookmarkStart w:id="351" w:name="_Toc99399074"/>
      <w:bookmarkStart w:id="352" w:name="_Toc99400007"/>
      <w:bookmarkStart w:id="353" w:name="_Toc99400435"/>
      <w:bookmarkStart w:id="354" w:name="_Toc99719450"/>
      <w:bookmarkStart w:id="355" w:name="_Toc99728663"/>
      <w:bookmarkStart w:id="356" w:name="_Toc99729657"/>
      <w:bookmarkStart w:id="357" w:name="_Toc99730634"/>
      <w:bookmarkStart w:id="358" w:name="_Toc99731358"/>
      <w:bookmarkStart w:id="359" w:name="_Toc99756897"/>
      <w:bookmarkStart w:id="360" w:name="_Toc99909927"/>
      <w:bookmarkStart w:id="361" w:name="_Toc98952829"/>
      <w:bookmarkStart w:id="362" w:name="_Toc98954000"/>
      <w:r w:rsidRPr="00785E3F">
        <w:rPr>
          <w:noProof/>
        </w:rPr>
        <w:t>Digital transition</w:t>
      </w:r>
      <w:bookmarkEnd w:id="344"/>
      <w:bookmarkEnd w:id="351"/>
      <w:bookmarkEnd w:id="352"/>
      <w:bookmarkEnd w:id="353"/>
      <w:bookmarkEnd w:id="354"/>
      <w:bookmarkEnd w:id="355"/>
      <w:bookmarkEnd w:id="356"/>
      <w:bookmarkEnd w:id="357"/>
      <w:bookmarkEnd w:id="358"/>
      <w:bookmarkEnd w:id="359"/>
      <w:bookmarkEnd w:id="360"/>
      <w:r w:rsidR="00824776" w:rsidRPr="00785E3F">
        <w:rPr>
          <w:noProof/>
        </w:rPr>
        <w:t xml:space="preserve"> </w:t>
      </w:r>
      <w:bookmarkEnd w:id="345"/>
      <w:bookmarkEnd w:id="346"/>
      <w:bookmarkEnd w:id="347"/>
      <w:bookmarkEnd w:id="348"/>
      <w:bookmarkEnd w:id="349"/>
      <w:bookmarkEnd w:id="350"/>
      <w:bookmarkEnd w:id="361"/>
      <w:bookmarkEnd w:id="362"/>
    </w:p>
    <w:p w14:paraId="0C18AC7F" w14:textId="77777777" w:rsidR="00722F13" w:rsidRPr="00E76013" w:rsidRDefault="00722F13" w:rsidP="008963AA">
      <w:pPr>
        <w:spacing w:line="276" w:lineRule="auto"/>
        <w:jc w:val="both"/>
        <w:rPr>
          <w:rFonts w:ascii="Times New Roman" w:hAnsi="Times New Roman" w:cs="Times New Roman"/>
          <w:i/>
          <w:noProof/>
          <w:sz w:val="24"/>
          <w:szCs w:val="24"/>
          <w:lang w:eastAsia="en-GB"/>
        </w:rPr>
      </w:pPr>
      <w:r w:rsidRPr="00E76013">
        <w:rPr>
          <w:rFonts w:ascii="Times New Roman" w:hAnsi="Times New Roman" w:cs="Times New Roman"/>
          <w:i/>
          <w:iCs/>
          <w:noProof/>
          <w:sz w:val="24"/>
          <w:szCs w:val="24"/>
          <w:lang w:eastAsia="en-GB"/>
        </w:rPr>
        <w:t>Digital tagging</w:t>
      </w:r>
    </w:p>
    <w:p w14:paraId="6839FBDF" w14:textId="40955ED0" w:rsidR="00394767" w:rsidRPr="00E76013" w:rsidRDefault="00966878" w:rsidP="008963AA">
      <w:pPr>
        <w:spacing w:line="276" w:lineRule="auto"/>
        <w:jc w:val="both"/>
        <w:rPr>
          <w:rFonts w:ascii="Times New Roman" w:eastAsia="Times New Roman" w:hAnsi="Times New Roman" w:cs="Times New Roman"/>
          <w:b/>
          <w:bCs/>
          <w:noProof/>
          <w:sz w:val="24"/>
          <w:szCs w:val="24"/>
          <w:lang w:val="en-GB"/>
        </w:rPr>
      </w:pPr>
      <w:r w:rsidRPr="00E76013">
        <w:rPr>
          <w:rFonts w:ascii="Times New Roman" w:eastAsia="Times New Roman" w:hAnsi="Times New Roman" w:cs="Times New Roman"/>
          <w:b/>
          <w:bCs/>
          <w:noProof/>
          <w:sz w:val="24"/>
          <w:szCs w:val="24"/>
          <w:lang w:val="en-GB"/>
        </w:rPr>
        <w:t xml:space="preserve">Bulgaria correctly follows </w:t>
      </w:r>
      <w:r w:rsidR="0026DAEE" w:rsidRPr="00E76013">
        <w:rPr>
          <w:rFonts w:ascii="Times New Roman" w:eastAsia="Times New Roman" w:hAnsi="Times New Roman" w:cs="Times New Roman"/>
          <w:b/>
          <w:bCs/>
          <w:noProof/>
          <w:sz w:val="24"/>
          <w:szCs w:val="24"/>
          <w:lang w:val="en-GB"/>
        </w:rPr>
        <w:t>the methodology for digital tagging</w:t>
      </w:r>
      <w:r w:rsidR="0026DAEE" w:rsidRPr="00E76013">
        <w:rPr>
          <w:rFonts w:ascii="Times New Roman" w:eastAsia="Times New Roman" w:hAnsi="Times New Roman" w:cs="Times New Roman"/>
          <w:noProof/>
          <w:sz w:val="24"/>
          <w:szCs w:val="24"/>
          <w:lang w:val="en-GB"/>
        </w:rPr>
        <w:t xml:space="preserve"> </w:t>
      </w:r>
      <w:r w:rsidR="0026DAEE" w:rsidRPr="00E76013">
        <w:rPr>
          <w:rFonts w:ascii="Times New Roman" w:eastAsia="Times New Roman" w:hAnsi="Times New Roman" w:cs="Times New Roman"/>
          <w:b/>
          <w:bCs/>
          <w:noProof/>
          <w:sz w:val="24"/>
          <w:szCs w:val="24"/>
          <w:lang w:val="en-GB"/>
        </w:rPr>
        <w:t>in Annex VII</w:t>
      </w:r>
      <w:r w:rsidR="009424A4">
        <w:rPr>
          <w:rFonts w:ascii="Times New Roman" w:eastAsia="Times New Roman" w:hAnsi="Times New Roman" w:cs="Times New Roman"/>
          <w:b/>
          <w:bCs/>
          <w:noProof/>
          <w:sz w:val="24"/>
          <w:szCs w:val="24"/>
          <w:lang w:val="en-GB"/>
        </w:rPr>
        <w:t xml:space="preserve"> </w:t>
      </w:r>
      <w:r w:rsidR="009424A4" w:rsidRPr="009424A4">
        <w:rPr>
          <w:rFonts w:ascii="Times New Roman" w:eastAsia="Times New Roman" w:hAnsi="Times New Roman" w:cs="Times New Roman"/>
          <w:b/>
          <w:bCs/>
          <w:noProof/>
          <w:sz w:val="24"/>
          <w:szCs w:val="24"/>
          <w:lang w:val="en-GB"/>
        </w:rPr>
        <w:t>to the RRF Regulation</w:t>
      </w:r>
      <w:r w:rsidR="0026DAEE" w:rsidRPr="004F2DAB">
        <w:rPr>
          <w:rFonts w:ascii="Times New Roman" w:eastAsia="Times New Roman" w:hAnsi="Times New Roman" w:cs="Times New Roman"/>
          <w:b/>
          <w:noProof/>
          <w:sz w:val="24"/>
          <w:szCs w:val="24"/>
          <w:lang w:val="en-GB"/>
        </w:rPr>
        <w:t xml:space="preserve"> by identifying intervention fields and corresponding coefficients to calculate support to the digital objectives for each investment measure.</w:t>
      </w:r>
      <w:r w:rsidR="0026DAEE" w:rsidRPr="00E76013">
        <w:rPr>
          <w:rFonts w:ascii="Times New Roman" w:eastAsia="Times New Roman" w:hAnsi="Times New Roman" w:cs="Times New Roman"/>
          <w:bCs/>
          <w:noProof/>
          <w:sz w:val="24"/>
          <w:szCs w:val="24"/>
          <w:lang w:val="en-GB"/>
        </w:rPr>
        <w:t xml:space="preserve"> </w:t>
      </w:r>
      <w:r w:rsidRPr="00E76013">
        <w:rPr>
          <w:rFonts w:ascii="Times New Roman" w:eastAsia="Times New Roman" w:hAnsi="Times New Roman" w:cs="Times New Roman"/>
          <w:bCs/>
          <w:noProof/>
          <w:sz w:val="24"/>
          <w:szCs w:val="24"/>
          <w:lang w:val="en-GB"/>
        </w:rPr>
        <w:t>It should be noted that:</w:t>
      </w:r>
    </w:p>
    <w:p w14:paraId="7FD3C797" w14:textId="77777777" w:rsidR="00E025FC" w:rsidRPr="00E76013" w:rsidRDefault="0026DAEE" w:rsidP="00E01A1F">
      <w:pPr>
        <w:pStyle w:val="ListParagraph"/>
        <w:numPr>
          <w:ilvl w:val="0"/>
          <w:numId w:val="10"/>
        </w:numPr>
        <w:spacing w:line="257" w:lineRule="auto"/>
        <w:jc w:val="both"/>
        <w:rPr>
          <w:rFonts w:ascii="Times New Roman" w:hAnsi="Times New Roman" w:cs="Times New Roman"/>
          <w:noProof/>
        </w:rPr>
      </w:pPr>
      <w:r w:rsidRPr="00E76013">
        <w:rPr>
          <w:rFonts w:ascii="Times New Roman" w:eastAsia="Times New Roman" w:hAnsi="Times New Roman" w:cs="Times New Roman"/>
          <w:noProof/>
          <w:sz w:val="24"/>
          <w:szCs w:val="24"/>
          <w:lang w:val="en-GB"/>
        </w:rPr>
        <w:t xml:space="preserve">Bulgaria has split the measures into sub-measures based on their costs whenever possible in order to ensure an accurate selection of the intervention fields and to avoid any overestimations of the contributions of certain measures to the digital objectives. </w:t>
      </w:r>
    </w:p>
    <w:p w14:paraId="0DA61C10" w14:textId="77777777" w:rsidR="00E025FC" w:rsidRPr="00E76013" w:rsidRDefault="0026DAEE" w:rsidP="00E01A1F">
      <w:pPr>
        <w:pStyle w:val="ListParagraph"/>
        <w:numPr>
          <w:ilvl w:val="0"/>
          <w:numId w:val="10"/>
        </w:numPr>
        <w:spacing w:line="257" w:lineRule="auto"/>
        <w:jc w:val="both"/>
        <w:rPr>
          <w:rFonts w:ascii="Times New Roman" w:hAnsi="Times New Roman" w:cs="Times New Roman"/>
          <w:noProof/>
        </w:rPr>
      </w:pPr>
      <w:r w:rsidRPr="00E76013">
        <w:rPr>
          <w:rFonts w:ascii="Times New Roman" w:eastAsia="Times New Roman" w:hAnsi="Times New Roman" w:cs="Times New Roman"/>
          <w:noProof/>
          <w:sz w:val="24"/>
          <w:szCs w:val="24"/>
          <w:lang w:val="en-GB"/>
        </w:rPr>
        <w:t xml:space="preserve">In a limited number of cases, Bulgaria has indicated for the same measure two different intervention fields for the purpose of climate and digital tagging respectively. This has been done when the measure could not be split into different sub-parts, when no single intervention field that reflects the contribution to both climate and digital objectives could be applied or when the measure was considered as fully or partly contributing to both climate and digital objectives. </w:t>
      </w:r>
    </w:p>
    <w:p w14:paraId="4BCA213C" w14:textId="77777777" w:rsidR="00E025FC" w:rsidRPr="00E76013" w:rsidRDefault="0026DAEE" w:rsidP="00E01A1F">
      <w:pPr>
        <w:pStyle w:val="ListParagraph"/>
        <w:numPr>
          <w:ilvl w:val="0"/>
          <w:numId w:val="10"/>
        </w:numPr>
        <w:spacing w:line="257" w:lineRule="auto"/>
        <w:jc w:val="both"/>
        <w:rPr>
          <w:rFonts w:ascii="Times New Roman" w:hAnsi="Times New Roman" w:cs="Times New Roman"/>
          <w:noProof/>
        </w:rPr>
      </w:pPr>
      <w:r w:rsidRPr="00E76013">
        <w:rPr>
          <w:rFonts w:ascii="Times New Roman" w:eastAsia="Times New Roman" w:hAnsi="Times New Roman" w:cs="Times New Roman"/>
          <w:noProof/>
          <w:sz w:val="24"/>
          <w:szCs w:val="24"/>
          <w:lang w:val="en-GB"/>
        </w:rPr>
        <w:t xml:space="preserve">The Plan does not propose any increased digital coefficients for any measure. </w:t>
      </w:r>
    </w:p>
    <w:p w14:paraId="45BA2013" w14:textId="606CDF94" w:rsidR="0026DAEE" w:rsidRPr="00E76013" w:rsidRDefault="00C550E4" w:rsidP="00E01A1F">
      <w:pPr>
        <w:pStyle w:val="ListParagraph"/>
        <w:numPr>
          <w:ilvl w:val="0"/>
          <w:numId w:val="10"/>
        </w:numPr>
        <w:spacing w:line="257" w:lineRule="auto"/>
        <w:jc w:val="both"/>
        <w:rPr>
          <w:rFonts w:ascii="Times New Roman" w:hAnsi="Times New Roman" w:cs="Times New Roman"/>
          <w:noProof/>
        </w:rPr>
      </w:pPr>
      <w:r w:rsidRPr="00E76013">
        <w:rPr>
          <w:rFonts w:ascii="Times New Roman" w:eastAsia="Times New Roman" w:hAnsi="Times New Roman" w:cs="Times New Roman"/>
          <w:noProof/>
          <w:sz w:val="24"/>
          <w:szCs w:val="24"/>
          <w:lang w:val="en-GB"/>
        </w:rPr>
        <w:t>The choice of intervention fields for the digital transformation is well justified and reflects the nature, focus, objective or expected outcome of the investments.</w:t>
      </w:r>
    </w:p>
    <w:p w14:paraId="5AE7DE8C" w14:textId="15041DA8" w:rsidR="005517D0" w:rsidRDefault="0026DAEE"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Overall, based on the methodology, the Plan contributes to digital objectives for </w:t>
      </w:r>
      <w:r w:rsidR="38A78E7E" w:rsidRPr="00E76013">
        <w:rPr>
          <w:rFonts w:ascii="Times New Roman" w:eastAsia="Times New Roman" w:hAnsi="Times New Roman" w:cs="Times New Roman"/>
          <w:b/>
          <w:bCs/>
          <w:noProof/>
          <w:sz w:val="24"/>
          <w:szCs w:val="24"/>
          <w:lang w:val="en-GB"/>
        </w:rPr>
        <w:t>2</w:t>
      </w:r>
      <w:r w:rsidR="00D04C47">
        <w:rPr>
          <w:rFonts w:ascii="Times New Roman" w:eastAsia="Times New Roman" w:hAnsi="Times New Roman" w:cs="Times New Roman"/>
          <w:b/>
          <w:bCs/>
          <w:noProof/>
          <w:sz w:val="24"/>
          <w:szCs w:val="24"/>
          <w:lang w:val="en-GB"/>
        </w:rPr>
        <w:t>5.8</w:t>
      </w:r>
      <w:r w:rsidRPr="00E76013">
        <w:rPr>
          <w:rFonts w:ascii="Times New Roman" w:eastAsia="Times New Roman" w:hAnsi="Times New Roman" w:cs="Times New Roman"/>
          <w:b/>
          <w:bCs/>
          <w:noProof/>
          <w:sz w:val="24"/>
          <w:szCs w:val="24"/>
          <w:lang w:val="en-GB"/>
        </w:rPr>
        <w:t xml:space="preserve">% of Bulgaria’s allocation (this amounts to EUR </w:t>
      </w:r>
      <w:r w:rsidR="6948CE90" w:rsidRPr="00E76013">
        <w:rPr>
          <w:rFonts w:ascii="Times New Roman" w:eastAsia="Times New Roman" w:hAnsi="Times New Roman" w:cs="Times New Roman"/>
          <w:b/>
          <w:bCs/>
          <w:noProof/>
          <w:sz w:val="24"/>
          <w:szCs w:val="24"/>
          <w:lang w:val="en-GB"/>
        </w:rPr>
        <w:t>1.6</w:t>
      </w:r>
      <w:r w:rsidR="00D04C47">
        <w:rPr>
          <w:rFonts w:ascii="Times New Roman" w:eastAsia="Times New Roman" w:hAnsi="Times New Roman" w:cs="Times New Roman"/>
          <w:b/>
          <w:bCs/>
          <w:noProof/>
          <w:sz w:val="24"/>
          <w:szCs w:val="24"/>
          <w:lang w:val="en-GB"/>
        </w:rPr>
        <w:t>2</w:t>
      </w:r>
      <w:r w:rsidRPr="00E76013">
        <w:rPr>
          <w:rFonts w:ascii="Times New Roman" w:eastAsia="Times New Roman" w:hAnsi="Times New Roman" w:cs="Times New Roman"/>
          <w:b/>
          <w:bCs/>
          <w:noProof/>
          <w:sz w:val="24"/>
          <w:szCs w:val="24"/>
          <w:lang w:val="en-GB"/>
        </w:rPr>
        <w:t xml:space="preserve"> billion) and the digital target of 20% is</w:t>
      </w:r>
      <w:r w:rsidR="00107675">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bCs/>
          <w:noProof/>
          <w:sz w:val="24"/>
          <w:szCs w:val="24"/>
          <w:lang w:val="en-GB"/>
        </w:rPr>
        <w:t xml:space="preserve"> therefore</w:t>
      </w:r>
      <w:r w:rsidR="00107675">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bCs/>
          <w:noProof/>
          <w:sz w:val="24"/>
          <w:szCs w:val="24"/>
          <w:lang w:val="en-GB"/>
        </w:rPr>
        <w:t xml:space="preserve"> considered to have been met. </w:t>
      </w:r>
      <w:r w:rsidRPr="00E76013">
        <w:rPr>
          <w:rFonts w:ascii="Times New Roman" w:eastAsia="Times New Roman" w:hAnsi="Times New Roman" w:cs="Times New Roman"/>
          <w:noProof/>
          <w:sz w:val="24"/>
          <w:szCs w:val="24"/>
          <w:lang w:val="en-GB"/>
        </w:rPr>
        <w:t>The most significant contributions to the digital target are included in component 7 (Digital Connectivity) and component 10 (Business Environment). In particular, in compone</w:t>
      </w:r>
      <w:r w:rsidR="00961857" w:rsidRPr="00E76013">
        <w:rPr>
          <w:rFonts w:ascii="Times New Roman" w:eastAsia="Times New Roman" w:hAnsi="Times New Roman" w:cs="Times New Roman"/>
          <w:noProof/>
          <w:sz w:val="24"/>
          <w:szCs w:val="24"/>
          <w:lang w:val="en-GB"/>
        </w:rPr>
        <w:t xml:space="preserve">nt 7, the Plan allocates EUR </w:t>
      </w:r>
      <w:r w:rsidR="38A78E7E" w:rsidRPr="00E76013">
        <w:rPr>
          <w:rFonts w:ascii="Times New Roman" w:eastAsia="Times New Roman" w:hAnsi="Times New Roman" w:cs="Times New Roman"/>
          <w:noProof/>
          <w:sz w:val="24"/>
          <w:szCs w:val="24"/>
          <w:lang w:val="en-GB"/>
        </w:rPr>
        <w:t>37</w:t>
      </w:r>
      <w:r w:rsidR="00D04C47">
        <w:rPr>
          <w:rFonts w:ascii="Times New Roman" w:eastAsia="Times New Roman" w:hAnsi="Times New Roman" w:cs="Times New Roman"/>
          <w:noProof/>
          <w:sz w:val="24"/>
          <w:szCs w:val="24"/>
          <w:lang w:val="en-GB"/>
        </w:rPr>
        <w:t>1.6</w:t>
      </w:r>
      <w:r w:rsidRPr="00E76013">
        <w:rPr>
          <w:rFonts w:ascii="Times New Roman" w:eastAsia="Times New Roman" w:hAnsi="Times New Roman" w:cs="Times New Roman"/>
          <w:noProof/>
          <w:sz w:val="24"/>
          <w:szCs w:val="24"/>
          <w:lang w:val="en-GB"/>
        </w:rPr>
        <w:t xml:space="preserve"> million as digital contribution, while component 10, focused on digital transformation of the</w:t>
      </w:r>
      <w:r w:rsidR="00961857" w:rsidRPr="00E76013">
        <w:rPr>
          <w:rFonts w:ascii="Times New Roman" w:eastAsia="Times New Roman" w:hAnsi="Times New Roman" w:cs="Times New Roman"/>
          <w:noProof/>
          <w:sz w:val="24"/>
          <w:szCs w:val="24"/>
          <w:lang w:val="en-GB"/>
        </w:rPr>
        <w:t xml:space="preserve"> public sector allocates EUR </w:t>
      </w:r>
      <w:r w:rsidR="00D04C47">
        <w:rPr>
          <w:rFonts w:ascii="Times New Roman" w:eastAsia="Times New Roman" w:hAnsi="Times New Roman" w:cs="Times New Roman"/>
          <w:noProof/>
          <w:sz w:val="24"/>
          <w:szCs w:val="24"/>
          <w:lang w:val="en-GB"/>
        </w:rPr>
        <w:t>16</w:t>
      </w:r>
      <w:r w:rsidR="00961857" w:rsidRPr="00E76013">
        <w:rPr>
          <w:rFonts w:ascii="Times New Roman" w:eastAsia="Times New Roman" w:hAnsi="Times New Roman" w:cs="Times New Roman"/>
          <w:noProof/>
          <w:sz w:val="24"/>
          <w:szCs w:val="24"/>
          <w:lang w:val="en-GB"/>
        </w:rPr>
        <w:t>7.</w:t>
      </w:r>
      <w:r w:rsidR="00D04C47">
        <w:rPr>
          <w:rFonts w:ascii="Times New Roman" w:eastAsia="Times New Roman" w:hAnsi="Times New Roman" w:cs="Times New Roman"/>
          <w:noProof/>
          <w:sz w:val="24"/>
          <w:szCs w:val="24"/>
          <w:lang w:val="en-GB"/>
        </w:rPr>
        <w:t>89</w:t>
      </w:r>
      <w:r w:rsidRPr="00E76013">
        <w:rPr>
          <w:rFonts w:ascii="Times New Roman" w:eastAsia="Times New Roman" w:hAnsi="Times New Roman" w:cs="Times New Roman"/>
          <w:noProof/>
          <w:sz w:val="24"/>
          <w:szCs w:val="24"/>
          <w:lang w:val="en-GB"/>
        </w:rPr>
        <w:t xml:space="preserve"> million. </w:t>
      </w:r>
      <w:r w:rsidR="003349CC">
        <w:rPr>
          <w:rFonts w:ascii="Times New Roman" w:eastAsia="Times New Roman" w:hAnsi="Times New Roman" w:cs="Times New Roman"/>
          <w:noProof/>
          <w:sz w:val="24"/>
          <w:szCs w:val="24"/>
          <w:lang w:val="en-GB"/>
        </w:rPr>
        <w:t>Additional</w:t>
      </w:r>
      <w:r w:rsidR="003349CC" w:rsidRPr="00E76013">
        <w:rPr>
          <w:rFonts w:ascii="Times New Roman" w:eastAsia="Times New Roman" w:hAnsi="Times New Roman" w:cs="Times New Roman"/>
          <w:noProof/>
          <w:sz w:val="24"/>
          <w:szCs w:val="24"/>
          <w:lang w:val="en-GB"/>
        </w:rPr>
        <w:t xml:space="preserve"> significant contributions are made by component 1 (Education and Skills), earmarking EUR 299.26 million for the support of the development of digital skills</w:t>
      </w:r>
      <w:r w:rsidR="003349CC">
        <w:rPr>
          <w:rFonts w:ascii="Times New Roman" w:eastAsia="Times New Roman" w:hAnsi="Times New Roman" w:cs="Times New Roman"/>
          <w:noProof/>
          <w:sz w:val="24"/>
          <w:szCs w:val="24"/>
          <w:lang w:val="en-GB"/>
        </w:rPr>
        <w:t xml:space="preserve"> as well as by component 4 (</w:t>
      </w:r>
      <w:r w:rsidR="003349CC" w:rsidRPr="00E76013">
        <w:rPr>
          <w:rFonts w:ascii="Times New Roman" w:eastAsia="Times New Roman" w:hAnsi="Times New Roman" w:cs="Times New Roman"/>
          <w:noProof/>
          <w:sz w:val="24"/>
          <w:szCs w:val="24"/>
          <w:lang w:val="en-GB"/>
        </w:rPr>
        <w:t>Low-carbon economy</w:t>
      </w:r>
      <w:r w:rsidR="003349CC">
        <w:rPr>
          <w:rFonts w:ascii="Times New Roman" w:eastAsia="Times New Roman" w:hAnsi="Times New Roman" w:cs="Times New Roman"/>
          <w:noProof/>
          <w:sz w:val="24"/>
          <w:szCs w:val="24"/>
          <w:lang w:val="en-GB"/>
        </w:rPr>
        <w:t xml:space="preserve">), which dedicates </w:t>
      </w:r>
      <w:r w:rsidR="003349CC" w:rsidRPr="00E76013">
        <w:rPr>
          <w:rFonts w:ascii="Times New Roman" w:eastAsia="Times New Roman" w:hAnsi="Times New Roman" w:cs="Times New Roman"/>
          <w:noProof/>
          <w:sz w:val="24"/>
          <w:szCs w:val="24"/>
          <w:lang w:val="en-GB"/>
        </w:rPr>
        <w:t>EUR 395.29</w:t>
      </w:r>
      <w:r w:rsidR="003349CC">
        <w:rPr>
          <w:rFonts w:ascii="Times New Roman" w:eastAsia="Times New Roman" w:hAnsi="Times New Roman" w:cs="Times New Roman"/>
          <w:noProof/>
          <w:sz w:val="24"/>
          <w:szCs w:val="24"/>
          <w:lang w:val="en-GB"/>
        </w:rPr>
        <w:t xml:space="preserve"> million to </w:t>
      </w:r>
      <w:r w:rsidR="00A35D07">
        <w:rPr>
          <w:rFonts w:ascii="Times New Roman" w:eastAsia="Times New Roman" w:hAnsi="Times New Roman" w:cs="Times New Roman"/>
          <w:noProof/>
          <w:sz w:val="24"/>
          <w:szCs w:val="24"/>
          <w:lang w:val="en-GB"/>
        </w:rPr>
        <w:t xml:space="preserve">the </w:t>
      </w:r>
      <w:r w:rsidR="00A35D07" w:rsidRPr="00A35D07">
        <w:rPr>
          <w:rFonts w:ascii="Times New Roman" w:eastAsia="Times New Roman" w:hAnsi="Times New Roman" w:cs="Times New Roman"/>
          <w:noProof/>
          <w:sz w:val="24"/>
          <w:szCs w:val="24"/>
          <w:lang w:val="en-GB"/>
        </w:rPr>
        <w:t>digital transformation of systems and processes of the Electricity System Operator</w:t>
      </w:r>
      <w:r w:rsidR="00A35D07">
        <w:rPr>
          <w:rFonts w:ascii="Times New Roman" w:eastAsia="Times New Roman" w:hAnsi="Times New Roman" w:cs="Times New Roman"/>
          <w:noProof/>
          <w:sz w:val="24"/>
          <w:szCs w:val="24"/>
          <w:lang w:val="en-GB"/>
        </w:rPr>
        <w:t xml:space="preserve"> and electricity storage.</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Other co</w:t>
      </w:r>
      <w:r w:rsidR="387AE921" w:rsidRPr="00E76013">
        <w:rPr>
          <w:rFonts w:ascii="Times New Roman" w:eastAsia="Times New Roman" w:hAnsi="Times New Roman" w:cs="Times New Roman"/>
          <w:noProof/>
          <w:sz w:val="24"/>
          <w:szCs w:val="24"/>
          <w:lang w:val="en-GB"/>
        </w:rPr>
        <w:t>m</w:t>
      </w:r>
      <w:r w:rsidRPr="00E76013">
        <w:rPr>
          <w:rFonts w:ascii="Times New Roman" w:eastAsia="Times New Roman" w:hAnsi="Times New Roman" w:cs="Times New Roman"/>
          <w:noProof/>
          <w:sz w:val="24"/>
          <w:szCs w:val="24"/>
          <w:lang w:val="en-GB"/>
        </w:rPr>
        <w:t>ponents also contribute to the digitalisation of public services su</w:t>
      </w:r>
      <w:r w:rsidR="00AE1764" w:rsidRPr="00E76013">
        <w:rPr>
          <w:rFonts w:ascii="Times New Roman" w:eastAsia="Times New Roman" w:hAnsi="Times New Roman" w:cs="Times New Roman"/>
          <w:noProof/>
          <w:sz w:val="24"/>
          <w:szCs w:val="24"/>
          <w:lang w:val="en-GB"/>
        </w:rPr>
        <w:t>ch as Local Development (EUR 5</w:t>
      </w:r>
      <w:r w:rsidR="00D04C47">
        <w:rPr>
          <w:rFonts w:ascii="Times New Roman" w:eastAsia="Times New Roman" w:hAnsi="Times New Roman" w:cs="Times New Roman"/>
          <w:noProof/>
          <w:sz w:val="24"/>
          <w:szCs w:val="24"/>
          <w:lang w:val="en-GB"/>
        </w:rPr>
        <w:t>7.73</w:t>
      </w:r>
      <w:r w:rsidRPr="00E76013">
        <w:rPr>
          <w:rFonts w:ascii="Times New Roman" w:eastAsia="Times New Roman" w:hAnsi="Times New Roman" w:cs="Times New Roman"/>
          <w:noProof/>
          <w:sz w:val="24"/>
          <w:szCs w:val="24"/>
          <w:lang w:val="en-GB"/>
        </w:rPr>
        <w:t xml:space="preserve"> million), </w:t>
      </w:r>
      <w:r w:rsidR="001F7146" w:rsidRPr="00E76013">
        <w:rPr>
          <w:rFonts w:ascii="Times New Roman" w:eastAsia="Times New Roman" w:hAnsi="Times New Roman" w:cs="Times New Roman"/>
          <w:noProof/>
          <w:sz w:val="24"/>
          <w:szCs w:val="24"/>
          <w:lang w:val="en-GB"/>
        </w:rPr>
        <w:t>Sustainable Agriculture (EUR 10.2</w:t>
      </w:r>
      <w:r w:rsidRPr="00E76013">
        <w:rPr>
          <w:rFonts w:ascii="Times New Roman" w:eastAsia="Times New Roman" w:hAnsi="Times New Roman" w:cs="Times New Roman"/>
          <w:noProof/>
          <w:sz w:val="24"/>
          <w:szCs w:val="24"/>
          <w:lang w:val="en-GB"/>
        </w:rPr>
        <w:t xml:space="preserve"> million), Social Inclusion (E</w:t>
      </w:r>
      <w:r w:rsidR="001F7146" w:rsidRPr="00E76013">
        <w:rPr>
          <w:rFonts w:ascii="Times New Roman" w:eastAsia="Times New Roman" w:hAnsi="Times New Roman" w:cs="Times New Roman"/>
          <w:noProof/>
          <w:sz w:val="24"/>
          <w:szCs w:val="24"/>
          <w:lang w:val="en-GB"/>
        </w:rPr>
        <w:t>UR 43.</w:t>
      </w:r>
      <w:r w:rsidR="1230B180" w:rsidRPr="00E76013">
        <w:rPr>
          <w:rFonts w:ascii="Times New Roman" w:eastAsia="Times New Roman" w:hAnsi="Times New Roman" w:cs="Times New Roman"/>
          <w:noProof/>
          <w:sz w:val="24"/>
          <w:szCs w:val="24"/>
          <w:lang w:val="en-GB"/>
        </w:rPr>
        <w:t>7</w:t>
      </w:r>
      <w:r w:rsidRPr="00E76013">
        <w:rPr>
          <w:rFonts w:ascii="Times New Roman" w:eastAsia="Times New Roman" w:hAnsi="Times New Roman" w:cs="Times New Roman"/>
          <w:noProof/>
          <w:sz w:val="24"/>
          <w:szCs w:val="24"/>
          <w:lang w:val="en-GB"/>
        </w:rPr>
        <w:t xml:space="preserve"> </w:t>
      </w:r>
      <w:r w:rsidR="001F7146" w:rsidRPr="00E76013">
        <w:rPr>
          <w:rFonts w:ascii="Times New Roman" w:eastAsia="Times New Roman" w:hAnsi="Times New Roman" w:cs="Times New Roman"/>
          <w:noProof/>
          <w:sz w:val="24"/>
          <w:szCs w:val="24"/>
          <w:lang w:val="en-GB"/>
        </w:rPr>
        <w:t>million) and Healthcare (EUR 36.47</w:t>
      </w:r>
      <w:r w:rsidRPr="00E76013">
        <w:rPr>
          <w:rFonts w:ascii="Times New Roman" w:eastAsia="Times New Roman" w:hAnsi="Times New Roman" w:cs="Times New Roman"/>
          <w:noProof/>
          <w:sz w:val="24"/>
          <w:szCs w:val="24"/>
          <w:lang w:val="en-GB"/>
        </w:rPr>
        <w:t xml:space="preserve"> million). Component 2 (Research and Innovation) contribut</w:t>
      </w:r>
      <w:r w:rsidR="006954CC" w:rsidRPr="00E76013">
        <w:rPr>
          <w:rFonts w:ascii="Times New Roman" w:eastAsia="Times New Roman" w:hAnsi="Times New Roman" w:cs="Times New Roman"/>
          <w:noProof/>
          <w:sz w:val="24"/>
          <w:szCs w:val="24"/>
          <w:lang w:val="en-GB"/>
        </w:rPr>
        <w:t>es</w:t>
      </w:r>
      <w:r w:rsidRPr="00E76013">
        <w:rPr>
          <w:rFonts w:ascii="Times New Roman" w:eastAsia="Times New Roman" w:hAnsi="Times New Roman" w:cs="Times New Roman"/>
          <w:noProof/>
          <w:sz w:val="24"/>
          <w:szCs w:val="24"/>
          <w:lang w:val="en-GB"/>
        </w:rPr>
        <w:t xml:space="preserve"> to innovation supporting the digital transition</w:t>
      </w:r>
      <w:r w:rsidR="000F30AE" w:rsidRPr="00E76013">
        <w:rPr>
          <w:rFonts w:ascii="Times New Roman" w:eastAsia="Times New Roman" w:hAnsi="Times New Roman" w:cs="Times New Roman"/>
          <w:noProof/>
          <w:sz w:val="24"/>
          <w:szCs w:val="24"/>
          <w:lang w:val="en-GB"/>
        </w:rPr>
        <w:t xml:space="preserve"> (EUR 15.69</w:t>
      </w:r>
      <w:r w:rsidRPr="00E76013">
        <w:rPr>
          <w:rFonts w:ascii="Times New Roman" w:eastAsia="Times New Roman" w:hAnsi="Times New Roman" w:cs="Times New Roman"/>
          <w:noProof/>
          <w:sz w:val="24"/>
          <w:szCs w:val="24"/>
          <w:lang w:val="en-GB"/>
        </w:rPr>
        <w:t xml:space="preserve"> million) and component 3 (Smart Industry) contributes to the digitalisation of businesses, espe</w:t>
      </w:r>
      <w:r w:rsidR="008A45B3" w:rsidRPr="00E76013">
        <w:rPr>
          <w:rFonts w:ascii="Times New Roman" w:eastAsia="Times New Roman" w:hAnsi="Times New Roman" w:cs="Times New Roman"/>
          <w:noProof/>
          <w:sz w:val="24"/>
          <w:szCs w:val="24"/>
          <w:lang w:val="en-GB"/>
        </w:rPr>
        <w:t xml:space="preserve">cially SMEs (EUR </w:t>
      </w:r>
      <w:r w:rsidR="00D04C47">
        <w:rPr>
          <w:rFonts w:ascii="Times New Roman" w:eastAsia="Times New Roman" w:hAnsi="Times New Roman" w:cs="Times New Roman"/>
          <w:noProof/>
          <w:sz w:val="24"/>
          <w:szCs w:val="24"/>
          <w:lang w:val="en-GB"/>
        </w:rPr>
        <w:t>1</w:t>
      </w:r>
      <w:r w:rsidR="0AB8FF12" w:rsidRPr="00E76013">
        <w:rPr>
          <w:rFonts w:ascii="Times New Roman" w:eastAsia="Times New Roman" w:hAnsi="Times New Roman" w:cs="Times New Roman"/>
          <w:noProof/>
          <w:sz w:val="24"/>
          <w:szCs w:val="24"/>
          <w:lang w:val="en-GB"/>
        </w:rPr>
        <w:t>5.65</w:t>
      </w:r>
      <w:r w:rsidRPr="00E76013">
        <w:rPr>
          <w:rFonts w:ascii="Times New Roman" w:eastAsia="Times New Roman" w:hAnsi="Times New Roman" w:cs="Times New Roman"/>
          <w:noProof/>
          <w:sz w:val="24"/>
          <w:szCs w:val="24"/>
          <w:lang w:val="en-GB"/>
        </w:rPr>
        <w:t xml:space="preserve"> million).</w:t>
      </w:r>
    </w:p>
    <w:p w14:paraId="48057ED0" w14:textId="425D7042" w:rsidR="0026DAEE" w:rsidRPr="00E76013" w:rsidRDefault="000B19B4" w:rsidP="000B19B4">
      <w:pPr>
        <w:pStyle w:val="Caption"/>
        <w:rPr>
          <w:rFonts w:ascii="Times New Roman" w:hAnsi="Times New Roman" w:cs="Times New Roman"/>
          <w:b/>
          <w:i w:val="0"/>
          <w:noProof/>
          <w:color w:val="auto"/>
          <w:sz w:val="22"/>
        </w:rPr>
      </w:pPr>
      <w:r w:rsidRPr="00E76013">
        <w:rPr>
          <w:rFonts w:ascii="Times New Roman" w:hAnsi="Times New Roman" w:cs="Times New Roman"/>
          <w:b/>
          <w:i w:val="0"/>
          <w:noProof/>
          <w:color w:val="auto"/>
          <w:sz w:val="22"/>
        </w:rPr>
        <w:t xml:space="preserve">Table </w:t>
      </w:r>
      <w:r w:rsidRPr="00E76013">
        <w:rPr>
          <w:rFonts w:ascii="Times New Roman" w:hAnsi="Times New Roman" w:cs="Times New Roman"/>
          <w:b/>
          <w:i w:val="0"/>
          <w:noProof/>
          <w:color w:val="auto"/>
          <w:sz w:val="22"/>
        </w:rPr>
        <w:fldChar w:fldCharType="begin"/>
      </w:r>
      <w:r w:rsidRPr="00E76013">
        <w:rPr>
          <w:rFonts w:ascii="Times New Roman" w:hAnsi="Times New Roman" w:cs="Times New Roman"/>
          <w:b/>
          <w:i w:val="0"/>
          <w:noProof/>
          <w:color w:val="auto"/>
          <w:sz w:val="22"/>
        </w:rPr>
        <w:instrText xml:space="preserve"> SEQ Table \* ARABIC </w:instrText>
      </w:r>
      <w:r w:rsidRPr="00E76013">
        <w:rPr>
          <w:rFonts w:ascii="Times New Roman" w:hAnsi="Times New Roman" w:cs="Times New Roman"/>
          <w:b/>
          <w:i w:val="0"/>
          <w:noProof/>
          <w:color w:val="auto"/>
          <w:sz w:val="22"/>
        </w:rPr>
        <w:fldChar w:fldCharType="separate"/>
      </w:r>
      <w:r w:rsidR="00C84127" w:rsidRPr="00E76013">
        <w:rPr>
          <w:rFonts w:ascii="Times New Roman" w:hAnsi="Times New Roman" w:cs="Times New Roman"/>
          <w:b/>
          <w:i w:val="0"/>
          <w:noProof/>
          <w:color w:val="auto"/>
          <w:sz w:val="22"/>
        </w:rPr>
        <w:t>8</w:t>
      </w:r>
      <w:r w:rsidRPr="00E76013">
        <w:rPr>
          <w:rFonts w:ascii="Times New Roman" w:hAnsi="Times New Roman" w:cs="Times New Roman"/>
          <w:b/>
          <w:i w:val="0"/>
          <w:noProof/>
          <w:color w:val="auto"/>
          <w:sz w:val="22"/>
        </w:rPr>
        <w:fldChar w:fldCharType="end"/>
      </w:r>
      <w:r w:rsidRPr="00E76013">
        <w:rPr>
          <w:rFonts w:ascii="Times New Roman" w:hAnsi="Times New Roman" w:cs="Times New Roman"/>
          <w:b/>
          <w:i w:val="0"/>
          <w:noProof/>
          <w:color w:val="auto"/>
          <w:sz w:val="22"/>
        </w:rPr>
        <w:t>: Contribution to digital objectives per relevant component</w:t>
      </w:r>
    </w:p>
    <w:tbl>
      <w:tblPr>
        <w:tblStyle w:val="TableGrid"/>
        <w:tblW w:w="0" w:type="auto"/>
        <w:tblLayout w:type="fixed"/>
        <w:tblLook w:val="04A0" w:firstRow="1" w:lastRow="0" w:firstColumn="1" w:lastColumn="0" w:noHBand="0" w:noVBand="1"/>
      </w:tblPr>
      <w:tblGrid>
        <w:gridCol w:w="4785"/>
        <w:gridCol w:w="1560"/>
        <w:gridCol w:w="1560"/>
        <w:gridCol w:w="1395"/>
      </w:tblGrid>
      <w:tr w:rsidR="14500D06" w:rsidRPr="00E76013" w14:paraId="4D4DA6BF" w14:textId="77777777" w:rsidTr="00096E75">
        <w:trPr>
          <w:trHeight w:val="1269"/>
        </w:trPr>
        <w:tc>
          <w:tcPr>
            <w:tcW w:w="47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59F26FD" w14:textId="65E9325D" w:rsidR="14500D06" w:rsidRPr="00E76013" w:rsidRDefault="14500D06">
            <w:pPr>
              <w:rPr>
                <w:rFonts w:ascii="Times New Roman" w:hAnsi="Times New Roman" w:cs="Times New Roman"/>
                <w:noProof/>
              </w:rPr>
            </w:pPr>
            <w:r w:rsidRPr="00E76013">
              <w:rPr>
                <w:rFonts w:ascii="Times New Roman" w:eastAsia="Times New Roman" w:hAnsi="Times New Roman" w:cs="Times New Roman"/>
                <w:b/>
                <w:bCs/>
                <w:noProof/>
              </w:rPr>
              <w:t>Component</w:t>
            </w:r>
          </w:p>
        </w:tc>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671102" w14:textId="13343967" w:rsidR="14500D06" w:rsidRPr="00E76013" w:rsidRDefault="14500D06" w:rsidP="14500D06">
            <w:pPr>
              <w:jc w:val="center"/>
              <w:rPr>
                <w:rFonts w:ascii="Times New Roman" w:hAnsi="Times New Roman" w:cs="Times New Roman"/>
                <w:noProof/>
              </w:rPr>
            </w:pPr>
            <w:r w:rsidRPr="00E76013">
              <w:rPr>
                <w:rFonts w:ascii="Times New Roman" w:eastAsia="Times New Roman" w:hAnsi="Times New Roman" w:cs="Times New Roman"/>
                <w:b/>
                <w:bCs/>
                <w:noProof/>
              </w:rPr>
              <w:t>Total cost (EUR million)</w:t>
            </w:r>
          </w:p>
        </w:tc>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87A50D" w14:textId="3264C2F6" w:rsidR="14500D06" w:rsidRPr="00E76013" w:rsidRDefault="14500D06" w:rsidP="14500D06">
            <w:pPr>
              <w:jc w:val="center"/>
              <w:rPr>
                <w:rFonts w:ascii="Times New Roman" w:hAnsi="Times New Roman" w:cs="Times New Roman"/>
                <w:noProof/>
              </w:rPr>
            </w:pPr>
            <w:r w:rsidRPr="00E76013">
              <w:rPr>
                <w:rFonts w:ascii="Times New Roman" w:eastAsia="Times New Roman" w:hAnsi="Times New Roman" w:cs="Times New Roman"/>
                <w:b/>
                <w:bCs/>
                <w:noProof/>
              </w:rPr>
              <w:t>Contribution to digital objectives</w:t>
            </w:r>
          </w:p>
          <w:p w14:paraId="196FBE69" w14:textId="3489D328" w:rsidR="14500D06" w:rsidRPr="00E76013" w:rsidRDefault="14500D06" w:rsidP="14500D06">
            <w:pPr>
              <w:jc w:val="center"/>
              <w:rPr>
                <w:rFonts w:ascii="Times New Roman" w:hAnsi="Times New Roman" w:cs="Times New Roman"/>
                <w:noProof/>
              </w:rPr>
            </w:pPr>
            <w:r w:rsidRPr="00E76013">
              <w:rPr>
                <w:rFonts w:ascii="Times New Roman" w:eastAsia="Times New Roman" w:hAnsi="Times New Roman" w:cs="Times New Roman"/>
                <w:b/>
                <w:bCs/>
                <w:noProof/>
              </w:rPr>
              <w:t>(EUR million)</w:t>
            </w:r>
          </w:p>
        </w:tc>
        <w:tc>
          <w:tcPr>
            <w:tcW w:w="139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5E5F86" w14:textId="626641A9" w:rsidR="14500D06" w:rsidRPr="00E76013" w:rsidRDefault="14500D06" w:rsidP="14500D06">
            <w:pPr>
              <w:jc w:val="center"/>
              <w:rPr>
                <w:rFonts w:ascii="Times New Roman" w:hAnsi="Times New Roman" w:cs="Times New Roman"/>
                <w:noProof/>
              </w:rPr>
            </w:pPr>
            <w:r w:rsidRPr="00E76013">
              <w:rPr>
                <w:rFonts w:ascii="Times New Roman" w:eastAsia="Times New Roman" w:hAnsi="Times New Roman" w:cs="Times New Roman"/>
                <w:b/>
                <w:bCs/>
                <w:noProof/>
              </w:rPr>
              <w:t>Share of contribution to digital objectives</w:t>
            </w:r>
          </w:p>
        </w:tc>
      </w:tr>
      <w:tr w:rsidR="14500D06" w:rsidRPr="00E76013" w14:paraId="11BD6C2B" w14:textId="77777777" w:rsidTr="14500D06">
        <w:tc>
          <w:tcPr>
            <w:tcW w:w="4785" w:type="dxa"/>
            <w:tcBorders>
              <w:top w:val="single" w:sz="8" w:space="0" w:color="auto"/>
              <w:left w:val="single" w:sz="8" w:space="0" w:color="000000" w:themeColor="text1"/>
              <w:bottom w:val="single" w:sz="8" w:space="0" w:color="000000" w:themeColor="text1"/>
              <w:right w:val="single" w:sz="8" w:space="0" w:color="000000" w:themeColor="text1"/>
            </w:tcBorders>
          </w:tcPr>
          <w:p w14:paraId="38A3C601" w14:textId="4B5F1AD6"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Education and skills</w:t>
            </w:r>
          </w:p>
        </w:tc>
        <w:tc>
          <w:tcPr>
            <w:tcW w:w="1560" w:type="dxa"/>
            <w:tcBorders>
              <w:top w:val="single" w:sz="8" w:space="0" w:color="auto"/>
              <w:left w:val="single" w:sz="8" w:space="0" w:color="000000" w:themeColor="text1"/>
              <w:bottom w:val="single" w:sz="8" w:space="0" w:color="000000" w:themeColor="text1"/>
              <w:right w:val="single" w:sz="8" w:space="0" w:color="000000" w:themeColor="text1"/>
            </w:tcBorders>
          </w:tcPr>
          <w:p w14:paraId="59BEE5B8" w14:textId="3AA4DFCD"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733.5</w:t>
            </w:r>
          </w:p>
        </w:tc>
        <w:tc>
          <w:tcPr>
            <w:tcW w:w="1560" w:type="dxa"/>
            <w:tcBorders>
              <w:top w:val="single" w:sz="8" w:space="0" w:color="auto"/>
              <w:left w:val="single" w:sz="8" w:space="0" w:color="000000" w:themeColor="text1"/>
              <w:bottom w:val="single" w:sz="8" w:space="0" w:color="000000" w:themeColor="text1"/>
              <w:right w:val="single" w:sz="8" w:space="0" w:color="000000" w:themeColor="text1"/>
            </w:tcBorders>
          </w:tcPr>
          <w:p w14:paraId="145F7906" w14:textId="27E1EB3F" w:rsidR="14500D06" w:rsidRPr="00E76013" w:rsidRDefault="49E96737" w:rsidP="00FF5BBC">
            <w:pPr>
              <w:spacing w:line="259" w:lineRule="auto"/>
              <w:jc w:val="center"/>
              <w:rPr>
                <w:rFonts w:ascii="Times New Roman" w:eastAsia="Times New Roman" w:hAnsi="Times New Roman" w:cs="Times New Roman"/>
                <w:noProof/>
                <w:sz w:val="20"/>
                <w:szCs w:val="20"/>
              </w:rPr>
            </w:pPr>
            <w:r w:rsidRPr="00E76013">
              <w:rPr>
                <w:rFonts w:ascii="Times New Roman" w:eastAsia="Times New Roman" w:hAnsi="Times New Roman" w:cs="Times New Roman"/>
                <w:noProof/>
                <w:color w:val="000000" w:themeColor="text1"/>
                <w:sz w:val="20"/>
                <w:szCs w:val="20"/>
              </w:rPr>
              <w:t>299.26</w:t>
            </w:r>
          </w:p>
        </w:tc>
        <w:tc>
          <w:tcPr>
            <w:tcW w:w="1395" w:type="dxa"/>
            <w:tcBorders>
              <w:top w:val="single" w:sz="8" w:space="0" w:color="auto"/>
              <w:left w:val="single" w:sz="8" w:space="0" w:color="000000" w:themeColor="text1"/>
              <w:bottom w:val="single" w:sz="8" w:space="0" w:color="000000" w:themeColor="text1"/>
              <w:right w:val="single" w:sz="8" w:space="0" w:color="000000" w:themeColor="text1"/>
            </w:tcBorders>
          </w:tcPr>
          <w:p w14:paraId="2C093316" w14:textId="75A90613"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w:t>
            </w:r>
            <w:r w:rsidR="5D070448" w:rsidRPr="00E76013">
              <w:rPr>
                <w:rFonts w:ascii="Times New Roman" w:eastAsia="Times New Roman" w:hAnsi="Times New Roman" w:cs="Times New Roman"/>
                <w:noProof/>
                <w:color w:val="000000" w:themeColor="text1"/>
                <w:sz w:val="20"/>
                <w:szCs w:val="20"/>
              </w:rPr>
              <w:t>40.8</w:t>
            </w:r>
            <w:r w:rsidRPr="00E76013">
              <w:rPr>
                <w:rFonts w:ascii="Times New Roman" w:eastAsia="Times New Roman" w:hAnsi="Times New Roman" w:cs="Times New Roman"/>
                <w:noProof/>
                <w:color w:val="000000" w:themeColor="text1"/>
                <w:sz w:val="20"/>
                <w:szCs w:val="20"/>
              </w:rPr>
              <w:t>%</w:t>
            </w:r>
          </w:p>
        </w:tc>
      </w:tr>
      <w:tr w:rsidR="14500D06" w:rsidRPr="00E76013" w14:paraId="0D111AA4"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529921" w14:textId="3FC48A0A"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Research and innovation</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7CB38" w14:textId="6BB150A5"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211.28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02992" w14:textId="34A2A21B" w:rsidR="14500D06" w:rsidRPr="00E76013" w:rsidRDefault="6ED89C1B" w:rsidP="14500D06">
            <w:pPr>
              <w:spacing w:line="257" w:lineRule="auto"/>
              <w:jc w:val="center"/>
              <w:rPr>
                <w:rFonts w:ascii="Times New Roman" w:hAnsi="Times New Roman" w:cs="Times New Roman"/>
                <w:noProof/>
              </w:rPr>
            </w:pPr>
            <w:r w:rsidRPr="00E76013">
              <w:rPr>
                <w:rFonts w:ascii="Times New Roman" w:eastAsia="Times New Roman" w:hAnsi="Times New Roman" w:cs="Times New Roman"/>
                <w:noProof/>
                <w:sz w:val="20"/>
                <w:szCs w:val="20"/>
              </w:rPr>
              <w:t xml:space="preserve"> 15.69</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CA170" w14:textId="3691E978"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7.4% </w:t>
            </w:r>
          </w:p>
        </w:tc>
      </w:tr>
      <w:tr w:rsidR="14500D06" w:rsidRPr="00E76013" w14:paraId="6244E8FE"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F3662" w14:textId="4367D091"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Smart industry</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F57B39" w14:textId="30B86F10"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w:t>
            </w:r>
            <w:r w:rsidR="5B3C1601" w:rsidRPr="00E76013">
              <w:rPr>
                <w:rFonts w:ascii="Times New Roman" w:eastAsia="Times New Roman" w:hAnsi="Times New Roman" w:cs="Times New Roman"/>
                <w:noProof/>
                <w:color w:val="000000" w:themeColor="text1"/>
                <w:sz w:val="20"/>
                <w:szCs w:val="20"/>
              </w:rPr>
              <w:t>800.6</w:t>
            </w:r>
            <w:r w:rsidR="00E141C2">
              <w:rPr>
                <w:rFonts w:ascii="Times New Roman" w:eastAsia="Times New Roman" w:hAnsi="Times New Roman" w:cs="Times New Roman"/>
                <w:noProof/>
                <w:color w:val="000000" w:themeColor="text1"/>
                <w:sz w:val="20"/>
                <w:szCs w:val="20"/>
              </w:rPr>
              <w:t>7</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3386C" w14:textId="6F9C3E2D" w:rsidR="14500D06" w:rsidRPr="00E76013" w:rsidRDefault="00E141C2" w:rsidP="00FF5BBC">
            <w:pPr>
              <w:spacing w:line="259"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color w:val="000000" w:themeColor="text1"/>
                <w:sz w:val="20"/>
                <w:szCs w:val="20"/>
              </w:rPr>
              <w:t>1</w:t>
            </w:r>
            <w:r w:rsidR="49E96737" w:rsidRPr="00E76013">
              <w:rPr>
                <w:rFonts w:ascii="Times New Roman" w:eastAsia="Times New Roman" w:hAnsi="Times New Roman" w:cs="Times New Roman"/>
                <w:noProof/>
                <w:color w:val="000000" w:themeColor="text1"/>
                <w:sz w:val="20"/>
                <w:szCs w:val="20"/>
              </w:rPr>
              <w:t>5.65</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FBC98" w14:textId="51F0B7AC" w:rsidR="14500D06" w:rsidRPr="00E76013" w:rsidRDefault="00E141C2" w:rsidP="00795A7B">
            <w:pPr>
              <w:jc w:val="center"/>
              <w:rPr>
                <w:rFonts w:ascii="Times New Roman" w:hAnsi="Times New Roman" w:cs="Times New Roman"/>
                <w:noProof/>
              </w:rPr>
            </w:pPr>
            <w:r>
              <w:rPr>
                <w:rFonts w:ascii="Times New Roman" w:eastAsia="Times New Roman" w:hAnsi="Times New Roman" w:cs="Times New Roman"/>
                <w:noProof/>
                <w:color w:val="000000" w:themeColor="text1"/>
                <w:sz w:val="20"/>
                <w:szCs w:val="20"/>
              </w:rPr>
              <w:t>2.0</w:t>
            </w:r>
            <w:r w:rsidR="6ED89C1B" w:rsidRPr="00E76013">
              <w:rPr>
                <w:rFonts w:ascii="Times New Roman" w:eastAsia="Times New Roman" w:hAnsi="Times New Roman" w:cs="Times New Roman"/>
                <w:noProof/>
                <w:color w:val="000000" w:themeColor="text1"/>
                <w:sz w:val="20"/>
                <w:szCs w:val="20"/>
              </w:rPr>
              <w:t>%</w:t>
            </w:r>
          </w:p>
        </w:tc>
      </w:tr>
      <w:tr w:rsidR="14500D06" w:rsidRPr="00E76013" w14:paraId="2FA98D82"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2FD75" w14:textId="194545A2"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Low-carbon economy</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961F25" w14:textId="4BE79AB6"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2612.51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818DF" w14:textId="66B82EE4" w:rsidR="14500D06" w:rsidRPr="00E76013" w:rsidRDefault="49E96737" w:rsidP="00FF5BBC">
            <w:pPr>
              <w:spacing w:line="259" w:lineRule="auto"/>
              <w:jc w:val="center"/>
              <w:rPr>
                <w:rFonts w:ascii="Times New Roman" w:eastAsia="Times New Roman" w:hAnsi="Times New Roman" w:cs="Times New Roman"/>
                <w:noProof/>
                <w:sz w:val="20"/>
                <w:szCs w:val="20"/>
              </w:rPr>
            </w:pPr>
            <w:r w:rsidRPr="00E76013">
              <w:rPr>
                <w:rFonts w:ascii="Times New Roman" w:eastAsia="Times New Roman" w:hAnsi="Times New Roman" w:cs="Times New Roman"/>
                <w:noProof/>
                <w:color w:val="000000" w:themeColor="text1"/>
                <w:sz w:val="20"/>
                <w:szCs w:val="20"/>
              </w:rPr>
              <w:t>395.29</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323DD" w14:textId="6DC5E5D8"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w:t>
            </w:r>
            <w:r w:rsidR="5D070448" w:rsidRPr="00E76013">
              <w:rPr>
                <w:rFonts w:ascii="Times New Roman" w:eastAsia="Times New Roman" w:hAnsi="Times New Roman" w:cs="Times New Roman"/>
                <w:noProof/>
                <w:color w:val="000000" w:themeColor="text1"/>
                <w:sz w:val="20"/>
                <w:szCs w:val="20"/>
              </w:rPr>
              <w:t>15.1</w:t>
            </w:r>
            <w:r w:rsidRPr="00E76013">
              <w:rPr>
                <w:rFonts w:ascii="Times New Roman" w:eastAsia="Times New Roman" w:hAnsi="Times New Roman" w:cs="Times New Roman"/>
                <w:noProof/>
                <w:color w:val="000000" w:themeColor="text1"/>
                <w:sz w:val="20"/>
                <w:szCs w:val="20"/>
              </w:rPr>
              <w:t>%</w:t>
            </w:r>
          </w:p>
        </w:tc>
      </w:tr>
      <w:tr w:rsidR="14500D06" w:rsidRPr="00E76013" w14:paraId="5F6F2A25"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27F68" w14:textId="0DCA20FC"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Biodiversity</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6AC05" w14:textId="34B57B0E"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47.5</w:t>
            </w:r>
            <w:r w:rsidR="00E141C2">
              <w:rPr>
                <w:rFonts w:ascii="Times New Roman" w:eastAsia="Times New Roman" w:hAnsi="Times New Roman" w:cs="Times New Roman"/>
                <w:noProof/>
                <w:color w:val="000000" w:themeColor="text1"/>
                <w:sz w:val="20"/>
                <w:szCs w:val="20"/>
              </w:rPr>
              <w:t>3</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BA0F9" w14:textId="5A720F64"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0</w:t>
            </w:r>
            <w:r w:rsidR="14500D06" w:rsidRPr="00E76013">
              <w:rPr>
                <w:rFonts w:ascii="Times New Roman" w:eastAsia="Times New Roman" w:hAnsi="Times New Roman" w:cs="Times New Roman"/>
                <w:noProof/>
                <w:color w:val="000000" w:themeColor="text1"/>
                <w:sz w:val="20"/>
                <w:szCs w:val="2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D0D8F" w14:textId="6026614F"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0%</w:t>
            </w:r>
            <w:r w:rsidR="14500D06" w:rsidRPr="00E76013">
              <w:rPr>
                <w:rFonts w:ascii="Times New Roman" w:eastAsia="Times New Roman" w:hAnsi="Times New Roman" w:cs="Times New Roman"/>
                <w:noProof/>
                <w:color w:val="000000" w:themeColor="text1"/>
                <w:sz w:val="20"/>
                <w:szCs w:val="20"/>
              </w:rPr>
              <w:t xml:space="preserve"> </w:t>
            </w:r>
          </w:p>
        </w:tc>
      </w:tr>
      <w:tr w:rsidR="14500D06" w:rsidRPr="00E76013" w14:paraId="53516F47"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54AA1" w14:textId="29BE3942"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Sustainable Agriculture</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94DEF" w14:textId="472DBCEE"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233.83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3633DA" w14:textId="1A106B21" w:rsidR="14500D06" w:rsidRPr="00E76013" w:rsidRDefault="25D82E8D" w:rsidP="25D82E8D">
            <w:pPr>
              <w:spacing w:line="259" w:lineRule="auto"/>
              <w:jc w:val="center"/>
              <w:rPr>
                <w:rFonts w:ascii="Times New Roman" w:eastAsia="Times New Roman" w:hAnsi="Times New Roman" w:cs="Times New Roman"/>
                <w:noProof/>
                <w:color w:val="000000" w:themeColor="text1"/>
                <w:sz w:val="20"/>
                <w:szCs w:val="20"/>
              </w:rPr>
            </w:pPr>
            <w:r w:rsidRPr="00E76013">
              <w:rPr>
                <w:rFonts w:ascii="Times New Roman" w:eastAsia="Times New Roman" w:hAnsi="Times New Roman" w:cs="Times New Roman"/>
                <w:noProof/>
                <w:color w:val="000000" w:themeColor="text1"/>
                <w:sz w:val="20"/>
                <w:szCs w:val="20"/>
              </w:rPr>
              <w:t>10.2</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6DB76" w14:textId="7D1EB5E9"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4.4% </w:t>
            </w:r>
          </w:p>
        </w:tc>
      </w:tr>
      <w:tr w:rsidR="14500D06" w:rsidRPr="00E76013" w14:paraId="6EE8CDC5"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2BB0B" w14:textId="6E64590C"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Digital Connectivity</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F975C" w14:textId="3A9968AE"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385.2</w:t>
            </w:r>
            <w:r w:rsidR="00E141C2">
              <w:rPr>
                <w:rFonts w:ascii="Times New Roman" w:eastAsia="Times New Roman" w:hAnsi="Times New Roman" w:cs="Times New Roman"/>
                <w:noProof/>
                <w:color w:val="000000" w:themeColor="text1"/>
                <w:sz w:val="20"/>
                <w:szCs w:val="20"/>
              </w:rPr>
              <w:t>2</w:t>
            </w:r>
            <w:r w:rsidRPr="00E76013">
              <w:rPr>
                <w:rFonts w:ascii="Times New Roman" w:eastAsia="Times New Roman" w:hAnsi="Times New Roman" w:cs="Times New Roman"/>
                <w:noProof/>
                <w:color w:val="000000" w:themeColor="text1"/>
                <w:sz w:val="20"/>
                <w:szCs w:val="20"/>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D00FC" w14:textId="241671B9" w:rsidR="14500D06" w:rsidRPr="00E76013" w:rsidRDefault="5D070448" w:rsidP="00795A7B">
            <w:pPr>
              <w:spacing w:line="257" w:lineRule="auto"/>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37</w:t>
            </w:r>
            <w:r w:rsidR="00E141C2">
              <w:rPr>
                <w:rFonts w:ascii="Times New Roman" w:eastAsia="Times New Roman" w:hAnsi="Times New Roman" w:cs="Times New Roman"/>
                <w:noProof/>
                <w:color w:val="000000" w:themeColor="text1"/>
                <w:sz w:val="20"/>
                <w:szCs w:val="20"/>
              </w:rPr>
              <w:t>1.60</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694DF" w14:textId="269B4A39"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96.</w:t>
            </w:r>
            <w:r w:rsidR="00E141C2">
              <w:rPr>
                <w:rFonts w:ascii="Times New Roman" w:eastAsia="Times New Roman" w:hAnsi="Times New Roman" w:cs="Times New Roman"/>
                <w:noProof/>
                <w:color w:val="000000" w:themeColor="text1"/>
                <w:sz w:val="20"/>
                <w:szCs w:val="20"/>
              </w:rPr>
              <w:t>5</w:t>
            </w:r>
            <w:r w:rsidRPr="00E76013">
              <w:rPr>
                <w:rFonts w:ascii="Times New Roman" w:eastAsia="Times New Roman" w:hAnsi="Times New Roman" w:cs="Times New Roman"/>
                <w:noProof/>
                <w:color w:val="000000" w:themeColor="text1"/>
                <w:sz w:val="20"/>
                <w:szCs w:val="20"/>
              </w:rPr>
              <w:t>%</w:t>
            </w:r>
          </w:p>
        </w:tc>
      </w:tr>
      <w:tr w:rsidR="14500D06" w:rsidRPr="00E76013" w14:paraId="62578AC0"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D32D8" w14:textId="6ADB0F09"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 xml:space="preserve">Sustainable Transport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06AA9" w14:textId="3E8A3C51" w:rsidR="14500D06" w:rsidRPr="00E76013" w:rsidRDefault="521C3A95"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66</w:t>
            </w:r>
            <w:r w:rsidR="00E141C2">
              <w:rPr>
                <w:rFonts w:ascii="Times New Roman" w:eastAsia="Times New Roman" w:hAnsi="Times New Roman" w:cs="Times New Roman"/>
                <w:noProof/>
                <w:color w:val="000000" w:themeColor="text1"/>
                <w:sz w:val="20"/>
                <w:szCs w:val="20"/>
              </w:rPr>
              <w:t>5.79</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03EEE1" w14:textId="3CFBCDF7" w:rsidR="14500D06" w:rsidRPr="00E76013" w:rsidRDefault="00E141C2" w:rsidP="14500D06">
            <w:pPr>
              <w:jc w:val="center"/>
              <w:rPr>
                <w:rFonts w:ascii="Times New Roman" w:hAnsi="Times New Roman" w:cs="Times New Roman"/>
                <w:noProof/>
              </w:rPr>
            </w:pPr>
            <w:r>
              <w:rPr>
                <w:rFonts w:ascii="Times New Roman" w:eastAsia="Times New Roman" w:hAnsi="Times New Roman" w:cs="Times New Roman"/>
                <w:noProof/>
                <w:color w:val="000000" w:themeColor="text1"/>
                <w:sz w:val="20"/>
                <w:szCs w:val="20"/>
              </w:rPr>
              <w:t>202.61</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228CB" w14:textId="5617D185" w:rsidR="14500D06" w:rsidRPr="00E76013" w:rsidRDefault="00E141C2" w:rsidP="25D82E8D">
            <w:pPr>
              <w:jc w:val="center"/>
              <w:rPr>
                <w:rFonts w:ascii="Times New Roman" w:hAnsi="Times New Roman" w:cs="Times New Roman"/>
                <w:noProof/>
              </w:rPr>
            </w:pPr>
            <w:r>
              <w:rPr>
                <w:rFonts w:ascii="Times New Roman" w:eastAsia="Times New Roman" w:hAnsi="Times New Roman" w:cs="Times New Roman"/>
                <w:noProof/>
                <w:color w:val="000000" w:themeColor="text1"/>
                <w:sz w:val="20"/>
                <w:szCs w:val="20"/>
              </w:rPr>
              <w:t>30.4</w:t>
            </w:r>
            <w:r w:rsidR="6ED89C1B" w:rsidRPr="00E76013">
              <w:rPr>
                <w:rFonts w:ascii="Times New Roman" w:eastAsia="Times New Roman" w:hAnsi="Times New Roman" w:cs="Times New Roman"/>
                <w:noProof/>
                <w:color w:val="000000" w:themeColor="text1"/>
                <w:sz w:val="20"/>
                <w:szCs w:val="20"/>
              </w:rPr>
              <w:t>%</w:t>
            </w:r>
          </w:p>
        </w:tc>
      </w:tr>
      <w:tr w:rsidR="14500D06" w:rsidRPr="00E76013" w14:paraId="3A45A76E"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8CFB2" w14:textId="34B80AD4"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Local Development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C647C" w14:textId="0C461869"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2</w:t>
            </w:r>
            <w:r w:rsidR="00E141C2">
              <w:rPr>
                <w:rFonts w:ascii="Times New Roman" w:eastAsia="Times New Roman" w:hAnsi="Times New Roman" w:cs="Times New Roman"/>
                <w:noProof/>
                <w:color w:val="000000" w:themeColor="text1"/>
                <w:sz w:val="20"/>
                <w:szCs w:val="20"/>
              </w:rPr>
              <w:t>11.11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7C4EC0" w14:textId="1C59379C" w:rsidR="14500D06" w:rsidRPr="00E76013" w:rsidRDefault="6ED89C1B" w:rsidP="14500D06">
            <w:pPr>
              <w:spacing w:line="257" w:lineRule="auto"/>
              <w:jc w:val="center"/>
              <w:rPr>
                <w:rFonts w:ascii="Times New Roman" w:hAnsi="Times New Roman" w:cs="Times New Roman"/>
                <w:noProof/>
              </w:rPr>
            </w:pPr>
            <w:r w:rsidRPr="00E76013">
              <w:rPr>
                <w:rFonts w:ascii="Times New Roman" w:eastAsia="Times New Roman" w:hAnsi="Times New Roman" w:cs="Times New Roman"/>
                <w:noProof/>
                <w:sz w:val="20"/>
                <w:szCs w:val="20"/>
              </w:rPr>
              <w:t>5</w:t>
            </w:r>
            <w:r w:rsidR="00E141C2">
              <w:rPr>
                <w:rFonts w:ascii="Times New Roman" w:eastAsia="Times New Roman" w:hAnsi="Times New Roman" w:cs="Times New Roman"/>
                <w:noProof/>
                <w:sz w:val="20"/>
                <w:szCs w:val="20"/>
              </w:rPr>
              <w:t>7.73</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C510F" w14:textId="0E6CCAD9"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sz w:val="20"/>
                <w:szCs w:val="20"/>
              </w:rPr>
              <w:t>2</w:t>
            </w:r>
            <w:r w:rsidR="00E141C2">
              <w:rPr>
                <w:rFonts w:ascii="Times New Roman" w:eastAsia="Times New Roman" w:hAnsi="Times New Roman" w:cs="Times New Roman"/>
                <w:noProof/>
                <w:sz w:val="20"/>
                <w:szCs w:val="20"/>
              </w:rPr>
              <w:t>7.3</w:t>
            </w:r>
            <w:r w:rsidRPr="00E76013">
              <w:rPr>
                <w:rFonts w:ascii="Times New Roman" w:eastAsia="Times New Roman" w:hAnsi="Times New Roman" w:cs="Times New Roman"/>
                <w:noProof/>
                <w:color w:val="000000" w:themeColor="text1"/>
                <w:sz w:val="20"/>
                <w:szCs w:val="20"/>
              </w:rPr>
              <w:t xml:space="preserve"> </w:t>
            </w:r>
          </w:p>
        </w:tc>
      </w:tr>
      <w:tr w:rsidR="14500D06" w:rsidRPr="00E76013" w14:paraId="2650B0FD"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2E5A0" w14:textId="42C1F74C"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Business Environment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98B61" w14:textId="74C82B9A" w:rsidR="14500D06" w:rsidRPr="00E76013" w:rsidRDefault="00E141C2" w:rsidP="14500D06">
            <w:pPr>
              <w:jc w:val="center"/>
              <w:rPr>
                <w:rFonts w:ascii="Times New Roman" w:hAnsi="Times New Roman" w:cs="Times New Roman"/>
                <w:noProof/>
              </w:rPr>
            </w:pPr>
            <w:r>
              <w:rPr>
                <w:rFonts w:ascii="Times New Roman" w:eastAsia="Times New Roman" w:hAnsi="Times New Roman" w:cs="Times New Roman"/>
                <w:noProof/>
                <w:color w:val="000000" w:themeColor="text1"/>
                <w:sz w:val="20"/>
                <w:szCs w:val="20"/>
              </w:rPr>
              <w:t>188.08</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D237B" w14:textId="295FC699" w:rsidR="14500D06" w:rsidRPr="00E76013" w:rsidRDefault="00E141C2" w:rsidP="14500D06">
            <w:pPr>
              <w:jc w:val="center"/>
              <w:rPr>
                <w:rFonts w:ascii="Times New Roman" w:hAnsi="Times New Roman" w:cs="Times New Roman"/>
                <w:noProof/>
              </w:rPr>
            </w:pPr>
            <w:r>
              <w:rPr>
                <w:rFonts w:ascii="Times New Roman" w:eastAsia="Times New Roman" w:hAnsi="Times New Roman" w:cs="Times New Roman"/>
                <w:noProof/>
                <w:color w:val="000000" w:themeColor="text1"/>
                <w:sz w:val="20"/>
                <w:szCs w:val="20"/>
              </w:rPr>
              <w:t>167.89</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405D3" w14:textId="6FE80656"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89.</w:t>
            </w:r>
            <w:r w:rsidR="00E141C2">
              <w:rPr>
                <w:rFonts w:ascii="Times New Roman" w:eastAsia="Times New Roman" w:hAnsi="Times New Roman" w:cs="Times New Roman"/>
                <w:noProof/>
                <w:color w:val="000000" w:themeColor="text1"/>
                <w:sz w:val="20"/>
                <w:szCs w:val="20"/>
              </w:rPr>
              <w:t>3</w:t>
            </w:r>
            <w:r w:rsidRPr="00E76013">
              <w:rPr>
                <w:rFonts w:ascii="Times New Roman" w:eastAsia="Times New Roman" w:hAnsi="Times New Roman" w:cs="Times New Roman"/>
                <w:noProof/>
                <w:color w:val="000000" w:themeColor="text1"/>
                <w:sz w:val="20"/>
                <w:szCs w:val="20"/>
              </w:rPr>
              <w:t xml:space="preserve">% </w:t>
            </w:r>
          </w:p>
        </w:tc>
      </w:tr>
      <w:tr w:rsidR="14500D06" w:rsidRPr="00E76013" w14:paraId="2B265C6F"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02D32" w14:textId="007AC346"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Social Inclusion</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8EDCD" w14:textId="6BCFB6D1"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440.38</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F61BC" w14:textId="578F1686"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 43.</w:t>
            </w:r>
            <w:r w:rsidR="5D070448" w:rsidRPr="00E76013">
              <w:rPr>
                <w:rFonts w:ascii="Times New Roman" w:eastAsia="Times New Roman" w:hAnsi="Times New Roman" w:cs="Times New Roman"/>
                <w:noProof/>
                <w:color w:val="000000" w:themeColor="text1"/>
                <w:sz w:val="20"/>
                <w:szCs w:val="20"/>
              </w:rPr>
              <w:t>7</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1E24E2" w14:textId="297F73C5" w:rsidR="14500D06" w:rsidRPr="00E76013" w:rsidRDefault="5D070448"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9.9</w:t>
            </w:r>
            <w:r w:rsidR="6ED89C1B" w:rsidRPr="00E76013">
              <w:rPr>
                <w:rFonts w:ascii="Times New Roman" w:eastAsia="Times New Roman" w:hAnsi="Times New Roman" w:cs="Times New Roman"/>
                <w:noProof/>
                <w:color w:val="000000" w:themeColor="text1"/>
                <w:sz w:val="20"/>
                <w:szCs w:val="20"/>
              </w:rPr>
              <w:t>%</w:t>
            </w:r>
          </w:p>
        </w:tc>
      </w:tr>
      <w:tr w:rsidR="14500D06" w:rsidRPr="00E76013" w14:paraId="5B4B1DAC"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C868E" w14:textId="25B040A1" w:rsidR="14500D06" w:rsidRPr="00E76013" w:rsidRDefault="14500D06" w:rsidP="14500D06">
            <w:pPr>
              <w:pStyle w:val="ListParagraph"/>
              <w:numPr>
                <w:ilvl w:val="0"/>
                <w:numId w:val="2"/>
              </w:numPr>
              <w:rPr>
                <w:rFonts w:ascii="Times New Roman" w:eastAsiaTheme="minorEastAsia" w:hAnsi="Times New Roman" w:cs="Times New Roman"/>
                <w:noProof/>
                <w:sz w:val="20"/>
                <w:szCs w:val="20"/>
              </w:rPr>
            </w:pPr>
            <w:r w:rsidRPr="00E76013">
              <w:rPr>
                <w:rFonts w:ascii="Times New Roman" w:eastAsia="Times New Roman" w:hAnsi="Times New Roman" w:cs="Times New Roman"/>
                <w:noProof/>
                <w:sz w:val="20"/>
                <w:szCs w:val="20"/>
              </w:rPr>
              <w:t>Healthcare</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763E6" w14:textId="36538E0A" w:rsidR="14500D06" w:rsidRPr="00E76013" w:rsidRDefault="6ED89C1B" w:rsidP="00795A7B">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367.9</w:t>
            </w:r>
            <w:r w:rsidR="00E141C2">
              <w:rPr>
                <w:rFonts w:ascii="Times New Roman" w:eastAsia="Times New Roman" w:hAnsi="Times New Roman" w:cs="Times New Roman"/>
                <w:noProof/>
                <w:color w:val="000000" w:themeColor="text1"/>
                <w:sz w:val="20"/>
                <w:szCs w:val="20"/>
              </w:rPr>
              <w:t>6</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F9469" w14:textId="57ABA145" w:rsidR="14500D06" w:rsidRPr="00E76013" w:rsidRDefault="6ED89C1B" w:rsidP="14500D06">
            <w:pPr>
              <w:spacing w:line="257" w:lineRule="auto"/>
              <w:jc w:val="center"/>
              <w:rPr>
                <w:rFonts w:ascii="Times New Roman" w:hAnsi="Times New Roman" w:cs="Times New Roman"/>
                <w:noProof/>
              </w:rPr>
            </w:pPr>
            <w:r w:rsidRPr="00E76013">
              <w:rPr>
                <w:rFonts w:ascii="Times New Roman" w:eastAsia="Times New Roman" w:hAnsi="Times New Roman" w:cs="Times New Roman"/>
                <w:noProof/>
                <w:sz w:val="20"/>
                <w:szCs w:val="20"/>
              </w:rPr>
              <w:t xml:space="preserve"> 36.47</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0E5163" w14:textId="0F06E732" w:rsidR="14500D06" w:rsidRPr="00E76013" w:rsidRDefault="6ED89C1B" w:rsidP="14500D0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sz w:val="20"/>
                <w:szCs w:val="20"/>
              </w:rPr>
              <w:t xml:space="preserve">9.9% </w:t>
            </w:r>
          </w:p>
        </w:tc>
      </w:tr>
      <w:tr w:rsidR="14500D06" w:rsidRPr="00E76013" w14:paraId="2C6C10B8" w14:textId="77777777" w:rsidTr="14500D06">
        <w:tc>
          <w:tcPr>
            <w:tcW w:w="4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6026E" w14:textId="76E20F4C" w:rsidR="14500D06" w:rsidRPr="00E76013" w:rsidRDefault="14500D06">
            <w:pPr>
              <w:rPr>
                <w:rFonts w:ascii="Times New Roman" w:hAnsi="Times New Roman" w:cs="Times New Roman"/>
                <w:noProof/>
              </w:rPr>
            </w:pPr>
            <w:r w:rsidRPr="00E76013">
              <w:rPr>
                <w:rFonts w:ascii="Times New Roman" w:eastAsia="Times New Roman" w:hAnsi="Times New Roman" w:cs="Times New Roman"/>
                <w:b/>
                <w:bCs/>
                <w:noProof/>
              </w:rPr>
              <w:t>Total</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CBBABA" w14:textId="4591A394" w:rsidR="14500D06" w:rsidRPr="00E76013" w:rsidRDefault="5D070448" w:rsidP="14500D06">
            <w:pPr>
              <w:jc w:val="center"/>
              <w:rPr>
                <w:rFonts w:ascii="Times New Roman" w:eastAsia="Times New Roman" w:hAnsi="Times New Roman" w:cs="Times New Roman"/>
                <w:b/>
                <w:noProof/>
                <w:sz w:val="20"/>
                <w:szCs w:val="20"/>
              </w:rPr>
            </w:pPr>
            <w:r w:rsidRPr="00E76013">
              <w:rPr>
                <w:rFonts w:ascii="Times New Roman" w:eastAsia="Times New Roman" w:hAnsi="Times New Roman" w:cs="Times New Roman"/>
                <w:b/>
                <w:bCs/>
                <w:noProof/>
                <w:sz w:val="20"/>
                <w:szCs w:val="20"/>
              </w:rPr>
              <w:t xml:space="preserve"> </w:t>
            </w:r>
            <w:r w:rsidR="00785E3F">
              <w:rPr>
                <w:rFonts w:ascii="Times New Roman" w:eastAsia="Times New Roman" w:hAnsi="Times New Roman" w:cs="Times New Roman"/>
                <w:b/>
                <w:bCs/>
                <w:noProof/>
                <w:sz w:val="20"/>
                <w:szCs w:val="20"/>
              </w:rPr>
              <w:t xml:space="preserve">6 </w:t>
            </w:r>
            <w:r w:rsidR="00E141C2">
              <w:rPr>
                <w:rFonts w:ascii="Times New Roman" w:eastAsia="Times New Roman" w:hAnsi="Times New Roman" w:cs="Times New Roman"/>
                <w:b/>
                <w:bCs/>
                <w:noProof/>
                <w:sz w:val="20"/>
                <w:szCs w:val="20"/>
              </w:rPr>
              <w:t>8</w:t>
            </w:r>
            <w:r w:rsidR="768A7A1F" w:rsidRPr="00E76013">
              <w:rPr>
                <w:rFonts w:ascii="Times New Roman" w:eastAsia="Times New Roman" w:hAnsi="Times New Roman" w:cs="Times New Roman"/>
                <w:b/>
                <w:bCs/>
                <w:noProof/>
                <w:sz w:val="20"/>
                <w:szCs w:val="20"/>
              </w:rPr>
              <w:t>9</w:t>
            </w:r>
            <w:r w:rsidR="00E141C2">
              <w:rPr>
                <w:rFonts w:ascii="Times New Roman" w:eastAsia="Times New Roman" w:hAnsi="Times New Roman" w:cs="Times New Roman"/>
                <w:b/>
                <w:bCs/>
                <w:noProof/>
                <w:sz w:val="20"/>
                <w:szCs w:val="20"/>
              </w:rPr>
              <w:t>7</w:t>
            </w:r>
            <w:r w:rsidR="768A7A1F" w:rsidRPr="00E76013">
              <w:rPr>
                <w:rFonts w:ascii="Times New Roman" w:eastAsia="Times New Roman" w:hAnsi="Times New Roman" w:cs="Times New Roman"/>
                <w:b/>
                <w:bCs/>
                <w:noProof/>
                <w:sz w:val="20"/>
                <w:szCs w:val="20"/>
              </w:rPr>
              <w:t>.</w:t>
            </w:r>
            <w:r w:rsidR="00E141C2">
              <w:rPr>
                <w:rFonts w:ascii="Times New Roman" w:eastAsia="Times New Roman" w:hAnsi="Times New Roman" w:cs="Times New Roman"/>
                <w:b/>
                <w:bCs/>
                <w:noProof/>
                <w:sz w:val="20"/>
                <w:szCs w:val="20"/>
              </w:rPr>
              <w:t>90</w:t>
            </w:r>
          </w:p>
        </w:tc>
        <w:tc>
          <w:tcPr>
            <w:tcW w:w="1560" w:type="dxa"/>
            <w:tcBorders>
              <w:top w:val="single" w:sz="8" w:space="0" w:color="000000" w:themeColor="text1"/>
              <w:left w:val="single" w:sz="8" w:space="0" w:color="000000" w:themeColor="text1"/>
              <w:bottom w:val="single" w:sz="8" w:space="0" w:color="auto"/>
              <w:right w:val="single" w:sz="8" w:space="0" w:color="auto"/>
            </w:tcBorders>
          </w:tcPr>
          <w:p w14:paraId="72F0AC2A" w14:textId="12540526" w:rsidR="14500D06" w:rsidRPr="00E76013" w:rsidRDefault="5D070448" w:rsidP="00795A7B">
            <w:pPr>
              <w:jc w:val="center"/>
              <w:rPr>
                <w:rFonts w:ascii="Times New Roman" w:eastAsia="Times New Roman" w:hAnsi="Times New Roman" w:cs="Times New Roman"/>
                <w:b/>
                <w:noProof/>
                <w:sz w:val="20"/>
                <w:szCs w:val="20"/>
              </w:rPr>
            </w:pPr>
            <w:r w:rsidRPr="00E76013">
              <w:rPr>
                <w:rFonts w:ascii="Times New Roman" w:eastAsia="Times New Roman" w:hAnsi="Times New Roman" w:cs="Times New Roman"/>
                <w:b/>
                <w:bCs/>
                <w:noProof/>
                <w:sz w:val="20"/>
                <w:szCs w:val="20"/>
              </w:rPr>
              <w:t>1</w:t>
            </w:r>
            <w:r w:rsidR="00785E3F">
              <w:rPr>
                <w:rFonts w:ascii="Times New Roman" w:eastAsia="Times New Roman" w:hAnsi="Times New Roman" w:cs="Times New Roman"/>
                <w:b/>
                <w:bCs/>
                <w:noProof/>
                <w:sz w:val="20"/>
                <w:szCs w:val="20"/>
              </w:rPr>
              <w:t xml:space="preserve"> </w:t>
            </w:r>
            <w:r w:rsidRPr="00E76013">
              <w:rPr>
                <w:rFonts w:ascii="Times New Roman" w:eastAsia="Times New Roman" w:hAnsi="Times New Roman" w:cs="Times New Roman"/>
                <w:b/>
                <w:bCs/>
                <w:noProof/>
                <w:sz w:val="20"/>
                <w:szCs w:val="20"/>
              </w:rPr>
              <w:t>6</w:t>
            </w:r>
            <w:r w:rsidR="00E141C2">
              <w:rPr>
                <w:rFonts w:ascii="Times New Roman" w:eastAsia="Times New Roman" w:hAnsi="Times New Roman" w:cs="Times New Roman"/>
                <w:b/>
                <w:bCs/>
                <w:noProof/>
                <w:sz w:val="20"/>
                <w:szCs w:val="20"/>
              </w:rPr>
              <w:t>16</w:t>
            </w:r>
            <w:r w:rsidRPr="00E76013">
              <w:rPr>
                <w:rFonts w:ascii="Times New Roman" w:eastAsia="Times New Roman" w:hAnsi="Times New Roman" w:cs="Times New Roman"/>
                <w:b/>
                <w:bCs/>
                <w:noProof/>
                <w:sz w:val="20"/>
                <w:szCs w:val="20"/>
              </w:rPr>
              <w:t>.</w:t>
            </w:r>
            <w:r w:rsidR="00E141C2">
              <w:rPr>
                <w:rFonts w:ascii="Times New Roman" w:eastAsia="Times New Roman" w:hAnsi="Times New Roman" w:cs="Times New Roman"/>
                <w:b/>
                <w:bCs/>
                <w:noProof/>
                <w:sz w:val="20"/>
                <w:szCs w:val="20"/>
              </w:rPr>
              <w:t>08</w:t>
            </w:r>
          </w:p>
        </w:tc>
        <w:tc>
          <w:tcPr>
            <w:tcW w:w="1395" w:type="dxa"/>
            <w:tcBorders>
              <w:top w:val="single" w:sz="8" w:space="0" w:color="000000" w:themeColor="text1"/>
              <w:left w:val="single" w:sz="8" w:space="0" w:color="auto"/>
              <w:bottom w:val="single" w:sz="8" w:space="0" w:color="auto"/>
              <w:right w:val="single" w:sz="8" w:space="0" w:color="auto"/>
            </w:tcBorders>
          </w:tcPr>
          <w:p w14:paraId="7B70995E" w14:textId="5A013112" w:rsidR="14500D06" w:rsidRPr="00E76013" w:rsidRDefault="124D6113" w:rsidP="14500D06">
            <w:pPr>
              <w:jc w:val="center"/>
              <w:rPr>
                <w:rFonts w:ascii="Times New Roman" w:hAnsi="Times New Roman" w:cs="Times New Roman"/>
                <w:noProof/>
              </w:rPr>
            </w:pPr>
            <w:r w:rsidRPr="00E76013">
              <w:rPr>
                <w:rFonts w:ascii="Times New Roman" w:eastAsia="Times New Roman" w:hAnsi="Times New Roman" w:cs="Times New Roman"/>
                <w:b/>
                <w:bCs/>
                <w:noProof/>
                <w:sz w:val="20"/>
                <w:szCs w:val="20"/>
              </w:rPr>
              <w:t>2</w:t>
            </w:r>
            <w:r w:rsidR="00E141C2">
              <w:rPr>
                <w:rFonts w:ascii="Times New Roman" w:eastAsia="Times New Roman" w:hAnsi="Times New Roman" w:cs="Times New Roman"/>
                <w:b/>
                <w:bCs/>
                <w:noProof/>
                <w:sz w:val="20"/>
                <w:szCs w:val="20"/>
              </w:rPr>
              <w:t>5</w:t>
            </w:r>
            <w:r w:rsidRPr="00E76013">
              <w:rPr>
                <w:rFonts w:ascii="Times New Roman" w:eastAsia="Times New Roman" w:hAnsi="Times New Roman" w:cs="Times New Roman"/>
                <w:b/>
                <w:bCs/>
                <w:noProof/>
                <w:sz w:val="20"/>
                <w:szCs w:val="20"/>
              </w:rPr>
              <w:t>.</w:t>
            </w:r>
            <w:r w:rsidR="00E141C2">
              <w:rPr>
                <w:rFonts w:ascii="Times New Roman" w:eastAsia="Times New Roman" w:hAnsi="Times New Roman" w:cs="Times New Roman"/>
                <w:b/>
                <w:bCs/>
                <w:noProof/>
                <w:sz w:val="20"/>
                <w:szCs w:val="20"/>
              </w:rPr>
              <w:t>8</w:t>
            </w:r>
            <w:r w:rsidR="6ED89C1B" w:rsidRPr="00E76013">
              <w:rPr>
                <w:rFonts w:ascii="Times New Roman" w:eastAsia="Times New Roman" w:hAnsi="Times New Roman" w:cs="Times New Roman"/>
                <w:b/>
                <w:noProof/>
                <w:sz w:val="20"/>
                <w:szCs w:val="20"/>
              </w:rPr>
              <w:t xml:space="preserve">% </w:t>
            </w:r>
          </w:p>
        </w:tc>
      </w:tr>
    </w:tbl>
    <w:p w14:paraId="0AC36E0A" w14:textId="3ECB2CF8" w:rsidR="14500D06" w:rsidRPr="00E76013" w:rsidRDefault="14500D06" w:rsidP="14500D06">
      <w:pPr>
        <w:spacing w:line="276" w:lineRule="auto"/>
        <w:jc w:val="both"/>
        <w:rPr>
          <w:rFonts w:ascii="Times New Roman" w:eastAsia="Times New Roman" w:hAnsi="Times New Roman" w:cs="Times New Roman"/>
          <w:noProof/>
          <w:sz w:val="24"/>
          <w:szCs w:val="24"/>
          <w:lang w:val="en-GB"/>
        </w:rPr>
      </w:pPr>
    </w:p>
    <w:p w14:paraId="1388F7C5" w14:textId="40157D91" w:rsidR="00F96DB7" w:rsidRPr="00E76013" w:rsidRDefault="00F96DB7"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noProof/>
          <w:sz w:val="24"/>
          <w:szCs w:val="24"/>
          <w:lang w:val="en-GB"/>
        </w:rPr>
        <w:t xml:space="preserve">As </w:t>
      </w:r>
      <w:r w:rsidR="001110E1" w:rsidRPr="00E76013">
        <w:rPr>
          <w:rFonts w:ascii="Times New Roman" w:eastAsia="Times New Roman" w:hAnsi="Times New Roman" w:cs="Times New Roman"/>
          <w:noProof/>
          <w:sz w:val="24"/>
          <w:szCs w:val="24"/>
          <w:lang w:val="en-GB"/>
        </w:rPr>
        <w:t>shown</w:t>
      </w:r>
      <w:r w:rsidRPr="00E76013">
        <w:rPr>
          <w:rFonts w:ascii="Times New Roman" w:eastAsia="Times New Roman" w:hAnsi="Times New Roman" w:cs="Times New Roman"/>
          <w:noProof/>
          <w:sz w:val="24"/>
          <w:szCs w:val="24"/>
          <w:lang w:val="en-GB"/>
        </w:rPr>
        <w:t xml:space="preserve"> in Table </w:t>
      </w:r>
      <w:r w:rsidR="00872774">
        <w:rPr>
          <w:rFonts w:ascii="Times New Roman" w:eastAsia="Times New Roman" w:hAnsi="Times New Roman" w:cs="Times New Roman"/>
          <w:noProof/>
          <w:sz w:val="24"/>
          <w:szCs w:val="24"/>
          <w:lang w:val="en-GB"/>
        </w:rPr>
        <w:t>8</w:t>
      </w:r>
      <w:r w:rsidRPr="00E76013">
        <w:rPr>
          <w:rFonts w:ascii="Times New Roman" w:eastAsia="Times New Roman" w:hAnsi="Times New Roman" w:cs="Times New Roman"/>
          <w:noProof/>
          <w:sz w:val="24"/>
          <w:szCs w:val="24"/>
          <w:lang w:val="en-GB"/>
        </w:rPr>
        <w:t xml:space="preserve">, </w:t>
      </w:r>
      <w:r w:rsidR="005A41EE" w:rsidRPr="00E76013">
        <w:rPr>
          <w:rFonts w:ascii="Times New Roman" w:eastAsia="Times New Roman" w:hAnsi="Times New Roman" w:cs="Times New Roman"/>
          <w:noProof/>
          <w:sz w:val="24"/>
          <w:szCs w:val="24"/>
          <w:lang w:val="en-GB"/>
        </w:rPr>
        <w:t xml:space="preserve">nearly </w:t>
      </w:r>
      <w:r w:rsidRPr="00E76013">
        <w:rPr>
          <w:rFonts w:ascii="Times New Roman" w:eastAsia="Times New Roman" w:hAnsi="Times New Roman" w:cs="Times New Roman"/>
          <w:noProof/>
          <w:sz w:val="24"/>
          <w:szCs w:val="24"/>
          <w:lang w:val="en-GB"/>
        </w:rPr>
        <w:t xml:space="preserve">all components have a digital contribution that has been tagged accordingly to the methodology set out in Annex VII to the RRF </w:t>
      </w:r>
      <w:r w:rsidR="00846017">
        <w:rPr>
          <w:rFonts w:ascii="Times New Roman" w:eastAsia="Times New Roman" w:hAnsi="Times New Roman" w:cs="Times New Roman"/>
          <w:noProof/>
          <w:sz w:val="24"/>
          <w:szCs w:val="24"/>
          <w:lang w:val="en-GB"/>
        </w:rPr>
        <w:t>R</w:t>
      </w:r>
      <w:r w:rsidRPr="00E76013">
        <w:rPr>
          <w:rFonts w:ascii="Times New Roman" w:eastAsia="Times New Roman" w:hAnsi="Times New Roman" w:cs="Times New Roman"/>
          <w:noProof/>
          <w:sz w:val="24"/>
          <w:szCs w:val="24"/>
          <w:lang w:val="en-GB"/>
        </w:rPr>
        <w:t xml:space="preserve">egulation. This reflects a broad cross-cutting approach followed by the </w:t>
      </w:r>
      <w:r w:rsidR="00512A28"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in which digital related investments are included in the majority of the targeted policy areas and </w:t>
      </w:r>
      <w:r w:rsidR="008877A8" w:rsidRPr="00E76013">
        <w:rPr>
          <w:rFonts w:ascii="Times New Roman" w:eastAsia="Times New Roman" w:hAnsi="Times New Roman" w:cs="Times New Roman"/>
          <w:noProof/>
          <w:sz w:val="24"/>
          <w:szCs w:val="24"/>
          <w:lang w:val="en-GB"/>
        </w:rPr>
        <w:t xml:space="preserve">in </w:t>
      </w:r>
      <w:r w:rsidR="00F81EA2" w:rsidRPr="00E76013">
        <w:rPr>
          <w:rFonts w:ascii="Times New Roman" w:eastAsia="Times New Roman" w:hAnsi="Times New Roman" w:cs="Times New Roman"/>
          <w:noProof/>
          <w:sz w:val="24"/>
          <w:szCs w:val="24"/>
          <w:lang w:val="en-GB"/>
        </w:rPr>
        <w:t>eleven</w:t>
      </w:r>
      <w:r w:rsidR="008877A8"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components.</w:t>
      </w:r>
    </w:p>
    <w:p w14:paraId="50DAC70A" w14:textId="798377C8" w:rsidR="006151ED" w:rsidRPr="00E76013" w:rsidRDefault="532ECC6D"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i/>
          <w:iCs/>
          <w:noProof/>
          <w:sz w:val="24"/>
          <w:szCs w:val="24"/>
          <w:lang w:val="en-GB"/>
        </w:rPr>
        <w:t>Digital transition</w:t>
      </w:r>
    </w:p>
    <w:p w14:paraId="2E2807DC" w14:textId="20C80DC9" w:rsidR="0091539C" w:rsidRPr="00E76013" w:rsidRDefault="41743879" w:rsidP="008963AA">
      <w:pPr>
        <w:spacing w:line="276" w:lineRule="auto"/>
        <w:jc w:val="both"/>
        <w:rPr>
          <w:rFonts w:ascii="Times New Roman" w:hAnsi="Times New Roman" w:cs="Times New Roman"/>
          <w:noProof/>
        </w:rPr>
      </w:pPr>
      <w:r w:rsidRPr="00E76013">
        <w:rPr>
          <w:rFonts w:ascii="Times New Roman" w:eastAsia="Times New Roman" w:hAnsi="Times New Roman" w:cs="Times New Roman"/>
          <w:b/>
          <w:bCs/>
          <w:noProof/>
          <w:sz w:val="24"/>
          <w:szCs w:val="24"/>
        </w:rPr>
        <w:t xml:space="preserve">Bulgaria’s Plan puts a strong emphasis on the digital transition and addresses challenges resulting from it across all sectors. </w:t>
      </w:r>
      <w:r w:rsidRPr="00E76013">
        <w:rPr>
          <w:rFonts w:ascii="Times New Roman" w:eastAsia="Times New Roman" w:hAnsi="Times New Roman" w:cs="Times New Roman"/>
          <w:noProof/>
          <w:sz w:val="24"/>
          <w:szCs w:val="24"/>
        </w:rPr>
        <w:t xml:space="preserve">The measures of the Plan cover six of the seven priority areas identified in the Annex VII </w:t>
      </w:r>
      <w:r w:rsidR="10E98363" w:rsidRPr="36F18C84">
        <w:rPr>
          <w:rFonts w:ascii="Times New Roman" w:eastAsia="Times New Roman" w:hAnsi="Times New Roman" w:cs="Times New Roman"/>
          <w:noProof/>
          <w:sz w:val="24"/>
          <w:szCs w:val="24"/>
        </w:rPr>
        <w:t xml:space="preserve">to </w:t>
      </w:r>
      <w:r w:rsidRPr="00E76013">
        <w:rPr>
          <w:rFonts w:ascii="Times New Roman" w:eastAsia="Times New Roman" w:hAnsi="Times New Roman" w:cs="Times New Roman"/>
          <w:noProof/>
          <w:sz w:val="24"/>
          <w:szCs w:val="24"/>
        </w:rPr>
        <w:t xml:space="preserve">the </w:t>
      </w:r>
      <w:r w:rsidR="10E98363" w:rsidRPr="36F18C84">
        <w:rPr>
          <w:rFonts w:ascii="Times New Roman" w:eastAsia="Times New Roman" w:hAnsi="Times New Roman" w:cs="Times New Roman"/>
          <w:noProof/>
          <w:sz w:val="24"/>
          <w:szCs w:val="24"/>
        </w:rPr>
        <w:t>RRF</w:t>
      </w:r>
      <w:r w:rsidRPr="00E76013">
        <w:rPr>
          <w:rFonts w:ascii="Times New Roman" w:eastAsia="Times New Roman" w:hAnsi="Times New Roman" w:cs="Times New Roman"/>
          <w:noProof/>
          <w:sz w:val="24"/>
          <w:szCs w:val="24"/>
        </w:rPr>
        <w:t xml:space="preserve"> Regulation: connectivity, human capital, digital public services, digitalisation of businesses, investment in digital capacities, deployment of advanced technologies and digital-related investment in R&amp;D. </w:t>
      </w:r>
      <w:r w:rsidR="68E72331" w:rsidRPr="00E76013">
        <w:rPr>
          <w:rFonts w:ascii="Times New Roman" w:eastAsia="Times New Roman" w:hAnsi="Times New Roman" w:cs="Times New Roman"/>
          <w:noProof/>
          <w:sz w:val="24"/>
          <w:szCs w:val="24"/>
        </w:rPr>
        <w:t xml:space="preserve">The </w:t>
      </w:r>
      <w:r w:rsidR="11E19204" w:rsidRPr="00E76013">
        <w:rPr>
          <w:rFonts w:ascii="Times New Roman" w:eastAsia="Times New Roman" w:hAnsi="Times New Roman" w:cs="Times New Roman"/>
          <w:noProof/>
          <w:sz w:val="24"/>
          <w:szCs w:val="24"/>
        </w:rPr>
        <w:t xml:space="preserve">Plan </w:t>
      </w:r>
      <w:r w:rsidR="68E72331" w:rsidRPr="00E76013">
        <w:rPr>
          <w:rFonts w:ascii="Times New Roman" w:eastAsia="Times New Roman" w:hAnsi="Times New Roman" w:cs="Times New Roman"/>
          <w:noProof/>
          <w:sz w:val="24"/>
          <w:szCs w:val="24"/>
        </w:rPr>
        <w:t>also tackles the four strategic priorities identified at EU level and reaffirmed in the communication on Europe’s Digital Decade</w:t>
      </w:r>
      <w:r w:rsidR="005672D6" w:rsidRPr="00E76013">
        <w:rPr>
          <w:rStyle w:val="FootnoteReference"/>
          <w:rFonts w:ascii="Times New Roman" w:eastAsia="Times New Roman" w:hAnsi="Times New Roman" w:cs="Times New Roman"/>
          <w:noProof/>
          <w:sz w:val="24"/>
          <w:szCs w:val="24"/>
        </w:rPr>
        <w:footnoteReference w:id="16"/>
      </w:r>
      <w:r w:rsidR="68E72331" w:rsidRPr="00E76013">
        <w:rPr>
          <w:rFonts w:ascii="Times New Roman" w:eastAsia="Times New Roman" w:hAnsi="Times New Roman" w:cs="Times New Roman"/>
          <w:noProof/>
          <w:sz w:val="24"/>
          <w:szCs w:val="24"/>
        </w:rPr>
        <w:t>: digital transformation of businesses, skills,</w:t>
      </w:r>
      <w:r w:rsidR="4DA70B0F" w:rsidRPr="00E76013">
        <w:rPr>
          <w:rFonts w:ascii="Times New Roman" w:eastAsia="Times New Roman" w:hAnsi="Times New Roman" w:cs="Times New Roman"/>
          <w:noProof/>
          <w:sz w:val="24"/>
          <w:szCs w:val="24"/>
        </w:rPr>
        <w:t xml:space="preserve"> </w:t>
      </w:r>
      <w:r w:rsidR="68E72331" w:rsidRPr="00E76013">
        <w:rPr>
          <w:rFonts w:ascii="Times New Roman" w:eastAsia="Times New Roman" w:hAnsi="Times New Roman" w:cs="Times New Roman"/>
          <w:noProof/>
          <w:sz w:val="24"/>
          <w:szCs w:val="24"/>
        </w:rPr>
        <w:t>digitalisation of public services, and infrastructures</w:t>
      </w:r>
      <w:r w:rsidR="68E72331" w:rsidRPr="00E76013">
        <w:rPr>
          <w:rFonts w:ascii="Times New Roman" w:hAnsi="Times New Roman" w:cs="Times New Roman"/>
          <w:noProof/>
        </w:rPr>
        <w:t>.</w:t>
      </w:r>
    </w:p>
    <w:p w14:paraId="0C88383C" w14:textId="0B84D763" w:rsidR="00983102" w:rsidRPr="00E76013" w:rsidRDefault="00021ABF" w:rsidP="008963AA">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 xml:space="preserve">Connectivity </w:t>
      </w:r>
    </w:p>
    <w:p w14:paraId="2EADE416" w14:textId="44841A87" w:rsidR="00470886" w:rsidRPr="00E76013" w:rsidRDefault="19FBA10E"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rPr>
        <w:t>The</w:t>
      </w:r>
      <w:r w:rsidR="6BBE1FE1" w:rsidRPr="00E76013">
        <w:rPr>
          <w:rFonts w:ascii="Times New Roman" w:eastAsia="Times New Roman" w:hAnsi="Times New Roman" w:cs="Times New Roman"/>
          <w:b/>
          <w:bCs/>
          <w:noProof/>
          <w:sz w:val="24"/>
          <w:szCs w:val="24"/>
        </w:rPr>
        <w:t xml:space="preserve"> reforms and investments in component 7 (Digital Connectivity) are expected to increase national broadband coverage with very high capacity networks (VHCN) in areas where there is insufficient commercial interest</w:t>
      </w:r>
      <w:r w:rsidR="6BBE1FE1" w:rsidRPr="00E76013">
        <w:rPr>
          <w:rFonts w:ascii="Times New Roman" w:eastAsia="Times New Roman" w:hAnsi="Times New Roman" w:cs="Times New Roman"/>
          <w:noProof/>
          <w:sz w:val="24"/>
          <w:szCs w:val="24"/>
        </w:rPr>
        <w:t>.</w:t>
      </w:r>
      <w:r w:rsidR="6BBE1FE1" w:rsidRPr="00E76013">
        <w:rPr>
          <w:rFonts w:ascii="Times New Roman" w:eastAsia="Times New Roman" w:hAnsi="Times New Roman" w:cs="Times New Roman"/>
          <w:b/>
          <w:bCs/>
          <w:noProof/>
          <w:sz w:val="24"/>
          <w:szCs w:val="24"/>
        </w:rPr>
        <w:t xml:space="preserve"> </w:t>
      </w:r>
      <w:r w:rsidR="5E209838" w:rsidRPr="00E76013">
        <w:rPr>
          <w:rFonts w:ascii="Times New Roman" w:eastAsia="Times New Roman" w:hAnsi="Times New Roman" w:cs="Times New Roman"/>
          <w:noProof/>
          <w:sz w:val="24"/>
          <w:szCs w:val="24"/>
        </w:rPr>
        <w:t xml:space="preserve">The current low digital connectivity hinders the development of Bulgaria’s digital economy </w:t>
      </w:r>
      <w:r w:rsidR="6485EDCE" w:rsidRPr="00E76013">
        <w:rPr>
          <w:rFonts w:ascii="Times New Roman" w:eastAsia="Times New Roman" w:hAnsi="Times New Roman" w:cs="Times New Roman"/>
          <w:noProof/>
          <w:sz w:val="24"/>
          <w:szCs w:val="24"/>
        </w:rPr>
        <w:t xml:space="preserve">and </w:t>
      </w:r>
      <w:r w:rsidR="33BB5FE1" w:rsidRPr="00E76013">
        <w:rPr>
          <w:rFonts w:ascii="Times New Roman" w:eastAsia="Times New Roman" w:hAnsi="Times New Roman" w:cs="Times New Roman"/>
          <w:noProof/>
          <w:sz w:val="24"/>
          <w:szCs w:val="24"/>
        </w:rPr>
        <w:t>underpins</w:t>
      </w:r>
      <w:r w:rsidR="5E209838" w:rsidRPr="00E76013">
        <w:rPr>
          <w:rFonts w:ascii="Times New Roman" w:eastAsia="Times New Roman" w:hAnsi="Times New Roman" w:cs="Times New Roman"/>
          <w:noProof/>
          <w:sz w:val="24"/>
          <w:szCs w:val="24"/>
        </w:rPr>
        <w:t xml:space="preserve"> the digital divide between urban and rural areas. The </w:t>
      </w:r>
      <w:r w:rsidR="6BBE1FE1" w:rsidRPr="00E76013">
        <w:rPr>
          <w:rFonts w:ascii="Times New Roman" w:eastAsia="Times New Roman" w:hAnsi="Times New Roman" w:cs="Times New Roman"/>
          <w:noProof/>
          <w:sz w:val="24"/>
          <w:szCs w:val="24"/>
        </w:rPr>
        <w:t xml:space="preserve">reforms </w:t>
      </w:r>
      <w:r w:rsidR="33BB5FE1" w:rsidRPr="00E76013">
        <w:rPr>
          <w:rFonts w:ascii="Times New Roman" w:eastAsia="Times New Roman" w:hAnsi="Times New Roman" w:cs="Times New Roman"/>
          <w:noProof/>
          <w:sz w:val="24"/>
          <w:szCs w:val="24"/>
        </w:rPr>
        <w:t>are expected to</w:t>
      </w:r>
      <w:r w:rsidR="6BBE1FE1" w:rsidRPr="00E76013">
        <w:rPr>
          <w:rFonts w:ascii="Times New Roman" w:eastAsia="Times New Roman" w:hAnsi="Times New Roman" w:cs="Times New Roman"/>
          <w:noProof/>
          <w:sz w:val="24"/>
          <w:szCs w:val="24"/>
        </w:rPr>
        <w:t xml:space="preserve"> reduc</w:t>
      </w:r>
      <w:r w:rsidR="33BB5FE1" w:rsidRPr="00E76013">
        <w:rPr>
          <w:rFonts w:ascii="Times New Roman" w:eastAsia="Times New Roman" w:hAnsi="Times New Roman" w:cs="Times New Roman"/>
          <w:noProof/>
          <w:sz w:val="24"/>
          <w:szCs w:val="24"/>
        </w:rPr>
        <w:t>e</w:t>
      </w:r>
      <w:r w:rsidR="6BBE1FE1" w:rsidRPr="00E76013">
        <w:rPr>
          <w:rFonts w:ascii="Times New Roman" w:eastAsia="Times New Roman" w:hAnsi="Times New Roman" w:cs="Times New Roman"/>
          <w:noProof/>
          <w:sz w:val="24"/>
          <w:szCs w:val="24"/>
        </w:rPr>
        <w:t xml:space="preserve"> the administrative burden and streamline procedures and fees associated with 5G deployment. </w:t>
      </w:r>
      <w:r w:rsidR="66D77B3E" w:rsidRPr="00E76013">
        <w:rPr>
          <w:rFonts w:ascii="Times New Roman" w:eastAsia="Times New Roman" w:hAnsi="Times New Roman" w:cs="Times New Roman"/>
          <w:noProof/>
          <w:sz w:val="24"/>
          <w:szCs w:val="24"/>
        </w:rPr>
        <w:t>In addition, t</w:t>
      </w:r>
      <w:r w:rsidR="6BBE1FE1" w:rsidRPr="00E76013">
        <w:rPr>
          <w:rFonts w:ascii="Times New Roman" w:eastAsia="Times New Roman" w:hAnsi="Times New Roman" w:cs="Times New Roman"/>
          <w:noProof/>
          <w:sz w:val="24"/>
          <w:szCs w:val="24"/>
        </w:rPr>
        <w:t xml:space="preserve">he investment of 269 million aims to </w:t>
      </w:r>
      <w:r w:rsidR="00ED2A5B" w:rsidRPr="00E76013">
        <w:rPr>
          <w:rFonts w:ascii="Times New Roman" w:eastAsia="Times New Roman" w:hAnsi="Times New Roman" w:cs="Times New Roman"/>
          <w:noProof/>
          <w:sz w:val="24"/>
          <w:szCs w:val="24"/>
        </w:rPr>
        <w:t xml:space="preserve">upgrade and extend the coverage of the State network to all municipal </w:t>
      </w:r>
      <w:r w:rsidR="00751CDF" w:rsidRPr="00E76013">
        <w:rPr>
          <w:rFonts w:ascii="Times New Roman" w:eastAsia="Times New Roman" w:hAnsi="Times New Roman" w:cs="Times New Roman"/>
          <w:noProof/>
          <w:sz w:val="24"/>
          <w:szCs w:val="24"/>
        </w:rPr>
        <w:t>centers</w:t>
      </w:r>
      <w:r w:rsidR="00ED2A5B" w:rsidRPr="00E76013">
        <w:rPr>
          <w:rFonts w:ascii="Times New Roman" w:eastAsia="Times New Roman" w:hAnsi="Times New Roman" w:cs="Times New Roman"/>
          <w:noProof/>
          <w:sz w:val="24"/>
          <w:szCs w:val="24"/>
        </w:rPr>
        <w:t xml:space="preserve"> and </w:t>
      </w:r>
      <w:r w:rsidR="6BBE1FE1" w:rsidRPr="00E76013">
        <w:rPr>
          <w:rFonts w:ascii="Times New Roman" w:eastAsia="Times New Roman" w:hAnsi="Times New Roman" w:cs="Times New Roman"/>
          <w:noProof/>
          <w:sz w:val="24"/>
          <w:szCs w:val="24"/>
        </w:rPr>
        <w:t xml:space="preserve">provide coverage with VHCNs in areas where this infrastructure is unlikely to be developed soon due to the lack of market interest (“white areas”). </w:t>
      </w:r>
      <w:r w:rsidR="006651AB" w:rsidRPr="00E76013">
        <w:rPr>
          <w:rFonts w:ascii="Times New Roman" w:eastAsia="Times New Roman" w:hAnsi="Times New Roman" w:cs="Times New Roman"/>
          <w:noProof/>
          <w:sz w:val="24"/>
          <w:szCs w:val="24"/>
        </w:rPr>
        <w:t xml:space="preserve">The measures also foresee granting effective wholesale access to the </w:t>
      </w:r>
      <w:r w:rsidR="000E2D96" w:rsidRPr="00E76013">
        <w:rPr>
          <w:rFonts w:ascii="Times New Roman" w:eastAsia="Times New Roman" w:hAnsi="Times New Roman" w:cs="Times New Roman"/>
          <w:noProof/>
          <w:sz w:val="24"/>
          <w:szCs w:val="24"/>
        </w:rPr>
        <w:t xml:space="preserve">upgraded or newly constructed </w:t>
      </w:r>
      <w:r w:rsidR="006651AB" w:rsidRPr="00E76013">
        <w:rPr>
          <w:rFonts w:ascii="Times New Roman" w:eastAsia="Times New Roman" w:hAnsi="Times New Roman" w:cs="Times New Roman"/>
          <w:noProof/>
          <w:sz w:val="24"/>
          <w:szCs w:val="24"/>
        </w:rPr>
        <w:t xml:space="preserve">network to </w:t>
      </w:r>
      <w:r w:rsidR="00836785" w:rsidRPr="00E76013">
        <w:rPr>
          <w:rFonts w:ascii="Times New Roman" w:eastAsia="Times New Roman" w:hAnsi="Times New Roman" w:cs="Times New Roman"/>
          <w:noProof/>
          <w:sz w:val="24"/>
          <w:szCs w:val="24"/>
          <w:lang w:val="en-GB"/>
        </w:rPr>
        <w:t>providers</w:t>
      </w:r>
      <w:r w:rsidR="006651AB" w:rsidRPr="00E76013">
        <w:rPr>
          <w:rFonts w:ascii="Times New Roman" w:eastAsia="Times New Roman" w:hAnsi="Times New Roman" w:cs="Times New Roman"/>
          <w:noProof/>
          <w:sz w:val="24"/>
          <w:szCs w:val="24"/>
          <w:lang w:val="en-GB"/>
        </w:rPr>
        <w:t xml:space="preserve"> of </w:t>
      </w:r>
      <w:r w:rsidR="00836785" w:rsidRPr="00E76013">
        <w:rPr>
          <w:rFonts w:ascii="Times New Roman" w:eastAsia="Times New Roman" w:hAnsi="Times New Roman" w:cs="Times New Roman"/>
          <w:noProof/>
          <w:sz w:val="24"/>
          <w:szCs w:val="24"/>
          <w:lang w:val="en-GB"/>
        </w:rPr>
        <w:t xml:space="preserve">services of general interest and </w:t>
      </w:r>
      <w:r w:rsidR="006651AB" w:rsidRPr="00E76013">
        <w:rPr>
          <w:rFonts w:ascii="Times New Roman" w:eastAsia="Times New Roman" w:hAnsi="Times New Roman" w:cs="Times New Roman"/>
          <w:noProof/>
          <w:sz w:val="24"/>
          <w:szCs w:val="24"/>
        </w:rPr>
        <w:t>telecom operators, thus maximising the impact and coverage of the investments.</w:t>
      </w:r>
      <w:r w:rsidR="00ED2A5B" w:rsidRPr="00E76013">
        <w:rPr>
          <w:rFonts w:ascii="Times New Roman" w:eastAsia="Times New Roman" w:hAnsi="Times New Roman" w:cs="Times New Roman"/>
          <w:noProof/>
          <w:sz w:val="24"/>
          <w:szCs w:val="24"/>
        </w:rPr>
        <w:t xml:space="preserve"> </w:t>
      </w:r>
      <w:r w:rsidR="002252AB" w:rsidRPr="00E76013">
        <w:rPr>
          <w:rFonts w:ascii="Times New Roman" w:eastAsia="Times New Roman" w:hAnsi="Times New Roman" w:cs="Times New Roman"/>
          <w:noProof/>
          <w:sz w:val="24"/>
          <w:szCs w:val="24"/>
        </w:rPr>
        <w:t>In addition, to stimulate 5G development</w:t>
      </w:r>
      <w:r w:rsidR="00652300">
        <w:rPr>
          <w:rFonts w:ascii="Times New Roman" w:eastAsia="Times New Roman" w:hAnsi="Times New Roman" w:cs="Times New Roman"/>
          <w:noProof/>
          <w:sz w:val="24"/>
          <w:szCs w:val="24"/>
        </w:rPr>
        <w:t>,</w:t>
      </w:r>
      <w:r w:rsidR="002252AB" w:rsidRPr="00E76013">
        <w:rPr>
          <w:rFonts w:ascii="Times New Roman" w:eastAsia="Times New Roman" w:hAnsi="Times New Roman" w:cs="Times New Roman"/>
          <w:noProof/>
          <w:sz w:val="24"/>
          <w:szCs w:val="24"/>
        </w:rPr>
        <w:t xml:space="preserve"> the </w:t>
      </w:r>
      <w:r w:rsidR="00751CDF" w:rsidRPr="00E76013">
        <w:rPr>
          <w:rFonts w:ascii="Times New Roman" w:eastAsia="Times New Roman" w:hAnsi="Times New Roman" w:cs="Times New Roman"/>
          <w:noProof/>
          <w:sz w:val="24"/>
          <w:szCs w:val="24"/>
        </w:rPr>
        <w:t>fiber</w:t>
      </w:r>
      <w:r w:rsidR="002252AB" w:rsidRPr="00E76013">
        <w:rPr>
          <w:rFonts w:ascii="Times New Roman" w:eastAsia="Times New Roman" w:hAnsi="Times New Roman" w:cs="Times New Roman"/>
          <w:noProof/>
          <w:sz w:val="24"/>
          <w:szCs w:val="24"/>
        </w:rPr>
        <w:t xml:space="preserve"> backhaul will also be open to mobile operators.</w:t>
      </w:r>
      <w:r w:rsidR="00ED2A5B" w:rsidRPr="00E76013">
        <w:rPr>
          <w:rFonts w:ascii="Times New Roman" w:eastAsia="Times New Roman" w:hAnsi="Times New Roman" w:cs="Times New Roman"/>
          <w:noProof/>
          <w:sz w:val="24"/>
          <w:szCs w:val="24"/>
        </w:rPr>
        <w:t xml:space="preserve"> </w:t>
      </w:r>
      <w:r w:rsidR="6BBE1FE1" w:rsidRPr="00E76013">
        <w:rPr>
          <w:rFonts w:ascii="Times New Roman" w:eastAsia="Times New Roman" w:hAnsi="Times New Roman" w:cs="Times New Roman"/>
          <w:noProof/>
          <w:sz w:val="24"/>
          <w:szCs w:val="24"/>
        </w:rPr>
        <w:t xml:space="preserve">The measures included in the Plan therefore contribute to </w:t>
      </w:r>
      <w:r w:rsidR="6485EDCE" w:rsidRPr="00E76013">
        <w:rPr>
          <w:rFonts w:ascii="Times New Roman" w:eastAsia="Times New Roman" w:hAnsi="Times New Roman" w:cs="Times New Roman"/>
          <w:noProof/>
          <w:sz w:val="24"/>
          <w:szCs w:val="24"/>
        </w:rPr>
        <w:t>reducing</w:t>
      </w:r>
      <w:r w:rsidR="6BBE1FE1" w:rsidRPr="00E76013">
        <w:rPr>
          <w:rFonts w:ascii="Times New Roman" w:eastAsia="Times New Roman" w:hAnsi="Times New Roman" w:cs="Times New Roman"/>
          <w:noProof/>
          <w:sz w:val="24"/>
          <w:szCs w:val="24"/>
        </w:rPr>
        <w:t xml:space="preserve"> the urban rural divide and </w:t>
      </w:r>
      <w:r w:rsidR="45E10FD5" w:rsidRPr="00E76013">
        <w:rPr>
          <w:rFonts w:ascii="Times New Roman" w:eastAsia="Times New Roman" w:hAnsi="Times New Roman" w:cs="Times New Roman"/>
          <w:noProof/>
          <w:sz w:val="24"/>
          <w:szCs w:val="24"/>
        </w:rPr>
        <w:t xml:space="preserve">to </w:t>
      </w:r>
      <w:r w:rsidR="6BBE1FE1" w:rsidRPr="00E76013">
        <w:rPr>
          <w:rFonts w:ascii="Times New Roman" w:eastAsia="Times New Roman" w:hAnsi="Times New Roman" w:cs="Times New Roman"/>
          <w:noProof/>
          <w:sz w:val="24"/>
          <w:szCs w:val="24"/>
        </w:rPr>
        <w:t>c</w:t>
      </w:r>
      <w:r w:rsidR="45E10FD5" w:rsidRPr="00E76013">
        <w:rPr>
          <w:rFonts w:ascii="Times New Roman" w:eastAsia="Times New Roman" w:hAnsi="Times New Roman" w:cs="Times New Roman"/>
          <w:noProof/>
          <w:sz w:val="24"/>
          <w:szCs w:val="24"/>
        </w:rPr>
        <w:t>reating</w:t>
      </w:r>
      <w:r w:rsidR="6BBE1FE1" w:rsidRPr="00E76013">
        <w:rPr>
          <w:rFonts w:ascii="Times New Roman" w:eastAsia="Times New Roman" w:hAnsi="Times New Roman" w:cs="Times New Roman"/>
          <w:noProof/>
          <w:sz w:val="24"/>
          <w:szCs w:val="24"/>
        </w:rPr>
        <w:t xml:space="preserve"> prerequisites for equal access to </w:t>
      </w:r>
      <w:r w:rsidR="0052359B" w:rsidRPr="00E76013">
        <w:rPr>
          <w:rFonts w:ascii="Times New Roman" w:eastAsia="Times New Roman" w:hAnsi="Times New Roman" w:cs="Times New Roman"/>
          <w:noProof/>
          <w:sz w:val="24"/>
          <w:szCs w:val="24"/>
        </w:rPr>
        <w:t xml:space="preserve">high speed </w:t>
      </w:r>
      <w:r w:rsidR="6BBE1FE1" w:rsidRPr="00E76013">
        <w:rPr>
          <w:rFonts w:ascii="Times New Roman" w:eastAsia="Times New Roman" w:hAnsi="Times New Roman" w:cs="Times New Roman"/>
          <w:noProof/>
          <w:sz w:val="24"/>
          <w:szCs w:val="24"/>
        </w:rPr>
        <w:t xml:space="preserve">connectivity services </w:t>
      </w:r>
      <w:r w:rsidR="6729025A" w:rsidRPr="00E76013">
        <w:rPr>
          <w:rFonts w:ascii="Times New Roman" w:eastAsia="Times New Roman" w:hAnsi="Times New Roman" w:cs="Times New Roman"/>
          <w:noProof/>
          <w:sz w:val="24"/>
          <w:szCs w:val="24"/>
        </w:rPr>
        <w:t>for</w:t>
      </w:r>
      <w:r w:rsidR="6BBE1FE1" w:rsidRPr="00E76013">
        <w:rPr>
          <w:rFonts w:ascii="Times New Roman" w:eastAsia="Times New Roman" w:hAnsi="Times New Roman" w:cs="Times New Roman"/>
          <w:noProof/>
          <w:sz w:val="24"/>
          <w:szCs w:val="24"/>
        </w:rPr>
        <w:t xml:space="preserve"> all citizens. </w:t>
      </w:r>
      <w:r w:rsidR="63A08AEB" w:rsidRPr="00E76013">
        <w:rPr>
          <w:rFonts w:ascii="Times New Roman" w:eastAsia="Times New Roman" w:hAnsi="Times New Roman" w:cs="Times New Roman"/>
          <w:noProof/>
          <w:sz w:val="24"/>
          <w:szCs w:val="24"/>
        </w:rPr>
        <w:t xml:space="preserve">In addition, </w:t>
      </w:r>
      <w:r w:rsidR="03F64310" w:rsidRPr="00E76013">
        <w:rPr>
          <w:rFonts w:ascii="Times New Roman" w:eastAsia="Times New Roman" w:hAnsi="Times New Roman" w:cs="Times New Roman"/>
          <w:noProof/>
          <w:sz w:val="24"/>
          <w:szCs w:val="24"/>
        </w:rPr>
        <w:t>the Plan envisages the provision of access to access points for ultra-fast connection to the Bulgarian Academy of Science (BAS), the National Supercomputing Center in Sofia High Tech Park and universities and scientific institutes</w:t>
      </w:r>
      <w:r w:rsidR="002B0F60" w:rsidRPr="00E76013">
        <w:rPr>
          <w:rFonts w:ascii="Times New Roman" w:eastAsia="Times New Roman" w:hAnsi="Times New Roman" w:cs="Times New Roman"/>
          <w:noProof/>
          <w:sz w:val="24"/>
          <w:szCs w:val="24"/>
        </w:rPr>
        <w:t>, enabling them to participate in European research networks such as GEANT</w:t>
      </w:r>
      <w:r w:rsidR="03F64310" w:rsidRPr="00E76013">
        <w:rPr>
          <w:rFonts w:ascii="Times New Roman" w:eastAsia="Times New Roman" w:hAnsi="Times New Roman" w:cs="Times New Roman"/>
          <w:noProof/>
          <w:sz w:val="24"/>
          <w:szCs w:val="24"/>
        </w:rPr>
        <w:t xml:space="preserve">. The investment in connectivity thus establishes the necessary connectivity infrastructure in order to foster research and innovation in Bulgaria, thereby supporting other </w:t>
      </w:r>
      <w:r w:rsidR="4876D1B4" w:rsidRPr="00E76013">
        <w:rPr>
          <w:rFonts w:ascii="Times New Roman" w:eastAsia="Times New Roman" w:hAnsi="Times New Roman" w:cs="Times New Roman"/>
          <w:noProof/>
          <w:sz w:val="24"/>
          <w:szCs w:val="24"/>
        </w:rPr>
        <w:t>prominent objectives</w:t>
      </w:r>
      <w:r w:rsidR="03F64310" w:rsidRPr="00E76013">
        <w:rPr>
          <w:rFonts w:ascii="Times New Roman" w:eastAsia="Times New Roman" w:hAnsi="Times New Roman" w:cs="Times New Roman"/>
          <w:noProof/>
          <w:sz w:val="24"/>
          <w:szCs w:val="24"/>
        </w:rPr>
        <w:t xml:space="preserve"> of the Plan.</w:t>
      </w:r>
    </w:p>
    <w:p w14:paraId="6E47CDC6" w14:textId="798377C8" w:rsidR="00021ABF" w:rsidRPr="00E76013" w:rsidRDefault="00021ABF" w:rsidP="008963AA">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E-government and digital public services</w:t>
      </w:r>
    </w:p>
    <w:p w14:paraId="57B0FDCA" w14:textId="2AA6B5DC" w:rsidR="002E7C85" w:rsidRPr="00E76013" w:rsidRDefault="002E7C85" w:rsidP="008963AA">
      <w:pPr>
        <w:spacing w:line="276" w:lineRule="auto"/>
        <w:jc w:val="both"/>
        <w:rPr>
          <w:rFonts w:ascii="Times New Roman" w:eastAsia="Times New Roman" w:hAnsi="Times New Roman" w:cs="Times New Roman"/>
          <w:noProof/>
          <w:sz w:val="24"/>
          <w:szCs w:val="24"/>
        </w:rPr>
      </w:pPr>
      <w:r w:rsidRPr="00751CDF">
        <w:rPr>
          <w:rFonts w:ascii="Times New Roman" w:eastAsia="Times New Roman" w:hAnsi="Times New Roman" w:cs="Times New Roman"/>
          <w:b/>
          <w:noProof/>
          <w:sz w:val="24"/>
          <w:szCs w:val="24"/>
        </w:rPr>
        <w:t xml:space="preserve">The </w:t>
      </w:r>
      <w:r w:rsidR="00272372" w:rsidRPr="00751CDF">
        <w:rPr>
          <w:rFonts w:ascii="Times New Roman" w:eastAsia="Times New Roman" w:hAnsi="Times New Roman" w:cs="Times New Roman"/>
          <w:b/>
          <w:noProof/>
          <w:sz w:val="24"/>
          <w:szCs w:val="24"/>
        </w:rPr>
        <w:t xml:space="preserve">Plan includes a </w:t>
      </w:r>
      <w:r w:rsidR="00473924" w:rsidRPr="00751CDF">
        <w:rPr>
          <w:rFonts w:ascii="Times New Roman" w:eastAsia="Times New Roman" w:hAnsi="Times New Roman" w:cs="Times New Roman"/>
          <w:b/>
          <w:noProof/>
          <w:sz w:val="24"/>
          <w:szCs w:val="24"/>
        </w:rPr>
        <w:t>large</w:t>
      </w:r>
      <w:r w:rsidR="00CD1172" w:rsidRPr="00751CDF">
        <w:rPr>
          <w:rFonts w:ascii="Times New Roman" w:eastAsia="Times New Roman" w:hAnsi="Times New Roman" w:cs="Times New Roman"/>
          <w:b/>
          <w:noProof/>
          <w:sz w:val="24"/>
          <w:szCs w:val="24"/>
        </w:rPr>
        <w:t xml:space="preserve"> </w:t>
      </w:r>
      <w:r w:rsidR="00272372" w:rsidRPr="00751CDF">
        <w:rPr>
          <w:rFonts w:ascii="Times New Roman" w:eastAsia="Times New Roman" w:hAnsi="Times New Roman" w:cs="Times New Roman"/>
          <w:b/>
          <w:noProof/>
          <w:sz w:val="24"/>
          <w:szCs w:val="24"/>
        </w:rPr>
        <w:t>number of measures</w:t>
      </w:r>
      <w:r w:rsidR="00065BD2" w:rsidRPr="00751CDF">
        <w:rPr>
          <w:rFonts w:ascii="Times New Roman" w:eastAsia="Times New Roman" w:hAnsi="Times New Roman" w:cs="Times New Roman"/>
          <w:b/>
          <w:noProof/>
          <w:sz w:val="24"/>
          <w:szCs w:val="24"/>
        </w:rPr>
        <w:t xml:space="preserve"> in several components</w:t>
      </w:r>
      <w:r w:rsidR="00272372" w:rsidRPr="00751CDF">
        <w:rPr>
          <w:rFonts w:ascii="Times New Roman" w:eastAsia="Times New Roman" w:hAnsi="Times New Roman" w:cs="Times New Roman"/>
          <w:b/>
          <w:noProof/>
          <w:sz w:val="24"/>
          <w:szCs w:val="24"/>
        </w:rPr>
        <w:t xml:space="preserve"> aimed at </w:t>
      </w:r>
      <w:r w:rsidR="001A448A" w:rsidRPr="00751CDF">
        <w:rPr>
          <w:rFonts w:ascii="Times New Roman" w:eastAsia="Times New Roman" w:hAnsi="Times New Roman" w:cs="Times New Roman"/>
          <w:b/>
          <w:noProof/>
          <w:sz w:val="24"/>
          <w:szCs w:val="24"/>
        </w:rPr>
        <w:t>the digitalisation of the public administration</w:t>
      </w:r>
      <w:r w:rsidR="00C01A62">
        <w:rPr>
          <w:rFonts w:ascii="Times New Roman" w:eastAsia="Times New Roman" w:hAnsi="Times New Roman" w:cs="Times New Roman"/>
          <w:b/>
          <w:noProof/>
          <w:sz w:val="24"/>
          <w:szCs w:val="24"/>
        </w:rPr>
        <w:t>, including the judiciary</w:t>
      </w:r>
      <w:r w:rsidR="00272372" w:rsidRPr="39BF4F98">
        <w:rPr>
          <w:rFonts w:ascii="Times New Roman" w:eastAsia="Times New Roman" w:hAnsi="Times New Roman" w:cs="Times New Roman"/>
          <w:b/>
          <w:bCs/>
          <w:noProof/>
          <w:sz w:val="24"/>
          <w:szCs w:val="24"/>
        </w:rPr>
        <w:t xml:space="preserve">. </w:t>
      </w:r>
      <w:r w:rsidR="00272372" w:rsidRPr="00751CDF">
        <w:rPr>
          <w:rFonts w:ascii="Times New Roman" w:eastAsia="Times New Roman" w:hAnsi="Times New Roman" w:cs="Times New Roman"/>
          <w:noProof/>
          <w:sz w:val="24"/>
          <w:szCs w:val="24"/>
        </w:rPr>
        <w:t xml:space="preserve">These measures are expected to </w:t>
      </w:r>
      <w:r w:rsidR="005F668C" w:rsidRPr="00E76013">
        <w:rPr>
          <w:rFonts w:ascii="Times New Roman" w:eastAsia="Times New Roman" w:hAnsi="Times New Roman" w:cs="Times New Roman"/>
          <w:noProof/>
          <w:sz w:val="24"/>
          <w:szCs w:val="24"/>
        </w:rPr>
        <w:t xml:space="preserve">contribute to reducing the administrative </w:t>
      </w:r>
      <w:r w:rsidR="001A448A" w:rsidRPr="00E76013">
        <w:rPr>
          <w:rFonts w:ascii="Times New Roman" w:eastAsia="Times New Roman" w:hAnsi="Times New Roman" w:cs="Times New Roman"/>
          <w:noProof/>
          <w:sz w:val="24"/>
          <w:szCs w:val="24"/>
        </w:rPr>
        <w:t>burden on citizens and businesses</w:t>
      </w:r>
      <w:r w:rsidR="007E7980" w:rsidRPr="00E76013">
        <w:rPr>
          <w:rFonts w:ascii="Times New Roman" w:eastAsia="Times New Roman" w:hAnsi="Times New Roman" w:cs="Times New Roman"/>
          <w:noProof/>
          <w:sz w:val="24"/>
          <w:szCs w:val="24"/>
        </w:rPr>
        <w:t xml:space="preserve">, </w:t>
      </w:r>
      <w:r w:rsidR="00A47DED" w:rsidRPr="00E76013">
        <w:rPr>
          <w:rFonts w:ascii="Times New Roman" w:eastAsia="Times New Roman" w:hAnsi="Times New Roman" w:cs="Times New Roman"/>
          <w:noProof/>
          <w:sz w:val="24"/>
          <w:szCs w:val="24"/>
        </w:rPr>
        <w:t xml:space="preserve">strengthening interoperability, and </w:t>
      </w:r>
      <w:r w:rsidR="007E7980" w:rsidRPr="00E76013">
        <w:rPr>
          <w:rFonts w:ascii="Times New Roman" w:eastAsia="Times New Roman" w:hAnsi="Times New Roman" w:cs="Times New Roman"/>
          <w:noProof/>
          <w:sz w:val="24"/>
          <w:szCs w:val="24"/>
        </w:rPr>
        <w:t xml:space="preserve">increasing the </w:t>
      </w:r>
      <w:r w:rsidR="001A448A" w:rsidRPr="00E76013">
        <w:rPr>
          <w:rFonts w:ascii="Times New Roman" w:eastAsia="Times New Roman" w:hAnsi="Times New Roman" w:cs="Times New Roman"/>
          <w:noProof/>
          <w:sz w:val="24"/>
          <w:szCs w:val="24"/>
        </w:rPr>
        <w:t xml:space="preserve">quality and </w:t>
      </w:r>
      <w:r w:rsidR="007E7980" w:rsidRPr="00E76013">
        <w:rPr>
          <w:rFonts w:ascii="Times New Roman" w:eastAsia="Times New Roman" w:hAnsi="Times New Roman" w:cs="Times New Roman"/>
          <w:noProof/>
          <w:sz w:val="24"/>
          <w:szCs w:val="24"/>
        </w:rPr>
        <w:t xml:space="preserve">effectiveness of public </w:t>
      </w:r>
      <w:r w:rsidR="001F7B58">
        <w:rPr>
          <w:rFonts w:ascii="Times New Roman" w:eastAsia="Times New Roman" w:hAnsi="Times New Roman" w:cs="Times New Roman"/>
          <w:noProof/>
          <w:sz w:val="24"/>
          <w:szCs w:val="24"/>
          <w:lang w:val="en-IE"/>
        </w:rPr>
        <w:t>sector</w:t>
      </w:r>
      <w:r w:rsidR="001F7B58" w:rsidRPr="00E76013">
        <w:rPr>
          <w:rFonts w:ascii="Times New Roman" w:eastAsia="Times New Roman" w:hAnsi="Times New Roman" w:cs="Times New Roman"/>
          <w:noProof/>
          <w:sz w:val="24"/>
          <w:szCs w:val="24"/>
        </w:rPr>
        <w:t xml:space="preserve"> </w:t>
      </w:r>
      <w:r w:rsidR="007E7980" w:rsidRPr="00E76013">
        <w:rPr>
          <w:rFonts w:ascii="Times New Roman" w:eastAsia="Times New Roman" w:hAnsi="Times New Roman" w:cs="Times New Roman"/>
          <w:noProof/>
          <w:sz w:val="24"/>
          <w:szCs w:val="24"/>
        </w:rPr>
        <w:t>services</w:t>
      </w:r>
      <w:r w:rsidR="00CD1172" w:rsidRPr="00E76013">
        <w:rPr>
          <w:rFonts w:ascii="Times New Roman" w:eastAsia="Times New Roman" w:hAnsi="Times New Roman" w:cs="Times New Roman"/>
          <w:noProof/>
          <w:sz w:val="24"/>
          <w:szCs w:val="24"/>
        </w:rPr>
        <w:t xml:space="preserve">. </w:t>
      </w:r>
      <w:r w:rsidR="00A47DED" w:rsidRPr="00E76013">
        <w:rPr>
          <w:rFonts w:ascii="Times New Roman" w:eastAsia="Times New Roman" w:hAnsi="Times New Roman" w:cs="Times New Roman"/>
          <w:noProof/>
          <w:sz w:val="24"/>
          <w:szCs w:val="24"/>
        </w:rPr>
        <w:t>The wide-ranging</w:t>
      </w:r>
      <w:r w:rsidR="00CD1172" w:rsidRPr="00E76013">
        <w:rPr>
          <w:rFonts w:ascii="Times New Roman" w:eastAsia="Times New Roman" w:hAnsi="Times New Roman" w:cs="Times New Roman"/>
          <w:noProof/>
          <w:sz w:val="24"/>
          <w:szCs w:val="24"/>
        </w:rPr>
        <w:t xml:space="preserve"> efficiency gains resulting from the digitalisation of the public administration</w:t>
      </w:r>
      <w:r w:rsidR="00C01A62">
        <w:rPr>
          <w:rFonts w:ascii="Times New Roman" w:eastAsia="Times New Roman" w:hAnsi="Times New Roman" w:cs="Times New Roman"/>
          <w:noProof/>
          <w:sz w:val="24"/>
          <w:szCs w:val="24"/>
        </w:rPr>
        <w:t>, including the judiciary,</w:t>
      </w:r>
      <w:r w:rsidR="00CD1172" w:rsidRPr="00E76013">
        <w:rPr>
          <w:rFonts w:ascii="Times New Roman" w:eastAsia="Times New Roman" w:hAnsi="Times New Roman" w:cs="Times New Roman"/>
          <w:noProof/>
          <w:sz w:val="24"/>
          <w:szCs w:val="24"/>
        </w:rPr>
        <w:t xml:space="preserve"> are expected to have a lasting impact beyond the lifetime of the Recovery and Resilience Facility.</w:t>
      </w:r>
    </w:p>
    <w:p w14:paraId="1AF2F798" w14:textId="6730475F" w:rsidR="00572A32" w:rsidRPr="00E76013" w:rsidRDefault="00F654C7"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 xml:space="preserve">The Plan is expected to contribute to the digitalisation of the public administration and </w:t>
      </w:r>
      <w:r w:rsidR="00A3790E" w:rsidRPr="00E76013">
        <w:rPr>
          <w:rFonts w:ascii="Times New Roman" w:eastAsia="Times New Roman" w:hAnsi="Times New Roman" w:cs="Times New Roman"/>
          <w:b/>
          <w:noProof/>
          <w:sz w:val="24"/>
          <w:szCs w:val="24"/>
        </w:rPr>
        <w:t>address</w:t>
      </w:r>
      <w:r w:rsidR="00B84145" w:rsidRPr="00E76013">
        <w:rPr>
          <w:rFonts w:ascii="Times New Roman" w:eastAsia="Times New Roman" w:hAnsi="Times New Roman" w:cs="Times New Roman"/>
          <w:b/>
          <w:noProof/>
          <w:sz w:val="24"/>
          <w:szCs w:val="24"/>
        </w:rPr>
        <w:t xml:space="preserve"> </w:t>
      </w:r>
      <w:r w:rsidRPr="00E76013">
        <w:rPr>
          <w:rFonts w:ascii="Times New Roman" w:eastAsia="Times New Roman" w:hAnsi="Times New Roman" w:cs="Times New Roman"/>
          <w:b/>
          <w:noProof/>
          <w:sz w:val="24"/>
          <w:szCs w:val="24"/>
        </w:rPr>
        <w:t>the related challenges such as fragmentation, lack of interoperability</w:t>
      </w:r>
      <w:r w:rsidR="00364E78">
        <w:rPr>
          <w:rFonts w:ascii="Times New Roman" w:eastAsia="Times New Roman" w:hAnsi="Times New Roman" w:cs="Times New Roman"/>
          <w:b/>
          <w:noProof/>
          <w:sz w:val="24"/>
          <w:szCs w:val="24"/>
        </w:rPr>
        <w:t xml:space="preserve"> </w:t>
      </w:r>
      <w:r w:rsidR="00652300">
        <w:rPr>
          <w:rFonts w:ascii="Times New Roman" w:eastAsia="Times New Roman" w:hAnsi="Times New Roman" w:cs="Times New Roman"/>
          <w:b/>
          <w:noProof/>
          <w:sz w:val="24"/>
          <w:szCs w:val="24"/>
        </w:rPr>
        <w:t xml:space="preserve">and </w:t>
      </w:r>
      <w:r w:rsidRPr="00E76013">
        <w:rPr>
          <w:rFonts w:ascii="Times New Roman" w:eastAsia="Times New Roman" w:hAnsi="Times New Roman" w:cs="Times New Roman"/>
          <w:b/>
          <w:noProof/>
          <w:sz w:val="24"/>
          <w:szCs w:val="24"/>
        </w:rPr>
        <w:t>administrative barriers</w:t>
      </w:r>
      <w:r w:rsidRPr="00364E78">
        <w:rPr>
          <w:rFonts w:ascii="Times New Roman" w:eastAsia="Times New Roman" w:hAnsi="Times New Roman" w:cs="Times New Roman"/>
          <w:b/>
          <w:noProof/>
          <w:sz w:val="24"/>
          <w:szCs w:val="24"/>
        </w:rPr>
        <w:t>.</w:t>
      </w:r>
      <w:r w:rsidRPr="00E76013">
        <w:rPr>
          <w:rFonts w:ascii="Times New Roman" w:eastAsia="Times New Roman" w:hAnsi="Times New Roman" w:cs="Times New Roman"/>
          <w:b/>
          <w:noProof/>
          <w:sz w:val="24"/>
          <w:szCs w:val="24"/>
        </w:rPr>
        <w:t xml:space="preserve"> </w:t>
      </w:r>
      <w:r w:rsidR="001E5550" w:rsidRPr="00E76013">
        <w:rPr>
          <w:rFonts w:ascii="Times New Roman" w:eastAsia="Times New Roman" w:hAnsi="Times New Roman" w:cs="Times New Roman"/>
          <w:noProof/>
          <w:sz w:val="24"/>
          <w:szCs w:val="24"/>
        </w:rPr>
        <w:t>The digitalis</w:t>
      </w:r>
      <w:r w:rsidR="00B95053" w:rsidRPr="00E76013">
        <w:rPr>
          <w:rFonts w:ascii="Times New Roman" w:eastAsia="Times New Roman" w:hAnsi="Times New Roman" w:cs="Times New Roman"/>
          <w:noProof/>
          <w:sz w:val="24"/>
          <w:szCs w:val="24"/>
        </w:rPr>
        <w:t>ation of the public administration include</w:t>
      </w:r>
      <w:r w:rsidR="009D53D9" w:rsidRPr="00E76013">
        <w:rPr>
          <w:rFonts w:ascii="Times New Roman" w:eastAsia="Times New Roman" w:hAnsi="Times New Roman" w:cs="Times New Roman"/>
          <w:noProof/>
          <w:sz w:val="24"/>
          <w:szCs w:val="24"/>
        </w:rPr>
        <w:t>s</w:t>
      </w:r>
      <w:r w:rsidR="00D25D6F" w:rsidRPr="00E76013">
        <w:rPr>
          <w:rFonts w:ascii="Times New Roman" w:eastAsia="Times New Roman" w:hAnsi="Times New Roman" w:cs="Times New Roman"/>
          <w:noProof/>
          <w:sz w:val="24"/>
          <w:szCs w:val="24"/>
        </w:rPr>
        <w:t xml:space="preserve"> reforms and</w:t>
      </w:r>
      <w:r w:rsidR="00777580" w:rsidRPr="00E76013">
        <w:rPr>
          <w:rFonts w:ascii="Times New Roman" w:eastAsia="Times New Roman" w:hAnsi="Times New Roman" w:cs="Times New Roman"/>
          <w:noProof/>
          <w:sz w:val="24"/>
          <w:szCs w:val="24"/>
        </w:rPr>
        <w:t xml:space="preserve"> investments </w:t>
      </w:r>
      <w:r w:rsidR="00050B72" w:rsidRPr="00E76013">
        <w:rPr>
          <w:rFonts w:ascii="Times New Roman" w:eastAsia="Times New Roman" w:hAnsi="Times New Roman" w:cs="Times New Roman"/>
          <w:noProof/>
          <w:sz w:val="24"/>
          <w:szCs w:val="24"/>
        </w:rPr>
        <w:t xml:space="preserve">which support the consolidation of public information resources, systems and services as well as the availability of data and the possibility to use it </w:t>
      </w:r>
      <w:r w:rsidR="0053778E" w:rsidRPr="00E76013">
        <w:rPr>
          <w:rFonts w:ascii="Times New Roman" w:eastAsia="Times New Roman" w:hAnsi="Times New Roman" w:cs="Times New Roman"/>
          <w:noProof/>
          <w:sz w:val="24"/>
          <w:szCs w:val="24"/>
        </w:rPr>
        <w:t>more effectively</w:t>
      </w:r>
      <w:r w:rsidR="00050B72" w:rsidRPr="00E76013">
        <w:rPr>
          <w:rFonts w:ascii="Times New Roman" w:eastAsia="Times New Roman" w:hAnsi="Times New Roman" w:cs="Times New Roman"/>
          <w:noProof/>
          <w:sz w:val="24"/>
          <w:szCs w:val="24"/>
        </w:rPr>
        <w:t xml:space="preserve">. Key </w:t>
      </w:r>
      <w:r w:rsidR="00DF770C" w:rsidRPr="00E76013">
        <w:rPr>
          <w:rFonts w:ascii="Times New Roman" w:eastAsia="Times New Roman" w:hAnsi="Times New Roman" w:cs="Times New Roman"/>
          <w:noProof/>
          <w:sz w:val="24"/>
          <w:szCs w:val="24"/>
        </w:rPr>
        <w:t xml:space="preserve">reforms and </w:t>
      </w:r>
      <w:r w:rsidR="00050B72" w:rsidRPr="00E76013">
        <w:rPr>
          <w:rFonts w:ascii="Times New Roman" w:eastAsia="Times New Roman" w:hAnsi="Times New Roman" w:cs="Times New Roman"/>
          <w:noProof/>
          <w:sz w:val="24"/>
          <w:szCs w:val="24"/>
        </w:rPr>
        <w:t xml:space="preserve">investments include </w:t>
      </w:r>
      <w:r w:rsidR="00777580" w:rsidRPr="00E76013">
        <w:rPr>
          <w:rFonts w:ascii="Times New Roman" w:eastAsia="Times New Roman" w:hAnsi="Times New Roman" w:cs="Times New Roman"/>
          <w:noProof/>
          <w:sz w:val="24"/>
          <w:szCs w:val="24"/>
        </w:rPr>
        <w:t xml:space="preserve">the </w:t>
      </w:r>
      <w:r w:rsidR="009D53D9" w:rsidRPr="00E76013">
        <w:rPr>
          <w:rFonts w:ascii="Times New Roman" w:eastAsia="Times New Roman" w:hAnsi="Times New Roman" w:cs="Times New Roman"/>
          <w:noProof/>
          <w:sz w:val="24"/>
          <w:szCs w:val="24"/>
        </w:rPr>
        <w:t xml:space="preserve">digitalisation of </w:t>
      </w:r>
      <w:r w:rsidR="00DB1C19" w:rsidRPr="00E76013">
        <w:rPr>
          <w:rFonts w:ascii="Times New Roman" w:eastAsia="Times New Roman" w:hAnsi="Times New Roman" w:cs="Times New Roman"/>
          <w:noProof/>
          <w:sz w:val="24"/>
          <w:szCs w:val="24"/>
        </w:rPr>
        <w:t>registry</w:t>
      </w:r>
      <w:r w:rsidR="00041982" w:rsidRPr="00E76013">
        <w:rPr>
          <w:rFonts w:ascii="Times New Roman" w:eastAsia="Times New Roman" w:hAnsi="Times New Roman" w:cs="Times New Roman"/>
          <w:noProof/>
          <w:sz w:val="24"/>
          <w:szCs w:val="24"/>
        </w:rPr>
        <w:t xml:space="preserve"> data </w:t>
      </w:r>
      <w:r w:rsidR="006D01E3" w:rsidRPr="00E76013">
        <w:rPr>
          <w:rFonts w:ascii="Times New Roman" w:eastAsia="Times New Roman" w:hAnsi="Times New Roman" w:cs="Times New Roman"/>
          <w:noProof/>
          <w:sz w:val="24"/>
          <w:szCs w:val="24"/>
        </w:rPr>
        <w:t xml:space="preserve">in the public administration </w:t>
      </w:r>
      <w:r w:rsidR="00041982" w:rsidRPr="00E76013">
        <w:rPr>
          <w:rFonts w:ascii="Times New Roman" w:eastAsia="Times New Roman" w:hAnsi="Times New Roman" w:cs="Times New Roman"/>
          <w:noProof/>
          <w:sz w:val="24"/>
          <w:szCs w:val="24"/>
        </w:rPr>
        <w:t>and e-certification based on information in regist</w:t>
      </w:r>
      <w:r w:rsidR="00777580" w:rsidRPr="00E76013">
        <w:rPr>
          <w:rFonts w:ascii="Times New Roman" w:eastAsia="Times New Roman" w:hAnsi="Times New Roman" w:cs="Times New Roman"/>
          <w:noProof/>
          <w:sz w:val="24"/>
          <w:szCs w:val="24"/>
        </w:rPr>
        <w:t>ries</w:t>
      </w:r>
      <w:r w:rsidR="006F04C2" w:rsidRPr="00E76013">
        <w:rPr>
          <w:rFonts w:ascii="Times New Roman" w:eastAsia="Times New Roman" w:hAnsi="Times New Roman" w:cs="Times New Roman"/>
          <w:noProof/>
          <w:sz w:val="24"/>
          <w:szCs w:val="24"/>
        </w:rPr>
        <w:t>.</w:t>
      </w:r>
      <w:r w:rsidR="006C480B" w:rsidRPr="00E76013">
        <w:rPr>
          <w:rFonts w:ascii="Times New Roman" w:eastAsia="Times New Roman" w:hAnsi="Times New Roman" w:cs="Times New Roman"/>
          <w:noProof/>
          <w:sz w:val="24"/>
          <w:szCs w:val="24"/>
        </w:rPr>
        <w:t xml:space="preserve"> These </w:t>
      </w:r>
      <w:r w:rsidR="00D25D6F" w:rsidRPr="00E76013">
        <w:rPr>
          <w:rFonts w:ascii="Times New Roman" w:eastAsia="Times New Roman" w:hAnsi="Times New Roman" w:cs="Times New Roman"/>
          <w:noProof/>
          <w:sz w:val="24"/>
          <w:szCs w:val="24"/>
        </w:rPr>
        <w:t xml:space="preserve">reforms and </w:t>
      </w:r>
      <w:r w:rsidR="006C480B" w:rsidRPr="00E76013">
        <w:rPr>
          <w:rFonts w:ascii="Times New Roman" w:eastAsia="Times New Roman" w:hAnsi="Times New Roman" w:cs="Times New Roman"/>
          <w:noProof/>
          <w:sz w:val="24"/>
          <w:szCs w:val="24"/>
        </w:rPr>
        <w:t>investments are expected to facilitate the intra-registries exchange and interoperability as well as the quality of data in the public sector and the related administrative services</w:t>
      </w:r>
      <w:r w:rsidR="00DF770C" w:rsidRPr="00E76013">
        <w:rPr>
          <w:rFonts w:ascii="Times New Roman" w:eastAsia="Times New Roman" w:hAnsi="Times New Roman" w:cs="Times New Roman"/>
          <w:noProof/>
          <w:sz w:val="24"/>
          <w:szCs w:val="24"/>
        </w:rPr>
        <w:t xml:space="preserve"> to citizens and businesses</w:t>
      </w:r>
      <w:r w:rsidR="00455857" w:rsidRPr="00E76013">
        <w:rPr>
          <w:rFonts w:ascii="Times New Roman" w:eastAsia="Times New Roman" w:hAnsi="Times New Roman" w:cs="Times New Roman"/>
          <w:noProof/>
          <w:sz w:val="24"/>
          <w:szCs w:val="24"/>
        </w:rPr>
        <w:t xml:space="preserve">. </w:t>
      </w:r>
      <w:r w:rsidR="003F6C8F" w:rsidRPr="00E76013">
        <w:rPr>
          <w:rFonts w:ascii="Times New Roman" w:eastAsia="Times New Roman" w:hAnsi="Times New Roman" w:cs="Times New Roman"/>
          <w:noProof/>
          <w:sz w:val="24"/>
          <w:szCs w:val="24"/>
        </w:rPr>
        <w:t>In addition, t</w:t>
      </w:r>
      <w:r w:rsidR="00455857" w:rsidRPr="00E76013">
        <w:rPr>
          <w:rFonts w:ascii="Times New Roman" w:eastAsia="Times New Roman" w:hAnsi="Times New Roman" w:cs="Times New Roman"/>
          <w:noProof/>
          <w:sz w:val="24"/>
          <w:szCs w:val="24"/>
        </w:rPr>
        <w:t xml:space="preserve">he establishment of </w:t>
      </w:r>
      <w:r w:rsidR="00E83489">
        <w:rPr>
          <w:rFonts w:ascii="Times New Roman" w:eastAsia="Times New Roman" w:hAnsi="Times New Roman" w:cs="Times New Roman"/>
          <w:noProof/>
          <w:sz w:val="24"/>
          <w:szCs w:val="24"/>
        </w:rPr>
        <w:t xml:space="preserve">the </w:t>
      </w:r>
      <w:r w:rsidR="00E83489" w:rsidRPr="00E83489">
        <w:rPr>
          <w:rFonts w:ascii="Times New Roman" w:eastAsia="Times New Roman" w:hAnsi="Times New Roman" w:cs="Times New Roman"/>
          <w:noProof/>
          <w:sz w:val="24"/>
          <w:szCs w:val="24"/>
        </w:rPr>
        <w:t xml:space="preserve">Spatial monitoring, control and management </w:t>
      </w:r>
      <w:r w:rsidR="00E83489">
        <w:rPr>
          <w:rFonts w:ascii="Times New Roman" w:eastAsia="Times New Roman" w:hAnsi="Times New Roman" w:cs="Times New Roman"/>
          <w:noProof/>
          <w:sz w:val="24"/>
          <w:szCs w:val="24"/>
        </w:rPr>
        <w:t xml:space="preserve">center </w:t>
      </w:r>
      <w:r w:rsidR="00E83489" w:rsidRPr="00E83489">
        <w:rPr>
          <w:rFonts w:ascii="Times New Roman" w:eastAsia="Times New Roman" w:hAnsi="Times New Roman" w:cs="Times New Roman"/>
          <w:noProof/>
          <w:sz w:val="24"/>
          <w:szCs w:val="24"/>
        </w:rPr>
        <w:t>through upgrading the Aerospace Monitoring Centre</w:t>
      </w:r>
      <w:r w:rsidR="004F2DAB">
        <w:rPr>
          <w:rFonts w:ascii="Times New Roman" w:eastAsia="Times New Roman" w:hAnsi="Times New Roman" w:cs="Times New Roman"/>
          <w:noProof/>
          <w:sz w:val="24"/>
          <w:szCs w:val="24"/>
        </w:rPr>
        <w:t xml:space="preserve"> </w:t>
      </w:r>
      <w:r w:rsidR="00B66EA0" w:rsidRPr="00E76013">
        <w:rPr>
          <w:rFonts w:ascii="Times New Roman" w:eastAsia="Times New Roman" w:hAnsi="Times New Roman" w:cs="Times New Roman"/>
          <w:noProof/>
          <w:sz w:val="24"/>
          <w:szCs w:val="24"/>
        </w:rPr>
        <w:t xml:space="preserve">is expected to </w:t>
      </w:r>
      <w:r w:rsidR="00524AA3" w:rsidRPr="00E76013">
        <w:rPr>
          <w:rFonts w:ascii="Times New Roman" w:eastAsia="Times New Roman" w:hAnsi="Times New Roman" w:cs="Times New Roman"/>
          <w:noProof/>
          <w:sz w:val="24"/>
          <w:szCs w:val="24"/>
        </w:rPr>
        <w:t xml:space="preserve">contribute to generating and making available </w:t>
      </w:r>
      <w:r w:rsidR="005046BA" w:rsidRPr="00E76013">
        <w:rPr>
          <w:rFonts w:ascii="Times New Roman" w:eastAsia="Times New Roman" w:hAnsi="Times New Roman" w:cs="Times New Roman"/>
          <w:noProof/>
          <w:sz w:val="24"/>
          <w:szCs w:val="24"/>
        </w:rPr>
        <w:t>a broad</w:t>
      </w:r>
      <w:r w:rsidR="00524AA3" w:rsidRPr="00E76013">
        <w:rPr>
          <w:rFonts w:ascii="Times New Roman" w:eastAsia="Times New Roman" w:hAnsi="Times New Roman" w:cs="Times New Roman"/>
          <w:noProof/>
          <w:sz w:val="24"/>
          <w:szCs w:val="24"/>
        </w:rPr>
        <w:t xml:space="preserve"> range of data</w:t>
      </w:r>
      <w:r w:rsidR="005F04F2">
        <w:rPr>
          <w:rFonts w:ascii="Times New Roman" w:eastAsia="Times New Roman" w:hAnsi="Times New Roman" w:cs="Times New Roman"/>
          <w:noProof/>
          <w:sz w:val="24"/>
          <w:szCs w:val="24"/>
        </w:rPr>
        <w:t xml:space="preserve"> from </w:t>
      </w:r>
      <w:r w:rsidR="005F04F2" w:rsidRPr="005F04F2">
        <w:rPr>
          <w:rFonts w:ascii="Times New Roman" w:eastAsia="Times New Roman" w:hAnsi="Times New Roman" w:cs="Times New Roman"/>
          <w:noProof/>
          <w:sz w:val="24"/>
          <w:szCs w:val="24"/>
        </w:rPr>
        <w:t>more satellites and sensors, as well as from unmanned aircraft systems</w:t>
      </w:r>
      <w:r w:rsidR="00524AA3" w:rsidRPr="00E76013">
        <w:rPr>
          <w:rFonts w:ascii="Times New Roman" w:eastAsia="Times New Roman" w:hAnsi="Times New Roman" w:cs="Times New Roman"/>
          <w:noProof/>
          <w:sz w:val="24"/>
          <w:szCs w:val="24"/>
        </w:rPr>
        <w:t xml:space="preserve">. </w:t>
      </w:r>
      <w:r w:rsidR="00572A32" w:rsidRPr="00E76013">
        <w:rPr>
          <w:rFonts w:ascii="Times New Roman" w:eastAsia="Times New Roman" w:hAnsi="Times New Roman" w:cs="Times New Roman"/>
          <w:noProof/>
          <w:sz w:val="24"/>
          <w:szCs w:val="24"/>
        </w:rPr>
        <w:t xml:space="preserve">The investment in the </w:t>
      </w:r>
      <w:r w:rsidR="00572A32" w:rsidRPr="00EC177E">
        <w:rPr>
          <w:rFonts w:ascii="Times New Roman" w:eastAsia="Times New Roman" w:hAnsi="Times New Roman" w:cs="Times New Roman"/>
          <w:noProof/>
          <w:sz w:val="24"/>
          <w:szCs w:val="24"/>
        </w:rPr>
        <w:t>digitalisation and modernisation of the Bulgarian Post Office</w:t>
      </w:r>
      <w:r w:rsidR="00572A32" w:rsidRPr="00E76013">
        <w:rPr>
          <w:rFonts w:ascii="Times New Roman" w:eastAsia="Times New Roman" w:hAnsi="Times New Roman" w:cs="Times New Roman"/>
          <w:noProof/>
          <w:sz w:val="24"/>
          <w:szCs w:val="24"/>
        </w:rPr>
        <w:t xml:space="preserve"> </w:t>
      </w:r>
      <w:r w:rsidR="00C97D87">
        <w:rPr>
          <w:rFonts w:ascii="Times New Roman" w:eastAsia="Times New Roman" w:hAnsi="Times New Roman" w:cs="Times New Roman"/>
          <w:noProof/>
          <w:sz w:val="24"/>
          <w:szCs w:val="24"/>
        </w:rPr>
        <w:t>is</w:t>
      </w:r>
      <w:r w:rsidR="00572A32" w:rsidRPr="00E76013">
        <w:rPr>
          <w:rFonts w:ascii="Times New Roman" w:eastAsia="Times New Roman" w:hAnsi="Times New Roman" w:cs="Times New Roman"/>
          <w:noProof/>
          <w:sz w:val="24"/>
          <w:szCs w:val="24"/>
        </w:rPr>
        <w:t xml:space="preserve"> </w:t>
      </w:r>
      <w:r w:rsidR="00A90F0F" w:rsidRPr="00E76013">
        <w:rPr>
          <w:rFonts w:ascii="Times New Roman" w:eastAsia="Times New Roman" w:hAnsi="Times New Roman" w:cs="Times New Roman"/>
          <w:noProof/>
          <w:sz w:val="24"/>
          <w:szCs w:val="24"/>
        </w:rPr>
        <w:t xml:space="preserve">expected to </w:t>
      </w:r>
      <w:r w:rsidR="00572A32" w:rsidRPr="00E76013">
        <w:rPr>
          <w:rFonts w:ascii="Times New Roman" w:eastAsia="Times New Roman" w:hAnsi="Times New Roman" w:cs="Times New Roman"/>
          <w:noProof/>
          <w:sz w:val="24"/>
          <w:szCs w:val="24"/>
        </w:rPr>
        <w:t xml:space="preserve">enable </w:t>
      </w:r>
      <w:r w:rsidR="00A90F0F" w:rsidRPr="00E76013">
        <w:rPr>
          <w:rFonts w:ascii="Times New Roman" w:eastAsia="Times New Roman" w:hAnsi="Times New Roman" w:cs="Times New Roman"/>
          <w:noProof/>
          <w:sz w:val="24"/>
          <w:szCs w:val="24"/>
        </w:rPr>
        <w:t>the provision of</w:t>
      </w:r>
      <w:r w:rsidR="00572A32" w:rsidRPr="00E76013">
        <w:rPr>
          <w:rFonts w:ascii="Times New Roman" w:eastAsia="Times New Roman" w:hAnsi="Times New Roman" w:cs="Times New Roman"/>
          <w:noProof/>
          <w:sz w:val="24"/>
          <w:szCs w:val="24"/>
        </w:rPr>
        <w:t xml:space="preserve"> e-government services in remote and rural areas (where the central or municipal authorities do not have any offices</w:t>
      </w:r>
      <w:r w:rsidR="00C82662" w:rsidRPr="00E76013">
        <w:rPr>
          <w:rFonts w:ascii="Times New Roman" w:eastAsia="Times New Roman" w:hAnsi="Times New Roman" w:cs="Times New Roman"/>
          <w:noProof/>
          <w:sz w:val="24"/>
          <w:szCs w:val="24"/>
        </w:rPr>
        <w:t>)</w:t>
      </w:r>
      <w:r w:rsidR="00F339C6" w:rsidRPr="00E76013">
        <w:rPr>
          <w:rFonts w:ascii="Times New Roman" w:eastAsia="Times New Roman" w:hAnsi="Times New Roman" w:cs="Times New Roman"/>
          <w:noProof/>
          <w:sz w:val="24"/>
          <w:szCs w:val="24"/>
        </w:rPr>
        <w:t>,</w:t>
      </w:r>
      <w:r w:rsidR="00C82662" w:rsidRPr="00E76013">
        <w:rPr>
          <w:rFonts w:ascii="Times New Roman" w:eastAsia="Times New Roman" w:hAnsi="Times New Roman" w:cs="Times New Roman"/>
          <w:noProof/>
          <w:sz w:val="24"/>
          <w:szCs w:val="24"/>
        </w:rPr>
        <w:t xml:space="preserve"> services for </w:t>
      </w:r>
      <w:r w:rsidR="00BF2431" w:rsidRPr="00E76013">
        <w:rPr>
          <w:rFonts w:ascii="Times New Roman" w:eastAsia="Times New Roman" w:hAnsi="Times New Roman" w:cs="Times New Roman"/>
          <w:noProof/>
          <w:sz w:val="24"/>
          <w:szCs w:val="24"/>
        </w:rPr>
        <w:t xml:space="preserve">capturing biometric data needed for </w:t>
      </w:r>
      <w:r w:rsidR="00C82662" w:rsidRPr="00E76013">
        <w:rPr>
          <w:rFonts w:ascii="Times New Roman" w:eastAsia="Times New Roman" w:hAnsi="Times New Roman" w:cs="Times New Roman"/>
          <w:noProof/>
          <w:sz w:val="24"/>
          <w:szCs w:val="24"/>
        </w:rPr>
        <w:t xml:space="preserve">Bulgarian ID documents (with biometric chips) </w:t>
      </w:r>
      <w:r w:rsidR="00F339C6" w:rsidRPr="00E76013">
        <w:rPr>
          <w:rFonts w:ascii="Times New Roman" w:eastAsia="Times New Roman" w:hAnsi="Times New Roman" w:cs="Times New Roman"/>
          <w:noProof/>
          <w:sz w:val="24"/>
          <w:szCs w:val="24"/>
        </w:rPr>
        <w:t xml:space="preserve">and other complex administrative services </w:t>
      </w:r>
      <w:r w:rsidR="00C82662" w:rsidRPr="00E76013">
        <w:rPr>
          <w:rFonts w:ascii="Times New Roman" w:eastAsia="Times New Roman" w:hAnsi="Times New Roman" w:cs="Times New Roman"/>
          <w:noProof/>
          <w:sz w:val="24"/>
          <w:szCs w:val="24"/>
        </w:rPr>
        <w:t>in such areas.</w:t>
      </w:r>
      <w:r w:rsidR="00572A32" w:rsidRPr="00E76013">
        <w:rPr>
          <w:rFonts w:ascii="Times New Roman" w:eastAsia="Times New Roman" w:hAnsi="Times New Roman" w:cs="Times New Roman"/>
          <w:noProof/>
          <w:sz w:val="24"/>
          <w:szCs w:val="24"/>
        </w:rPr>
        <w:t xml:space="preserve"> This investment thus </w:t>
      </w:r>
      <w:r w:rsidR="003E6C77" w:rsidRPr="00E76013">
        <w:rPr>
          <w:rFonts w:ascii="Times New Roman" w:eastAsia="Times New Roman" w:hAnsi="Times New Roman" w:cs="Times New Roman"/>
          <w:noProof/>
          <w:sz w:val="24"/>
          <w:szCs w:val="24"/>
        </w:rPr>
        <w:t xml:space="preserve">contributes to </w:t>
      </w:r>
      <w:r w:rsidR="00572A32" w:rsidRPr="00E76013">
        <w:rPr>
          <w:rFonts w:ascii="Times New Roman" w:eastAsia="Times New Roman" w:hAnsi="Times New Roman" w:cs="Times New Roman"/>
          <w:noProof/>
          <w:sz w:val="24"/>
          <w:szCs w:val="24"/>
        </w:rPr>
        <w:t>improv</w:t>
      </w:r>
      <w:r w:rsidR="003E6C77" w:rsidRPr="00E76013">
        <w:rPr>
          <w:rFonts w:ascii="Times New Roman" w:eastAsia="Times New Roman" w:hAnsi="Times New Roman" w:cs="Times New Roman"/>
          <w:noProof/>
          <w:sz w:val="24"/>
          <w:szCs w:val="24"/>
        </w:rPr>
        <w:t>ing</w:t>
      </w:r>
      <w:r w:rsidR="00572A32" w:rsidRPr="00E76013">
        <w:rPr>
          <w:rFonts w:ascii="Times New Roman" w:eastAsia="Times New Roman" w:hAnsi="Times New Roman" w:cs="Times New Roman"/>
          <w:noProof/>
          <w:sz w:val="24"/>
          <w:szCs w:val="24"/>
        </w:rPr>
        <w:t xml:space="preserve"> access to administrative services and to enhancing the social and territorial cohesion within the whole territory of Bulgaria. </w:t>
      </w:r>
    </w:p>
    <w:p w14:paraId="32A297E7" w14:textId="6E5C5372" w:rsidR="00B063C4" w:rsidRPr="00E76013" w:rsidRDefault="00B063C4" w:rsidP="008963AA">
      <w:pPr>
        <w:spacing w:line="276" w:lineRule="auto"/>
        <w:jc w:val="both"/>
        <w:rPr>
          <w:rFonts w:ascii="Times New Roman" w:eastAsia="Times New Roman" w:hAnsi="Times New Roman" w:cs="Times New Roman"/>
          <w:noProof/>
          <w:sz w:val="24"/>
          <w:szCs w:val="24"/>
        </w:rPr>
      </w:pPr>
      <w:r w:rsidRPr="00751CDF">
        <w:rPr>
          <w:rFonts w:ascii="Times New Roman" w:eastAsia="Times New Roman" w:hAnsi="Times New Roman" w:cs="Times New Roman"/>
          <w:b/>
          <w:noProof/>
          <w:sz w:val="24"/>
          <w:szCs w:val="24"/>
        </w:rPr>
        <w:t xml:space="preserve">The Plan also includes </w:t>
      </w:r>
      <w:r w:rsidR="00B855BD" w:rsidRPr="00751CDF">
        <w:rPr>
          <w:rFonts w:ascii="Times New Roman" w:eastAsia="Times New Roman" w:hAnsi="Times New Roman" w:cs="Times New Roman"/>
          <w:b/>
          <w:noProof/>
          <w:sz w:val="24"/>
          <w:szCs w:val="24"/>
        </w:rPr>
        <w:t>measures</w:t>
      </w:r>
      <w:r w:rsidRPr="00751CDF">
        <w:rPr>
          <w:rFonts w:ascii="Times New Roman" w:eastAsia="Times New Roman" w:hAnsi="Times New Roman" w:cs="Times New Roman"/>
          <w:b/>
          <w:noProof/>
          <w:sz w:val="24"/>
          <w:szCs w:val="24"/>
        </w:rPr>
        <w:t xml:space="preserve"> </w:t>
      </w:r>
      <w:r w:rsidR="00B855BD" w:rsidRPr="00751CDF">
        <w:rPr>
          <w:rFonts w:ascii="Times New Roman" w:eastAsia="Times New Roman" w:hAnsi="Times New Roman" w:cs="Times New Roman"/>
          <w:b/>
          <w:noProof/>
          <w:sz w:val="24"/>
          <w:szCs w:val="24"/>
        </w:rPr>
        <w:t>promoting</w:t>
      </w:r>
      <w:r w:rsidRPr="00751CDF">
        <w:rPr>
          <w:rFonts w:ascii="Times New Roman" w:eastAsia="Times New Roman" w:hAnsi="Times New Roman" w:cs="Times New Roman"/>
          <w:b/>
          <w:noProof/>
          <w:sz w:val="24"/>
          <w:szCs w:val="24"/>
        </w:rPr>
        <w:t xml:space="preserve"> the </w:t>
      </w:r>
      <w:r w:rsidRPr="00E76013">
        <w:rPr>
          <w:rFonts w:ascii="Times New Roman" w:eastAsia="Times New Roman" w:hAnsi="Times New Roman" w:cs="Times New Roman"/>
          <w:b/>
          <w:noProof/>
          <w:sz w:val="24"/>
          <w:szCs w:val="24"/>
        </w:rPr>
        <w:t>digital transformation of the construction sector</w:t>
      </w:r>
      <w:r w:rsidRPr="00751CDF">
        <w:rPr>
          <w:rFonts w:ascii="Times New Roman" w:eastAsia="Times New Roman" w:hAnsi="Times New Roman" w:cs="Times New Roman"/>
          <w:b/>
          <w:noProof/>
          <w:sz w:val="24"/>
          <w:szCs w:val="24"/>
        </w:rPr>
        <w:t xml:space="preserve"> in Bulgaria</w:t>
      </w:r>
      <w:r w:rsidR="00E346E3" w:rsidRPr="00E76013">
        <w:rPr>
          <w:rFonts w:ascii="Times New Roman" w:eastAsia="Times New Roman" w:hAnsi="Times New Roman" w:cs="Times New Roman"/>
          <w:noProof/>
          <w:sz w:val="24"/>
          <w:szCs w:val="24"/>
        </w:rPr>
        <w:t xml:space="preserve">, including </w:t>
      </w:r>
      <w:r w:rsidR="00B855BD" w:rsidRPr="00E76013">
        <w:rPr>
          <w:rFonts w:ascii="Times New Roman" w:eastAsia="Times New Roman" w:hAnsi="Times New Roman" w:cs="Times New Roman"/>
          <w:noProof/>
          <w:sz w:val="24"/>
          <w:szCs w:val="24"/>
        </w:rPr>
        <w:t xml:space="preserve">a reform covering </w:t>
      </w:r>
      <w:r w:rsidRPr="00E76013">
        <w:rPr>
          <w:rFonts w:ascii="Times New Roman" w:eastAsia="Times New Roman" w:hAnsi="Times New Roman" w:cs="Times New Roman"/>
          <w:noProof/>
          <w:sz w:val="24"/>
          <w:szCs w:val="24"/>
        </w:rPr>
        <w:t>the adoption of a long-term strategy to introduce the Building Information Modelling</w:t>
      </w:r>
      <w:r w:rsidR="00C1762F" w:rsidRPr="00E76013">
        <w:rPr>
          <w:rFonts w:ascii="Times New Roman" w:eastAsia="Times New Roman" w:hAnsi="Times New Roman" w:cs="Times New Roman"/>
          <w:noProof/>
          <w:sz w:val="24"/>
          <w:szCs w:val="24"/>
        </w:rPr>
        <w:t xml:space="preserve"> (BIM)</w:t>
      </w:r>
      <w:r w:rsidRPr="00E76013">
        <w:rPr>
          <w:rFonts w:ascii="Times New Roman" w:eastAsia="Times New Roman" w:hAnsi="Times New Roman" w:cs="Times New Roman"/>
          <w:noProof/>
          <w:sz w:val="24"/>
          <w:szCs w:val="24"/>
        </w:rPr>
        <w:t xml:space="preserve"> into the design, execution and mai</w:t>
      </w:r>
      <w:r w:rsidR="006077B9" w:rsidRPr="00E76013">
        <w:rPr>
          <w:rFonts w:ascii="Times New Roman" w:eastAsia="Times New Roman" w:hAnsi="Times New Roman" w:cs="Times New Roman"/>
          <w:noProof/>
          <w:sz w:val="24"/>
          <w:szCs w:val="24"/>
        </w:rPr>
        <w:t xml:space="preserve">ntenance of construction works </w:t>
      </w:r>
      <w:r w:rsidR="00B855BD" w:rsidRPr="00E76013">
        <w:rPr>
          <w:rFonts w:ascii="Times New Roman" w:eastAsia="Times New Roman" w:hAnsi="Times New Roman" w:cs="Times New Roman"/>
          <w:noProof/>
          <w:sz w:val="24"/>
          <w:szCs w:val="24"/>
        </w:rPr>
        <w:t>and a</w:t>
      </w:r>
      <w:r w:rsidR="00C1762F" w:rsidRPr="00E76013">
        <w:rPr>
          <w:rFonts w:ascii="Times New Roman" w:eastAsia="Times New Roman" w:hAnsi="Times New Roman" w:cs="Times New Roman"/>
          <w:noProof/>
          <w:sz w:val="24"/>
          <w:szCs w:val="24"/>
        </w:rPr>
        <w:t xml:space="preserve"> related investment </w:t>
      </w:r>
      <w:r w:rsidR="00B855BD" w:rsidRPr="00E76013">
        <w:rPr>
          <w:rFonts w:ascii="Times New Roman" w:eastAsia="Times New Roman" w:hAnsi="Times New Roman" w:cs="Times New Roman"/>
          <w:noProof/>
          <w:sz w:val="24"/>
          <w:szCs w:val="24"/>
        </w:rPr>
        <w:t xml:space="preserve">that </w:t>
      </w:r>
      <w:r w:rsidR="00C1762F" w:rsidRPr="00E76013">
        <w:rPr>
          <w:rFonts w:ascii="Times New Roman" w:eastAsia="Times New Roman" w:hAnsi="Times New Roman" w:cs="Times New Roman"/>
          <w:noProof/>
          <w:sz w:val="24"/>
          <w:szCs w:val="24"/>
        </w:rPr>
        <w:t xml:space="preserve">will support a pilot phase for the introduction of BIM in Bulgaria. </w:t>
      </w:r>
      <w:r w:rsidR="004A1D8A" w:rsidRPr="00E76013">
        <w:rPr>
          <w:rFonts w:ascii="Times New Roman" w:eastAsia="Times New Roman" w:hAnsi="Times New Roman" w:cs="Times New Roman"/>
          <w:noProof/>
          <w:sz w:val="24"/>
          <w:szCs w:val="24"/>
        </w:rPr>
        <w:t xml:space="preserve">Moreover, an investment included in the </w:t>
      </w:r>
      <w:r w:rsidR="00DB412A" w:rsidRPr="00E76013">
        <w:rPr>
          <w:rFonts w:ascii="Times New Roman" w:eastAsia="Times New Roman" w:hAnsi="Times New Roman" w:cs="Times New Roman"/>
          <w:noProof/>
          <w:sz w:val="24"/>
          <w:szCs w:val="24"/>
        </w:rPr>
        <w:t>P</w:t>
      </w:r>
      <w:r w:rsidR="004A1D8A" w:rsidRPr="00E76013">
        <w:rPr>
          <w:rFonts w:ascii="Times New Roman" w:eastAsia="Times New Roman" w:hAnsi="Times New Roman" w:cs="Times New Roman"/>
          <w:noProof/>
          <w:sz w:val="24"/>
          <w:szCs w:val="24"/>
        </w:rPr>
        <w:t>lan supports the development of a Unified Information System for Spatial Planning, Investment Design and Building Authorisation.</w:t>
      </w:r>
      <w:r w:rsidR="004A1D8A" w:rsidRPr="00E76013">
        <w:rPr>
          <w:noProof/>
        </w:rPr>
        <w:t xml:space="preserve"> </w:t>
      </w:r>
      <w:r w:rsidR="004A1D8A" w:rsidRPr="00E76013">
        <w:rPr>
          <w:rFonts w:ascii="Times New Roman" w:eastAsia="Times New Roman" w:hAnsi="Times New Roman" w:cs="Times New Roman"/>
          <w:noProof/>
          <w:sz w:val="24"/>
          <w:szCs w:val="24"/>
        </w:rPr>
        <w:t>Th</w:t>
      </w:r>
      <w:r w:rsidR="005A3607">
        <w:rPr>
          <w:rFonts w:ascii="Times New Roman" w:eastAsia="Times New Roman" w:hAnsi="Times New Roman" w:cs="Times New Roman"/>
          <w:noProof/>
          <w:sz w:val="24"/>
          <w:szCs w:val="24"/>
        </w:rPr>
        <w:t>is</w:t>
      </w:r>
      <w:r w:rsidR="004A1D8A" w:rsidRPr="00E76013">
        <w:rPr>
          <w:rFonts w:ascii="Times New Roman" w:eastAsia="Times New Roman" w:hAnsi="Times New Roman" w:cs="Times New Roman"/>
          <w:noProof/>
          <w:sz w:val="24"/>
          <w:szCs w:val="24"/>
        </w:rPr>
        <w:t xml:space="preserve"> </w:t>
      </w:r>
      <w:r w:rsidR="00E346E3" w:rsidRPr="00E76013">
        <w:rPr>
          <w:rFonts w:ascii="Times New Roman" w:eastAsia="Times New Roman" w:hAnsi="Times New Roman" w:cs="Times New Roman"/>
          <w:noProof/>
          <w:sz w:val="24"/>
          <w:szCs w:val="24"/>
        </w:rPr>
        <w:t>investment aims</w:t>
      </w:r>
      <w:r w:rsidR="004A1D8A" w:rsidRPr="00E76013">
        <w:rPr>
          <w:rFonts w:ascii="Times New Roman" w:eastAsia="Times New Roman" w:hAnsi="Times New Roman" w:cs="Times New Roman"/>
          <w:noProof/>
          <w:sz w:val="24"/>
          <w:szCs w:val="24"/>
        </w:rPr>
        <w:t xml:space="preserve"> to reduce the administrative burden of citizens and businesses in relation to construction by setting up a platform for the provision of electronic administrative planning services and the authorisation of construction.</w:t>
      </w:r>
    </w:p>
    <w:p w14:paraId="171A7DDC" w14:textId="787BE3C8" w:rsidR="00F050D6" w:rsidRPr="00E76013" w:rsidRDefault="00272372"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lang w:val="en-GB"/>
        </w:rPr>
        <w:t>The digitalisation of justice</w:t>
      </w:r>
      <w:r w:rsidRPr="00E76013">
        <w:rPr>
          <w:rFonts w:ascii="Times New Roman" w:eastAsia="Times New Roman" w:hAnsi="Times New Roman" w:cs="Times New Roman"/>
          <w:noProof/>
          <w:sz w:val="24"/>
          <w:szCs w:val="24"/>
          <w:lang w:val="en-GB"/>
        </w:rPr>
        <w:t xml:space="preserve"> </w:t>
      </w:r>
      <w:r w:rsidRPr="00751CDF">
        <w:rPr>
          <w:rFonts w:ascii="Times New Roman" w:eastAsia="Times New Roman" w:hAnsi="Times New Roman" w:cs="Times New Roman"/>
          <w:b/>
          <w:noProof/>
          <w:sz w:val="24"/>
          <w:szCs w:val="24"/>
        </w:rPr>
        <w:t>forms part of the efforts to digitalise the public sector</w:t>
      </w:r>
      <w:r w:rsidRPr="00E76013">
        <w:rPr>
          <w:rFonts w:ascii="Times New Roman" w:eastAsia="Times New Roman" w:hAnsi="Times New Roman" w:cs="Times New Roman"/>
          <w:noProof/>
          <w:sz w:val="24"/>
          <w:szCs w:val="24"/>
        </w:rPr>
        <w:t>. The key measures in this respect include</w:t>
      </w:r>
      <w:r w:rsidR="009037A7" w:rsidRPr="00E76013">
        <w:rPr>
          <w:rFonts w:ascii="Times New Roman" w:eastAsia="Times New Roman" w:hAnsi="Times New Roman" w:cs="Times New Roman"/>
          <w:noProof/>
          <w:sz w:val="24"/>
          <w:szCs w:val="24"/>
        </w:rPr>
        <w:t xml:space="preserve"> </w:t>
      </w:r>
      <w:r w:rsidR="00E449D3" w:rsidRPr="00E76013">
        <w:rPr>
          <w:rFonts w:ascii="Times New Roman" w:eastAsia="Times New Roman" w:hAnsi="Times New Roman" w:cs="Times New Roman"/>
          <w:noProof/>
          <w:sz w:val="24"/>
          <w:szCs w:val="24"/>
        </w:rPr>
        <w:t xml:space="preserve">upgrading the </w:t>
      </w:r>
      <w:r w:rsidR="00BA6D77" w:rsidRPr="00E76013">
        <w:rPr>
          <w:rFonts w:ascii="Times New Roman" w:eastAsia="Times New Roman" w:hAnsi="Times New Roman" w:cs="Times New Roman"/>
          <w:noProof/>
          <w:sz w:val="24"/>
          <w:szCs w:val="24"/>
        </w:rPr>
        <w:t xml:space="preserve">Unified Courts Information System, </w:t>
      </w:r>
      <w:r w:rsidR="00E449D3" w:rsidRPr="00E76013">
        <w:rPr>
          <w:rFonts w:ascii="Times New Roman" w:eastAsia="Times New Roman" w:hAnsi="Times New Roman" w:cs="Times New Roman"/>
          <w:noProof/>
          <w:sz w:val="24"/>
          <w:szCs w:val="24"/>
        </w:rPr>
        <w:t xml:space="preserve">the </w:t>
      </w:r>
      <w:r w:rsidR="00BA6D77" w:rsidRPr="00E76013">
        <w:rPr>
          <w:rFonts w:ascii="Times New Roman" w:eastAsia="Times New Roman" w:hAnsi="Times New Roman" w:cs="Times New Roman"/>
          <w:noProof/>
          <w:sz w:val="24"/>
          <w:szCs w:val="24"/>
        </w:rPr>
        <w:t>digitalisation of key judicial processes in the administrative justice system, and transformation of the existing information and communication infrastructure at the Prosecutor’s Office of the Republic of Bulgaria.</w:t>
      </w:r>
      <w:r w:rsidR="00B95E6C" w:rsidRPr="00E76013">
        <w:rPr>
          <w:rFonts w:ascii="Times New Roman" w:eastAsia="Times New Roman" w:hAnsi="Times New Roman" w:cs="Times New Roman"/>
          <w:noProof/>
          <w:sz w:val="24"/>
          <w:szCs w:val="24"/>
        </w:rPr>
        <w:t xml:space="preserve"> The investments are accompanied by</w:t>
      </w:r>
      <w:r w:rsidR="0096108B" w:rsidRPr="00E76013">
        <w:rPr>
          <w:rFonts w:ascii="Times New Roman" w:eastAsia="Times New Roman" w:hAnsi="Times New Roman" w:cs="Times New Roman"/>
          <w:noProof/>
          <w:sz w:val="24"/>
          <w:szCs w:val="24"/>
        </w:rPr>
        <w:t xml:space="preserve"> reforms</w:t>
      </w:r>
      <w:r w:rsidR="00C01A62">
        <w:rPr>
          <w:rFonts w:ascii="Times New Roman" w:eastAsia="Times New Roman" w:hAnsi="Times New Roman" w:cs="Times New Roman"/>
          <w:noProof/>
          <w:sz w:val="24"/>
          <w:szCs w:val="24"/>
        </w:rPr>
        <w:t xml:space="preserve"> </w:t>
      </w:r>
      <w:r w:rsidR="00C01A62">
        <w:rPr>
          <w:rFonts w:ascii="Times New Roman" w:eastAsia="Times New Roman" w:hAnsi="Times New Roman" w:cs="Times New Roman"/>
          <w:noProof/>
          <w:sz w:val="24"/>
          <w:szCs w:val="24"/>
          <w:lang w:val="en-IE"/>
        </w:rPr>
        <w:t>aimed at</w:t>
      </w:r>
      <w:r w:rsidR="0096108B" w:rsidRPr="00E76013">
        <w:rPr>
          <w:rFonts w:ascii="Times New Roman" w:eastAsia="Times New Roman" w:hAnsi="Times New Roman" w:cs="Times New Roman"/>
          <w:noProof/>
          <w:sz w:val="24"/>
          <w:szCs w:val="24"/>
        </w:rPr>
        <w:t xml:space="preserve"> facilitating </w:t>
      </w:r>
      <w:r w:rsidR="00C01A62">
        <w:rPr>
          <w:rFonts w:ascii="Times New Roman" w:eastAsia="Times New Roman" w:hAnsi="Times New Roman" w:cs="Times New Roman"/>
          <w:noProof/>
          <w:sz w:val="24"/>
          <w:szCs w:val="24"/>
        </w:rPr>
        <w:t xml:space="preserve">access to justice </w:t>
      </w:r>
      <w:r w:rsidR="0096108B" w:rsidRPr="00E76013">
        <w:rPr>
          <w:rFonts w:ascii="Times New Roman" w:eastAsia="Times New Roman" w:hAnsi="Times New Roman" w:cs="Times New Roman"/>
          <w:noProof/>
          <w:sz w:val="24"/>
          <w:szCs w:val="24"/>
        </w:rPr>
        <w:t xml:space="preserve">in civil, criminal, </w:t>
      </w:r>
      <w:r w:rsidR="00791CD9" w:rsidRPr="00E76013">
        <w:rPr>
          <w:rFonts w:ascii="Times New Roman" w:eastAsia="Times New Roman" w:hAnsi="Times New Roman" w:cs="Times New Roman"/>
          <w:noProof/>
          <w:sz w:val="24"/>
          <w:szCs w:val="24"/>
        </w:rPr>
        <w:t>and</w:t>
      </w:r>
      <w:r w:rsidR="0096108B" w:rsidRPr="00E76013">
        <w:rPr>
          <w:rFonts w:ascii="Times New Roman" w:eastAsia="Times New Roman" w:hAnsi="Times New Roman" w:cs="Times New Roman"/>
          <w:noProof/>
          <w:sz w:val="24"/>
          <w:szCs w:val="24"/>
        </w:rPr>
        <w:t xml:space="preserve"> administrative proceedings. The reforms are expected to enable</w:t>
      </w:r>
      <w:r w:rsidR="00F050D6" w:rsidRPr="00E76013">
        <w:rPr>
          <w:rFonts w:ascii="Times New Roman" w:eastAsia="Times New Roman" w:hAnsi="Times New Roman" w:cs="Times New Roman"/>
          <w:noProof/>
          <w:sz w:val="24"/>
          <w:szCs w:val="24"/>
        </w:rPr>
        <w:t xml:space="preserve"> the electronic submission of </w:t>
      </w:r>
      <w:r w:rsidR="0096108B" w:rsidRPr="00E76013">
        <w:rPr>
          <w:rFonts w:ascii="Times New Roman" w:eastAsia="Times New Roman" w:hAnsi="Times New Roman" w:cs="Times New Roman"/>
          <w:noProof/>
          <w:sz w:val="24"/>
          <w:szCs w:val="24"/>
        </w:rPr>
        <w:t xml:space="preserve">documents, </w:t>
      </w:r>
      <w:r w:rsidR="008127B9" w:rsidRPr="00E76013">
        <w:rPr>
          <w:rFonts w:ascii="Times New Roman" w:eastAsia="Times New Roman" w:hAnsi="Times New Roman" w:cs="Times New Roman"/>
          <w:noProof/>
          <w:sz w:val="24"/>
          <w:szCs w:val="24"/>
        </w:rPr>
        <w:t xml:space="preserve">preparation of </w:t>
      </w:r>
      <w:r w:rsidR="0096108B" w:rsidRPr="00E76013">
        <w:rPr>
          <w:rFonts w:ascii="Times New Roman" w:eastAsia="Times New Roman" w:hAnsi="Times New Roman" w:cs="Times New Roman"/>
          <w:noProof/>
          <w:sz w:val="24"/>
          <w:szCs w:val="24"/>
        </w:rPr>
        <w:t xml:space="preserve">court decisions as electronic documents signed by a qualified electronic signature, </w:t>
      </w:r>
      <w:r w:rsidR="003E11BC" w:rsidRPr="00E76013">
        <w:rPr>
          <w:rFonts w:ascii="Times New Roman" w:eastAsia="Times New Roman" w:hAnsi="Times New Roman" w:cs="Times New Roman"/>
          <w:noProof/>
          <w:sz w:val="24"/>
          <w:szCs w:val="24"/>
        </w:rPr>
        <w:t>exercise of procedural rights and performing procedural actions in an electronic form</w:t>
      </w:r>
      <w:r w:rsidR="001F7B58">
        <w:rPr>
          <w:rFonts w:ascii="Times New Roman" w:eastAsia="Times New Roman" w:hAnsi="Times New Roman" w:cs="Times New Roman"/>
          <w:noProof/>
          <w:sz w:val="24"/>
          <w:szCs w:val="24"/>
        </w:rPr>
        <w:t>,</w:t>
      </w:r>
      <w:r w:rsidR="003E11BC" w:rsidRPr="00E76013">
        <w:rPr>
          <w:rFonts w:ascii="Times New Roman" w:eastAsia="Times New Roman" w:hAnsi="Times New Roman" w:cs="Times New Roman"/>
          <w:noProof/>
          <w:sz w:val="24"/>
          <w:szCs w:val="24"/>
        </w:rPr>
        <w:t xml:space="preserve"> as well as holding court sessions in a remote and electronic environment.</w:t>
      </w:r>
      <w:r w:rsidR="004F2DAB">
        <w:rPr>
          <w:rFonts w:ascii="Times New Roman" w:eastAsia="Times New Roman" w:hAnsi="Times New Roman" w:cs="Times New Roman"/>
          <w:noProof/>
          <w:sz w:val="24"/>
          <w:szCs w:val="24"/>
        </w:rPr>
        <w:t xml:space="preserve"> </w:t>
      </w:r>
      <w:r w:rsidR="004E7C5E" w:rsidRPr="00E76013">
        <w:rPr>
          <w:rFonts w:ascii="Times New Roman" w:eastAsia="Times New Roman" w:hAnsi="Times New Roman" w:cs="Times New Roman"/>
          <w:noProof/>
          <w:sz w:val="24"/>
          <w:szCs w:val="24"/>
        </w:rPr>
        <w:t xml:space="preserve">The reforms and investments supporting the digitalisation of justice are expected to enable </w:t>
      </w:r>
      <w:r w:rsidR="00F050D6" w:rsidRPr="00E76013">
        <w:rPr>
          <w:rFonts w:ascii="Times New Roman" w:eastAsia="Times New Roman" w:hAnsi="Times New Roman" w:cs="Times New Roman"/>
          <w:noProof/>
          <w:sz w:val="24"/>
          <w:szCs w:val="24"/>
        </w:rPr>
        <w:t xml:space="preserve">faster, </w:t>
      </w:r>
      <w:r w:rsidR="0009332D" w:rsidRPr="00E76013">
        <w:rPr>
          <w:rFonts w:ascii="Times New Roman" w:eastAsia="Times New Roman" w:hAnsi="Times New Roman" w:cs="Times New Roman"/>
          <w:noProof/>
          <w:sz w:val="24"/>
          <w:szCs w:val="24"/>
        </w:rPr>
        <w:t xml:space="preserve">more </w:t>
      </w:r>
      <w:r w:rsidR="00F050D6" w:rsidRPr="00E76013">
        <w:rPr>
          <w:rFonts w:ascii="Times New Roman" w:eastAsia="Times New Roman" w:hAnsi="Times New Roman" w:cs="Times New Roman"/>
          <w:noProof/>
          <w:sz w:val="24"/>
          <w:szCs w:val="24"/>
        </w:rPr>
        <w:t>efficient and accessible administration of justice</w:t>
      </w:r>
      <w:r w:rsidR="00F050D6" w:rsidRPr="00E76013">
        <w:rPr>
          <w:rFonts w:ascii="Times New Roman" w:eastAsia="Times New Roman" w:hAnsi="Times New Roman" w:cs="Times New Roman"/>
          <w:noProof/>
          <w:sz w:val="24"/>
          <w:szCs w:val="24"/>
          <w:lang w:val="en-GB"/>
        </w:rPr>
        <w:t xml:space="preserve">. </w:t>
      </w:r>
    </w:p>
    <w:p w14:paraId="3ABCF8CD" w14:textId="780D525C" w:rsidR="006D712E" w:rsidRPr="00E76013" w:rsidRDefault="00F53353"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bCs/>
          <w:noProof/>
          <w:sz w:val="24"/>
          <w:szCs w:val="24"/>
          <w:lang w:val="en-GB"/>
        </w:rPr>
        <w:t xml:space="preserve">The Plan also supports the digitalisation of </w:t>
      </w:r>
      <w:r w:rsidR="002820A5" w:rsidRPr="00E76013">
        <w:rPr>
          <w:rFonts w:ascii="Times New Roman" w:eastAsia="Times New Roman" w:hAnsi="Times New Roman" w:cs="Times New Roman"/>
          <w:b/>
          <w:bCs/>
          <w:noProof/>
          <w:sz w:val="24"/>
          <w:szCs w:val="24"/>
          <w:lang w:val="en-GB"/>
        </w:rPr>
        <w:t>healthcare</w:t>
      </w:r>
      <w:r w:rsidR="002820A5" w:rsidRPr="00E76013">
        <w:rPr>
          <w:rFonts w:ascii="Times New Roman" w:eastAsia="Times New Roman" w:hAnsi="Times New Roman" w:cs="Times New Roman"/>
          <w:noProof/>
          <w:sz w:val="24"/>
          <w:szCs w:val="24"/>
          <w:lang w:val="en-GB"/>
        </w:rPr>
        <w:t xml:space="preserve">. </w:t>
      </w:r>
      <w:r w:rsidR="00EF636E" w:rsidRPr="00E76013">
        <w:rPr>
          <w:rFonts w:ascii="Times New Roman" w:eastAsia="Times New Roman" w:hAnsi="Times New Roman" w:cs="Times New Roman"/>
          <w:noProof/>
          <w:sz w:val="24"/>
          <w:szCs w:val="24"/>
        </w:rPr>
        <w:t>The enhancement of e-health and digital innovation in healthcare</w:t>
      </w:r>
      <w:r w:rsidR="00B34D8F" w:rsidRPr="00E76013">
        <w:rPr>
          <w:rFonts w:ascii="Times New Roman" w:eastAsia="Times New Roman" w:hAnsi="Times New Roman" w:cs="Times New Roman"/>
          <w:noProof/>
          <w:sz w:val="24"/>
          <w:szCs w:val="24"/>
        </w:rPr>
        <w:t xml:space="preserve"> in Bulgaria</w:t>
      </w:r>
      <w:r w:rsidR="00EF636E" w:rsidRPr="00E76013">
        <w:rPr>
          <w:rFonts w:ascii="Times New Roman" w:eastAsia="Times New Roman" w:hAnsi="Times New Roman" w:cs="Times New Roman"/>
          <w:noProof/>
          <w:sz w:val="24"/>
          <w:szCs w:val="24"/>
        </w:rPr>
        <w:t xml:space="preserve"> </w:t>
      </w:r>
      <w:r w:rsidR="00CE50E1" w:rsidRPr="00E76013">
        <w:rPr>
          <w:rFonts w:ascii="Times New Roman" w:eastAsia="Times New Roman" w:hAnsi="Times New Roman" w:cs="Times New Roman"/>
          <w:noProof/>
          <w:sz w:val="24"/>
          <w:szCs w:val="24"/>
        </w:rPr>
        <w:t>is</w:t>
      </w:r>
      <w:r w:rsidR="00EF636E" w:rsidRPr="00E76013">
        <w:rPr>
          <w:rFonts w:ascii="Times New Roman" w:eastAsia="Times New Roman" w:hAnsi="Times New Roman" w:cs="Times New Roman"/>
          <w:noProof/>
          <w:sz w:val="24"/>
          <w:szCs w:val="24"/>
        </w:rPr>
        <w:t xml:space="preserve"> supported by the completion of the implementation of the National Health Information System (“NHIS”) and by the development of a platform for medical diagnostics. </w:t>
      </w:r>
      <w:r w:rsidR="003C3AB7" w:rsidRPr="00E76013">
        <w:rPr>
          <w:rFonts w:ascii="Times New Roman" w:eastAsia="Times New Roman" w:hAnsi="Times New Roman" w:cs="Times New Roman"/>
          <w:noProof/>
          <w:sz w:val="24"/>
          <w:szCs w:val="24"/>
        </w:rPr>
        <w:t xml:space="preserve">The NHIS </w:t>
      </w:r>
      <w:r w:rsidR="00CE50E1" w:rsidRPr="00E76013">
        <w:rPr>
          <w:rFonts w:ascii="Times New Roman" w:eastAsia="Times New Roman" w:hAnsi="Times New Roman" w:cs="Times New Roman"/>
          <w:noProof/>
          <w:sz w:val="24"/>
          <w:szCs w:val="24"/>
        </w:rPr>
        <w:t>is expected to</w:t>
      </w:r>
      <w:r w:rsidR="003C3AB7" w:rsidRPr="00E76013">
        <w:rPr>
          <w:rFonts w:ascii="Times New Roman" w:eastAsia="Times New Roman" w:hAnsi="Times New Roman" w:cs="Times New Roman"/>
          <w:noProof/>
          <w:sz w:val="24"/>
          <w:szCs w:val="24"/>
        </w:rPr>
        <w:t xml:space="preserve"> serve as an integrated digital environment for the collection and exchange of medical information (e.g. electronic records, </w:t>
      </w:r>
      <w:r w:rsidR="00D13D25">
        <w:rPr>
          <w:rFonts w:ascii="Times New Roman" w:eastAsia="Times New Roman" w:hAnsi="Times New Roman" w:cs="Times New Roman"/>
          <w:noProof/>
          <w:sz w:val="24"/>
          <w:szCs w:val="24"/>
        </w:rPr>
        <w:t>referrals,</w:t>
      </w:r>
      <w:r w:rsidR="00D13D25" w:rsidRPr="00E76013">
        <w:rPr>
          <w:rFonts w:ascii="Times New Roman" w:eastAsia="Times New Roman" w:hAnsi="Times New Roman" w:cs="Times New Roman"/>
          <w:noProof/>
          <w:sz w:val="24"/>
          <w:szCs w:val="24"/>
        </w:rPr>
        <w:t xml:space="preserve"> </w:t>
      </w:r>
      <w:r w:rsidR="003C3AB7" w:rsidRPr="00E76013">
        <w:rPr>
          <w:rFonts w:ascii="Times New Roman" w:eastAsia="Times New Roman" w:hAnsi="Times New Roman" w:cs="Times New Roman"/>
          <w:noProof/>
          <w:sz w:val="24"/>
          <w:szCs w:val="24"/>
        </w:rPr>
        <w:t xml:space="preserve">prescriptions etc.). The investment and accompanying reforms </w:t>
      </w:r>
      <w:r w:rsidR="00A55897" w:rsidRPr="00E76013">
        <w:rPr>
          <w:rFonts w:ascii="Times New Roman" w:eastAsia="Times New Roman" w:hAnsi="Times New Roman" w:cs="Times New Roman"/>
          <w:noProof/>
          <w:sz w:val="24"/>
          <w:szCs w:val="24"/>
        </w:rPr>
        <w:t xml:space="preserve">aim to </w:t>
      </w:r>
      <w:r w:rsidR="003C3AB7" w:rsidRPr="00E76013">
        <w:rPr>
          <w:rFonts w:ascii="Times New Roman" w:eastAsia="Times New Roman" w:hAnsi="Times New Roman" w:cs="Times New Roman"/>
          <w:noProof/>
          <w:sz w:val="24"/>
          <w:szCs w:val="24"/>
        </w:rPr>
        <w:t xml:space="preserve">eliminate the fragmentation, increase transparency as well as quality and safety of medical care. The NHIS </w:t>
      </w:r>
      <w:r w:rsidR="00526206">
        <w:rPr>
          <w:rFonts w:ascii="Times New Roman" w:eastAsia="Times New Roman" w:hAnsi="Times New Roman" w:cs="Times New Roman"/>
          <w:noProof/>
          <w:sz w:val="24"/>
          <w:szCs w:val="24"/>
        </w:rPr>
        <w:t>is to be</w:t>
      </w:r>
      <w:r w:rsidR="003C3AB7" w:rsidRPr="00E76013">
        <w:rPr>
          <w:rFonts w:ascii="Times New Roman" w:eastAsia="Times New Roman" w:hAnsi="Times New Roman" w:cs="Times New Roman"/>
          <w:noProof/>
          <w:sz w:val="24"/>
          <w:szCs w:val="24"/>
        </w:rPr>
        <w:t xml:space="preserve"> connected to a pilot national Digital Medical Diagnostic Platform that </w:t>
      </w:r>
      <w:r w:rsidR="00944479">
        <w:rPr>
          <w:rFonts w:ascii="Times New Roman" w:eastAsia="Times New Roman" w:hAnsi="Times New Roman" w:cs="Times New Roman"/>
          <w:noProof/>
          <w:sz w:val="24"/>
          <w:szCs w:val="24"/>
        </w:rPr>
        <w:t>will</w:t>
      </w:r>
      <w:r w:rsidR="00A55897" w:rsidRPr="00E76013">
        <w:rPr>
          <w:rFonts w:ascii="Times New Roman" w:eastAsia="Times New Roman" w:hAnsi="Times New Roman" w:cs="Times New Roman"/>
          <w:noProof/>
          <w:sz w:val="24"/>
          <w:szCs w:val="24"/>
        </w:rPr>
        <w:t xml:space="preserve"> </w:t>
      </w:r>
      <w:r w:rsidR="003C3AB7" w:rsidRPr="00E76013">
        <w:rPr>
          <w:rFonts w:ascii="Times New Roman" w:eastAsia="Times New Roman" w:hAnsi="Times New Roman" w:cs="Times New Roman"/>
          <w:noProof/>
          <w:sz w:val="24"/>
          <w:szCs w:val="24"/>
        </w:rPr>
        <w:t xml:space="preserve">enable the generation of a database of digital images and </w:t>
      </w:r>
      <w:r w:rsidR="00944479">
        <w:rPr>
          <w:rFonts w:ascii="Times New Roman" w:eastAsia="Times New Roman" w:hAnsi="Times New Roman" w:cs="Times New Roman"/>
          <w:noProof/>
          <w:sz w:val="24"/>
          <w:szCs w:val="24"/>
        </w:rPr>
        <w:t>their</w:t>
      </w:r>
      <w:r w:rsidR="00944479" w:rsidRPr="00E76013">
        <w:rPr>
          <w:rFonts w:ascii="Times New Roman" w:eastAsia="Times New Roman" w:hAnsi="Times New Roman" w:cs="Times New Roman"/>
          <w:noProof/>
          <w:sz w:val="24"/>
          <w:szCs w:val="24"/>
        </w:rPr>
        <w:t xml:space="preserve"> </w:t>
      </w:r>
      <w:r w:rsidR="003C3AB7" w:rsidRPr="00E76013">
        <w:rPr>
          <w:rFonts w:ascii="Times New Roman" w:eastAsia="Times New Roman" w:hAnsi="Times New Roman" w:cs="Times New Roman"/>
          <w:noProof/>
          <w:sz w:val="24"/>
          <w:szCs w:val="24"/>
        </w:rPr>
        <w:t xml:space="preserve">secondary processing through validated machine learning algorithms. The investments in a pilot project for telemedicine services in the offices of the Bulgarian Post in rural and remote areas </w:t>
      </w:r>
      <w:r w:rsidR="00A55897" w:rsidRPr="00E76013">
        <w:rPr>
          <w:rFonts w:ascii="Times New Roman" w:eastAsia="Times New Roman" w:hAnsi="Times New Roman" w:cs="Times New Roman"/>
          <w:noProof/>
          <w:sz w:val="24"/>
          <w:szCs w:val="24"/>
        </w:rPr>
        <w:t xml:space="preserve">should </w:t>
      </w:r>
      <w:r w:rsidR="003C3AB7" w:rsidRPr="00E76013">
        <w:rPr>
          <w:rFonts w:ascii="Times New Roman" w:eastAsia="Times New Roman" w:hAnsi="Times New Roman" w:cs="Times New Roman"/>
          <w:noProof/>
          <w:sz w:val="24"/>
          <w:szCs w:val="24"/>
        </w:rPr>
        <w:t xml:space="preserve">further contribute to the </w:t>
      </w:r>
      <w:r w:rsidR="000B47A1" w:rsidRPr="00E76013">
        <w:rPr>
          <w:rFonts w:ascii="Times New Roman" w:eastAsia="Times New Roman" w:hAnsi="Times New Roman" w:cs="Times New Roman"/>
          <w:noProof/>
          <w:sz w:val="24"/>
          <w:szCs w:val="24"/>
        </w:rPr>
        <w:t xml:space="preserve">provision </w:t>
      </w:r>
      <w:r w:rsidR="003C3AB7" w:rsidRPr="00E76013">
        <w:rPr>
          <w:rFonts w:ascii="Times New Roman" w:eastAsia="Times New Roman" w:hAnsi="Times New Roman" w:cs="Times New Roman"/>
          <w:noProof/>
          <w:sz w:val="24"/>
          <w:szCs w:val="24"/>
        </w:rPr>
        <w:t xml:space="preserve">of </w:t>
      </w:r>
      <w:r w:rsidR="000B47A1" w:rsidRPr="00E76013">
        <w:rPr>
          <w:rFonts w:ascii="Times New Roman" w:eastAsia="Times New Roman" w:hAnsi="Times New Roman" w:cs="Times New Roman"/>
          <w:noProof/>
          <w:sz w:val="24"/>
          <w:szCs w:val="24"/>
        </w:rPr>
        <w:t>telemedicine</w:t>
      </w:r>
      <w:r w:rsidR="00C400D9" w:rsidRPr="00E76013">
        <w:rPr>
          <w:rFonts w:ascii="Times New Roman" w:eastAsia="Times New Roman" w:hAnsi="Times New Roman" w:cs="Times New Roman"/>
          <w:noProof/>
          <w:sz w:val="24"/>
          <w:szCs w:val="24"/>
        </w:rPr>
        <w:t xml:space="preserve"> services also in underserved</w:t>
      </w:r>
      <w:r w:rsidR="003C3AB7" w:rsidRPr="00E76013">
        <w:rPr>
          <w:rFonts w:ascii="Times New Roman" w:eastAsia="Times New Roman" w:hAnsi="Times New Roman" w:cs="Times New Roman"/>
          <w:noProof/>
          <w:sz w:val="24"/>
          <w:szCs w:val="24"/>
        </w:rPr>
        <w:t xml:space="preserve"> areas of the country. </w:t>
      </w:r>
      <w:r w:rsidR="006D712E" w:rsidRPr="00E76013">
        <w:rPr>
          <w:rFonts w:ascii="Times New Roman" w:eastAsia="Times New Roman" w:hAnsi="Times New Roman" w:cs="Times New Roman"/>
          <w:noProof/>
          <w:sz w:val="24"/>
          <w:szCs w:val="24"/>
        </w:rPr>
        <w:t>The Plan further envisages reforms consisting in the update of the legal framework in the country for e-Health (e.g. telemedicine, tele</w:t>
      </w:r>
      <w:r w:rsidR="00944479">
        <w:rPr>
          <w:rFonts w:ascii="Times New Roman" w:eastAsia="Times New Roman" w:hAnsi="Times New Roman" w:cs="Times New Roman"/>
          <w:noProof/>
          <w:sz w:val="24"/>
          <w:szCs w:val="24"/>
        </w:rPr>
        <w:t>-</w:t>
      </w:r>
      <w:r w:rsidR="006D712E" w:rsidRPr="00E76013">
        <w:rPr>
          <w:rFonts w:ascii="Times New Roman" w:eastAsia="Times New Roman" w:hAnsi="Times New Roman" w:cs="Times New Roman"/>
          <w:noProof/>
          <w:sz w:val="24"/>
          <w:szCs w:val="24"/>
        </w:rPr>
        <w:t>diagnostics and tele</w:t>
      </w:r>
      <w:r w:rsidR="00944479">
        <w:rPr>
          <w:rFonts w:ascii="Times New Roman" w:eastAsia="Times New Roman" w:hAnsi="Times New Roman" w:cs="Times New Roman"/>
          <w:noProof/>
          <w:sz w:val="24"/>
          <w:szCs w:val="24"/>
        </w:rPr>
        <w:t>-</w:t>
      </w:r>
      <w:r w:rsidR="006D712E" w:rsidRPr="00E76013">
        <w:rPr>
          <w:rFonts w:ascii="Times New Roman" w:eastAsia="Times New Roman" w:hAnsi="Times New Roman" w:cs="Times New Roman"/>
          <w:noProof/>
          <w:sz w:val="24"/>
          <w:szCs w:val="24"/>
        </w:rPr>
        <w:t>monitoring) and the adoption of the National Strategy for e-Health and Digitali</w:t>
      </w:r>
      <w:r w:rsidR="00C07B2D" w:rsidRPr="00E76013">
        <w:rPr>
          <w:rFonts w:ascii="Times New Roman" w:eastAsia="Times New Roman" w:hAnsi="Times New Roman" w:cs="Times New Roman"/>
          <w:noProof/>
          <w:sz w:val="24"/>
          <w:szCs w:val="24"/>
        </w:rPr>
        <w:t>s</w:t>
      </w:r>
      <w:r w:rsidR="006D712E" w:rsidRPr="00E76013">
        <w:rPr>
          <w:rFonts w:ascii="Times New Roman" w:eastAsia="Times New Roman" w:hAnsi="Times New Roman" w:cs="Times New Roman"/>
          <w:noProof/>
          <w:sz w:val="24"/>
          <w:szCs w:val="24"/>
        </w:rPr>
        <w:t xml:space="preserve">ation of the Health System 2021-2030, which </w:t>
      </w:r>
      <w:r w:rsidR="00A55897" w:rsidRPr="00E76013">
        <w:rPr>
          <w:rFonts w:ascii="Times New Roman" w:eastAsia="Times New Roman" w:hAnsi="Times New Roman" w:cs="Times New Roman"/>
          <w:noProof/>
          <w:sz w:val="24"/>
          <w:szCs w:val="24"/>
        </w:rPr>
        <w:t xml:space="preserve">are expected to </w:t>
      </w:r>
      <w:r w:rsidR="006D712E" w:rsidRPr="00E76013">
        <w:rPr>
          <w:rFonts w:ascii="Times New Roman" w:eastAsia="Times New Roman" w:hAnsi="Times New Roman" w:cs="Times New Roman"/>
          <w:noProof/>
          <w:sz w:val="24"/>
          <w:szCs w:val="24"/>
        </w:rPr>
        <w:t xml:space="preserve">increase the efficiency and coverage of eHealth in Bulgaria. </w:t>
      </w:r>
    </w:p>
    <w:p w14:paraId="5E0900D2" w14:textId="625D81C9" w:rsidR="00A152D2" w:rsidRPr="00E76013" w:rsidRDefault="00D03B1F"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In addition, the Plan envisages the digitalisation of the national system 112</w:t>
      </w:r>
      <w:r w:rsidR="00A152D2" w:rsidRPr="00E76013">
        <w:rPr>
          <w:rFonts w:ascii="Times New Roman" w:eastAsia="Times New Roman" w:hAnsi="Times New Roman" w:cs="Times New Roman"/>
          <w:b/>
          <w:noProof/>
          <w:sz w:val="24"/>
          <w:szCs w:val="24"/>
        </w:rPr>
        <w:t xml:space="preserve"> and extending the national coverage of the TETRA system.</w:t>
      </w:r>
      <w:r w:rsidR="00A152D2" w:rsidRPr="00E76013">
        <w:rPr>
          <w:rFonts w:ascii="Times New Roman" w:eastAsia="Times New Roman" w:hAnsi="Times New Roman" w:cs="Times New Roman"/>
          <w:noProof/>
          <w:sz w:val="24"/>
          <w:szCs w:val="24"/>
        </w:rPr>
        <w:t xml:space="preserve"> The TETRA system of the Ministry of Interior </w:t>
      </w:r>
      <w:r w:rsidR="008C491A" w:rsidRPr="00E76013">
        <w:rPr>
          <w:rFonts w:ascii="Times New Roman" w:eastAsia="Times New Roman" w:hAnsi="Times New Roman" w:cs="Times New Roman"/>
          <w:noProof/>
          <w:sz w:val="24"/>
          <w:szCs w:val="24"/>
        </w:rPr>
        <w:t xml:space="preserve">is expected to </w:t>
      </w:r>
      <w:r w:rsidR="00A152D2" w:rsidRPr="00E76013">
        <w:rPr>
          <w:rFonts w:ascii="Times New Roman" w:eastAsia="Times New Roman" w:hAnsi="Times New Roman" w:cs="Times New Roman"/>
          <w:noProof/>
          <w:sz w:val="24"/>
          <w:szCs w:val="24"/>
        </w:rPr>
        <w:t>be used as a unified radio</w:t>
      </w:r>
      <w:r w:rsidR="00371885">
        <w:rPr>
          <w:rFonts w:ascii="Times New Roman" w:eastAsia="Times New Roman" w:hAnsi="Times New Roman" w:cs="Times New Roman"/>
          <w:noProof/>
          <w:sz w:val="24"/>
          <w:szCs w:val="24"/>
        </w:rPr>
        <w:t>-</w:t>
      </w:r>
      <w:r w:rsidR="00A152D2" w:rsidRPr="00E76013">
        <w:rPr>
          <w:rFonts w:ascii="Times New Roman" w:eastAsia="Times New Roman" w:hAnsi="Times New Roman" w:cs="Times New Roman"/>
          <w:noProof/>
          <w:sz w:val="24"/>
          <w:szCs w:val="24"/>
        </w:rPr>
        <w:t>communication system to provide a communication environment for management, interaction and coordination in the Ministry of Interior</w:t>
      </w:r>
      <w:r w:rsidR="00371885">
        <w:rPr>
          <w:rFonts w:ascii="Times New Roman" w:eastAsia="Times New Roman" w:hAnsi="Times New Roman" w:cs="Times New Roman"/>
          <w:noProof/>
          <w:sz w:val="24"/>
          <w:szCs w:val="24"/>
        </w:rPr>
        <w:t>,</w:t>
      </w:r>
      <w:r w:rsidR="00A152D2" w:rsidRPr="00E76013">
        <w:rPr>
          <w:rFonts w:ascii="Times New Roman" w:eastAsia="Times New Roman" w:hAnsi="Times New Roman" w:cs="Times New Roman"/>
          <w:noProof/>
          <w:sz w:val="24"/>
          <w:szCs w:val="24"/>
        </w:rPr>
        <w:t xml:space="preserve"> as well as other government structures responsible for crisis prevention accidents, disasters and national security issues</w:t>
      </w:r>
      <w:r w:rsidR="00D07B0D" w:rsidRPr="00E76013">
        <w:rPr>
          <w:rFonts w:ascii="Times New Roman" w:eastAsia="Times New Roman" w:hAnsi="Times New Roman" w:cs="Times New Roman"/>
          <w:noProof/>
          <w:sz w:val="24"/>
          <w:szCs w:val="24"/>
        </w:rPr>
        <w:t>.</w:t>
      </w:r>
      <w:r w:rsidR="00542F43" w:rsidRPr="00E76013">
        <w:rPr>
          <w:rFonts w:ascii="Times New Roman" w:eastAsia="Times New Roman" w:hAnsi="Times New Roman" w:cs="Times New Roman"/>
          <w:noProof/>
          <w:sz w:val="24"/>
          <w:szCs w:val="24"/>
        </w:rPr>
        <w:t xml:space="preserve"> The reforms and the corresponding investments </w:t>
      </w:r>
      <w:r w:rsidR="008C491A" w:rsidRPr="00E76013">
        <w:rPr>
          <w:rFonts w:ascii="Times New Roman" w:eastAsia="Times New Roman" w:hAnsi="Times New Roman" w:cs="Times New Roman"/>
          <w:noProof/>
          <w:sz w:val="24"/>
          <w:szCs w:val="24"/>
        </w:rPr>
        <w:t>are expected to</w:t>
      </w:r>
      <w:r w:rsidR="00542F43" w:rsidRPr="00E76013">
        <w:rPr>
          <w:rFonts w:ascii="Times New Roman" w:eastAsia="Times New Roman" w:hAnsi="Times New Roman" w:cs="Times New Roman"/>
          <w:noProof/>
          <w:sz w:val="24"/>
          <w:szCs w:val="24"/>
        </w:rPr>
        <w:t xml:space="preserve"> contribute to enhancing the resilience and capacities to adequately respond to crisis situations. </w:t>
      </w:r>
    </w:p>
    <w:p w14:paraId="15A0B43C" w14:textId="712ADE24" w:rsidR="001E3807" w:rsidRPr="00E76013" w:rsidRDefault="008C52A3" w:rsidP="008963AA">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c</w:t>
      </w:r>
      <w:r w:rsidR="002766E6" w:rsidRPr="00E76013">
        <w:rPr>
          <w:rFonts w:ascii="Times New Roman" w:eastAsia="Times New Roman" w:hAnsi="Times New Roman" w:cs="Times New Roman"/>
          <w:b/>
          <w:noProof/>
          <w:sz w:val="24"/>
          <w:szCs w:val="24"/>
        </w:rPr>
        <w:t xml:space="preserve">omponent </w:t>
      </w:r>
      <w:r w:rsidR="00371885">
        <w:rPr>
          <w:rFonts w:ascii="Times New Roman" w:eastAsia="Times New Roman" w:hAnsi="Times New Roman" w:cs="Times New Roman"/>
          <w:b/>
          <w:noProof/>
          <w:sz w:val="24"/>
          <w:szCs w:val="24"/>
        </w:rPr>
        <w:t>on social inclusion</w:t>
      </w:r>
      <w:r w:rsidR="002766E6" w:rsidRPr="00E76013">
        <w:rPr>
          <w:rFonts w:ascii="Times New Roman" w:eastAsia="Times New Roman" w:hAnsi="Times New Roman" w:cs="Times New Roman"/>
          <w:b/>
          <w:noProof/>
          <w:sz w:val="24"/>
          <w:szCs w:val="24"/>
        </w:rPr>
        <w:t xml:space="preserve"> includes an investment in</w:t>
      </w:r>
      <w:r w:rsidR="00A10382" w:rsidRPr="00E76013">
        <w:rPr>
          <w:rFonts w:ascii="Times New Roman" w:eastAsia="Times New Roman" w:hAnsi="Times New Roman" w:cs="Times New Roman"/>
          <w:b/>
          <w:noProof/>
          <w:sz w:val="24"/>
          <w:szCs w:val="24"/>
        </w:rPr>
        <w:t xml:space="preserve"> the digitalisation of employment </w:t>
      </w:r>
      <w:r w:rsidR="00D87258">
        <w:rPr>
          <w:rFonts w:ascii="Times New Roman" w:eastAsia="Times New Roman" w:hAnsi="Times New Roman" w:cs="Times New Roman"/>
          <w:b/>
          <w:noProof/>
          <w:sz w:val="24"/>
          <w:szCs w:val="24"/>
        </w:rPr>
        <w:t xml:space="preserve">and social </w:t>
      </w:r>
      <w:r w:rsidR="00A10382" w:rsidRPr="00E76013">
        <w:rPr>
          <w:rFonts w:ascii="Times New Roman" w:eastAsia="Times New Roman" w:hAnsi="Times New Roman" w:cs="Times New Roman"/>
          <w:b/>
          <w:noProof/>
          <w:sz w:val="24"/>
          <w:szCs w:val="24"/>
        </w:rPr>
        <w:t>services</w:t>
      </w:r>
      <w:r w:rsidR="008637B5" w:rsidRPr="00E76013">
        <w:rPr>
          <w:rFonts w:ascii="Times New Roman" w:eastAsia="Times New Roman" w:hAnsi="Times New Roman" w:cs="Times New Roman"/>
          <w:b/>
          <w:noProof/>
          <w:sz w:val="24"/>
          <w:szCs w:val="24"/>
        </w:rPr>
        <w:t xml:space="preserve">. </w:t>
      </w:r>
      <w:r w:rsidR="008637B5" w:rsidRPr="00E76013">
        <w:rPr>
          <w:rFonts w:ascii="Times New Roman" w:eastAsia="Times New Roman" w:hAnsi="Times New Roman" w:cs="Times New Roman"/>
          <w:noProof/>
          <w:sz w:val="24"/>
          <w:szCs w:val="24"/>
        </w:rPr>
        <w:t xml:space="preserve">This </w:t>
      </w:r>
      <w:r w:rsidR="002B7A6F" w:rsidRPr="00E76013">
        <w:rPr>
          <w:rFonts w:ascii="Times New Roman" w:eastAsia="Times New Roman" w:hAnsi="Times New Roman" w:cs="Times New Roman"/>
          <w:noProof/>
          <w:sz w:val="24"/>
          <w:szCs w:val="24"/>
        </w:rPr>
        <w:t xml:space="preserve">is expected to </w:t>
      </w:r>
      <w:r w:rsidR="002766E6" w:rsidRPr="00E76013">
        <w:rPr>
          <w:rFonts w:ascii="Times New Roman" w:eastAsia="Times New Roman" w:hAnsi="Times New Roman" w:cs="Times New Roman"/>
          <w:noProof/>
          <w:sz w:val="24"/>
          <w:szCs w:val="24"/>
        </w:rPr>
        <w:t xml:space="preserve">allow </w:t>
      </w:r>
      <w:r w:rsidR="008637B5" w:rsidRPr="00E76013">
        <w:rPr>
          <w:rFonts w:ascii="Times New Roman" w:eastAsia="Times New Roman" w:hAnsi="Times New Roman" w:cs="Times New Roman"/>
          <w:noProof/>
          <w:sz w:val="24"/>
          <w:szCs w:val="24"/>
        </w:rPr>
        <w:t xml:space="preserve">for a </w:t>
      </w:r>
      <w:r w:rsidR="00F0488F" w:rsidRPr="00E76013">
        <w:rPr>
          <w:rFonts w:ascii="Times New Roman" w:eastAsia="Times New Roman" w:hAnsi="Times New Roman" w:cs="Times New Roman"/>
          <w:noProof/>
          <w:sz w:val="24"/>
          <w:szCs w:val="24"/>
        </w:rPr>
        <w:t xml:space="preserve">more flexible use of data (e.g. based on AI technologies) and more effective provision of services, including </w:t>
      </w:r>
      <w:r w:rsidR="0056546B" w:rsidRPr="00E76013">
        <w:rPr>
          <w:rFonts w:ascii="Times New Roman" w:eastAsia="Times New Roman" w:hAnsi="Times New Roman" w:cs="Times New Roman"/>
          <w:noProof/>
          <w:sz w:val="24"/>
          <w:szCs w:val="24"/>
        </w:rPr>
        <w:t xml:space="preserve">services to </w:t>
      </w:r>
      <w:r w:rsidR="00371885">
        <w:rPr>
          <w:rFonts w:ascii="Times New Roman" w:eastAsia="Times New Roman" w:hAnsi="Times New Roman" w:cs="Times New Roman"/>
          <w:noProof/>
          <w:sz w:val="24"/>
          <w:szCs w:val="24"/>
        </w:rPr>
        <w:t xml:space="preserve">the </w:t>
      </w:r>
      <w:r w:rsidR="00F0488F" w:rsidRPr="00E76013">
        <w:rPr>
          <w:rFonts w:ascii="Times New Roman" w:eastAsia="Times New Roman" w:hAnsi="Times New Roman" w:cs="Times New Roman"/>
          <w:noProof/>
          <w:sz w:val="24"/>
          <w:szCs w:val="24"/>
        </w:rPr>
        <w:t xml:space="preserve">vulnerable and disadvantaged groups. </w:t>
      </w:r>
      <w:r w:rsidR="0001032F" w:rsidRPr="00E76013">
        <w:rPr>
          <w:rFonts w:ascii="Times New Roman" w:eastAsia="Times New Roman" w:hAnsi="Times New Roman" w:cs="Times New Roman"/>
          <w:noProof/>
          <w:sz w:val="24"/>
          <w:szCs w:val="24"/>
        </w:rPr>
        <w:t>The digitalis</w:t>
      </w:r>
      <w:r w:rsidR="00D5088F" w:rsidRPr="00E76013">
        <w:rPr>
          <w:rFonts w:ascii="Times New Roman" w:eastAsia="Times New Roman" w:hAnsi="Times New Roman" w:cs="Times New Roman"/>
          <w:noProof/>
          <w:sz w:val="24"/>
          <w:szCs w:val="24"/>
        </w:rPr>
        <w:t>ation of the social services</w:t>
      </w:r>
      <w:r w:rsidR="0001032F" w:rsidRPr="00E76013">
        <w:rPr>
          <w:rFonts w:ascii="Times New Roman" w:eastAsia="Times New Roman" w:hAnsi="Times New Roman" w:cs="Times New Roman"/>
          <w:noProof/>
          <w:sz w:val="24"/>
          <w:szCs w:val="24"/>
        </w:rPr>
        <w:t xml:space="preserve"> includes an investment in the construction of a data centre and the implementation of an IT system to manage information on the services provided by the Social Assistance Agency across the territory of the country. </w:t>
      </w:r>
      <w:r w:rsidR="00C07B2D" w:rsidRPr="00E76013">
        <w:rPr>
          <w:rFonts w:ascii="Times New Roman" w:eastAsia="Times New Roman" w:hAnsi="Times New Roman" w:cs="Times New Roman"/>
          <w:noProof/>
          <w:sz w:val="24"/>
          <w:szCs w:val="24"/>
        </w:rPr>
        <w:t>The digitalisation of employment and social assistan</w:t>
      </w:r>
      <w:r w:rsidR="003938B0" w:rsidRPr="00E76013">
        <w:rPr>
          <w:rFonts w:ascii="Times New Roman" w:eastAsia="Times New Roman" w:hAnsi="Times New Roman" w:cs="Times New Roman"/>
          <w:noProof/>
          <w:sz w:val="24"/>
          <w:szCs w:val="24"/>
        </w:rPr>
        <w:t xml:space="preserve">ce services </w:t>
      </w:r>
      <w:r w:rsidR="002B7A6F" w:rsidRPr="00E76013">
        <w:rPr>
          <w:rFonts w:ascii="Times New Roman" w:eastAsia="Times New Roman" w:hAnsi="Times New Roman" w:cs="Times New Roman"/>
          <w:noProof/>
          <w:sz w:val="24"/>
          <w:szCs w:val="24"/>
        </w:rPr>
        <w:t xml:space="preserve">is expected to </w:t>
      </w:r>
      <w:r w:rsidR="003938B0" w:rsidRPr="00E76013">
        <w:rPr>
          <w:rFonts w:ascii="Times New Roman" w:eastAsia="Times New Roman" w:hAnsi="Times New Roman" w:cs="Times New Roman"/>
          <w:noProof/>
          <w:sz w:val="24"/>
          <w:szCs w:val="24"/>
        </w:rPr>
        <w:t>contribute to increasing the efficiency</w:t>
      </w:r>
      <w:r w:rsidR="00121358" w:rsidRPr="00E76013">
        <w:rPr>
          <w:rFonts w:ascii="Times New Roman" w:eastAsia="Times New Roman" w:hAnsi="Times New Roman" w:cs="Times New Roman"/>
          <w:noProof/>
          <w:sz w:val="24"/>
          <w:szCs w:val="24"/>
        </w:rPr>
        <w:t xml:space="preserve"> and quality</w:t>
      </w:r>
      <w:r w:rsidR="003938B0" w:rsidRPr="00E76013">
        <w:rPr>
          <w:rFonts w:ascii="Times New Roman" w:eastAsia="Times New Roman" w:hAnsi="Times New Roman" w:cs="Times New Roman"/>
          <w:noProof/>
          <w:sz w:val="24"/>
          <w:szCs w:val="24"/>
        </w:rPr>
        <w:t xml:space="preserve"> of the public services, reducing administrative barriers and promoting a user-centric approach</w:t>
      </w:r>
      <w:r w:rsidR="00C56610" w:rsidRPr="00E76013">
        <w:rPr>
          <w:rFonts w:ascii="Times New Roman" w:eastAsia="Times New Roman" w:hAnsi="Times New Roman" w:cs="Times New Roman"/>
          <w:noProof/>
          <w:sz w:val="24"/>
          <w:szCs w:val="24"/>
        </w:rPr>
        <w:t xml:space="preserve"> through a more effective use of data</w:t>
      </w:r>
      <w:r w:rsidR="003938B0" w:rsidRPr="00E76013">
        <w:rPr>
          <w:rFonts w:ascii="Times New Roman" w:eastAsia="Times New Roman" w:hAnsi="Times New Roman" w:cs="Times New Roman"/>
          <w:noProof/>
          <w:sz w:val="24"/>
          <w:szCs w:val="24"/>
        </w:rPr>
        <w:t xml:space="preserve">. </w:t>
      </w:r>
      <w:r w:rsidR="001E3807" w:rsidRPr="00E76013">
        <w:rPr>
          <w:rFonts w:ascii="Times New Roman" w:eastAsia="Times New Roman" w:hAnsi="Times New Roman" w:cs="Times New Roman"/>
          <w:noProof/>
          <w:sz w:val="24"/>
          <w:szCs w:val="24"/>
        </w:rPr>
        <w:t xml:space="preserve">The component also covers the digitisation of collections of museums, libraries, and archives, with the objective of improving accessibility and fostering preservation of such resources. </w:t>
      </w:r>
    </w:p>
    <w:p w14:paraId="21187927" w14:textId="48E04C60" w:rsidR="0069750F" w:rsidRPr="00E76013" w:rsidRDefault="00AD5D70" w:rsidP="008963AA">
      <w:pPr>
        <w:spacing w:line="276" w:lineRule="auto"/>
        <w:jc w:val="both"/>
        <w:rPr>
          <w:rFonts w:ascii="Times New Roman" w:eastAsia="Times New Roman" w:hAnsi="Times New Roman" w:cs="Times New Roman"/>
          <w:noProof/>
          <w:sz w:val="24"/>
          <w:szCs w:val="24"/>
        </w:rPr>
      </w:pPr>
      <w:r w:rsidRPr="00E76013">
        <w:rPr>
          <w:rFonts w:ascii="Times New Roman" w:eastAsia="Times New Roman" w:hAnsi="Times New Roman" w:cs="Times New Roman"/>
          <w:b/>
          <w:noProof/>
          <w:sz w:val="24"/>
          <w:szCs w:val="24"/>
        </w:rPr>
        <w:t xml:space="preserve">The Plan significantly contributes to the digitalisation of energy and transport systems and transport. </w:t>
      </w:r>
      <w:r w:rsidRPr="00E76013">
        <w:rPr>
          <w:rFonts w:ascii="Times New Roman" w:eastAsia="Times New Roman" w:hAnsi="Times New Roman" w:cs="Times New Roman"/>
          <w:noProof/>
          <w:sz w:val="24"/>
          <w:szCs w:val="24"/>
        </w:rPr>
        <w:t xml:space="preserve">In particular, the Plan envisages investments in smart </w:t>
      </w:r>
      <w:r w:rsidR="0069750F" w:rsidRPr="00E76013">
        <w:rPr>
          <w:rFonts w:ascii="Times New Roman" w:eastAsia="Times New Roman" w:hAnsi="Times New Roman" w:cs="Times New Roman"/>
          <w:noProof/>
          <w:sz w:val="24"/>
          <w:szCs w:val="24"/>
        </w:rPr>
        <w:t xml:space="preserve">energy systems and smart meters. </w:t>
      </w:r>
      <w:r w:rsidR="00FB479C" w:rsidRPr="00E76013">
        <w:rPr>
          <w:rFonts w:ascii="Times New Roman" w:eastAsia="Times New Roman" w:hAnsi="Times New Roman" w:cs="Times New Roman"/>
          <w:noProof/>
          <w:sz w:val="24"/>
          <w:szCs w:val="24"/>
        </w:rPr>
        <w:t xml:space="preserve">The investment includes a comprehensive programme for the overall digital transformation of systems and processes of the Electricity System Operator covering the automated management of substations, upgrade of the supervisory control and data acquisition system (SCADA) with the introduction of remote back-up, extension and upgrade of telecommunication network, including </w:t>
      </w:r>
      <w:r w:rsidR="001B602A">
        <w:rPr>
          <w:rFonts w:ascii="Times New Roman" w:eastAsia="Times New Roman" w:hAnsi="Times New Roman" w:cs="Times New Roman"/>
          <w:noProof/>
          <w:sz w:val="24"/>
          <w:szCs w:val="24"/>
        </w:rPr>
        <w:t xml:space="preserve">a </w:t>
      </w:r>
      <w:r w:rsidR="00FB479C" w:rsidRPr="00E76013">
        <w:rPr>
          <w:rFonts w:ascii="Times New Roman" w:eastAsia="Times New Roman" w:hAnsi="Times New Roman" w:cs="Times New Roman"/>
          <w:noProof/>
          <w:sz w:val="24"/>
          <w:szCs w:val="24"/>
        </w:rPr>
        <w:t xml:space="preserve">comprehensive cybersecurity system and upgrade of the electricity markets administration systems. </w:t>
      </w:r>
      <w:r w:rsidR="0069750F" w:rsidRPr="00E76013">
        <w:rPr>
          <w:rFonts w:ascii="Times New Roman" w:eastAsia="Times New Roman" w:hAnsi="Times New Roman" w:cs="Times New Roman"/>
          <w:noProof/>
          <w:sz w:val="24"/>
          <w:szCs w:val="24"/>
        </w:rPr>
        <w:t xml:space="preserve">The </w:t>
      </w:r>
      <w:r w:rsidR="004C09E7" w:rsidRPr="00E76013">
        <w:rPr>
          <w:rFonts w:ascii="Times New Roman" w:eastAsia="Times New Roman" w:hAnsi="Times New Roman" w:cs="Times New Roman"/>
          <w:noProof/>
          <w:sz w:val="24"/>
          <w:szCs w:val="24"/>
        </w:rPr>
        <w:t>aim</w:t>
      </w:r>
      <w:r w:rsidR="0069750F" w:rsidRPr="00E76013">
        <w:rPr>
          <w:rFonts w:ascii="Times New Roman" w:eastAsia="Times New Roman" w:hAnsi="Times New Roman" w:cs="Times New Roman"/>
          <w:noProof/>
          <w:sz w:val="24"/>
          <w:szCs w:val="24"/>
        </w:rPr>
        <w:t xml:space="preserve"> of this investment is to increase the penetration of renewable energy sources, to increase flexibility in the operational management and monitoring of the electricity system and the net cross-border transmission capacity at borders with Member States (i.e. Romania and Greece). </w:t>
      </w:r>
      <w:r w:rsidR="002C3A81" w:rsidRPr="00E76013">
        <w:rPr>
          <w:rFonts w:ascii="Times New Roman" w:eastAsia="Times New Roman" w:hAnsi="Times New Roman" w:cs="Times New Roman"/>
          <w:noProof/>
          <w:sz w:val="24"/>
          <w:szCs w:val="24"/>
        </w:rPr>
        <w:t xml:space="preserve">Moreover, the </w:t>
      </w:r>
      <w:r w:rsidR="00E81FEF" w:rsidRPr="00E76013">
        <w:rPr>
          <w:rFonts w:ascii="Times New Roman" w:eastAsia="Times New Roman" w:hAnsi="Times New Roman" w:cs="Times New Roman"/>
          <w:noProof/>
          <w:sz w:val="24"/>
          <w:szCs w:val="24"/>
        </w:rPr>
        <w:t>Plan</w:t>
      </w:r>
      <w:r w:rsidR="00C402DA" w:rsidRPr="00E76013">
        <w:rPr>
          <w:rFonts w:ascii="Times New Roman" w:eastAsia="Times New Roman" w:hAnsi="Times New Roman" w:cs="Times New Roman"/>
          <w:noProof/>
          <w:sz w:val="24"/>
          <w:szCs w:val="24"/>
        </w:rPr>
        <w:t xml:space="preserve"> includes a significant investment in </w:t>
      </w:r>
      <w:r w:rsidR="00B70808" w:rsidRPr="00E76013">
        <w:rPr>
          <w:rFonts w:ascii="Times New Roman" w:eastAsia="Times New Roman" w:hAnsi="Times New Roman" w:cs="Times New Roman"/>
          <w:noProof/>
          <w:sz w:val="24"/>
          <w:szCs w:val="24"/>
        </w:rPr>
        <w:t>electricity storage. The project leverages the complex implementation of the smart grids concept, ensuring a high degree of observability, accuracy of operational planning, maneuverability and speed of the electricity system, including the prevention and / or management of accidents.</w:t>
      </w:r>
      <w:r w:rsidR="00761A2D" w:rsidRPr="00E76013">
        <w:rPr>
          <w:noProof/>
        </w:rPr>
        <w:t xml:space="preserve"> </w:t>
      </w:r>
      <w:r w:rsidR="00761A2D" w:rsidRPr="00E76013">
        <w:rPr>
          <w:rFonts w:ascii="Times New Roman" w:eastAsia="Times New Roman" w:hAnsi="Times New Roman" w:cs="Times New Roman"/>
          <w:noProof/>
          <w:sz w:val="24"/>
          <w:szCs w:val="24"/>
        </w:rPr>
        <w:t>Battery energy storage systems are expected to provide viable solutions for improving efficiency and reliability in smart grids.</w:t>
      </w:r>
      <w:r w:rsidR="004F2DAB">
        <w:rPr>
          <w:rFonts w:ascii="Times New Roman" w:eastAsia="Times New Roman" w:hAnsi="Times New Roman" w:cs="Times New Roman"/>
          <w:noProof/>
          <w:sz w:val="24"/>
          <w:szCs w:val="24"/>
        </w:rPr>
        <w:t xml:space="preserve"> </w:t>
      </w:r>
    </w:p>
    <w:p w14:paraId="22055446" w14:textId="213BDBFA" w:rsidR="00AD5D70" w:rsidRPr="00E76013" w:rsidRDefault="00AD5D70" w:rsidP="008963AA">
      <w:pPr>
        <w:spacing w:line="276" w:lineRule="auto"/>
        <w:jc w:val="both"/>
        <w:rPr>
          <w:rFonts w:ascii="Times New Roman" w:eastAsia="Times New Roman" w:hAnsi="Times New Roman" w:cs="Times New Roman"/>
          <w:noProof/>
          <w:sz w:val="24"/>
          <w:szCs w:val="24"/>
        </w:rPr>
      </w:pPr>
      <w:r w:rsidRPr="39BF4F98">
        <w:rPr>
          <w:rFonts w:ascii="Times New Roman" w:eastAsia="Times New Roman" w:hAnsi="Times New Roman" w:cs="Times New Roman"/>
          <w:b/>
          <w:bCs/>
          <w:noProof/>
          <w:sz w:val="24"/>
          <w:szCs w:val="24"/>
        </w:rPr>
        <w:t>The</w:t>
      </w:r>
      <w:r w:rsidRPr="00E76013">
        <w:rPr>
          <w:rFonts w:ascii="Times New Roman" w:eastAsia="Times New Roman" w:hAnsi="Times New Roman" w:cs="Times New Roman"/>
          <w:b/>
          <w:noProof/>
          <w:sz w:val="24"/>
          <w:szCs w:val="24"/>
        </w:rPr>
        <w:t xml:space="preserve"> digitali</w:t>
      </w:r>
      <w:r w:rsidR="0015492B" w:rsidRPr="00E76013">
        <w:rPr>
          <w:rFonts w:ascii="Times New Roman" w:eastAsia="Times New Roman" w:hAnsi="Times New Roman" w:cs="Times New Roman"/>
          <w:b/>
          <w:noProof/>
          <w:sz w:val="24"/>
          <w:szCs w:val="24"/>
        </w:rPr>
        <w:t>s</w:t>
      </w:r>
      <w:r w:rsidRPr="00E76013">
        <w:rPr>
          <w:rFonts w:ascii="Times New Roman" w:eastAsia="Times New Roman" w:hAnsi="Times New Roman" w:cs="Times New Roman"/>
          <w:b/>
          <w:noProof/>
          <w:sz w:val="24"/>
          <w:szCs w:val="24"/>
        </w:rPr>
        <w:t>ation of railway</w:t>
      </w:r>
      <w:r w:rsidR="004B4769">
        <w:rPr>
          <w:rFonts w:ascii="Times New Roman" w:eastAsia="Times New Roman" w:hAnsi="Times New Roman" w:cs="Times New Roman"/>
          <w:b/>
          <w:noProof/>
          <w:sz w:val="24"/>
          <w:szCs w:val="24"/>
        </w:rPr>
        <w:t>s</w:t>
      </w:r>
      <w:r w:rsidRPr="00E76013">
        <w:rPr>
          <w:rFonts w:ascii="Times New Roman" w:eastAsia="Times New Roman" w:hAnsi="Times New Roman" w:cs="Times New Roman"/>
          <w:b/>
          <w:noProof/>
          <w:sz w:val="24"/>
          <w:szCs w:val="24"/>
        </w:rPr>
        <w:t xml:space="preserve"> </w:t>
      </w:r>
      <w:r w:rsidRPr="39BF4F98">
        <w:rPr>
          <w:rFonts w:ascii="Times New Roman" w:eastAsia="Times New Roman" w:hAnsi="Times New Roman" w:cs="Times New Roman"/>
          <w:b/>
          <w:bCs/>
          <w:noProof/>
          <w:sz w:val="24"/>
          <w:szCs w:val="24"/>
        </w:rPr>
        <w:t>also feature</w:t>
      </w:r>
      <w:r w:rsidR="004B4769">
        <w:rPr>
          <w:rFonts w:ascii="Times New Roman" w:eastAsia="Times New Roman" w:hAnsi="Times New Roman" w:cs="Times New Roman"/>
          <w:b/>
          <w:bCs/>
          <w:noProof/>
          <w:sz w:val="24"/>
          <w:szCs w:val="24"/>
        </w:rPr>
        <w:t>s</w:t>
      </w:r>
      <w:r w:rsidRPr="39BF4F98">
        <w:rPr>
          <w:rFonts w:ascii="Times New Roman" w:eastAsia="Times New Roman" w:hAnsi="Times New Roman" w:cs="Times New Roman"/>
          <w:b/>
          <w:bCs/>
          <w:noProof/>
          <w:sz w:val="24"/>
          <w:szCs w:val="24"/>
        </w:rPr>
        <w:t xml:space="preserve"> in the Plan.</w:t>
      </w:r>
      <w:r w:rsidRPr="00E76013">
        <w:rPr>
          <w:rFonts w:ascii="Times New Roman" w:eastAsia="Times New Roman" w:hAnsi="Times New Roman" w:cs="Times New Roman"/>
          <w:b/>
          <w:noProof/>
          <w:sz w:val="24"/>
          <w:szCs w:val="24"/>
        </w:rPr>
        <w:t xml:space="preserve"> </w:t>
      </w:r>
      <w:r w:rsidR="00475EDE" w:rsidRPr="00E76013">
        <w:rPr>
          <w:rFonts w:ascii="Times New Roman" w:eastAsia="Times New Roman" w:hAnsi="Times New Roman" w:cs="Times New Roman"/>
          <w:noProof/>
          <w:sz w:val="24"/>
          <w:szCs w:val="24"/>
        </w:rPr>
        <w:t xml:space="preserve">The </w:t>
      </w:r>
      <w:r w:rsidR="00D14606" w:rsidRPr="00E76013">
        <w:rPr>
          <w:rFonts w:ascii="Times New Roman" w:eastAsia="Times New Roman" w:hAnsi="Times New Roman" w:cs="Times New Roman"/>
          <w:noProof/>
          <w:sz w:val="24"/>
          <w:szCs w:val="24"/>
        </w:rPr>
        <w:t>P</w:t>
      </w:r>
      <w:r w:rsidR="00475EDE" w:rsidRPr="00E76013">
        <w:rPr>
          <w:rFonts w:ascii="Times New Roman" w:eastAsia="Times New Roman" w:hAnsi="Times New Roman" w:cs="Times New Roman"/>
          <w:noProof/>
          <w:sz w:val="24"/>
          <w:szCs w:val="24"/>
        </w:rPr>
        <w:t xml:space="preserve">lan </w:t>
      </w:r>
      <w:r w:rsidR="004B4769">
        <w:rPr>
          <w:rFonts w:ascii="Times New Roman" w:eastAsia="Times New Roman" w:hAnsi="Times New Roman" w:cs="Times New Roman"/>
          <w:noProof/>
          <w:sz w:val="24"/>
          <w:szCs w:val="24"/>
        </w:rPr>
        <w:t xml:space="preserve">includes </w:t>
      </w:r>
      <w:r w:rsidR="004B4769" w:rsidRPr="004B4769">
        <w:rPr>
          <w:rFonts w:ascii="Times New Roman" w:eastAsia="Times New Roman" w:hAnsi="Times New Roman" w:cs="Times New Roman"/>
          <w:noProof/>
          <w:sz w:val="24"/>
          <w:szCs w:val="24"/>
        </w:rPr>
        <w:t>the upgrade to the European Rail Traffic Management System (ERTMS), enhancing the efficiency and safety of railways</w:t>
      </w:r>
      <w:r w:rsidR="004B4769" w:rsidRPr="004B4769">
        <w:rPr>
          <w:rFonts w:ascii="Times New Roman" w:eastAsia="Times New Roman" w:hAnsi="Times New Roman" w:cs="Times New Roman"/>
          <w:b/>
          <w:bCs/>
          <w:noProof/>
          <w:sz w:val="24"/>
          <w:szCs w:val="24"/>
        </w:rPr>
        <w:t xml:space="preserve"> </w:t>
      </w:r>
      <w:r w:rsidR="004B4769" w:rsidRPr="004F2DAB">
        <w:rPr>
          <w:rFonts w:ascii="Times New Roman" w:eastAsia="Times New Roman" w:hAnsi="Times New Roman" w:cs="Times New Roman"/>
          <w:bCs/>
          <w:noProof/>
          <w:sz w:val="24"/>
          <w:szCs w:val="24"/>
        </w:rPr>
        <w:t>and the</w:t>
      </w:r>
      <w:r w:rsidR="004B4769" w:rsidRPr="004F2DAB">
        <w:rPr>
          <w:rFonts w:ascii="Times New Roman" w:eastAsia="Times New Roman" w:hAnsi="Times New Roman" w:cs="Times New Roman"/>
          <w:noProof/>
          <w:sz w:val="24"/>
          <w:szCs w:val="24"/>
        </w:rPr>
        <w:t xml:space="preserve"> interoperability with other European rail networks</w:t>
      </w:r>
      <w:r w:rsidR="004B4769">
        <w:rPr>
          <w:rFonts w:ascii="Times New Roman" w:eastAsia="Times New Roman" w:hAnsi="Times New Roman" w:cs="Times New Roman"/>
          <w:noProof/>
          <w:sz w:val="24"/>
          <w:szCs w:val="24"/>
        </w:rPr>
        <w:t>. It</w:t>
      </w:r>
      <w:r w:rsidR="00475EDE" w:rsidRPr="00E76013">
        <w:rPr>
          <w:rFonts w:ascii="Times New Roman" w:eastAsia="Times New Roman" w:hAnsi="Times New Roman" w:cs="Times New Roman"/>
          <w:noProof/>
          <w:sz w:val="24"/>
          <w:szCs w:val="24"/>
        </w:rPr>
        <w:t xml:space="preserve"> also includes a pilot scheme to support sustainable urban mobility through the</w:t>
      </w:r>
      <w:r w:rsidR="00475EDE" w:rsidRPr="00E76013">
        <w:rPr>
          <w:noProof/>
        </w:rPr>
        <w:t xml:space="preserve"> </w:t>
      </w:r>
      <w:r w:rsidR="00475EDE" w:rsidRPr="00E76013">
        <w:rPr>
          <w:rFonts w:ascii="Times New Roman" w:eastAsia="Times New Roman" w:hAnsi="Times New Roman" w:cs="Times New Roman"/>
          <w:noProof/>
          <w:sz w:val="24"/>
          <w:szCs w:val="24"/>
        </w:rPr>
        <w:t>development of Intelligent Transport Systems (ITS), and integrated digital solutions to improve the efficiency and effectiveness of public transport as well as infrastructure for safe urban mobility.</w:t>
      </w:r>
      <w:r w:rsidR="004900A7" w:rsidRPr="00E76013">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noProof/>
          <w:sz w:val="24"/>
          <w:szCs w:val="24"/>
        </w:rPr>
        <w:t xml:space="preserve">The measures included in the Plan </w:t>
      </w:r>
      <w:r w:rsidR="00483C8B" w:rsidRPr="00E76013">
        <w:rPr>
          <w:rFonts w:ascii="Times New Roman" w:eastAsia="Times New Roman" w:hAnsi="Times New Roman" w:cs="Times New Roman"/>
          <w:noProof/>
          <w:sz w:val="24"/>
          <w:szCs w:val="24"/>
        </w:rPr>
        <w:t>are</w:t>
      </w:r>
      <w:r w:rsidRPr="00E76013">
        <w:rPr>
          <w:rFonts w:ascii="Times New Roman" w:eastAsia="Times New Roman" w:hAnsi="Times New Roman" w:cs="Times New Roman"/>
          <w:noProof/>
          <w:sz w:val="24"/>
          <w:szCs w:val="24"/>
        </w:rPr>
        <w:t xml:space="preserve"> therefore </w:t>
      </w:r>
      <w:r w:rsidR="00483C8B" w:rsidRPr="00E76013">
        <w:rPr>
          <w:rFonts w:ascii="Times New Roman" w:eastAsia="Times New Roman" w:hAnsi="Times New Roman" w:cs="Times New Roman"/>
          <w:noProof/>
          <w:sz w:val="24"/>
          <w:szCs w:val="24"/>
        </w:rPr>
        <w:t xml:space="preserve">expected to </w:t>
      </w:r>
      <w:r w:rsidRPr="00E76013">
        <w:rPr>
          <w:rFonts w:ascii="Times New Roman" w:eastAsia="Times New Roman" w:hAnsi="Times New Roman" w:cs="Times New Roman"/>
          <w:noProof/>
          <w:sz w:val="24"/>
          <w:szCs w:val="24"/>
        </w:rPr>
        <w:t xml:space="preserve">contribute to the twin transition and facilitate the decarbonisation of transport and energy systems. </w:t>
      </w:r>
    </w:p>
    <w:p w14:paraId="4CFD1128" w14:textId="798377C8" w:rsidR="00021ABF" w:rsidRPr="00E76013" w:rsidRDefault="00021ABF" w:rsidP="008963AA">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Human capital</w:t>
      </w:r>
    </w:p>
    <w:p w14:paraId="1D86C76D" w14:textId="01132E57" w:rsidR="00636182" w:rsidRPr="00E76013" w:rsidRDefault="001B490D" w:rsidP="008963AA">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One of the</w:t>
      </w:r>
      <w:r w:rsidRPr="00E76013">
        <w:rPr>
          <w:rFonts w:ascii="Times New Roman" w:eastAsia="Times New Roman" w:hAnsi="Times New Roman" w:cs="Times New Roman"/>
          <w:b/>
          <w:noProof/>
          <w:sz w:val="24"/>
          <w:szCs w:val="24"/>
        </w:rPr>
        <w:t xml:space="preserve"> priorit</w:t>
      </w:r>
      <w:r>
        <w:rPr>
          <w:rFonts w:ascii="Times New Roman" w:eastAsia="Times New Roman" w:hAnsi="Times New Roman" w:cs="Times New Roman"/>
          <w:b/>
          <w:noProof/>
          <w:sz w:val="24"/>
          <w:szCs w:val="24"/>
        </w:rPr>
        <w:t>ies</w:t>
      </w:r>
      <w:r w:rsidR="0021067A" w:rsidRPr="00E76013">
        <w:rPr>
          <w:rFonts w:ascii="Times New Roman" w:eastAsia="Times New Roman" w:hAnsi="Times New Roman" w:cs="Times New Roman"/>
          <w:b/>
          <w:noProof/>
          <w:sz w:val="24"/>
          <w:szCs w:val="24"/>
        </w:rPr>
        <w:t xml:space="preserve"> of the Plan is the improvement of digital skills</w:t>
      </w:r>
      <w:r w:rsidR="0021067A" w:rsidRPr="00E76013">
        <w:rPr>
          <w:rFonts w:ascii="Times New Roman" w:eastAsia="Times New Roman" w:hAnsi="Times New Roman" w:cs="Times New Roman"/>
          <w:noProof/>
          <w:sz w:val="24"/>
          <w:szCs w:val="24"/>
        </w:rPr>
        <w:t xml:space="preserve"> with significant investments in </w:t>
      </w:r>
      <w:r w:rsidR="008C52A3">
        <w:rPr>
          <w:rFonts w:ascii="Times New Roman" w:eastAsia="Times New Roman" w:hAnsi="Times New Roman" w:cs="Times New Roman"/>
          <w:noProof/>
          <w:sz w:val="24"/>
          <w:szCs w:val="24"/>
        </w:rPr>
        <w:t xml:space="preserve">the </w:t>
      </w:r>
      <w:r w:rsidR="0021067A" w:rsidRPr="00E76013">
        <w:rPr>
          <w:rFonts w:ascii="Times New Roman" w:eastAsia="Times New Roman" w:hAnsi="Times New Roman" w:cs="Times New Roman"/>
          <w:noProof/>
          <w:sz w:val="24"/>
          <w:szCs w:val="24"/>
        </w:rPr>
        <w:t xml:space="preserve">component </w:t>
      </w:r>
      <w:r>
        <w:rPr>
          <w:rFonts w:ascii="Times New Roman" w:eastAsia="Times New Roman" w:hAnsi="Times New Roman" w:cs="Times New Roman"/>
          <w:noProof/>
          <w:sz w:val="24"/>
          <w:szCs w:val="24"/>
        </w:rPr>
        <w:t>on education and skills</w:t>
      </w:r>
      <w:r w:rsidR="0021067A" w:rsidRPr="00E76013">
        <w:rPr>
          <w:rFonts w:ascii="Times New Roman" w:eastAsia="Times New Roman" w:hAnsi="Times New Roman" w:cs="Times New Roman"/>
          <w:noProof/>
          <w:sz w:val="24"/>
          <w:szCs w:val="24"/>
        </w:rPr>
        <w:t xml:space="preserve">. </w:t>
      </w:r>
      <w:r w:rsidR="00F22739" w:rsidRPr="00E76013">
        <w:rPr>
          <w:rFonts w:ascii="Times New Roman" w:eastAsia="Times New Roman" w:hAnsi="Times New Roman" w:cs="Times New Roman"/>
          <w:noProof/>
          <w:sz w:val="24"/>
          <w:szCs w:val="24"/>
        </w:rPr>
        <w:t xml:space="preserve">The investment in digital skills </w:t>
      </w:r>
      <w:r w:rsidR="00C0458E" w:rsidRPr="00E76013">
        <w:rPr>
          <w:rFonts w:ascii="Times New Roman" w:eastAsia="Times New Roman" w:hAnsi="Times New Roman" w:cs="Times New Roman"/>
          <w:noProof/>
          <w:sz w:val="24"/>
          <w:szCs w:val="24"/>
        </w:rPr>
        <w:t xml:space="preserve">is focused on </w:t>
      </w:r>
      <w:r w:rsidR="000568D5" w:rsidRPr="00E76013">
        <w:rPr>
          <w:rFonts w:ascii="Times New Roman" w:eastAsia="Times New Roman" w:hAnsi="Times New Roman" w:cs="Times New Roman"/>
          <w:noProof/>
          <w:sz w:val="24"/>
          <w:szCs w:val="24"/>
        </w:rPr>
        <w:t xml:space="preserve">adapting the skill set of the workforce </w:t>
      </w:r>
      <w:r w:rsidR="00D4313B" w:rsidRPr="00E76013">
        <w:rPr>
          <w:rFonts w:ascii="Times New Roman" w:eastAsia="Times New Roman" w:hAnsi="Times New Roman" w:cs="Times New Roman"/>
          <w:noProof/>
          <w:sz w:val="24"/>
          <w:szCs w:val="24"/>
        </w:rPr>
        <w:t xml:space="preserve">to new </w:t>
      </w:r>
      <w:r w:rsidR="000568D5" w:rsidRPr="00E76013">
        <w:rPr>
          <w:rFonts w:ascii="Times New Roman" w:eastAsia="Times New Roman" w:hAnsi="Times New Roman" w:cs="Times New Roman"/>
          <w:noProof/>
          <w:sz w:val="24"/>
          <w:szCs w:val="24"/>
        </w:rPr>
        <w:t xml:space="preserve">labour market needs and </w:t>
      </w:r>
      <w:r w:rsidR="00D4313B" w:rsidRPr="00E76013">
        <w:rPr>
          <w:rFonts w:ascii="Times New Roman" w:eastAsia="Times New Roman" w:hAnsi="Times New Roman" w:cs="Times New Roman"/>
          <w:noProof/>
          <w:sz w:val="24"/>
          <w:szCs w:val="24"/>
        </w:rPr>
        <w:t>promoting</w:t>
      </w:r>
      <w:r w:rsidR="000568D5" w:rsidRPr="00E76013">
        <w:rPr>
          <w:rFonts w:ascii="Times New Roman" w:eastAsia="Times New Roman" w:hAnsi="Times New Roman" w:cs="Times New Roman"/>
          <w:noProof/>
          <w:sz w:val="24"/>
          <w:szCs w:val="24"/>
        </w:rPr>
        <w:t xml:space="preserve"> wider uptake of digital technologies in socio-economic processes and services.</w:t>
      </w:r>
      <w:r w:rsidR="00576FCF" w:rsidRPr="00E76013">
        <w:rPr>
          <w:rFonts w:ascii="Times New Roman" w:eastAsia="Times New Roman" w:hAnsi="Times New Roman" w:cs="Times New Roman"/>
          <w:noProof/>
          <w:sz w:val="24"/>
          <w:szCs w:val="24"/>
        </w:rPr>
        <w:t xml:space="preserve"> </w:t>
      </w:r>
      <w:r w:rsidR="0011554E" w:rsidRPr="00E76013">
        <w:rPr>
          <w:rFonts w:ascii="Times New Roman" w:eastAsia="Times New Roman" w:hAnsi="Times New Roman" w:cs="Times New Roman"/>
          <w:noProof/>
          <w:sz w:val="24"/>
          <w:szCs w:val="24"/>
        </w:rPr>
        <w:t xml:space="preserve">The measures include the setting up of a national online platform for adult learning and a network of digital clubs throughout the country, which enables access to the platform free of charge. In addition, </w:t>
      </w:r>
      <w:r w:rsidR="00066651" w:rsidRPr="00E76013">
        <w:rPr>
          <w:rFonts w:ascii="Times New Roman" w:eastAsia="Times New Roman" w:hAnsi="Times New Roman" w:cs="Times New Roman"/>
          <w:noProof/>
          <w:sz w:val="24"/>
          <w:szCs w:val="24"/>
        </w:rPr>
        <w:t xml:space="preserve">training for the acquisition of basic and medium-level digital skills </w:t>
      </w:r>
      <w:r w:rsidR="00C70B1D" w:rsidRPr="00E76013">
        <w:rPr>
          <w:rFonts w:ascii="Times New Roman" w:eastAsia="Times New Roman" w:hAnsi="Times New Roman" w:cs="Times New Roman"/>
          <w:noProof/>
          <w:sz w:val="24"/>
          <w:szCs w:val="24"/>
        </w:rPr>
        <w:t xml:space="preserve">should </w:t>
      </w:r>
      <w:r w:rsidR="00066651" w:rsidRPr="00E76013">
        <w:rPr>
          <w:rFonts w:ascii="Times New Roman" w:eastAsia="Times New Roman" w:hAnsi="Times New Roman" w:cs="Times New Roman"/>
          <w:noProof/>
          <w:sz w:val="24"/>
          <w:szCs w:val="24"/>
        </w:rPr>
        <w:t xml:space="preserve">be offered by certified organization based on curricula </w:t>
      </w:r>
      <w:r w:rsidR="00D4313B" w:rsidRPr="00E76013">
        <w:rPr>
          <w:rFonts w:ascii="Times New Roman" w:eastAsia="Times New Roman" w:hAnsi="Times New Roman" w:cs="Times New Roman"/>
          <w:noProof/>
          <w:sz w:val="24"/>
          <w:szCs w:val="24"/>
        </w:rPr>
        <w:t>consistent</w:t>
      </w:r>
      <w:r w:rsidR="00066651" w:rsidRPr="00E76013">
        <w:rPr>
          <w:rFonts w:ascii="Times New Roman" w:eastAsia="Times New Roman" w:hAnsi="Times New Roman" w:cs="Times New Roman"/>
          <w:noProof/>
          <w:sz w:val="24"/>
          <w:szCs w:val="24"/>
        </w:rPr>
        <w:t xml:space="preserve"> with the European Digital Competence Framework.</w:t>
      </w:r>
      <w:r w:rsidR="00A50BCC" w:rsidRPr="00E76013">
        <w:rPr>
          <w:rFonts w:ascii="Times New Roman" w:eastAsia="Times New Roman" w:hAnsi="Times New Roman" w:cs="Times New Roman"/>
          <w:noProof/>
          <w:sz w:val="24"/>
          <w:szCs w:val="24"/>
        </w:rPr>
        <w:t xml:space="preserve"> </w:t>
      </w:r>
      <w:r w:rsidR="00576FCF" w:rsidRPr="00E76013">
        <w:rPr>
          <w:rFonts w:ascii="Times New Roman" w:eastAsia="Times New Roman" w:hAnsi="Times New Roman" w:cs="Times New Roman"/>
          <w:noProof/>
          <w:sz w:val="24"/>
          <w:szCs w:val="24"/>
        </w:rPr>
        <w:t xml:space="preserve">The measures have a strong socio-economic focus as they aim to increase the level of digital skills </w:t>
      </w:r>
      <w:r w:rsidR="00E5215F" w:rsidRPr="00E76013">
        <w:rPr>
          <w:rFonts w:ascii="Times New Roman" w:eastAsia="Times New Roman" w:hAnsi="Times New Roman" w:cs="Times New Roman"/>
          <w:noProof/>
          <w:sz w:val="24"/>
          <w:szCs w:val="24"/>
        </w:rPr>
        <w:t xml:space="preserve">also </w:t>
      </w:r>
      <w:r w:rsidR="00576FCF" w:rsidRPr="00E76013">
        <w:rPr>
          <w:rFonts w:ascii="Times New Roman" w:eastAsia="Times New Roman" w:hAnsi="Times New Roman" w:cs="Times New Roman"/>
          <w:noProof/>
          <w:sz w:val="24"/>
          <w:szCs w:val="24"/>
        </w:rPr>
        <w:t>of unemployed people and are inclusive as people without access to internet will be provided with the opportunity to complete trainings in the offices of the Employment Service.</w:t>
      </w:r>
      <w:r w:rsidR="007A10C7" w:rsidRPr="00E76013">
        <w:rPr>
          <w:rFonts w:ascii="Times New Roman" w:eastAsia="Times New Roman" w:hAnsi="Times New Roman" w:cs="Times New Roman"/>
          <w:noProof/>
          <w:sz w:val="24"/>
          <w:szCs w:val="24"/>
        </w:rPr>
        <w:t xml:space="preserve"> </w:t>
      </w:r>
      <w:r w:rsidR="00421640" w:rsidRPr="00E76013">
        <w:rPr>
          <w:rFonts w:ascii="Times New Roman" w:eastAsia="Times New Roman" w:hAnsi="Times New Roman" w:cs="Times New Roman"/>
          <w:noProof/>
          <w:sz w:val="24"/>
          <w:szCs w:val="24"/>
        </w:rPr>
        <w:t>As regards education of pupils, a</w:t>
      </w:r>
      <w:r w:rsidR="00636182" w:rsidRPr="00E76013">
        <w:rPr>
          <w:rFonts w:ascii="Times New Roman" w:eastAsia="Times New Roman" w:hAnsi="Times New Roman" w:cs="Times New Roman"/>
          <w:noProof/>
          <w:sz w:val="24"/>
          <w:szCs w:val="24"/>
        </w:rPr>
        <w:t xml:space="preserve">nother key investment to improve digital skills is the setting up of STEM </w:t>
      </w:r>
      <w:r w:rsidR="00364E78" w:rsidRPr="00E76013">
        <w:rPr>
          <w:rFonts w:ascii="Times New Roman" w:eastAsia="Times New Roman" w:hAnsi="Times New Roman" w:cs="Times New Roman"/>
          <w:noProof/>
          <w:sz w:val="24"/>
          <w:szCs w:val="24"/>
        </w:rPr>
        <w:t>centers</w:t>
      </w:r>
      <w:r w:rsidR="00107A07" w:rsidRPr="00E76013">
        <w:rPr>
          <w:rFonts w:ascii="Times New Roman" w:eastAsia="Times New Roman" w:hAnsi="Times New Roman" w:cs="Times New Roman"/>
          <w:noProof/>
          <w:sz w:val="24"/>
          <w:szCs w:val="24"/>
        </w:rPr>
        <w:t xml:space="preserve"> </w:t>
      </w:r>
      <w:r w:rsidR="00541E93" w:rsidRPr="00E76013">
        <w:rPr>
          <w:rFonts w:ascii="Times New Roman" w:eastAsia="Times New Roman" w:hAnsi="Times New Roman" w:cs="Times New Roman"/>
          <w:noProof/>
          <w:sz w:val="24"/>
          <w:szCs w:val="24"/>
        </w:rPr>
        <w:t xml:space="preserve">and STEM laboratories in schools, including high-tech classrooms, </w:t>
      </w:r>
      <w:r w:rsidR="00636182" w:rsidRPr="00E76013">
        <w:rPr>
          <w:rFonts w:ascii="Times New Roman" w:eastAsia="Times New Roman" w:hAnsi="Times New Roman" w:cs="Times New Roman"/>
          <w:noProof/>
          <w:sz w:val="24"/>
          <w:szCs w:val="24"/>
        </w:rPr>
        <w:t xml:space="preserve">which aim to increase digital literacy and promote interest and skills in subjects related to natural and engineering sciences, artificial intelligence, robotics, IT, natural sciences etc. </w:t>
      </w:r>
      <w:r w:rsidR="00541E93" w:rsidRPr="00E76013">
        <w:rPr>
          <w:rFonts w:ascii="Times New Roman" w:eastAsia="Times New Roman" w:hAnsi="Times New Roman" w:cs="Times New Roman"/>
          <w:noProof/>
          <w:sz w:val="24"/>
          <w:szCs w:val="24"/>
        </w:rPr>
        <w:t>A</w:t>
      </w:r>
      <w:r w:rsidR="00107A07" w:rsidRPr="00E76013">
        <w:rPr>
          <w:rFonts w:ascii="Times New Roman" w:eastAsia="Times New Roman" w:hAnsi="Times New Roman" w:cs="Times New Roman"/>
          <w:noProof/>
          <w:sz w:val="24"/>
          <w:szCs w:val="24"/>
        </w:rPr>
        <w:t xml:space="preserve"> </w:t>
      </w:r>
      <w:r w:rsidR="0016696F" w:rsidRPr="00E76013">
        <w:rPr>
          <w:rFonts w:ascii="Times New Roman" w:eastAsia="Times New Roman" w:hAnsi="Times New Roman" w:cs="Times New Roman"/>
          <w:noProof/>
          <w:sz w:val="24"/>
          <w:szCs w:val="24"/>
        </w:rPr>
        <w:t xml:space="preserve">national STEM </w:t>
      </w:r>
      <w:r w:rsidR="00240034" w:rsidRPr="00E76013">
        <w:rPr>
          <w:rFonts w:ascii="Times New Roman" w:eastAsia="Times New Roman" w:hAnsi="Times New Roman" w:cs="Times New Roman"/>
          <w:noProof/>
          <w:sz w:val="24"/>
          <w:szCs w:val="24"/>
        </w:rPr>
        <w:t>center</w:t>
      </w:r>
      <w:r w:rsidR="0016696F" w:rsidRPr="00E76013">
        <w:rPr>
          <w:rFonts w:ascii="Times New Roman" w:eastAsia="Times New Roman" w:hAnsi="Times New Roman" w:cs="Times New Roman"/>
          <w:noProof/>
          <w:sz w:val="24"/>
          <w:szCs w:val="24"/>
        </w:rPr>
        <w:t xml:space="preserve"> </w:t>
      </w:r>
      <w:r w:rsidR="00541E93" w:rsidRPr="00E76013">
        <w:rPr>
          <w:rFonts w:ascii="Times New Roman" w:eastAsia="Times New Roman" w:hAnsi="Times New Roman" w:cs="Times New Roman"/>
          <w:noProof/>
          <w:sz w:val="24"/>
          <w:szCs w:val="24"/>
        </w:rPr>
        <w:t xml:space="preserve">acts as a central unit </w:t>
      </w:r>
      <w:r w:rsidR="00D00B3A" w:rsidRPr="00E76013">
        <w:rPr>
          <w:rFonts w:ascii="Times New Roman" w:eastAsia="Times New Roman" w:hAnsi="Times New Roman" w:cs="Times New Roman"/>
          <w:noProof/>
          <w:sz w:val="24"/>
          <w:szCs w:val="24"/>
        </w:rPr>
        <w:t xml:space="preserve">and </w:t>
      </w:r>
      <w:r w:rsidR="0016696F" w:rsidRPr="00E76013">
        <w:rPr>
          <w:rFonts w:ascii="Times New Roman" w:eastAsia="Times New Roman" w:hAnsi="Times New Roman" w:cs="Times New Roman"/>
          <w:noProof/>
          <w:sz w:val="24"/>
          <w:szCs w:val="24"/>
        </w:rPr>
        <w:t xml:space="preserve">develops </w:t>
      </w:r>
      <w:r w:rsidR="00240034">
        <w:rPr>
          <w:rFonts w:ascii="Times New Roman" w:eastAsia="Times New Roman" w:hAnsi="Times New Roman" w:cs="Times New Roman"/>
          <w:noProof/>
          <w:sz w:val="24"/>
          <w:szCs w:val="24"/>
        </w:rPr>
        <w:t>the</w:t>
      </w:r>
      <w:r w:rsidR="0016696F" w:rsidRPr="00E76013">
        <w:rPr>
          <w:rFonts w:ascii="Times New Roman" w:eastAsia="Times New Roman" w:hAnsi="Times New Roman" w:cs="Times New Roman"/>
          <w:noProof/>
          <w:sz w:val="24"/>
          <w:szCs w:val="24"/>
        </w:rPr>
        <w:t xml:space="preserve"> content, tools and methodologies to support the trainings of both teachers and students</w:t>
      </w:r>
      <w:r w:rsidR="00107A07" w:rsidRPr="00E76013">
        <w:rPr>
          <w:rFonts w:ascii="Times New Roman" w:eastAsia="Times New Roman" w:hAnsi="Times New Roman" w:cs="Times New Roman"/>
          <w:noProof/>
          <w:sz w:val="24"/>
          <w:szCs w:val="24"/>
        </w:rPr>
        <w:t>.</w:t>
      </w:r>
      <w:r w:rsidR="004F2DAB">
        <w:rPr>
          <w:rFonts w:ascii="Times New Roman" w:eastAsia="Times New Roman" w:hAnsi="Times New Roman" w:cs="Times New Roman"/>
          <w:noProof/>
          <w:sz w:val="24"/>
          <w:szCs w:val="24"/>
        </w:rPr>
        <w:t xml:space="preserve"> </w:t>
      </w:r>
    </w:p>
    <w:p w14:paraId="7608F99C" w14:textId="798377C8" w:rsidR="00021ABF" w:rsidRPr="00E76013" w:rsidRDefault="00021ABF" w:rsidP="008963AA">
      <w:pPr>
        <w:spacing w:line="276" w:lineRule="auto"/>
        <w:jc w:val="both"/>
        <w:rPr>
          <w:rFonts w:ascii="Times New Roman" w:eastAsia="Times New Roman" w:hAnsi="Times New Roman" w:cs="Times New Roman"/>
          <w:i/>
          <w:noProof/>
          <w:sz w:val="24"/>
          <w:szCs w:val="24"/>
        </w:rPr>
      </w:pPr>
      <w:r w:rsidRPr="00E76013">
        <w:rPr>
          <w:rFonts w:ascii="Times New Roman" w:eastAsia="Times New Roman" w:hAnsi="Times New Roman" w:cs="Times New Roman"/>
          <w:i/>
          <w:noProof/>
          <w:sz w:val="24"/>
          <w:szCs w:val="24"/>
        </w:rPr>
        <w:t>Investment in digital capabilities and deployment of advanced technologies</w:t>
      </w:r>
    </w:p>
    <w:p w14:paraId="38E98BF7" w14:textId="4FD84762" w:rsidR="00BC30FF" w:rsidRPr="00E76013" w:rsidRDefault="0043437A" w:rsidP="008963AA">
      <w:pPr>
        <w:spacing w:line="276" w:lineRule="auto"/>
        <w:jc w:val="both"/>
        <w:rPr>
          <w:rFonts w:ascii="Times New Roman" w:eastAsia="Times New Roman" w:hAnsi="Times New Roman" w:cs="Times New Roman"/>
          <w:b/>
          <w:noProof/>
          <w:sz w:val="24"/>
          <w:szCs w:val="24"/>
        </w:rPr>
      </w:pPr>
      <w:r w:rsidRPr="00E76013">
        <w:rPr>
          <w:rFonts w:ascii="Times New Roman" w:eastAsia="Times New Roman" w:hAnsi="Times New Roman" w:cs="Times New Roman"/>
          <w:b/>
          <w:noProof/>
          <w:sz w:val="24"/>
          <w:szCs w:val="24"/>
        </w:rPr>
        <w:t>The</w:t>
      </w:r>
      <w:r w:rsidR="00BC30FF" w:rsidRPr="00E76013">
        <w:rPr>
          <w:rFonts w:ascii="Times New Roman" w:eastAsia="Times New Roman" w:hAnsi="Times New Roman" w:cs="Times New Roman"/>
          <w:b/>
          <w:noProof/>
          <w:sz w:val="24"/>
          <w:szCs w:val="24"/>
        </w:rPr>
        <w:t xml:space="preserve"> </w:t>
      </w:r>
      <w:r w:rsidR="003E4CFC" w:rsidRPr="00E76013">
        <w:rPr>
          <w:rFonts w:ascii="Times New Roman" w:eastAsia="Times New Roman" w:hAnsi="Times New Roman" w:cs="Times New Roman"/>
          <w:b/>
          <w:noProof/>
          <w:sz w:val="24"/>
          <w:szCs w:val="24"/>
        </w:rPr>
        <w:t>Plan also includes me</w:t>
      </w:r>
      <w:r w:rsidR="00BB3053" w:rsidRPr="00E76013">
        <w:rPr>
          <w:rFonts w:ascii="Times New Roman" w:eastAsia="Times New Roman" w:hAnsi="Times New Roman" w:cs="Times New Roman"/>
          <w:b/>
          <w:noProof/>
          <w:sz w:val="24"/>
          <w:szCs w:val="24"/>
        </w:rPr>
        <w:t xml:space="preserve">asures to support businesses in adapting their operations to the digital environment. </w:t>
      </w:r>
      <w:r w:rsidR="00BB3053" w:rsidRPr="00E76013">
        <w:rPr>
          <w:rFonts w:ascii="Times New Roman" w:eastAsia="Times New Roman" w:hAnsi="Times New Roman" w:cs="Times New Roman"/>
          <w:noProof/>
          <w:sz w:val="24"/>
          <w:szCs w:val="24"/>
        </w:rPr>
        <w:t>Measures include</w:t>
      </w:r>
      <w:r w:rsidR="00BB3053" w:rsidRPr="00E76013">
        <w:rPr>
          <w:rFonts w:ascii="Times New Roman" w:eastAsia="Times New Roman" w:hAnsi="Times New Roman" w:cs="Times New Roman"/>
          <w:b/>
          <w:noProof/>
          <w:sz w:val="24"/>
          <w:szCs w:val="24"/>
        </w:rPr>
        <w:t xml:space="preserve"> </w:t>
      </w:r>
      <w:r w:rsidR="00BB3053" w:rsidRPr="00E76013">
        <w:rPr>
          <w:rFonts w:ascii="Times New Roman" w:eastAsia="Times New Roman" w:hAnsi="Times New Roman" w:cs="Times New Roman"/>
          <w:noProof/>
          <w:sz w:val="24"/>
          <w:szCs w:val="24"/>
        </w:rPr>
        <w:t>a voucher scheme</w:t>
      </w:r>
      <w:r w:rsidRPr="00E76013">
        <w:rPr>
          <w:rFonts w:ascii="Times New Roman" w:eastAsia="Times New Roman" w:hAnsi="Times New Roman" w:cs="Times New Roman"/>
          <w:noProof/>
          <w:sz w:val="24"/>
          <w:szCs w:val="24"/>
        </w:rPr>
        <w:t xml:space="preserve"> for the </w:t>
      </w:r>
      <w:r w:rsidR="005C1ED2" w:rsidRPr="00E76013">
        <w:rPr>
          <w:rFonts w:ascii="Times New Roman" w:eastAsia="Times New Roman" w:hAnsi="Times New Roman" w:cs="Times New Roman"/>
          <w:noProof/>
          <w:sz w:val="24"/>
          <w:szCs w:val="24"/>
        </w:rPr>
        <w:t>digitalis</w:t>
      </w:r>
      <w:r w:rsidRPr="00E76013">
        <w:rPr>
          <w:rFonts w:ascii="Times New Roman" w:eastAsia="Times New Roman" w:hAnsi="Times New Roman" w:cs="Times New Roman"/>
          <w:noProof/>
          <w:sz w:val="24"/>
          <w:szCs w:val="24"/>
        </w:rPr>
        <w:t xml:space="preserve">ation of SMEs, </w:t>
      </w:r>
      <w:r w:rsidR="005C1ED2" w:rsidRPr="00E76013">
        <w:rPr>
          <w:rFonts w:ascii="Times New Roman" w:eastAsia="Times New Roman" w:hAnsi="Times New Roman" w:cs="Times New Roman"/>
          <w:noProof/>
          <w:sz w:val="24"/>
          <w:szCs w:val="24"/>
        </w:rPr>
        <w:t>supporting</w:t>
      </w:r>
      <w:r w:rsidRPr="00E76013">
        <w:rPr>
          <w:rFonts w:ascii="Times New Roman" w:eastAsia="Times New Roman" w:hAnsi="Times New Roman" w:cs="Times New Roman"/>
          <w:noProof/>
          <w:sz w:val="24"/>
          <w:szCs w:val="24"/>
        </w:rPr>
        <w:t xml:space="preserve"> </w:t>
      </w:r>
      <w:r w:rsidR="005C1ED2" w:rsidRPr="00E76013">
        <w:rPr>
          <w:rFonts w:ascii="Times New Roman" w:eastAsia="Times New Roman" w:hAnsi="Times New Roman" w:cs="Times New Roman"/>
          <w:noProof/>
          <w:sz w:val="24"/>
          <w:szCs w:val="24"/>
        </w:rPr>
        <w:t xml:space="preserve">activities such as digital marketing services, web-based ICT services for platforms, software solutions for the optimization of management, production and logistic processes. Another important focus of the investment is the </w:t>
      </w:r>
      <w:r w:rsidR="00FE0BD7" w:rsidRPr="00E76013">
        <w:rPr>
          <w:rFonts w:ascii="Times New Roman" w:eastAsia="Times New Roman" w:hAnsi="Times New Roman" w:cs="Times New Roman"/>
          <w:noProof/>
          <w:sz w:val="24"/>
          <w:szCs w:val="24"/>
        </w:rPr>
        <w:t xml:space="preserve">increased cybersecurity capabilities in SMEs. </w:t>
      </w:r>
      <w:r w:rsidR="008C52A3">
        <w:rPr>
          <w:rFonts w:ascii="Times New Roman" w:eastAsia="Times New Roman" w:hAnsi="Times New Roman" w:cs="Times New Roman"/>
          <w:noProof/>
          <w:sz w:val="24"/>
          <w:szCs w:val="24"/>
        </w:rPr>
        <w:t>The c</w:t>
      </w:r>
      <w:r w:rsidR="008F0428" w:rsidRPr="00E76013">
        <w:rPr>
          <w:rFonts w:ascii="Times New Roman" w:eastAsia="Times New Roman" w:hAnsi="Times New Roman" w:cs="Times New Roman"/>
          <w:noProof/>
          <w:sz w:val="24"/>
          <w:szCs w:val="24"/>
        </w:rPr>
        <w:t xml:space="preserve">omponent </w:t>
      </w:r>
      <w:r w:rsidR="00B96FE0">
        <w:rPr>
          <w:rFonts w:ascii="Times New Roman" w:eastAsia="Times New Roman" w:hAnsi="Times New Roman" w:cs="Times New Roman"/>
          <w:noProof/>
          <w:sz w:val="24"/>
          <w:szCs w:val="24"/>
        </w:rPr>
        <w:t>on research and innovation</w:t>
      </w:r>
      <w:r w:rsidR="008F0428" w:rsidRPr="00E76013">
        <w:rPr>
          <w:rFonts w:ascii="Times New Roman" w:eastAsia="Times New Roman" w:hAnsi="Times New Roman" w:cs="Times New Roman"/>
          <w:noProof/>
          <w:sz w:val="24"/>
          <w:szCs w:val="24"/>
        </w:rPr>
        <w:t xml:space="preserve"> also supports the technology transfer and cooperation between enterprises, research </w:t>
      </w:r>
      <w:r w:rsidR="00633D87" w:rsidRPr="00E76013">
        <w:rPr>
          <w:rFonts w:ascii="Times New Roman" w:eastAsia="Times New Roman" w:hAnsi="Times New Roman" w:cs="Times New Roman"/>
          <w:noProof/>
          <w:sz w:val="24"/>
          <w:szCs w:val="24"/>
        </w:rPr>
        <w:t>centers</w:t>
      </w:r>
      <w:r w:rsidR="008F0428" w:rsidRPr="00E76013">
        <w:rPr>
          <w:rFonts w:ascii="Times New Roman" w:eastAsia="Times New Roman" w:hAnsi="Times New Roman" w:cs="Times New Roman"/>
          <w:noProof/>
          <w:sz w:val="24"/>
          <w:szCs w:val="24"/>
        </w:rPr>
        <w:t xml:space="preserve"> and higher education sector and the </w:t>
      </w:r>
      <w:r w:rsidR="00CC1FDE" w:rsidRPr="00E76013">
        <w:rPr>
          <w:rFonts w:ascii="Times New Roman" w:eastAsia="Times New Roman" w:hAnsi="Times New Roman" w:cs="Times New Roman"/>
          <w:noProof/>
          <w:sz w:val="24"/>
          <w:szCs w:val="24"/>
        </w:rPr>
        <w:t>digitalis</w:t>
      </w:r>
      <w:r w:rsidR="00B7194F" w:rsidRPr="00E76013">
        <w:rPr>
          <w:rFonts w:ascii="Times New Roman" w:eastAsia="Times New Roman" w:hAnsi="Times New Roman" w:cs="Times New Roman"/>
          <w:noProof/>
          <w:sz w:val="24"/>
          <w:szCs w:val="24"/>
        </w:rPr>
        <w:t xml:space="preserve">ation of businesses. </w:t>
      </w:r>
      <w:r w:rsidR="0073285E" w:rsidRPr="00E76013">
        <w:rPr>
          <w:rFonts w:ascii="Times New Roman" w:eastAsia="Times New Roman" w:hAnsi="Times New Roman" w:cs="Times New Roman"/>
          <w:noProof/>
          <w:sz w:val="24"/>
          <w:szCs w:val="24"/>
        </w:rPr>
        <w:t>The P</w:t>
      </w:r>
      <w:r w:rsidR="00B7194F" w:rsidRPr="00E76013">
        <w:rPr>
          <w:rFonts w:ascii="Times New Roman" w:eastAsia="Times New Roman" w:hAnsi="Times New Roman" w:cs="Times New Roman"/>
          <w:noProof/>
          <w:sz w:val="24"/>
          <w:szCs w:val="24"/>
        </w:rPr>
        <w:t>lan also includes investments in the deployment of advanced technologies</w:t>
      </w:r>
      <w:r w:rsidR="00B96FE0">
        <w:rPr>
          <w:rFonts w:ascii="Times New Roman" w:eastAsia="Times New Roman" w:hAnsi="Times New Roman" w:cs="Times New Roman"/>
          <w:noProof/>
          <w:sz w:val="24"/>
          <w:szCs w:val="24"/>
        </w:rPr>
        <w:t>,</w:t>
      </w:r>
      <w:r w:rsidR="00B7194F" w:rsidRPr="00E76013">
        <w:rPr>
          <w:rFonts w:ascii="Times New Roman" w:eastAsia="Times New Roman" w:hAnsi="Times New Roman" w:cs="Times New Roman"/>
          <w:noProof/>
          <w:sz w:val="24"/>
          <w:szCs w:val="24"/>
        </w:rPr>
        <w:t xml:space="preserve"> such as quantum technologies. </w:t>
      </w:r>
    </w:p>
    <w:p w14:paraId="46AF11FD" w14:textId="59F99F12" w:rsidR="00C57C7A" w:rsidRDefault="25454994" w:rsidP="00751CDF">
      <w:pPr>
        <w:spacing w:line="276" w:lineRule="auto"/>
        <w:jc w:val="both"/>
        <w:rPr>
          <w:rFonts w:ascii="Times New Roman" w:eastAsia="Times New Roman" w:hAnsi="Times New Roman" w:cs="Times New Roman"/>
          <w:i/>
          <w:noProof/>
          <w:sz w:val="24"/>
          <w:szCs w:val="24"/>
          <w:lang w:val="en-GB"/>
        </w:rPr>
      </w:pPr>
      <w:r w:rsidRPr="00E76013">
        <w:rPr>
          <w:rFonts w:ascii="Times New Roman" w:hAnsi="Times New Roman" w:cs="Times New Roman"/>
          <w:i/>
          <w:noProof/>
          <w:sz w:val="24"/>
          <w:szCs w:val="24"/>
          <w:lang w:val="en-GB"/>
        </w:rPr>
        <w:t xml:space="preserve">Taking into consideration the assessment of all the measures envisaged, the </w:t>
      </w:r>
      <w:r w:rsidR="00D14606" w:rsidRPr="00E76013">
        <w:rPr>
          <w:rFonts w:ascii="Times New Roman" w:hAnsi="Times New Roman" w:cs="Times New Roman"/>
          <w:i/>
          <w:noProof/>
          <w:sz w:val="24"/>
          <w:szCs w:val="24"/>
          <w:lang w:val="en-GB"/>
        </w:rPr>
        <w:t>P</w:t>
      </w:r>
      <w:r w:rsidR="245762C0" w:rsidRPr="00E76013">
        <w:rPr>
          <w:rFonts w:ascii="Times New Roman" w:hAnsi="Times New Roman" w:cs="Times New Roman"/>
          <w:i/>
          <w:noProof/>
          <w:sz w:val="24"/>
          <w:szCs w:val="24"/>
          <w:lang w:val="en-GB"/>
        </w:rPr>
        <w:t>lan</w:t>
      </w:r>
      <w:r w:rsidRPr="00E76013">
        <w:rPr>
          <w:rFonts w:ascii="Times New Roman" w:hAnsi="Times New Roman" w:cs="Times New Roman"/>
          <w:i/>
          <w:noProof/>
          <w:sz w:val="24"/>
          <w:szCs w:val="24"/>
          <w:lang w:val="en-GB"/>
        </w:rPr>
        <w:t xml:space="preserve"> is expected, to a large extent, to make a significant contribution to the digital transition or to address the challenges resulting from it and ensures that at least 20% of its total allocation contribute to support digital objectives. This </w:t>
      </w:r>
      <w:r w:rsidR="32340BE5" w:rsidRPr="00E76013">
        <w:rPr>
          <w:rFonts w:ascii="Times New Roman" w:hAnsi="Times New Roman" w:cs="Times New Roman"/>
          <w:i/>
          <w:noProof/>
          <w:sz w:val="24"/>
          <w:szCs w:val="24"/>
          <w:lang w:val="en-GB"/>
        </w:rPr>
        <w:t xml:space="preserve">would </w:t>
      </w:r>
      <w:r w:rsidRPr="00E76013">
        <w:rPr>
          <w:rFonts w:ascii="Times New Roman" w:hAnsi="Times New Roman" w:cs="Times New Roman"/>
          <w:i/>
          <w:noProof/>
          <w:sz w:val="24"/>
          <w:szCs w:val="24"/>
          <w:lang w:val="en-GB"/>
        </w:rPr>
        <w:t xml:space="preserve">warrant a rating of A under criterion 2.6 of Annex </w:t>
      </w:r>
      <w:r w:rsidR="5FF9DDC4" w:rsidRPr="00E76013">
        <w:rPr>
          <w:rFonts w:ascii="Times New Roman" w:hAnsi="Times New Roman" w:cs="Times New Roman"/>
          <w:i/>
          <w:noProof/>
          <w:sz w:val="24"/>
          <w:szCs w:val="24"/>
          <w:lang w:val="en-GB"/>
        </w:rPr>
        <w:t>V</w:t>
      </w:r>
      <w:r w:rsidRPr="00E76013">
        <w:rPr>
          <w:rFonts w:ascii="Times New Roman" w:hAnsi="Times New Roman" w:cs="Times New Roman"/>
          <w:i/>
          <w:noProof/>
          <w:sz w:val="24"/>
          <w:szCs w:val="24"/>
          <w:lang w:val="en-GB"/>
        </w:rPr>
        <w:t xml:space="preserve"> </w:t>
      </w:r>
      <w:r w:rsidR="00846017">
        <w:rPr>
          <w:rFonts w:ascii="Times New Roman" w:hAnsi="Times New Roman" w:cs="Times New Roman"/>
          <w:i/>
          <w:noProof/>
          <w:sz w:val="24"/>
          <w:szCs w:val="24"/>
          <w:lang w:val="en-GB"/>
        </w:rPr>
        <w:t>to</w:t>
      </w:r>
      <w:r w:rsidR="00846017" w:rsidRPr="00E76013">
        <w:rPr>
          <w:rFonts w:ascii="Times New Roman" w:hAnsi="Times New Roman" w:cs="Times New Roman"/>
          <w:i/>
          <w:noProof/>
          <w:sz w:val="24"/>
          <w:szCs w:val="24"/>
          <w:lang w:val="en-GB"/>
        </w:rPr>
        <w:t xml:space="preserve"> </w:t>
      </w:r>
      <w:r w:rsidRPr="00E76013">
        <w:rPr>
          <w:rFonts w:ascii="Times New Roman" w:hAnsi="Times New Roman" w:cs="Times New Roman"/>
          <w:i/>
          <w:noProof/>
          <w:sz w:val="24"/>
          <w:szCs w:val="24"/>
          <w:lang w:val="en-GB"/>
        </w:rPr>
        <w:t>the RRF Regulation</w:t>
      </w:r>
      <w:r w:rsidRPr="00E76013">
        <w:rPr>
          <w:rFonts w:ascii="Times New Roman" w:eastAsia="Times New Roman" w:hAnsi="Times New Roman" w:cs="Times New Roman"/>
          <w:i/>
          <w:noProof/>
          <w:sz w:val="24"/>
          <w:szCs w:val="24"/>
          <w:lang w:val="en-GB"/>
        </w:rPr>
        <w:t>.</w:t>
      </w:r>
    </w:p>
    <w:p w14:paraId="58585A04" w14:textId="77777777" w:rsidR="00FE25E5" w:rsidRPr="00E76013" w:rsidRDefault="00FE25E5" w:rsidP="00751CDF">
      <w:pPr>
        <w:spacing w:line="276" w:lineRule="auto"/>
        <w:jc w:val="both"/>
        <w:rPr>
          <w:rFonts w:ascii="Times New Roman" w:eastAsia="Times New Roman" w:hAnsi="Times New Roman" w:cs="Times New Roman"/>
          <w:i/>
          <w:noProof/>
          <w:sz w:val="24"/>
          <w:szCs w:val="24"/>
          <w:lang w:val="en-GB"/>
        </w:rPr>
      </w:pPr>
    </w:p>
    <w:p w14:paraId="4551E6B5" w14:textId="1DE29AD4" w:rsidR="005B610E" w:rsidRPr="00785E3F" w:rsidRDefault="005B610E" w:rsidP="00E01A1F">
      <w:pPr>
        <w:pStyle w:val="Heading2"/>
        <w:numPr>
          <w:ilvl w:val="1"/>
          <w:numId w:val="7"/>
        </w:numPr>
        <w:spacing w:after="160" w:line="276" w:lineRule="auto"/>
        <w:rPr>
          <w:noProof/>
        </w:rPr>
      </w:pPr>
      <w:bookmarkStart w:id="363" w:name="_Toc62455206"/>
      <w:bookmarkStart w:id="364" w:name="_Toc99399075"/>
      <w:bookmarkStart w:id="365" w:name="_Toc99400008"/>
      <w:bookmarkStart w:id="366" w:name="_Toc99400436"/>
      <w:bookmarkStart w:id="367" w:name="_Toc99719451"/>
      <w:bookmarkStart w:id="368" w:name="_Toc99728664"/>
      <w:bookmarkStart w:id="369" w:name="_Toc99729658"/>
      <w:bookmarkStart w:id="370" w:name="_Toc99730635"/>
      <w:bookmarkStart w:id="371" w:name="_Toc99731359"/>
      <w:bookmarkStart w:id="372" w:name="_Toc99756898"/>
      <w:bookmarkStart w:id="373" w:name="_Toc99909928"/>
      <w:bookmarkStart w:id="374" w:name="_Toc62818229"/>
      <w:bookmarkStart w:id="375" w:name="_Toc62818776"/>
      <w:bookmarkStart w:id="376" w:name="_Toc63417225"/>
      <w:bookmarkStart w:id="377" w:name="_Toc63418915"/>
      <w:bookmarkStart w:id="378" w:name="_Toc63418940"/>
      <w:bookmarkStart w:id="379" w:name="_Toc64281626"/>
      <w:bookmarkStart w:id="380" w:name="_Toc98952830"/>
      <w:bookmarkStart w:id="381" w:name="_Toc98954001"/>
      <w:r w:rsidRPr="00785E3F">
        <w:rPr>
          <w:noProof/>
        </w:rPr>
        <w:t>Lasting impact of the plan</w:t>
      </w:r>
      <w:bookmarkEnd w:id="363"/>
      <w:bookmarkEnd w:id="364"/>
      <w:bookmarkEnd w:id="365"/>
      <w:bookmarkEnd w:id="366"/>
      <w:bookmarkEnd w:id="367"/>
      <w:bookmarkEnd w:id="368"/>
      <w:bookmarkEnd w:id="369"/>
      <w:bookmarkEnd w:id="370"/>
      <w:bookmarkEnd w:id="371"/>
      <w:bookmarkEnd w:id="372"/>
      <w:bookmarkEnd w:id="373"/>
      <w:r w:rsidR="004C5784" w:rsidRPr="00785E3F">
        <w:rPr>
          <w:noProof/>
        </w:rPr>
        <w:t xml:space="preserve"> </w:t>
      </w:r>
      <w:bookmarkEnd w:id="374"/>
      <w:bookmarkEnd w:id="375"/>
      <w:bookmarkEnd w:id="376"/>
      <w:bookmarkEnd w:id="377"/>
      <w:bookmarkEnd w:id="378"/>
      <w:bookmarkEnd w:id="379"/>
      <w:bookmarkEnd w:id="380"/>
      <w:bookmarkEnd w:id="381"/>
    </w:p>
    <w:p w14:paraId="790AF78B" w14:textId="77777777" w:rsidR="00A02421" w:rsidRPr="00E76013" w:rsidRDefault="00A02421" w:rsidP="008963AA">
      <w:pPr>
        <w:spacing w:line="276" w:lineRule="auto"/>
        <w:jc w:val="both"/>
        <w:rPr>
          <w:rFonts w:eastAsia="Times New Roman"/>
          <w:i/>
          <w:noProof/>
          <w:sz w:val="24"/>
          <w:szCs w:val="24"/>
        </w:rPr>
      </w:pPr>
      <w:bookmarkStart w:id="382" w:name="_Toc66388714"/>
      <w:bookmarkStart w:id="383" w:name="_Toc66388715"/>
      <w:bookmarkStart w:id="384" w:name="_Toc66388716"/>
      <w:bookmarkStart w:id="385" w:name="_Toc62455207"/>
      <w:bookmarkStart w:id="386" w:name="_Toc62818230"/>
      <w:bookmarkStart w:id="387" w:name="_Toc62818777"/>
      <w:bookmarkStart w:id="388" w:name="_Toc63417226"/>
      <w:bookmarkStart w:id="389" w:name="_Toc63418916"/>
      <w:bookmarkStart w:id="390" w:name="_Toc63418941"/>
      <w:bookmarkStart w:id="391" w:name="_Toc64281627"/>
      <w:bookmarkEnd w:id="382"/>
      <w:bookmarkEnd w:id="383"/>
      <w:bookmarkEnd w:id="384"/>
      <w:r w:rsidRPr="00E76013">
        <w:rPr>
          <w:rFonts w:ascii="Times New Roman" w:eastAsia="Times New Roman" w:hAnsi="Times New Roman" w:cs="Times New Roman"/>
          <w:i/>
          <w:noProof/>
          <w:sz w:val="24"/>
          <w:szCs w:val="24"/>
        </w:rPr>
        <w:t xml:space="preserve">Structural change in administration and institutions </w:t>
      </w:r>
    </w:p>
    <w:p w14:paraId="34C77F11" w14:textId="18ECD943" w:rsidR="00A02421" w:rsidRPr="00E76013" w:rsidRDefault="00A02421"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 xml:space="preserve">The Bulgarian </w:t>
      </w:r>
      <w:r w:rsidR="00E60F61" w:rsidRPr="00E76013">
        <w:rPr>
          <w:rFonts w:ascii="Times New Roman" w:eastAsia="Times New Roman" w:hAnsi="Times New Roman" w:cs="Times New Roman"/>
          <w:b/>
          <w:bCs/>
          <w:noProof/>
          <w:sz w:val="24"/>
          <w:szCs w:val="24"/>
        </w:rPr>
        <w:t>P</w:t>
      </w:r>
      <w:r w:rsidRPr="00E76013">
        <w:rPr>
          <w:rFonts w:ascii="Times New Roman" w:eastAsia="Times New Roman" w:hAnsi="Times New Roman" w:cs="Times New Roman"/>
          <w:b/>
          <w:bCs/>
          <w:noProof/>
          <w:sz w:val="24"/>
          <w:szCs w:val="24"/>
        </w:rPr>
        <w:t>lan contains measures to strengthen the administrative capacity of public institutions</w:t>
      </w:r>
      <w:r w:rsidR="0234435F" w:rsidRPr="00E76013">
        <w:rPr>
          <w:rFonts w:ascii="Times New Roman" w:eastAsia="Times New Roman" w:hAnsi="Times New Roman" w:cs="Times New Roman"/>
          <w:b/>
          <w:bCs/>
          <w:noProof/>
          <w:sz w:val="24"/>
          <w:szCs w:val="24"/>
        </w:rPr>
        <w:t>, notably in the judiciary.</w:t>
      </w:r>
      <w:r w:rsidRPr="00E76013">
        <w:rPr>
          <w:rFonts w:ascii="Times New Roman" w:eastAsia="Times New Roman" w:hAnsi="Times New Roman" w:cs="Times New Roman"/>
          <w:b/>
          <w:bCs/>
          <w:noProof/>
          <w:sz w:val="24"/>
          <w:szCs w:val="24"/>
        </w:rPr>
        <w:t xml:space="preserve"> </w:t>
      </w:r>
      <w:r w:rsidRPr="00E76013">
        <w:rPr>
          <w:rFonts w:ascii="Times New Roman" w:eastAsia="Times New Roman" w:hAnsi="Times New Roman" w:cs="Times New Roman"/>
          <w:bCs/>
          <w:noProof/>
          <w:sz w:val="24"/>
          <w:szCs w:val="24"/>
        </w:rPr>
        <w:t xml:space="preserve">The </w:t>
      </w:r>
      <w:r w:rsidR="00DD300B">
        <w:rPr>
          <w:rFonts w:ascii="Times New Roman" w:eastAsia="Times New Roman" w:hAnsi="Times New Roman" w:cs="Times New Roman"/>
          <w:bCs/>
          <w:noProof/>
          <w:sz w:val="24"/>
          <w:szCs w:val="24"/>
        </w:rPr>
        <w:t>b</w:t>
      </w:r>
      <w:r w:rsidR="00DD300B" w:rsidRPr="00E76013">
        <w:rPr>
          <w:rFonts w:ascii="Times New Roman" w:eastAsia="Times New Roman" w:hAnsi="Times New Roman" w:cs="Times New Roman"/>
          <w:bCs/>
          <w:noProof/>
          <w:sz w:val="24"/>
          <w:szCs w:val="24"/>
        </w:rPr>
        <w:t>usiness</w:t>
      </w:r>
      <w:r w:rsidR="00DD300B" w:rsidRPr="00E76013">
        <w:rPr>
          <w:rFonts w:ascii="Times New Roman" w:eastAsia="Times New Roman" w:hAnsi="Times New Roman" w:cs="Times New Roman"/>
          <w:bCs/>
          <w:noProof/>
          <w:sz w:val="24"/>
          <w:szCs w:val="24"/>
          <w:lang w:val="bg-BG"/>
        </w:rPr>
        <w:t xml:space="preserve"> </w:t>
      </w:r>
      <w:r w:rsidRPr="00E76013">
        <w:rPr>
          <w:rFonts w:ascii="Times New Roman" w:eastAsia="Times New Roman" w:hAnsi="Times New Roman" w:cs="Times New Roman"/>
          <w:bCs/>
          <w:noProof/>
          <w:sz w:val="24"/>
          <w:szCs w:val="24"/>
        </w:rPr>
        <w:t>environment component contains a number of key reforms designed to improve the functioning of the judiciary system</w:t>
      </w:r>
      <w:r w:rsidR="00DD300B">
        <w:rPr>
          <w:rFonts w:ascii="Times New Roman" w:eastAsia="Times New Roman" w:hAnsi="Times New Roman" w:cs="Times New Roman"/>
          <w:bCs/>
          <w:noProof/>
          <w:sz w:val="24"/>
          <w:szCs w:val="24"/>
        </w:rPr>
        <w:t>,</w:t>
      </w:r>
      <w:r w:rsidRPr="00E76013">
        <w:rPr>
          <w:rFonts w:ascii="Times New Roman" w:eastAsia="Times New Roman" w:hAnsi="Times New Roman" w:cs="Times New Roman"/>
          <w:bCs/>
          <w:noProof/>
          <w:sz w:val="24"/>
          <w:szCs w:val="24"/>
        </w:rPr>
        <w:t xml:space="preserve"> </w:t>
      </w:r>
      <w:r w:rsidR="0234435F" w:rsidRPr="00E76013">
        <w:rPr>
          <w:rFonts w:ascii="Times New Roman" w:eastAsia="Times New Roman" w:hAnsi="Times New Roman" w:cs="Times New Roman"/>
          <w:noProof/>
          <w:sz w:val="24"/>
          <w:szCs w:val="24"/>
        </w:rPr>
        <w:t>e.g. through measures to ensure the</w:t>
      </w:r>
      <w:r w:rsidRPr="00E76013">
        <w:rPr>
          <w:rFonts w:ascii="Times New Roman" w:eastAsia="Times New Roman" w:hAnsi="Times New Roman" w:cs="Times New Roman"/>
          <w:bCs/>
          <w:noProof/>
          <w:sz w:val="24"/>
          <w:szCs w:val="24"/>
        </w:rPr>
        <w:t xml:space="preserve"> accountability and criminal liability of the Prosecutor General, </w:t>
      </w:r>
      <w:r w:rsidR="0234435F" w:rsidRPr="00E76013">
        <w:rPr>
          <w:rFonts w:ascii="Times New Roman" w:eastAsia="Times New Roman" w:hAnsi="Times New Roman" w:cs="Times New Roman"/>
          <w:noProof/>
          <w:sz w:val="24"/>
          <w:szCs w:val="24"/>
        </w:rPr>
        <w:t xml:space="preserve">to enhance the </w:t>
      </w:r>
      <w:r w:rsidRPr="00E76013">
        <w:rPr>
          <w:rFonts w:ascii="Times New Roman" w:eastAsia="Times New Roman" w:hAnsi="Times New Roman" w:cs="Times New Roman"/>
          <w:bCs/>
          <w:noProof/>
          <w:sz w:val="24"/>
          <w:szCs w:val="24"/>
        </w:rPr>
        <w:t xml:space="preserve">capacity of the Inspectorate with the Supreme Judicial Council to fight corruption in the judiciary, </w:t>
      </w:r>
      <w:r w:rsidR="0234435F" w:rsidRPr="00E76013">
        <w:rPr>
          <w:rFonts w:ascii="Times New Roman" w:eastAsia="Times New Roman" w:hAnsi="Times New Roman" w:cs="Times New Roman"/>
          <w:noProof/>
          <w:sz w:val="24"/>
          <w:szCs w:val="24"/>
        </w:rPr>
        <w:t xml:space="preserve">to ensure </w:t>
      </w:r>
      <w:r w:rsidRPr="00E76013">
        <w:rPr>
          <w:rFonts w:ascii="Times New Roman" w:eastAsia="Times New Roman" w:hAnsi="Times New Roman" w:cs="Times New Roman"/>
          <w:bCs/>
          <w:noProof/>
          <w:sz w:val="24"/>
          <w:szCs w:val="24"/>
        </w:rPr>
        <w:t xml:space="preserve">more efficient proceedings for insolvency and other administrative cases, </w:t>
      </w:r>
      <w:r w:rsidR="00DD300B">
        <w:rPr>
          <w:rFonts w:ascii="Times New Roman" w:eastAsia="Times New Roman" w:hAnsi="Times New Roman" w:cs="Times New Roman"/>
          <w:noProof/>
          <w:sz w:val="24"/>
          <w:szCs w:val="24"/>
        </w:rPr>
        <w:t xml:space="preserve">and </w:t>
      </w:r>
      <w:r w:rsidR="0234435F" w:rsidRPr="00E76013">
        <w:rPr>
          <w:rFonts w:ascii="Times New Roman" w:eastAsia="Times New Roman" w:hAnsi="Times New Roman" w:cs="Times New Roman"/>
          <w:noProof/>
          <w:sz w:val="24"/>
          <w:szCs w:val="24"/>
        </w:rPr>
        <w:t xml:space="preserve">measures </w:t>
      </w:r>
      <w:r w:rsidR="00C01A62">
        <w:rPr>
          <w:rFonts w:ascii="Times New Roman" w:eastAsia="Times New Roman" w:hAnsi="Times New Roman" w:cs="Times New Roman"/>
          <w:noProof/>
          <w:sz w:val="24"/>
          <w:szCs w:val="24"/>
          <w:lang w:val="en-IE"/>
        </w:rPr>
        <w:t>fostering the wide use of</w:t>
      </w:r>
      <w:r w:rsidR="004F2DAB">
        <w:rPr>
          <w:rFonts w:ascii="Times New Roman" w:eastAsia="Times New Roman" w:hAnsi="Times New Roman" w:cs="Times New Roman"/>
          <w:noProof/>
          <w:sz w:val="24"/>
          <w:szCs w:val="24"/>
        </w:rPr>
        <w:t xml:space="preserve"> </w:t>
      </w:r>
      <w:r w:rsidRPr="00E76013">
        <w:rPr>
          <w:rFonts w:ascii="Times New Roman" w:eastAsia="Times New Roman" w:hAnsi="Times New Roman" w:cs="Times New Roman"/>
          <w:bCs/>
          <w:noProof/>
          <w:sz w:val="24"/>
          <w:szCs w:val="24"/>
        </w:rPr>
        <w:t>mediation</w:t>
      </w:r>
      <w:r w:rsidR="0234435F" w:rsidRPr="00E76013">
        <w:rPr>
          <w:rFonts w:ascii="Times New Roman" w:eastAsia="Times New Roman" w:hAnsi="Times New Roman" w:cs="Times New Roman"/>
          <w:noProof/>
          <w:sz w:val="24"/>
          <w:szCs w:val="24"/>
        </w:rPr>
        <w:t xml:space="preserve">, </w:t>
      </w:r>
      <w:r w:rsidR="00DD300B">
        <w:rPr>
          <w:rFonts w:ascii="Times New Roman" w:eastAsia="Times New Roman" w:hAnsi="Times New Roman" w:cs="Times New Roman"/>
          <w:noProof/>
          <w:sz w:val="24"/>
          <w:szCs w:val="24"/>
          <w:lang w:val="en-IE"/>
        </w:rPr>
        <w:t>and an</w:t>
      </w:r>
      <w:r w:rsidR="00C01A62" w:rsidRPr="00E76013">
        <w:rPr>
          <w:rFonts w:ascii="Times New Roman" w:eastAsia="Times New Roman" w:hAnsi="Times New Roman" w:cs="Times New Roman"/>
          <w:noProof/>
          <w:sz w:val="24"/>
          <w:szCs w:val="24"/>
        </w:rPr>
        <w:t xml:space="preserve"> </w:t>
      </w:r>
      <w:r w:rsidR="0234435F" w:rsidRPr="00E76013">
        <w:rPr>
          <w:rFonts w:ascii="Times New Roman" w:eastAsia="Times New Roman" w:hAnsi="Times New Roman" w:cs="Times New Roman"/>
          <w:noProof/>
          <w:sz w:val="24"/>
          <w:szCs w:val="24"/>
        </w:rPr>
        <w:t>improved</w:t>
      </w:r>
      <w:r w:rsidRPr="00E76013">
        <w:rPr>
          <w:rFonts w:ascii="Times New Roman" w:eastAsia="Times New Roman" w:hAnsi="Times New Roman" w:cs="Times New Roman"/>
          <w:bCs/>
          <w:noProof/>
          <w:sz w:val="24"/>
          <w:szCs w:val="24"/>
        </w:rPr>
        <w:t xml:space="preserve"> access to justice. Apart from the judicial reform, improvements in the capacity of anti-corruption bodies, the integrity of public servants and the efficiency of anti-money laundering supervisory authorities </w:t>
      </w:r>
      <w:r w:rsidR="0234435F" w:rsidRPr="00E76013">
        <w:rPr>
          <w:rFonts w:ascii="Times New Roman" w:eastAsia="Times New Roman" w:hAnsi="Times New Roman" w:cs="Times New Roman"/>
          <w:noProof/>
          <w:sz w:val="24"/>
          <w:szCs w:val="24"/>
        </w:rPr>
        <w:t>feature in the Plan.</w:t>
      </w:r>
      <w:r w:rsidRPr="00E76013">
        <w:rPr>
          <w:rFonts w:ascii="Times New Roman" w:eastAsia="Times New Roman" w:hAnsi="Times New Roman" w:cs="Times New Roman"/>
          <w:bCs/>
          <w:noProof/>
          <w:sz w:val="24"/>
          <w:szCs w:val="24"/>
        </w:rPr>
        <w:t xml:space="preserve"> In addition, the strengthened administrative capacity in the social support system </w:t>
      </w:r>
      <w:r w:rsidR="0234435F" w:rsidRPr="00E76013">
        <w:rPr>
          <w:rFonts w:ascii="Times New Roman" w:eastAsia="Times New Roman" w:hAnsi="Times New Roman" w:cs="Times New Roman"/>
          <w:noProof/>
          <w:sz w:val="24"/>
          <w:szCs w:val="24"/>
        </w:rPr>
        <w:t>sh</w:t>
      </w:r>
      <w:r w:rsidRPr="00E76013">
        <w:rPr>
          <w:rFonts w:ascii="Times New Roman" w:eastAsia="Times New Roman" w:hAnsi="Times New Roman" w:cs="Times New Roman"/>
          <w:bCs/>
          <w:noProof/>
          <w:sz w:val="24"/>
          <w:szCs w:val="24"/>
        </w:rPr>
        <w:t xml:space="preserve">ould lead to </w:t>
      </w:r>
      <w:r w:rsidR="00251C87">
        <w:rPr>
          <w:rFonts w:ascii="Times New Roman" w:eastAsia="Times New Roman" w:hAnsi="Times New Roman" w:cs="Times New Roman"/>
          <w:bCs/>
          <w:noProof/>
          <w:sz w:val="24"/>
          <w:szCs w:val="24"/>
        </w:rPr>
        <w:t>a</w:t>
      </w:r>
      <w:r w:rsidRPr="00E76013">
        <w:rPr>
          <w:rFonts w:ascii="Times New Roman" w:eastAsia="Times New Roman" w:hAnsi="Times New Roman" w:cs="Times New Roman"/>
          <w:bCs/>
          <w:noProof/>
          <w:sz w:val="24"/>
          <w:szCs w:val="24"/>
        </w:rPr>
        <w:t xml:space="preserve"> better quality of social services.</w:t>
      </w:r>
    </w:p>
    <w:p w14:paraId="6462747C" w14:textId="2837E722" w:rsidR="00A02421" w:rsidRPr="00E76013" w:rsidRDefault="00A02421"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 xml:space="preserve">The investments in key areas of the </w:t>
      </w:r>
      <w:r w:rsidR="001141F9" w:rsidRPr="00E76013">
        <w:rPr>
          <w:rFonts w:ascii="Times New Roman" w:eastAsia="Times New Roman" w:hAnsi="Times New Roman" w:cs="Times New Roman"/>
          <w:b/>
          <w:bCs/>
          <w:noProof/>
          <w:sz w:val="24"/>
          <w:szCs w:val="24"/>
        </w:rPr>
        <w:t>P</w:t>
      </w:r>
      <w:r w:rsidRPr="00E76013">
        <w:rPr>
          <w:rFonts w:ascii="Times New Roman" w:eastAsia="Times New Roman" w:hAnsi="Times New Roman" w:cs="Times New Roman"/>
          <w:b/>
          <w:bCs/>
          <w:noProof/>
          <w:sz w:val="24"/>
          <w:szCs w:val="24"/>
        </w:rPr>
        <w:t xml:space="preserve">lan are complemented with measures to strengthen the quality of public services. </w:t>
      </w:r>
      <w:r w:rsidR="007E2E99">
        <w:rPr>
          <w:rFonts w:ascii="Times New Roman" w:eastAsia="Times New Roman" w:hAnsi="Times New Roman" w:cs="Times New Roman"/>
          <w:bCs/>
          <w:noProof/>
          <w:sz w:val="24"/>
          <w:szCs w:val="24"/>
        </w:rPr>
        <w:t xml:space="preserve">The </w:t>
      </w:r>
      <w:r w:rsidR="152F33D1" w:rsidRPr="264FA23E">
        <w:rPr>
          <w:rFonts w:ascii="Times New Roman" w:eastAsia="Times New Roman" w:hAnsi="Times New Roman" w:cs="Times New Roman"/>
          <w:noProof/>
          <w:sz w:val="24"/>
          <w:szCs w:val="24"/>
        </w:rPr>
        <w:t>P</w:t>
      </w:r>
      <w:r w:rsidR="007E2E99">
        <w:rPr>
          <w:rFonts w:ascii="Times New Roman" w:eastAsia="Times New Roman" w:hAnsi="Times New Roman" w:cs="Times New Roman"/>
          <w:bCs/>
          <w:noProof/>
          <w:sz w:val="24"/>
          <w:szCs w:val="24"/>
        </w:rPr>
        <w:t xml:space="preserve">lan aims </w:t>
      </w:r>
      <w:r w:rsidR="00251C87">
        <w:rPr>
          <w:rFonts w:ascii="Times New Roman" w:eastAsia="Times New Roman" w:hAnsi="Times New Roman" w:cs="Times New Roman"/>
          <w:bCs/>
          <w:noProof/>
          <w:sz w:val="24"/>
          <w:szCs w:val="24"/>
        </w:rPr>
        <w:t>to reduce</w:t>
      </w:r>
      <w:r w:rsidR="007E2E99" w:rsidRPr="00E76013">
        <w:rPr>
          <w:rFonts w:ascii="Times New Roman" w:eastAsia="Times New Roman" w:hAnsi="Times New Roman" w:cs="Times New Roman"/>
          <w:bCs/>
          <w:noProof/>
          <w:sz w:val="24"/>
          <w:szCs w:val="24"/>
        </w:rPr>
        <w:t xml:space="preserve"> barriers to business activity th</w:t>
      </w:r>
      <w:r w:rsidR="007E2E99">
        <w:rPr>
          <w:rFonts w:ascii="Times New Roman" w:eastAsia="Times New Roman" w:hAnsi="Times New Roman" w:cs="Times New Roman"/>
          <w:bCs/>
          <w:noProof/>
          <w:sz w:val="24"/>
          <w:szCs w:val="24"/>
        </w:rPr>
        <w:t>r</w:t>
      </w:r>
      <w:r w:rsidR="007E2E99" w:rsidRPr="00E76013">
        <w:rPr>
          <w:rFonts w:ascii="Times New Roman" w:eastAsia="Times New Roman" w:hAnsi="Times New Roman" w:cs="Times New Roman"/>
          <w:bCs/>
          <w:noProof/>
          <w:sz w:val="24"/>
          <w:szCs w:val="24"/>
        </w:rPr>
        <w:t xml:space="preserve">ough </w:t>
      </w:r>
      <w:r w:rsidR="007B2F50">
        <w:rPr>
          <w:rFonts w:ascii="Times New Roman" w:eastAsia="Times New Roman" w:hAnsi="Times New Roman" w:cs="Times New Roman"/>
          <w:bCs/>
          <w:noProof/>
          <w:sz w:val="24"/>
          <w:szCs w:val="24"/>
        </w:rPr>
        <w:t xml:space="preserve">the </w:t>
      </w:r>
      <w:r w:rsidR="007E2E99" w:rsidRPr="00E76013">
        <w:rPr>
          <w:rFonts w:ascii="Times New Roman" w:eastAsia="Times New Roman" w:hAnsi="Times New Roman" w:cs="Times New Roman"/>
          <w:bCs/>
          <w:noProof/>
          <w:sz w:val="24"/>
          <w:szCs w:val="24"/>
        </w:rPr>
        <w:t>introduction of one-stop shops and</w:t>
      </w:r>
      <w:r w:rsidR="004F2DAB">
        <w:rPr>
          <w:rFonts w:ascii="Times New Roman" w:eastAsia="Times New Roman" w:hAnsi="Times New Roman" w:cs="Times New Roman"/>
          <w:bCs/>
          <w:noProof/>
          <w:sz w:val="24"/>
          <w:szCs w:val="24"/>
        </w:rPr>
        <w:t xml:space="preserve"> </w:t>
      </w:r>
      <w:r w:rsidR="00251C87">
        <w:rPr>
          <w:rFonts w:ascii="Times New Roman" w:eastAsia="Times New Roman" w:hAnsi="Times New Roman" w:cs="Times New Roman"/>
          <w:bCs/>
          <w:noProof/>
          <w:sz w:val="24"/>
          <w:szCs w:val="24"/>
        </w:rPr>
        <w:t>by increasing the</w:t>
      </w:r>
      <w:r w:rsidR="007E2E99" w:rsidRPr="00E76013">
        <w:rPr>
          <w:rFonts w:ascii="Times New Roman" w:eastAsia="Times New Roman" w:hAnsi="Times New Roman" w:cs="Times New Roman"/>
          <w:bCs/>
          <w:noProof/>
          <w:sz w:val="24"/>
          <w:szCs w:val="24"/>
        </w:rPr>
        <w:t xml:space="preserve"> administrative capacity for strategic planning </w:t>
      </w:r>
      <w:r w:rsidR="00251C87">
        <w:rPr>
          <w:rFonts w:ascii="Times New Roman" w:eastAsia="Times New Roman" w:hAnsi="Times New Roman" w:cs="Times New Roman"/>
          <w:bCs/>
          <w:noProof/>
          <w:sz w:val="24"/>
          <w:szCs w:val="24"/>
        </w:rPr>
        <w:t>as well as</w:t>
      </w:r>
      <w:r w:rsidR="00251C87" w:rsidRPr="00E76013">
        <w:rPr>
          <w:rFonts w:ascii="Times New Roman" w:eastAsia="Times New Roman" w:hAnsi="Times New Roman" w:cs="Times New Roman"/>
          <w:bCs/>
          <w:noProof/>
          <w:sz w:val="24"/>
          <w:szCs w:val="24"/>
        </w:rPr>
        <w:t xml:space="preserve"> </w:t>
      </w:r>
      <w:r w:rsidR="007E2E99" w:rsidRPr="00E76013">
        <w:rPr>
          <w:rFonts w:ascii="Times New Roman" w:eastAsia="Times New Roman" w:hAnsi="Times New Roman" w:cs="Times New Roman"/>
          <w:bCs/>
          <w:noProof/>
          <w:sz w:val="24"/>
          <w:szCs w:val="24"/>
        </w:rPr>
        <w:t xml:space="preserve">transparency through </w:t>
      </w:r>
      <w:r w:rsidR="007B2F50">
        <w:rPr>
          <w:rFonts w:ascii="Times New Roman" w:eastAsia="Times New Roman" w:hAnsi="Times New Roman" w:cs="Times New Roman"/>
          <w:bCs/>
          <w:noProof/>
          <w:sz w:val="24"/>
          <w:szCs w:val="24"/>
        </w:rPr>
        <w:t xml:space="preserve">the </w:t>
      </w:r>
      <w:r w:rsidR="007E2E99" w:rsidRPr="00E76013">
        <w:rPr>
          <w:rFonts w:ascii="Times New Roman" w:eastAsia="Times New Roman" w:hAnsi="Times New Roman" w:cs="Times New Roman"/>
          <w:bCs/>
          <w:noProof/>
          <w:sz w:val="24"/>
          <w:szCs w:val="24"/>
        </w:rPr>
        <w:t>establishment of new institutions</w:t>
      </w:r>
      <w:r w:rsidR="007E2E99">
        <w:rPr>
          <w:rFonts w:ascii="Times New Roman" w:eastAsia="Times New Roman" w:hAnsi="Times New Roman" w:cs="Times New Roman"/>
          <w:bCs/>
          <w:noProof/>
          <w:sz w:val="24"/>
          <w:szCs w:val="24"/>
        </w:rPr>
        <w:t xml:space="preserve">. </w:t>
      </w:r>
      <w:r w:rsidR="0049442D" w:rsidRPr="677D5CEF">
        <w:rPr>
          <w:rFonts w:ascii="Times New Roman" w:eastAsia="Times New Roman" w:hAnsi="Times New Roman" w:cs="Times New Roman"/>
          <w:noProof/>
          <w:sz w:val="24"/>
          <w:szCs w:val="24"/>
        </w:rPr>
        <w:t>The accompanying administrative reforms in the areas of research and innovation</w:t>
      </w:r>
      <w:r w:rsidR="002E165B">
        <w:rPr>
          <w:rFonts w:ascii="Times New Roman" w:eastAsia="Times New Roman" w:hAnsi="Times New Roman" w:cs="Times New Roman"/>
          <w:noProof/>
          <w:sz w:val="24"/>
          <w:szCs w:val="24"/>
        </w:rPr>
        <w:t xml:space="preserve"> </w:t>
      </w:r>
      <w:r w:rsidR="005C4177">
        <w:rPr>
          <w:rFonts w:ascii="Times New Roman" w:eastAsia="Times New Roman" w:hAnsi="Times New Roman" w:cs="Times New Roman"/>
          <w:noProof/>
          <w:sz w:val="24"/>
          <w:szCs w:val="24"/>
        </w:rPr>
        <w:t>include</w:t>
      </w:r>
      <w:r w:rsidR="002E165B">
        <w:rPr>
          <w:rFonts w:ascii="Times New Roman" w:eastAsia="Times New Roman" w:hAnsi="Times New Roman" w:cs="Times New Roman"/>
          <w:noProof/>
          <w:sz w:val="24"/>
          <w:szCs w:val="24"/>
        </w:rPr>
        <w:t xml:space="preserve"> the adoption of a law on research and innovation </w:t>
      </w:r>
      <w:r w:rsidR="002E165B" w:rsidRPr="37BE1238">
        <w:rPr>
          <w:rFonts w:ascii="Times New Roman" w:eastAsia="Times New Roman" w:hAnsi="Times New Roman" w:cs="Times New Roman"/>
          <w:noProof/>
          <w:sz w:val="24"/>
          <w:szCs w:val="24"/>
        </w:rPr>
        <w:t>(</w:t>
      </w:r>
      <w:r w:rsidR="37BE1238" w:rsidRPr="008A4EC9">
        <w:rPr>
          <w:rFonts w:ascii="Times New Roman" w:eastAsia="Times New Roman" w:hAnsi="Times New Roman" w:cs="Times New Roman"/>
          <w:noProof/>
          <w:sz w:val="24"/>
          <w:szCs w:val="24"/>
        </w:rPr>
        <w:t>Research and Innovation Act).</w:t>
      </w:r>
      <w:r w:rsidR="002E165B">
        <w:rPr>
          <w:rFonts w:ascii="Times New Roman" w:eastAsia="Times New Roman" w:hAnsi="Times New Roman" w:cs="Times New Roman"/>
          <w:noProof/>
          <w:sz w:val="24"/>
          <w:szCs w:val="24"/>
        </w:rPr>
        <w:t xml:space="preserve"> The</w:t>
      </w:r>
      <w:r w:rsidR="002E165B" w:rsidRPr="677D5CEF">
        <w:rPr>
          <w:rFonts w:ascii="Times New Roman" w:eastAsia="Times New Roman" w:hAnsi="Times New Roman" w:cs="Times New Roman"/>
          <w:noProof/>
          <w:sz w:val="24"/>
          <w:szCs w:val="24"/>
        </w:rPr>
        <w:t xml:space="preserve"> </w:t>
      </w:r>
      <w:r w:rsidR="002E165B">
        <w:rPr>
          <w:rFonts w:ascii="Times New Roman" w:eastAsia="Times New Roman" w:hAnsi="Times New Roman" w:cs="Times New Roman"/>
          <w:noProof/>
          <w:sz w:val="24"/>
          <w:szCs w:val="24"/>
        </w:rPr>
        <w:t xml:space="preserve">low carbon component provides for </w:t>
      </w:r>
      <w:r w:rsidR="1CDFF591" w:rsidRPr="264FA23E">
        <w:rPr>
          <w:rFonts w:ascii="Times New Roman" w:eastAsia="Times New Roman" w:hAnsi="Times New Roman" w:cs="Times New Roman"/>
          <w:noProof/>
          <w:sz w:val="24"/>
          <w:szCs w:val="24"/>
        </w:rPr>
        <w:t xml:space="preserve">the </w:t>
      </w:r>
      <w:r w:rsidR="002E165B">
        <w:rPr>
          <w:rFonts w:ascii="Times New Roman" w:eastAsia="Times New Roman" w:hAnsi="Times New Roman" w:cs="Times New Roman"/>
          <w:noProof/>
          <w:sz w:val="24"/>
          <w:szCs w:val="24"/>
        </w:rPr>
        <w:t>creation of one-stop shop</w:t>
      </w:r>
      <w:r w:rsidR="001815A0">
        <w:rPr>
          <w:rFonts w:ascii="Times New Roman" w:eastAsia="Times New Roman" w:hAnsi="Times New Roman" w:cs="Times New Roman"/>
          <w:noProof/>
          <w:sz w:val="24"/>
          <w:szCs w:val="24"/>
        </w:rPr>
        <w:t>s</w:t>
      </w:r>
      <w:r w:rsidR="002E165B">
        <w:rPr>
          <w:rFonts w:ascii="Times New Roman" w:eastAsia="Times New Roman" w:hAnsi="Times New Roman" w:cs="Times New Roman"/>
          <w:noProof/>
          <w:sz w:val="24"/>
          <w:szCs w:val="24"/>
        </w:rPr>
        <w:t xml:space="preserve"> for energy renewal, establishment of a </w:t>
      </w:r>
      <w:r w:rsidR="002E165B" w:rsidRPr="002E165B">
        <w:rPr>
          <w:rFonts w:ascii="Times New Roman" w:eastAsia="Times New Roman" w:hAnsi="Times New Roman" w:cs="Times New Roman"/>
          <w:noProof/>
          <w:sz w:val="24"/>
          <w:szCs w:val="24"/>
        </w:rPr>
        <w:t>Green Energy Transition Commission</w:t>
      </w:r>
      <w:r w:rsidR="002E165B">
        <w:rPr>
          <w:rFonts w:ascii="Times New Roman" w:eastAsia="Times New Roman" w:hAnsi="Times New Roman" w:cs="Times New Roman"/>
          <w:noProof/>
          <w:sz w:val="24"/>
          <w:szCs w:val="24"/>
        </w:rPr>
        <w:t xml:space="preserve"> and </w:t>
      </w:r>
      <w:r w:rsidR="189893D5" w:rsidRPr="3500EA00">
        <w:rPr>
          <w:rFonts w:ascii="Times New Roman" w:eastAsia="Times New Roman" w:hAnsi="Times New Roman" w:cs="Times New Roman"/>
          <w:noProof/>
          <w:sz w:val="24"/>
          <w:szCs w:val="24"/>
        </w:rPr>
        <w:t>a regulatory mechanism to ensure that CO2 reductions in the power sector</w:t>
      </w:r>
      <w:r w:rsidR="00251C87">
        <w:rPr>
          <w:rFonts w:ascii="Times New Roman" w:eastAsia="Times New Roman" w:hAnsi="Times New Roman" w:cs="Times New Roman"/>
          <w:noProof/>
          <w:sz w:val="24"/>
          <w:szCs w:val="24"/>
        </w:rPr>
        <w:t>,</w:t>
      </w:r>
      <w:r w:rsidR="189893D5" w:rsidRPr="3500EA00">
        <w:rPr>
          <w:rFonts w:ascii="Times New Roman" w:eastAsia="Times New Roman" w:hAnsi="Times New Roman" w:cs="Times New Roman"/>
          <w:noProof/>
          <w:sz w:val="24"/>
          <w:szCs w:val="24"/>
        </w:rPr>
        <w:t xml:space="preserve"> as achieved under the </w:t>
      </w:r>
      <w:r w:rsidR="00251C87">
        <w:rPr>
          <w:rFonts w:ascii="Times New Roman" w:eastAsia="Times New Roman" w:hAnsi="Times New Roman" w:cs="Times New Roman"/>
          <w:noProof/>
          <w:sz w:val="24"/>
          <w:szCs w:val="24"/>
        </w:rPr>
        <w:t>P</w:t>
      </w:r>
      <w:r w:rsidR="189893D5" w:rsidRPr="3500EA00">
        <w:rPr>
          <w:rFonts w:ascii="Times New Roman" w:eastAsia="Times New Roman" w:hAnsi="Times New Roman" w:cs="Times New Roman"/>
          <w:noProof/>
          <w:sz w:val="24"/>
          <w:szCs w:val="24"/>
        </w:rPr>
        <w:t>lan</w:t>
      </w:r>
      <w:r w:rsidR="00251C87">
        <w:rPr>
          <w:rFonts w:ascii="Times New Roman" w:eastAsia="Times New Roman" w:hAnsi="Times New Roman" w:cs="Times New Roman"/>
          <w:noProof/>
          <w:sz w:val="24"/>
          <w:szCs w:val="24"/>
        </w:rPr>
        <w:t>,</w:t>
      </w:r>
      <w:r w:rsidR="189893D5" w:rsidRPr="3500EA00">
        <w:rPr>
          <w:rFonts w:ascii="Times New Roman" w:eastAsia="Times New Roman" w:hAnsi="Times New Roman" w:cs="Times New Roman"/>
          <w:noProof/>
          <w:sz w:val="24"/>
          <w:szCs w:val="24"/>
        </w:rPr>
        <w:t xml:space="preserve"> are maintained beyond 2026 and until the date</w:t>
      </w:r>
      <w:r w:rsidR="002E165B" w:rsidRPr="002E165B">
        <w:rPr>
          <w:rFonts w:ascii="Times New Roman" w:eastAsia="Times New Roman" w:hAnsi="Times New Roman" w:cs="Times New Roman"/>
          <w:noProof/>
          <w:sz w:val="24"/>
          <w:szCs w:val="24"/>
        </w:rPr>
        <w:t xml:space="preserve"> of </w:t>
      </w:r>
      <w:r w:rsidR="189893D5" w:rsidRPr="3500EA00">
        <w:rPr>
          <w:rFonts w:ascii="Times New Roman" w:eastAsia="Times New Roman" w:hAnsi="Times New Roman" w:cs="Times New Roman"/>
          <w:noProof/>
          <w:sz w:val="24"/>
          <w:szCs w:val="24"/>
        </w:rPr>
        <w:t xml:space="preserve">completion of the </w:t>
      </w:r>
      <w:r w:rsidR="002E165B" w:rsidRPr="002E165B">
        <w:rPr>
          <w:rFonts w:ascii="Times New Roman" w:eastAsia="Times New Roman" w:hAnsi="Times New Roman" w:cs="Times New Roman"/>
          <w:noProof/>
          <w:sz w:val="24"/>
          <w:szCs w:val="24"/>
        </w:rPr>
        <w:t xml:space="preserve">coal </w:t>
      </w:r>
      <w:r w:rsidR="189893D5" w:rsidRPr="3500EA00">
        <w:rPr>
          <w:rFonts w:ascii="Times New Roman" w:eastAsia="Times New Roman" w:hAnsi="Times New Roman" w:cs="Times New Roman"/>
          <w:noProof/>
          <w:sz w:val="24"/>
          <w:szCs w:val="24"/>
        </w:rPr>
        <w:t>phase ou</w:t>
      </w:r>
      <w:r w:rsidRPr="3500EA00">
        <w:rPr>
          <w:rFonts w:ascii="Times New Roman" w:eastAsia="Times New Roman" w:hAnsi="Times New Roman" w:cs="Times New Roman"/>
          <w:noProof/>
          <w:sz w:val="24"/>
          <w:szCs w:val="24"/>
        </w:rPr>
        <w:t>t</w:t>
      </w:r>
      <w:r w:rsidR="189893D5" w:rsidRPr="3500EA00">
        <w:rPr>
          <w:rFonts w:ascii="Times New Roman" w:eastAsia="Times New Roman" w:hAnsi="Times New Roman" w:cs="Times New Roman"/>
          <w:noProof/>
          <w:sz w:val="24"/>
          <w:szCs w:val="24"/>
        </w:rPr>
        <w:t>.</w:t>
      </w:r>
      <w:r w:rsidR="0049442D" w:rsidRPr="677D5CEF">
        <w:rPr>
          <w:rFonts w:ascii="Times New Roman" w:eastAsia="Times New Roman" w:hAnsi="Times New Roman" w:cs="Times New Roman"/>
          <w:noProof/>
          <w:sz w:val="24"/>
          <w:szCs w:val="24"/>
        </w:rPr>
        <w:t xml:space="preserve"> </w:t>
      </w:r>
      <w:r w:rsidR="002E165B">
        <w:rPr>
          <w:rFonts w:ascii="Times New Roman" w:eastAsia="Times New Roman" w:hAnsi="Times New Roman" w:cs="Times New Roman"/>
          <w:noProof/>
          <w:sz w:val="24"/>
          <w:szCs w:val="24"/>
        </w:rPr>
        <w:t xml:space="preserve">The </w:t>
      </w:r>
      <w:r w:rsidR="004A70D0">
        <w:rPr>
          <w:rFonts w:ascii="Times New Roman" w:eastAsia="Times New Roman" w:hAnsi="Times New Roman" w:cs="Times New Roman"/>
          <w:noProof/>
          <w:sz w:val="24"/>
          <w:szCs w:val="24"/>
        </w:rPr>
        <w:t xml:space="preserve">planned upgrade of the Single Information Points aims to facilitate the services to the </w:t>
      </w:r>
      <w:r w:rsidR="004A70D0" w:rsidRPr="004A70D0">
        <w:rPr>
          <w:rFonts w:ascii="Times New Roman" w:eastAsia="Times New Roman" w:hAnsi="Times New Roman" w:cs="Times New Roman"/>
          <w:noProof/>
          <w:sz w:val="24"/>
          <w:szCs w:val="24"/>
        </w:rPr>
        <w:t>operators of electronic communications networks</w:t>
      </w:r>
      <w:r w:rsidR="00B1289F">
        <w:rPr>
          <w:rFonts w:ascii="Times New Roman" w:eastAsia="Times New Roman" w:hAnsi="Times New Roman" w:cs="Times New Roman"/>
          <w:noProof/>
          <w:sz w:val="24"/>
          <w:szCs w:val="24"/>
        </w:rPr>
        <w:t xml:space="preserve">. </w:t>
      </w:r>
    </w:p>
    <w:p w14:paraId="301B9390" w14:textId="77777777" w:rsidR="00A02421" w:rsidRPr="00E76013" w:rsidRDefault="00A02421" w:rsidP="008963AA">
      <w:pPr>
        <w:pStyle w:val="Default"/>
        <w:spacing w:after="160" w:line="276" w:lineRule="auto"/>
        <w:rPr>
          <w:noProof/>
          <w:color w:val="auto"/>
          <w:sz w:val="23"/>
          <w:szCs w:val="23"/>
        </w:rPr>
      </w:pPr>
      <w:r w:rsidRPr="00E76013">
        <w:rPr>
          <w:i/>
          <w:iCs/>
          <w:noProof/>
          <w:color w:val="auto"/>
          <w:sz w:val="23"/>
          <w:szCs w:val="23"/>
        </w:rPr>
        <w:t xml:space="preserve">Structural change in policies </w:t>
      </w:r>
    </w:p>
    <w:p w14:paraId="2266D40B" w14:textId="37BD9AB0" w:rsidR="0049442D" w:rsidRPr="00DA1399" w:rsidRDefault="0049442D" w:rsidP="0049442D">
      <w:pPr>
        <w:spacing w:line="276" w:lineRule="auto"/>
        <w:jc w:val="both"/>
        <w:rPr>
          <w:rFonts w:ascii="Times New Roman" w:eastAsia="Times New Roman" w:hAnsi="Times New Roman" w:cs="Times New Roman"/>
          <w:noProof/>
          <w:sz w:val="24"/>
          <w:szCs w:val="24"/>
        </w:rPr>
      </w:pPr>
      <w:r w:rsidRPr="677D5CEF">
        <w:rPr>
          <w:rFonts w:ascii="Times New Roman" w:eastAsia="Times New Roman" w:hAnsi="Times New Roman" w:cs="Times New Roman"/>
          <w:b/>
          <w:bCs/>
          <w:noProof/>
          <w:sz w:val="24"/>
          <w:szCs w:val="24"/>
        </w:rPr>
        <w:t xml:space="preserve">The policy changes in the </w:t>
      </w:r>
      <w:r w:rsidR="00CE6827">
        <w:rPr>
          <w:rFonts w:ascii="Times New Roman" w:eastAsia="Times New Roman" w:hAnsi="Times New Roman" w:cs="Times New Roman"/>
          <w:b/>
          <w:bCs/>
          <w:noProof/>
          <w:sz w:val="24"/>
          <w:szCs w:val="24"/>
        </w:rPr>
        <w:t>b</w:t>
      </w:r>
      <w:r w:rsidR="00CE6827" w:rsidRPr="677D5CEF">
        <w:rPr>
          <w:rFonts w:ascii="Times New Roman" w:eastAsia="Times New Roman" w:hAnsi="Times New Roman" w:cs="Times New Roman"/>
          <w:b/>
          <w:bCs/>
          <w:noProof/>
          <w:sz w:val="24"/>
          <w:szCs w:val="24"/>
        </w:rPr>
        <w:t xml:space="preserve">usiness </w:t>
      </w:r>
      <w:r w:rsidRPr="677D5CEF">
        <w:rPr>
          <w:rFonts w:ascii="Times New Roman" w:eastAsia="Times New Roman" w:hAnsi="Times New Roman" w:cs="Times New Roman"/>
          <w:b/>
          <w:bCs/>
          <w:noProof/>
          <w:sz w:val="24"/>
          <w:szCs w:val="24"/>
        </w:rPr>
        <w:t>environment component are aimed at strengthening the growth potential and the resilience of the Bulgarian economy by addressing the existing barriers and inefficiencies.</w:t>
      </w:r>
      <w:r w:rsidRPr="677D5CEF">
        <w:rPr>
          <w:rFonts w:ascii="Times New Roman" w:eastAsia="Times New Roman" w:hAnsi="Times New Roman" w:cs="Times New Roman"/>
          <w:noProof/>
          <w:sz w:val="24"/>
          <w:szCs w:val="24"/>
        </w:rPr>
        <w:t xml:space="preserve"> The ambitious reforms and investments in public procurement, whistle-blower protection, regulation of lobbying, e-government, digitalisation of </w:t>
      </w:r>
      <w:r w:rsidR="00CE6827">
        <w:rPr>
          <w:rFonts w:ascii="Times New Roman" w:eastAsia="Times New Roman" w:hAnsi="Times New Roman" w:cs="Times New Roman"/>
          <w:noProof/>
          <w:sz w:val="24"/>
          <w:szCs w:val="24"/>
        </w:rPr>
        <w:t>the construction sector</w:t>
      </w:r>
      <w:r w:rsidR="008F14E4">
        <w:rPr>
          <w:rFonts w:ascii="Times New Roman" w:eastAsia="Times New Roman" w:hAnsi="Times New Roman" w:cs="Times New Roman"/>
          <w:noProof/>
          <w:sz w:val="24"/>
          <w:szCs w:val="24"/>
        </w:rPr>
        <w:t>,</w:t>
      </w:r>
      <w:r w:rsidRPr="677D5CEF">
        <w:rPr>
          <w:rFonts w:ascii="Times New Roman" w:eastAsia="Times New Roman" w:hAnsi="Times New Roman" w:cs="Times New Roman"/>
          <w:noProof/>
          <w:sz w:val="24"/>
          <w:szCs w:val="24"/>
        </w:rPr>
        <w:t xml:space="preserve"> and governance of state-owned enterprises would improve transparency and level</w:t>
      </w:r>
      <w:r w:rsidR="008F14E4">
        <w:rPr>
          <w:rFonts w:ascii="Times New Roman" w:eastAsia="Times New Roman" w:hAnsi="Times New Roman" w:cs="Times New Roman"/>
          <w:noProof/>
          <w:sz w:val="24"/>
          <w:szCs w:val="24"/>
        </w:rPr>
        <w:t xml:space="preserve"> the</w:t>
      </w:r>
      <w:r w:rsidR="00B14D62">
        <w:rPr>
          <w:rFonts w:ascii="Times New Roman" w:eastAsia="Times New Roman" w:hAnsi="Times New Roman" w:cs="Times New Roman"/>
          <w:noProof/>
          <w:sz w:val="24"/>
          <w:szCs w:val="24"/>
        </w:rPr>
        <w:t xml:space="preserve"> </w:t>
      </w:r>
      <w:r w:rsidRPr="677D5CEF">
        <w:rPr>
          <w:rFonts w:ascii="Times New Roman" w:eastAsia="Times New Roman" w:hAnsi="Times New Roman" w:cs="Times New Roman"/>
          <w:noProof/>
          <w:sz w:val="24"/>
          <w:szCs w:val="24"/>
        </w:rPr>
        <w:t>playing field for business</w:t>
      </w:r>
      <w:r w:rsidR="008F14E4">
        <w:rPr>
          <w:rFonts w:ascii="Times New Roman" w:eastAsia="Times New Roman" w:hAnsi="Times New Roman" w:cs="Times New Roman"/>
          <w:noProof/>
          <w:sz w:val="24"/>
          <w:szCs w:val="24"/>
        </w:rPr>
        <w:t>es</w:t>
      </w:r>
      <w:r w:rsidRPr="677D5CEF">
        <w:rPr>
          <w:rFonts w:ascii="Times New Roman" w:eastAsia="Times New Roman" w:hAnsi="Times New Roman" w:cs="Times New Roman"/>
          <w:noProof/>
          <w:sz w:val="24"/>
          <w:szCs w:val="24"/>
        </w:rPr>
        <w:t xml:space="preserve">. </w:t>
      </w:r>
    </w:p>
    <w:p w14:paraId="5DC3311E" w14:textId="4E917B6A" w:rsidR="00A02421" w:rsidRPr="00E76013" w:rsidRDefault="00A02421"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 xml:space="preserve">The investments in </w:t>
      </w:r>
      <w:r w:rsidR="007D5252">
        <w:rPr>
          <w:rFonts w:ascii="Times New Roman" w:eastAsia="Times New Roman" w:hAnsi="Times New Roman" w:cs="Times New Roman"/>
          <w:b/>
          <w:bCs/>
          <w:noProof/>
          <w:sz w:val="24"/>
          <w:szCs w:val="24"/>
        </w:rPr>
        <w:t>smart industry,</w:t>
      </w:r>
      <w:r w:rsidRPr="00E76013">
        <w:rPr>
          <w:rFonts w:ascii="Times New Roman" w:eastAsia="Times New Roman" w:hAnsi="Times New Roman" w:cs="Times New Roman"/>
          <w:b/>
          <w:bCs/>
          <w:noProof/>
          <w:sz w:val="24"/>
          <w:szCs w:val="24"/>
        </w:rPr>
        <w:t xml:space="preserve"> industrial parks, green and digital transition, sustainable agriculture</w:t>
      </w:r>
      <w:r w:rsidR="0052617D">
        <w:rPr>
          <w:rFonts w:ascii="Times New Roman" w:eastAsia="Times New Roman" w:hAnsi="Times New Roman" w:cs="Times New Roman"/>
          <w:b/>
          <w:bCs/>
          <w:noProof/>
          <w:sz w:val="24"/>
          <w:szCs w:val="24"/>
        </w:rPr>
        <w:t>,</w:t>
      </w:r>
      <w:r w:rsidRPr="00E76013">
        <w:rPr>
          <w:rFonts w:ascii="Times New Roman" w:eastAsia="Times New Roman" w:hAnsi="Times New Roman" w:cs="Times New Roman"/>
          <w:b/>
          <w:bCs/>
          <w:noProof/>
          <w:sz w:val="24"/>
          <w:szCs w:val="24"/>
        </w:rPr>
        <w:t xml:space="preserve"> transport, </w:t>
      </w:r>
      <w:r w:rsidR="0052617D">
        <w:rPr>
          <w:rFonts w:ascii="Times New Roman" w:eastAsia="Times New Roman" w:hAnsi="Times New Roman" w:cs="Times New Roman"/>
          <w:b/>
          <w:bCs/>
          <w:noProof/>
          <w:sz w:val="24"/>
          <w:szCs w:val="24"/>
        </w:rPr>
        <w:t xml:space="preserve">and </w:t>
      </w:r>
      <w:r w:rsidRPr="00E76013">
        <w:rPr>
          <w:rFonts w:ascii="Times New Roman" w:eastAsia="Times New Roman" w:hAnsi="Times New Roman" w:cs="Times New Roman"/>
          <w:b/>
          <w:bCs/>
          <w:noProof/>
          <w:sz w:val="24"/>
          <w:szCs w:val="24"/>
        </w:rPr>
        <w:t>water infrastructure are supported by policies to stimulate business activity and investment.</w:t>
      </w:r>
      <w:r w:rsidRPr="00E76013">
        <w:rPr>
          <w:rFonts w:ascii="Times New Roman" w:eastAsia="Times New Roman" w:hAnsi="Times New Roman" w:cs="Times New Roman"/>
          <w:bCs/>
          <w:noProof/>
          <w:sz w:val="24"/>
          <w:szCs w:val="24"/>
        </w:rPr>
        <w:t xml:space="preserve"> The reforms include more favourable conditions for the development of industrial ecosystems, energy market </w:t>
      </w:r>
      <w:r w:rsidRPr="00E76013">
        <w:rPr>
          <w:rFonts w:ascii="Times New Roman" w:eastAsia="Times New Roman" w:hAnsi="Times New Roman" w:cs="Times New Roman"/>
          <w:noProof/>
          <w:sz w:val="24"/>
          <w:szCs w:val="24"/>
        </w:rPr>
        <w:t>liberalisation</w:t>
      </w:r>
      <w:r w:rsidRPr="00E76013">
        <w:rPr>
          <w:rFonts w:ascii="Times New Roman" w:eastAsia="Times New Roman" w:hAnsi="Times New Roman" w:cs="Times New Roman"/>
          <w:bCs/>
          <w:noProof/>
          <w:sz w:val="24"/>
          <w:szCs w:val="24"/>
        </w:rPr>
        <w:t>, lower barriers for network operators, better regulation of public transport services, improved territorial planning, enhanced road safety management, promotion of electro mobility and strengthened regulatory framework in the water supply and sewerage service.</w:t>
      </w:r>
    </w:p>
    <w:p w14:paraId="244043DC" w14:textId="06387EE6" w:rsidR="00A02421" w:rsidRDefault="00A02421"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The reforms and investment in education, healthcare and social protection are addressing long-standing problems in these systems</w:t>
      </w:r>
      <w:r w:rsidR="0066466D">
        <w:rPr>
          <w:rFonts w:ascii="Times New Roman" w:eastAsia="Times New Roman" w:hAnsi="Times New Roman" w:cs="Times New Roman"/>
          <w:b/>
          <w:bCs/>
          <w:noProof/>
          <w:sz w:val="24"/>
          <w:szCs w:val="24"/>
        </w:rPr>
        <w:t>.</w:t>
      </w:r>
      <w:r w:rsidRPr="00E76013">
        <w:rPr>
          <w:rFonts w:ascii="Times New Roman" w:eastAsia="Times New Roman" w:hAnsi="Times New Roman" w:cs="Times New Roman"/>
          <w:b/>
          <w:bCs/>
          <w:noProof/>
          <w:sz w:val="24"/>
          <w:szCs w:val="24"/>
        </w:rPr>
        <w:t xml:space="preserve"> </w:t>
      </w:r>
      <w:r w:rsidR="0066466D" w:rsidRPr="004F2DAB">
        <w:rPr>
          <w:rFonts w:ascii="Times New Roman" w:eastAsia="Times New Roman" w:hAnsi="Times New Roman" w:cs="Times New Roman"/>
          <w:bCs/>
          <w:noProof/>
          <w:sz w:val="24"/>
          <w:szCs w:val="24"/>
        </w:rPr>
        <w:t>This includes</w:t>
      </w:r>
      <w:r w:rsidRPr="004F2DAB">
        <w:rPr>
          <w:rFonts w:ascii="Times New Roman" w:eastAsia="Times New Roman" w:hAnsi="Times New Roman" w:cs="Times New Roman"/>
          <w:noProof/>
          <w:sz w:val="24"/>
          <w:szCs w:val="24"/>
        </w:rPr>
        <w:t xml:space="preserve"> underfunding, </w:t>
      </w:r>
      <w:r w:rsidR="0066466D" w:rsidRPr="004F2DAB">
        <w:rPr>
          <w:rFonts w:ascii="Times New Roman" w:eastAsia="Times New Roman" w:hAnsi="Times New Roman" w:cs="Times New Roman"/>
          <w:bCs/>
          <w:noProof/>
          <w:sz w:val="24"/>
          <w:szCs w:val="24"/>
        </w:rPr>
        <w:t xml:space="preserve">an </w:t>
      </w:r>
      <w:r w:rsidRPr="004F2DAB">
        <w:rPr>
          <w:rFonts w:ascii="Times New Roman" w:eastAsia="Times New Roman" w:hAnsi="Times New Roman" w:cs="Times New Roman"/>
          <w:noProof/>
          <w:sz w:val="24"/>
          <w:szCs w:val="24"/>
        </w:rPr>
        <w:t>outdated material base and inefficiencies that have led to inadequate quality of the provided services.</w:t>
      </w:r>
      <w:r w:rsidRPr="00E76013">
        <w:rPr>
          <w:rFonts w:ascii="Times New Roman" w:eastAsia="Times New Roman" w:hAnsi="Times New Roman" w:cs="Times New Roman"/>
          <w:bCs/>
          <w:noProof/>
          <w:sz w:val="24"/>
          <w:szCs w:val="24"/>
        </w:rPr>
        <w:t xml:space="preserve"> Apart from the investments in </w:t>
      </w:r>
      <w:r w:rsidR="0066466D">
        <w:rPr>
          <w:rFonts w:ascii="Times New Roman" w:eastAsia="Times New Roman" w:hAnsi="Times New Roman" w:cs="Times New Roman"/>
          <w:bCs/>
          <w:noProof/>
          <w:sz w:val="24"/>
          <w:szCs w:val="24"/>
        </w:rPr>
        <w:t xml:space="preserve">the </w:t>
      </w:r>
      <w:r w:rsidRPr="00E76013">
        <w:rPr>
          <w:rFonts w:ascii="Times New Roman" w:eastAsia="Times New Roman" w:hAnsi="Times New Roman" w:cs="Times New Roman"/>
          <w:noProof/>
          <w:sz w:val="24"/>
          <w:szCs w:val="24"/>
        </w:rPr>
        <w:t>modernisation</w:t>
      </w:r>
      <w:r w:rsidRPr="00E76013">
        <w:rPr>
          <w:rFonts w:ascii="Times New Roman" w:eastAsia="Times New Roman" w:hAnsi="Times New Roman" w:cs="Times New Roman"/>
          <w:bCs/>
          <w:noProof/>
          <w:sz w:val="24"/>
          <w:szCs w:val="24"/>
        </w:rPr>
        <w:t xml:space="preserve"> of buildings and equipment </w:t>
      </w:r>
      <w:r w:rsidR="00BB7EEA">
        <w:rPr>
          <w:rFonts w:ascii="Times New Roman" w:eastAsia="Times New Roman" w:hAnsi="Times New Roman" w:cs="Times New Roman"/>
          <w:bCs/>
          <w:noProof/>
          <w:sz w:val="24"/>
          <w:szCs w:val="24"/>
        </w:rPr>
        <w:t>and</w:t>
      </w:r>
      <w:r w:rsidRPr="00E76013">
        <w:rPr>
          <w:rFonts w:ascii="Times New Roman" w:eastAsia="Times New Roman" w:hAnsi="Times New Roman" w:cs="Times New Roman"/>
          <w:bCs/>
          <w:noProof/>
          <w:sz w:val="24"/>
          <w:szCs w:val="24"/>
        </w:rPr>
        <w:t xml:space="preserve"> </w:t>
      </w:r>
      <w:r w:rsidR="00A60CAD">
        <w:rPr>
          <w:rFonts w:ascii="Times New Roman" w:eastAsia="Times New Roman" w:hAnsi="Times New Roman" w:cs="Times New Roman"/>
          <w:bCs/>
          <w:noProof/>
          <w:sz w:val="24"/>
          <w:szCs w:val="24"/>
        </w:rPr>
        <w:t xml:space="preserve">in the </w:t>
      </w:r>
      <w:r w:rsidR="0049442D" w:rsidRPr="677D5CEF">
        <w:rPr>
          <w:rFonts w:ascii="Times New Roman" w:eastAsia="Times New Roman" w:hAnsi="Times New Roman" w:cs="Times New Roman"/>
          <w:noProof/>
          <w:sz w:val="24"/>
          <w:szCs w:val="24"/>
        </w:rPr>
        <w:t xml:space="preserve">digitalisation of </w:t>
      </w:r>
      <w:r w:rsidR="00BB7EEA">
        <w:rPr>
          <w:rFonts w:ascii="Times New Roman" w:eastAsia="Times New Roman" w:hAnsi="Times New Roman" w:cs="Times New Roman"/>
          <w:noProof/>
          <w:sz w:val="24"/>
          <w:szCs w:val="24"/>
        </w:rPr>
        <w:t xml:space="preserve">public and private </w:t>
      </w:r>
      <w:r w:rsidR="00036260">
        <w:rPr>
          <w:rFonts w:ascii="Times New Roman" w:eastAsia="Times New Roman" w:hAnsi="Times New Roman" w:cs="Times New Roman"/>
          <w:noProof/>
          <w:sz w:val="24"/>
          <w:szCs w:val="24"/>
        </w:rPr>
        <w:t>entities</w:t>
      </w:r>
      <w:r w:rsidR="0049442D" w:rsidRPr="677D5CEF">
        <w:rPr>
          <w:rFonts w:ascii="Times New Roman" w:eastAsia="Times New Roman" w:hAnsi="Times New Roman" w:cs="Times New Roman"/>
          <w:noProof/>
          <w:sz w:val="24"/>
          <w:szCs w:val="24"/>
        </w:rPr>
        <w:t>,</w:t>
      </w:r>
      <w:r w:rsidRPr="00E76013">
        <w:rPr>
          <w:rFonts w:ascii="Times New Roman" w:eastAsia="Times New Roman" w:hAnsi="Times New Roman" w:cs="Times New Roman"/>
          <w:bCs/>
          <w:noProof/>
          <w:sz w:val="24"/>
          <w:szCs w:val="24"/>
        </w:rPr>
        <w:t xml:space="preserve"> the Bulgarian </w:t>
      </w:r>
      <w:r w:rsidR="00632184" w:rsidRPr="00E76013">
        <w:rPr>
          <w:rFonts w:ascii="Times New Roman" w:eastAsia="Times New Roman" w:hAnsi="Times New Roman" w:cs="Times New Roman"/>
          <w:bCs/>
          <w:noProof/>
          <w:sz w:val="24"/>
          <w:szCs w:val="24"/>
        </w:rPr>
        <w:t>Plan</w:t>
      </w:r>
      <w:r w:rsidRPr="00E76013">
        <w:rPr>
          <w:rFonts w:ascii="Times New Roman" w:eastAsia="Times New Roman" w:hAnsi="Times New Roman" w:cs="Times New Roman"/>
          <w:bCs/>
          <w:noProof/>
          <w:sz w:val="24"/>
          <w:szCs w:val="24"/>
        </w:rPr>
        <w:t xml:space="preserve"> envisages ambitious reforms. In education, the </w:t>
      </w:r>
      <w:r w:rsidRPr="00E76013">
        <w:rPr>
          <w:rFonts w:ascii="Times New Roman" w:eastAsia="Times New Roman" w:hAnsi="Times New Roman" w:cs="Times New Roman"/>
          <w:noProof/>
          <w:sz w:val="24"/>
          <w:szCs w:val="24"/>
        </w:rPr>
        <w:t>reforms in the Plan aim</w:t>
      </w:r>
      <w:r w:rsidRPr="00E76013">
        <w:rPr>
          <w:rFonts w:ascii="Times New Roman" w:eastAsia="Times New Roman" w:hAnsi="Times New Roman" w:cs="Times New Roman"/>
          <w:bCs/>
          <w:noProof/>
          <w:sz w:val="24"/>
          <w:szCs w:val="24"/>
        </w:rPr>
        <w:t xml:space="preserve"> to </w:t>
      </w:r>
      <w:r w:rsidRPr="00E76013">
        <w:rPr>
          <w:rFonts w:ascii="Times New Roman" w:eastAsia="Times New Roman" w:hAnsi="Times New Roman" w:cs="Times New Roman"/>
          <w:noProof/>
          <w:sz w:val="24"/>
          <w:szCs w:val="24"/>
        </w:rPr>
        <w:t>foster the</w:t>
      </w:r>
      <w:r w:rsidRPr="00E76013">
        <w:rPr>
          <w:rFonts w:ascii="Times New Roman" w:eastAsia="Times New Roman" w:hAnsi="Times New Roman" w:cs="Times New Roman"/>
          <w:bCs/>
          <w:noProof/>
          <w:sz w:val="24"/>
          <w:szCs w:val="24"/>
        </w:rPr>
        <w:t xml:space="preserve"> acquisition of necessary skills</w:t>
      </w:r>
      <w:r w:rsidR="00C0477C" w:rsidRPr="00E76013">
        <w:rPr>
          <w:rFonts w:ascii="Times New Roman" w:eastAsia="Times New Roman" w:hAnsi="Times New Roman" w:cs="Times New Roman"/>
          <w:bCs/>
          <w:noProof/>
          <w:sz w:val="24"/>
          <w:szCs w:val="24"/>
        </w:rPr>
        <w:t xml:space="preserve"> by updating the curricula, prioritizing STEM profiles in admission plans and fostering stakeholders’ involvement;</w:t>
      </w:r>
      <w:r w:rsidRPr="00E76013">
        <w:rPr>
          <w:rFonts w:ascii="Times New Roman" w:eastAsia="Times New Roman" w:hAnsi="Times New Roman" w:cs="Times New Roman"/>
          <w:bCs/>
          <w:noProof/>
          <w:sz w:val="24"/>
          <w:szCs w:val="24"/>
        </w:rPr>
        <w:t xml:space="preserve"> </w:t>
      </w:r>
      <w:r w:rsidR="00A60CAD">
        <w:rPr>
          <w:rFonts w:ascii="Times New Roman" w:eastAsia="Times New Roman" w:hAnsi="Times New Roman" w:cs="Times New Roman"/>
          <w:bCs/>
          <w:noProof/>
          <w:sz w:val="24"/>
          <w:szCs w:val="24"/>
        </w:rPr>
        <w:t xml:space="preserve">to </w:t>
      </w:r>
      <w:r w:rsidRPr="00E76013">
        <w:rPr>
          <w:rFonts w:ascii="Times New Roman" w:eastAsia="Times New Roman" w:hAnsi="Times New Roman" w:cs="Times New Roman"/>
          <w:bCs/>
          <w:noProof/>
          <w:sz w:val="24"/>
          <w:szCs w:val="24"/>
        </w:rPr>
        <w:t>achieve more flexibility</w:t>
      </w:r>
      <w:r w:rsidR="00C0477C" w:rsidRPr="00E76013">
        <w:rPr>
          <w:rFonts w:ascii="Times New Roman" w:eastAsia="Times New Roman" w:hAnsi="Times New Roman" w:cs="Times New Roman"/>
          <w:bCs/>
          <w:noProof/>
          <w:sz w:val="24"/>
          <w:szCs w:val="24"/>
        </w:rPr>
        <w:t xml:space="preserve">, </w:t>
      </w:r>
      <w:r w:rsidR="00C0477C" w:rsidRPr="00E76013">
        <w:rPr>
          <w:rFonts w:ascii="Times New Roman" w:eastAsia="Times New Roman" w:hAnsi="Times New Roman" w:cs="Times New Roman"/>
          <w:noProof/>
          <w:sz w:val="24"/>
          <w:szCs w:val="24"/>
        </w:rPr>
        <w:t>digitalisation</w:t>
      </w:r>
      <w:r w:rsidRPr="00E76013">
        <w:rPr>
          <w:rFonts w:ascii="Times New Roman" w:eastAsia="Times New Roman" w:hAnsi="Times New Roman" w:cs="Times New Roman"/>
          <w:bCs/>
          <w:noProof/>
          <w:sz w:val="24"/>
          <w:szCs w:val="24"/>
        </w:rPr>
        <w:t xml:space="preserve"> and inclusiveness in the educational process</w:t>
      </w:r>
      <w:r w:rsidR="00C0477C" w:rsidRPr="00E76013">
        <w:rPr>
          <w:rFonts w:ascii="Times New Roman" w:eastAsia="Times New Roman" w:hAnsi="Times New Roman" w:cs="Times New Roman"/>
          <w:bCs/>
          <w:noProof/>
          <w:sz w:val="24"/>
          <w:szCs w:val="24"/>
        </w:rPr>
        <w:t xml:space="preserve"> by enabling distance and hybrid learning, </w:t>
      </w:r>
      <w:r w:rsidR="00A60CAD">
        <w:rPr>
          <w:rFonts w:ascii="Times New Roman" w:eastAsia="Times New Roman" w:hAnsi="Times New Roman" w:cs="Times New Roman"/>
          <w:bCs/>
          <w:noProof/>
          <w:sz w:val="24"/>
          <w:szCs w:val="24"/>
        </w:rPr>
        <w:t xml:space="preserve">the </w:t>
      </w:r>
      <w:r w:rsidR="00C0477C" w:rsidRPr="00E76013">
        <w:rPr>
          <w:rFonts w:ascii="Times New Roman" w:eastAsia="Times New Roman" w:hAnsi="Times New Roman" w:cs="Times New Roman"/>
          <w:bCs/>
          <w:noProof/>
          <w:sz w:val="24"/>
          <w:szCs w:val="24"/>
        </w:rPr>
        <w:t xml:space="preserve">inclusion of </w:t>
      </w:r>
      <w:r w:rsidR="0066466D">
        <w:rPr>
          <w:rFonts w:ascii="Times New Roman" w:eastAsia="Times New Roman" w:hAnsi="Times New Roman" w:cs="Times New Roman"/>
          <w:bCs/>
          <w:noProof/>
          <w:sz w:val="24"/>
          <w:szCs w:val="24"/>
        </w:rPr>
        <w:t xml:space="preserve">four </w:t>
      </w:r>
      <w:r w:rsidR="00C0477C" w:rsidRPr="00E76013">
        <w:rPr>
          <w:rFonts w:ascii="Times New Roman" w:eastAsia="Times New Roman" w:hAnsi="Times New Roman" w:cs="Times New Roman"/>
          <w:bCs/>
          <w:noProof/>
          <w:sz w:val="24"/>
          <w:szCs w:val="24"/>
        </w:rPr>
        <w:t>year-old children in preschool education and opening and adapting vocational training for school dropouts;</w:t>
      </w:r>
      <w:r w:rsidRPr="00E76013">
        <w:rPr>
          <w:rFonts w:ascii="Times New Roman" w:eastAsia="Times New Roman" w:hAnsi="Times New Roman" w:cs="Times New Roman"/>
          <w:bCs/>
          <w:noProof/>
          <w:sz w:val="24"/>
          <w:szCs w:val="24"/>
        </w:rPr>
        <w:t xml:space="preserve"> </w:t>
      </w:r>
      <w:r w:rsidR="00C0477C" w:rsidRPr="00E76013">
        <w:rPr>
          <w:rFonts w:ascii="Times New Roman" w:eastAsia="Times New Roman" w:hAnsi="Times New Roman" w:cs="Times New Roman"/>
          <w:bCs/>
          <w:noProof/>
          <w:sz w:val="24"/>
          <w:szCs w:val="24"/>
        </w:rPr>
        <w:t xml:space="preserve">and </w:t>
      </w:r>
      <w:r w:rsidR="00A60CAD">
        <w:rPr>
          <w:rFonts w:ascii="Times New Roman" w:eastAsia="Times New Roman" w:hAnsi="Times New Roman" w:cs="Times New Roman"/>
          <w:bCs/>
          <w:noProof/>
          <w:sz w:val="24"/>
          <w:szCs w:val="24"/>
        </w:rPr>
        <w:t xml:space="preserve">to </w:t>
      </w:r>
      <w:r w:rsidR="00C0477C" w:rsidRPr="00E76013">
        <w:rPr>
          <w:rFonts w:ascii="Times New Roman" w:eastAsia="Times New Roman" w:hAnsi="Times New Roman" w:cs="Times New Roman"/>
          <w:bCs/>
          <w:noProof/>
          <w:sz w:val="24"/>
          <w:szCs w:val="24"/>
        </w:rPr>
        <w:t>create</w:t>
      </w:r>
      <w:r w:rsidRPr="00E76013">
        <w:rPr>
          <w:rFonts w:ascii="Times New Roman" w:eastAsia="Times New Roman" w:hAnsi="Times New Roman" w:cs="Times New Roman"/>
          <w:bCs/>
          <w:noProof/>
          <w:sz w:val="24"/>
          <w:szCs w:val="24"/>
        </w:rPr>
        <w:t xml:space="preserve"> proper incentives </w:t>
      </w:r>
      <w:r w:rsidR="008A4EC9" w:rsidRPr="008A4EC9">
        <w:rPr>
          <w:rFonts w:ascii="Times New Roman" w:eastAsia="Times New Roman" w:hAnsi="Times New Roman" w:cs="Times New Roman"/>
          <w:bCs/>
          <w:noProof/>
          <w:sz w:val="24"/>
          <w:szCs w:val="24"/>
        </w:rPr>
        <w:t>and and standardisation in higher education via introducing</w:t>
      </w:r>
      <w:r w:rsidR="008A4EC9">
        <w:rPr>
          <w:rFonts w:ascii="Times New Roman" w:eastAsia="Times New Roman" w:hAnsi="Times New Roman" w:cs="Times New Roman"/>
          <w:bCs/>
          <w:noProof/>
          <w:sz w:val="24"/>
          <w:szCs w:val="24"/>
        </w:rPr>
        <w:t xml:space="preserve"> a</w:t>
      </w:r>
      <w:r w:rsidR="008A4EC9" w:rsidRPr="008A4EC9">
        <w:rPr>
          <w:rFonts w:ascii="Times New Roman" w:eastAsia="Times New Roman" w:hAnsi="Times New Roman" w:cs="Times New Roman"/>
          <w:bCs/>
          <w:noProof/>
          <w:sz w:val="24"/>
          <w:szCs w:val="24"/>
        </w:rPr>
        <w:t xml:space="preserve"> financial model </w:t>
      </w:r>
      <w:r w:rsidR="008A4EC9">
        <w:rPr>
          <w:rFonts w:ascii="Times New Roman" w:eastAsia="Times New Roman" w:hAnsi="Times New Roman" w:cs="Times New Roman"/>
          <w:bCs/>
          <w:noProof/>
          <w:sz w:val="24"/>
          <w:szCs w:val="24"/>
        </w:rPr>
        <w:t>that rewards</w:t>
      </w:r>
      <w:r w:rsidR="008A4EC9" w:rsidRPr="008A4EC9">
        <w:rPr>
          <w:rFonts w:ascii="Times New Roman" w:eastAsia="Times New Roman" w:hAnsi="Times New Roman" w:cs="Times New Roman"/>
          <w:bCs/>
          <w:noProof/>
          <w:sz w:val="24"/>
          <w:szCs w:val="24"/>
        </w:rPr>
        <w:t xml:space="preserve"> quality of education and research and to strengthen prevention of plagiarism.</w:t>
      </w:r>
      <w:r w:rsidRPr="00E76013">
        <w:rPr>
          <w:rFonts w:ascii="Times New Roman" w:eastAsia="Times New Roman" w:hAnsi="Times New Roman" w:cs="Times New Roman"/>
          <w:bCs/>
          <w:noProof/>
          <w:sz w:val="24"/>
          <w:szCs w:val="24"/>
        </w:rPr>
        <w:t xml:space="preserve"> In healthcare, the policy is oriented towards improving the territorial balance of healthcare services, addressing the specific challenges in the different parts of the country, tackling setbacks in prevention and treatment of socially significant diseases, </w:t>
      </w:r>
      <w:r w:rsidR="004D7514">
        <w:rPr>
          <w:rFonts w:ascii="Times New Roman" w:eastAsia="Times New Roman" w:hAnsi="Times New Roman" w:cs="Times New Roman"/>
          <w:bCs/>
          <w:noProof/>
          <w:sz w:val="24"/>
          <w:szCs w:val="24"/>
        </w:rPr>
        <w:t xml:space="preserve">and ensuring </w:t>
      </w:r>
      <w:r w:rsidRPr="00E76013">
        <w:rPr>
          <w:rFonts w:ascii="Times New Roman" w:eastAsia="Times New Roman" w:hAnsi="Times New Roman" w:cs="Times New Roman"/>
          <w:bCs/>
          <w:noProof/>
          <w:sz w:val="24"/>
          <w:szCs w:val="24"/>
        </w:rPr>
        <w:t xml:space="preserve">adequate funding and better access to outpatient care and eHealth. In social services, the expansion of </w:t>
      </w:r>
      <w:r w:rsidRPr="00E76013">
        <w:rPr>
          <w:rFonts w:ascii="Times New Roman" w:eastAsia="Times New Roman" w:hAnsi="Times New Roman" w:cs="Times New Roman"/>
          <w:noProof/>
          <w:sz w:val="24"/>
          <w:szCs w:val="24"/>
        </w:rPr>
        <w:t>social support and the</w:t>
      </w:r>
      <w:r w:rsidRPr="00E76013">
        <w:rPr>
          <w:rFonts w:ascii="Times New Roman" w:eastAsia="Times New Roman" w:hAnsi="Times New Roman" w:cs="Times New Roman"/>
          <w:bCs/>
          <w:noProof/>
          <w:sz w:val="24"/>
          <w:szCs w:val="24"/>
        </w:rPr>
        <w:t xml:space="preserve"> increased </w:t>
      </w:r>
      <w:r w:rsidRPr="00E76013">
        <w:rPr>
          <w:rFonts w:ascii="Times New Roman" w:eastAsia="Times New Roman" w:hAnsi="Times New Roman" w:cs="Times New Roman"/>
          <w:noProof/>
          <w:sz w:val="24"/>
          <w:szCs w:val="24"/>
        </w:rPr>
        <w:t xml:space="preserve">coverage and </w:t>
      </w:r>
      <w:r w:rsidRPr="00E76013">
        <w:rPr>
          <w:rFonts w:ascii="Times New Roman" w:eastAsia="Times New Roman" w:hAnsi="Times New Roman" w:cs="Times New Roman"/>
          <w:bCs/>
          <w:noProof/>
          <w:sz w:val="24"/>
          <w:szCs w:val="24"/>
        </w:rPr>
        <w:t xml:space="preserve">adequacy level of minimum income </w:t>
      </w:r>
      <w:r w:rsidRPr="00E76013">
        <w:rPr>
          <w:rFonts w:ascii="Times New Roman" w:eastAsia="Times New Roman" w:hAnsi="Times New Roman" w:cs="Times New Roman"/>
          <w:noProof/>
          <w:sz w:val="24"/>
          <w:szCs w:val="24"/>
        </w:rPr>
        <w:t xml:space="preserve">is expected to </w:t>
      </w:r>
      <w:r w:rsidRPr="00E76013">
        <w:rPr>
          <w:rFonts w:ascii="Times New Roman" w:eastAsia="Times New Roman" w:hAnsi="Times New Roman" w:cs="Times New Roman"/>
          <w:bCs/>
          <w:noProof/>
          <w:sz w:val="24"/>
          <w:szCs w:val="24"/>
        </w:rPr>
        <w:t>strengthen the social safety net, thus bolstering the resilience of the system to adverse developments.</w:t>
      </w:r>
    </w:p>
    <w:p w14:paraId="50782158" w14:textId="4A722810" w:rsidR="00A02421" w:rsidRPr="00E76013" w:rsidRDefault="00A02421" w:rsidP="008963AA">
      <w:pPr>
        <w:pStyle w:val="Default"/>
        <w:spacing w:after="160" w:line="276" w:lineRule="auto"/>
        <w:rPr>
          <w:noProof/>
          <w:color w:val="auto"/>
          <w:sz w:val="23"/>
          <w:szCs w:val="23"/>
        </w:rPr>
      </w:pPr>
      <w:r w:rsidRPr="00E76013">
        <w:rPr>
          <w:i/>
          <w:iCs/>
          <w:noProof/>
          <w:color w:val="auto"/>
          <w:sz w:val="23"/>
          <w:szCs w:val="23"/>
        </w:rPr>
        <w:t xml:space="preserve">Lasting impact </w:t>
      </w:r>
    </w:p>
    <w:p w14:paraId="2BA3FF51" w14:textId="35A4BF28" w:rsidR="00A02421" w:rsidRPr="00E76013" w:rsidRDefault="00DD51BC"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 xml:space="preserve">The measures in Bulgaria’s Plan address the root causes of </w:t>
      </w:r>
      <w:r w:rsidR="00271846">
        <w:rPr>
          <w:rFonts w:ascii="Times New Roman" w:eastAsia="Times New Roman" w:hAnsi="Times New Roman" w:cs="Times New Roman"/>
          <w:b/>
          <w:bCs/>
          <w:noProof/>
          <w:sz w:val="24"/>
          <w:szCs w:val="24"/>
        </w:rPr>
        <w:t>critical</w:t>
      </w:r>
      <w:r w:rsidRPr="00E76013">
        <w:rPr>
          <w:rFonts w:ascii="Times New Roman" w:eastAsia="Times New Roman" w:hAnsi="Times New Roman" w:cs="Times New Roman"/>
          <w:b/>
          <w:bCs/>
          <w:noProof/>
          <w:sz w:val="24"/>
          <w:szCs w:val="24"/>
        </w:rPr>
        <w:t xml:space="preserve"> inefficiencies and bottlenecks. </w:t>
      </w:r>
      <w:r w:rsidR="00FE0082" w:rsidRPr="00E76013">
        <w:rPr>
          <w:rFonts w:ascii="Times New Roman" w:eastAsia="Times New Roman" w:hAnsi="Times New Roman" w:cs="Times New Roman"/>
          <w:bCs/>
          <w:noProof/>
          <w:sz w:val="24"/>
          <w:szCs w:val="24"/>
        </w:rPr>
        <w:t xml:space="preserve">The reform in the judiciary and the anti-corruption bodies is far-reaching and is expected to improve the checks and balances and administrative capacity in these systems. </w:t>
      </w:r>
      <w:r w:rsidR="004D7E14" w:rsidRPr="00E76013">
        <w:rPr>
          <w:rFonts w:ascii="Times New Roman" w:eastAsia="Times New Roman" w:hAnsi="Times New Roman" w:cs="Times New Roman"/>
          <w:bCs/>
          <w:noProof/>
          <w:sz w:val="24"/>
          <w:szCs w:val="24"/>
        </w:rPr>
        <w:t xml:space="preserve">In the climate change area, a law/strategy for coal phase-out is accompanied by </w:t>
      </w:r>
      <w:r w:rsidR="004C1A5E">
        <w:rPr>
          <w:rFonts w:ascii="Times New Roman" w:eastAsia="Times New Roman" w:hAnsi="Times New Roman" w:cs="Times New Roman"/>
          <w:bCs/>
          <w:noProof/>
          <w:sz w:val="24"/>
          <w:szCs w:val="24"/>
        </w:rPr>
        <w:t xml:space="preserve">the </w:t>
      </w:r>
      <w:r w:rsidR="004D7E14" w:rsidRPr="00E76013">
        <w:rPr>
          <w:rFonts w:ascii="Times New Roman" w:eastAsia="Times New Roman" w:hAnsi="Times New Roman" w:cs="Times New Roman"/>
          <w:bCs/>
          <w:noProof/>
          <w:sz w:val="24"/>
          <w:szCs w:val="24"/>
        </w:rPr>
        <w:t xml:space="preserve">fast deployment of RES and </w:t>
      </w:r>
      <w:r w:rsidR="004C1A5E">
        <w:rPr>
          <w:rFonts w:ascii="Times New Roman" w:eastAsia="Times New Roman" w:hAnsi="Times New Roman" w:cs="Times New Roman"/>
          <w:bCs/>
          <w:noProof/>
          <w:sz w:val="24"/>
          <w:szCs w:val="24"/>
        </w:rPr>
        <w:t>the</w:t>
      </w:r>
      <w:r w:rsidR="004D7E14" w:rsidRPr="00E76013">
        <w:rPr>
          <w:rFonts w:ascii="Times New Roman" w:eastAsia="Times New Roman" w:hAnsi="Times New Roman" w:cs="Times New Roman"/>
          <w:bCs/>
          <w:noProof/>
          <w:sz w:val="24"/>
          <w:szCs w:val="24"/>
        </w:rPr>
        <w:t xml:space="preserve"> ambitious plan for energy renovation of buildings, in order to achieve sustainable decarboni</w:t>
      </w:r>
      <w:r w:rsidR="00E06AD7" w:rsidRPr="00E76013">
        <w:rPr>
          <w:rFonts w:ascii="Times New Roman" w:eastAsia="Times New Roman" w:hAnsi="Times New Roman" w:cs="Times New Roman"/>
          <w:bCs/>
          <w:noProof/>
          <w:sz w:val="24"/>
          <w:szCs w:val="24"/>
        </w:rPr>
        <w:t>s</w:t>
      </w:r>
      <w:r w:rsidR="004D7E14" w:rsidRPr="00E76013">
        <w:rPr>
          <w:rFonts w:ascii="Times New Roman" w:eastAsia="Times New Roman" w:hAnsi="Times New Roman" w:cs="Times New Roman"/>
          <w:bCs/>
          <w:noProof/>
          <w:sz w:val="24"/>
          <w:szCs w:val="24"/>
        </w:rPr>
        <w:t xml:space="preserve">ation of the economy. Investments in </w:t>
      </w:r>
      <w:r w:rsidR="004C1A5E">
        <w:rPr>
          <w:rFonts w:ascii="Times New Roman" w:eastAsia="Times New Roman" w:hAnsi="Times New Roman" w:cs="Times New Roman"/>
          <w:bCs/>
          <w:noProof/>
          <w:sz w:val="24"/>
          <w:szCs w:val="24"/>
        </w:rPr>
        <w:t xml:space="preserve">the </w:t>
      </w:r>
      <w:r w:rsidR="004D7E14" w:rsidRPr="00E76013">
        <w:rPr>
          <w:rFonts w:ascii="Times New Roman" w:eastAsia="Times New Roman" w:hAnsi="Times New Roman" w:cs="Times New Roman"/>
          <w:bCs/>
          <w:noProof/>
          <w:sz w:val="24"/>
          <w:szCs w:val="24"/>
        </w:rPr>
        <w:t xml:space="preserve">electric public transport and promotion of </w:t>
      </w:r>
      <w:r w:rsidR="004C1A5E">
        <w:rPr>
          <w:rFonts w:ascii="Times New Roman" w:eastAsia="Times New Roman" w:hAnsi="Times New Roman" w:cs="Times New Roman"/>
          <w:bCs/>
          <w:noProof/>
          <w:sz w:val="24"/>
          <w:szCs w:val="24"/>
        </w:rPr>
        <w:t xml:space="preserve">the </w:t>
      </w:r>
      <w:r w:rsidR="004D7E14" w:rsidRPr="00E76013">
        <w:rPr>
          <w:rFonts w:ascii="Times New Roman" w:eastAsia="Times New Roman" w:hAnsi="Times New Roman" w:cs="Times New Roman"/>
          <w:bCs/>
          <w:noProof/>
          <w:sz w:val="24"/>
          <w:szCs w:val="24"/>
        </w:rPr>
        <w:t xml:space="preserve">electric car mobility </w:t>
      </w:r>
      <w:r w:rsidR="00D8383C" w:rsidRPr="00E76013">
        <w:rPr>
          <w:rFonts w:ascii="Times New Roman" w:eastAsia="Times New Roman" w:hAnsi="Times New Roman" w:cs="Times New Roman"/>
          <w:bCs/>
          <w:noProof/>
          <w:sz w:val="24"/>
          <w:szCs w:val="24"/>
        </w:rPr>
        <w:t xml:space="preserve">contribute to </w:t>
      </w:r>
      <w:r w:rsidR="004C1A5E" w:rsidRPr="00E76013">
        <w:rPr>
          <w:rFonts w:ascii="Times New Roman" w:eastAsia="Times New Roman" w:hAnsi="Times New Roman" w:cs="Times New Roman"/>
          <w:bCs/>
          <w:noProof/>
          <w:sz w:val="24"/>
          <w:szCs w:val="24"/>
        </w:rPr>
        <w:t>decreas</w:t>
      </w:r>
      <w:r w:rsidR="004C1A5E">
        <w:rPr>
          <w:rFonts w:ascii="Times New Roman" w:eastAsia="Times New Roman" w:hAnsi="Times New Roman" w:cs="Times New Roman"/>
          <w:bCs/>
          <w:noProof/>
          <w:sz w:val="24"/>
          <w:szCs w:val="24"/>
        </w:rPr>
        <w:t>ing</w:t>
      </w:r>
      <w:r w:rsidR="004C1A5E" w:rsidRPr="00E76013">
        <w:rPr>
          <w:rFonts w:ascii="Times New Roman" w:eastAsia="Times New Roman" w:hAnsi="Times New Roman" w:cs="Times New Roman"/>
          <w:bCs/>
          <w:noProof/>
          <w:sz w:val="24"/>
          <w:szCs w:val="24"/>
        </w:rPr>
        <w:t xml:space="preserve"> </w:t>
      </w:r>
      <w:r w:rsidR="00D8383C" w:rsidRPr="00E76013">
        <w:rPr>
          <w:rFonts w:ascii="Times New Roman" w:eastAsia="Times New Roman" w:hAnsi="Times New Roman" w:cs="Times New Roman"/>
          <w:bCs/>
          <w:noProof/>
          <w:sz w:val="24"/>
          <w:szCs w:val="24"/>
        </w:rPr>
        <w:t xml:space="preserve">the substantial carbon footprint of the transport sector in Bulgaria. The digital transformation of the economy is targeted via complementary measures </w:t>
      </w:r>
      <w:r w:rsidR="007232A6">
        <w:rPr>
          <w:rFonts w:ascii="Times New Roman" w:eastAsia="Times New Roman" w:hAnsi="Times New Roman" w:cs="Times New Roman"/>
          <w:bCs/>
          <w:noProof/>
          <w:sz w:val="24"/>
          <w:szCs w:val="24"/>
        </w:rPr>
        <w:t>to</w:t>
      </w:r>
      <w:r w:rsidR="00D8383C" w:rsidRPr="00E76013">
        <w:rPr>
          <w:rFonts w:ascii="Times New Roman" w:eastAsia="Times New Roman" w:hAnsi="Times New Roman" w:cs="Times New Roman"/>
          <w:bCs/>
          <w:noProof/>
          <w:sz w:val="24"/>
          <w:szCs w:val="24"/>
        </w:rPr>
        <w:t xml:space="preserve"> provi</w:t>
      </w:r>
      <w:r w:rsidR="007232A6">
        <w:rPr>
          <w:rFonts w:ascii="Times New Roman" w:eastAsia="Times New Roman" w:hAnsi="Times New Roman" w:cs="Times New Roman"/>
          <w:bCs/>
          <w:noProof/>
          <w:sz w:val="24"/>
          <w:szCs w:val="24"/>
        </w:rPr>
        <w:t>de</w:t>
      </w:r>
      <w:r w:rsidR="00D8383C" w:rsidRPr="00E76013">
        <w:rPr>
          <w:rFonts w:ascii="Times New Roman" w:eastAsia="Times New Roman" w:hAnsi="Times New Roman" w:cs="Times New Roman"/>
          <w:bCs/>
          <w:noProof/>
          <w:sz w:val="24"/>
          <w:szCs w:val="24"/>
        </w:rPr>
        <w:t xml:space="preserve"> public e-services, support SMEs and upgrade </w:t>
      </w:r>
      <w:r w:rsidR="007232A6">
        <w:rPr>
          <w:rFonts w:ascii="Times New Roman" w:eastAsia="Times New Roman" w:hAnsi="Times New Roman" w:cs="Times New Roman"/>
          <w:bCs/>
          <w:noProof/>
          <w:sz w:val="24"/>
          <w:szCs w:val="24"/>
        </w:rPr>
        <w:t>the</w:t>
      </w:r>
      <w:r w:rsidR="00D8383C" w:rsidRPr="00E76013">
        <w:rPr>
          <w:rFonts w:ascii="Times New Roman" w:eastAsia="Times New Roman" w:hAnsi="Times New Roman" w:cs="Times New Roman"/>
          <w:bCs/>
          <w:noProof/>
          <w:sz w:val="24"/>
          <w:szCs w:val="24"/>
        </w:rPr>
        <w:t xml:space="preserve"> digital skills of the population. </w:t>
      </w:r>
      <w:r w:rsidR="001647DF" w:rsidRPr="00E76013">
        <w:rPr>
          <w:rFonts w:ascii="Times New Roman" w:eastAsia="Times New Roman" w:hAnsi="Times New Roman" w:cs="Times New Roman"/>
          <w:bCs/>
          <w:noProof/>
          <w:sz w:val="24"/>
          <w:szCs w:val="24"/>
        </w:rPr>
        <w:t xml:space="preserve">By reforming the education and vocational training </w:t>
      </w:r>
      <w:r w:rsidR="001647DF" w:rsidRPr="00E76013">
        <w:rPr>
          <w:rFonts w:ascii="Times New Roman" w:eastAsia="Times New Roman" w:hAnsi="Times New Roman" w:cs="Times New Roman"/>
          <w:noProof/>
          <w:sz w:val="24"/>
          <w:szCs w:val="24"/>
        </w:rPr>
        <w:t>systems</w:t>
      </w:r>
      <w:r w:rsidR="001647DF" w:rsidRPr="00E76013">
        <w:rPr>
          <w:rFonts w:ascii="Times New Roman" w:eastAsia="Times New Roman" w:hAnsi="Times New Roman" w:cs="Times New Roman"/>
          <w:bCs/>
          <w:noProof/>
          <w:sz w:val="24"/>
          <w:szCs w:val="24"/>
        </w:rPr>
        <w:t xml:space="preserve"> to ensure</w:t>
      </w:r>
      <w:r w:rsidR="001647DF" w:rsidRPr="00E76013">
        <w:rPr>
          <w:rFonts w:ascii="Times New Roman" w:eastAsia="Times New Roman" w:hAnsi="Times New Roman" w:cs="Times New Roman"/>
          <w:noProof/>
          <w:sz w:val="24"/>
          <w:szCs w:val="24"/>
        </w:rPr>
        <w:t xml:space="preserve"> a better quality of education,</w:t>
      </w:r>
      <w:r w:rsidR="001647DF" w:rsidRPr="00E76013">
        <w:rPr>
          <w:rFonts w:ascii="Times New Roman" w:eastAsia="Times New Roman" w:hAnsi="Times New Roman" w:cs="Times New Roman"/>
          <w:bCs/>
          <w:noProof/>
          <w:sz w:val="24"/>
          <w:szCs w:val="24"/>
        </w:rPr>
        <w:t xml:space="preserve"> more relevant skills and better inclusiveness, and by strengthening the employment services, the Plan addresses the key issue of skill shortages and labour market mismatches. The reforms in the healthcare and social services sectors target</w:t>
      </w:r>
      <w:r w:rsidR="00F8199E" w:rsidRPr="00E76013">
        <w:rPr>
          <w:rFonts w:ascii="Times New Roman" w:eastAsia="Times New Roman" w:hAnsi="Times New Roman" w:cs="Times New Roman"/>
          <w:bCs/>
          <w:noProof/>
          <w:sz w:val="24"/>
          <w:szCs w:val="24"/>
        </w:rPr>
        <w:t xml:space="preserve"> the long-standing issues of coverage and adequacy of services to improve the health and social status of the population. </w:t>
      </w:r>
      <w:r w:rsidR="00D23382" w:rsidRPr="00E76013">
        <w:rPr>
          <w:rFonts w:ascii="Times New Roman" w:eastAsia="Times New Roman" w:hAnsi="Times New Roman" w:cs="Times New Roman"/>
          <w:bCs/>
          <w:noProof/>
          <w:sz w:val="24"/>
          <w:szCs w:val="24"/>
        </w:rPr>
        <w:t>Overall</w:t>
      </w:r>
      <w:r w:rsidR="00A02421" w:rsidRPr="00E76013">
        <w:rPr>
          <w:rFonts w:ascii="Times New Roman" w:eastAsia="Times New Roman" w:hAnsi="Times New Roman" w:cs="Times New Roman"/>
          <w:bCs/>
          <w:noProof/>
          <w:sz w:val="24"/>
          <w:szCs w:val="24"/>
        </w:rPr>
        <w:t xml:space="preserve">, </w:t>
      </w:r>
      <w:r w:rsidR="00FA4BB8">
        <w:rPr>
          <w:rFonts w:ascii="Times New Roman" w:eastAsia="Times New Roman" w:hAnsi="Times New Roman" w:cs="Times New Roman"/>
          <w:bCs/>
          <w:noProof/>
          <w:sz w:val="24"/>
          <w:szCs w:val="24"/>
        </w:rPr>
        <w:t>having</w:t>
      </w:r>
      <w:r w:rsidR="00A02421" w:rsidRPr="00E76013">
        <w:rPr>
          <w:rFonts w:ascii="Times New Roman" w:eastAsia="Times New Roman" w:hAnsi="Times New Roman" w:cs="Times New Roman"/>
          <w:bCs/>
          <w:noProof/>
          <w:sz w:val="24"/>
          <w:szCs w:val="24"/>
        </w:rPr>
        <w:t xml:space="preserve"> designated strategic bodies and </w:t>
      </w:r>
      <w:r w:rsidR="00FA4BB8">
        <w:rPr>
          <w:rFonts w:ascii="Times New Roman" w:eastAsia="Times New Roman" w:hAnsi="Times New Roman" w:cs="Times New Roman"/>
          <w:bCs/>
          <w:noProof/>
          <w:sz w:val="24"/>
          <w:szCs w:val="24"/>
        </w:rPr>
        <w:t>a</w:t>
      </w:r>
      <w:r w:rsidR="00FA4BB8" w:rsidRPr="00E76013">
        <w:rPr>
          <w:rFonts w:ascii="Times New Roman" w:eastAsia="Times New Roman" w:hAnsi="Times New Roman" w:cs="Times New Roman"/>
          <w:bCs/>
          <w:noProof/>
          <w:sz w:val="24"/>
          <w:szCs w:val="24"/>
        </w:rPr>
        <w:t xml:space="preserve"> </w:t>
      </w:r>
      <w:r w:rsidR="00A02421" w:rsidRPr="00E76013">
        <w:rPr>
          <w:rFonts w:ascii="Times New Roman" w:eastAsia="Times New Roman" w:hAnsi="Times New Roman" w:cs="Times New Roman"/>
          <w:bCs/>
          <w:noProof/>
          <w:sz w:val="24"/>
          <w:szCs w:val="24"/>
        </w:rPr>
        <w:t xml:space="preserve">strengthened implementation and control capacity </w:t>
      </w:r>
      <w:r w:rsidR="00795D2B">
        <w:rPr>
          <w:rFonts w:ascii="Times New Roman" w:eastAsia="Times New Roman" w:hAnsi="Times New Roman" w:cs="Times New Roman"/>
          <w:bCs/>
          <w:noProof/>
          <w:sz w:val="24"/>
          <w:szCs w:val="24"/>
        </w:rPr>
        <w:t xml:space="preserve">should </w:t>
      </w:r>
      <w:r w:rsidR="00A02421" w:rsidRPr="00E76013">
        <w:rPr>
          <w:rFonts w:ascii="Times New Roman" w:eastAsia="Times New Roman" w:hAnsi="Times New Roman" w:cs="Times New Roman"/>
          <w:bCs/>
          <w:noProof/>
          <w:sz w:val="24"/>
          <w:szCs w:val="24"/>
        </w:rPr>
        <w:t xml:space="preserve">ensure the </w:t>
      </w:r>
      <w:r w:rsidR="00FA4BB8">
        <w:rPr>
          <w:rFonts w:ascii="Times New Roman" w:eastAsia="Times New Roman" w:hAnsi="Times New Roman" w:cs="Times New Roman"/>
          <w:bCs/>
          <w:noProof/>
          <w:sz w:val="24"/>
          <w:szCs w:val="24"/>
        </w:rPr>
        <w:t>sustainability</w:t>
      </w:r>
      <w:r w:rsidR="00A02421" w:rsidRPr="00E76013">
        <w:rPr>
          <w:rFonts w:ascii="Times New Roman" w:eastAsia="Times New Roman" w:hAnsi="Times New Roman" w:cs="Times New Roman"/>
          <w:bCs/>
          <w:noProof/>
          <w:sz w:val="24"/>
          <w:szCs w:val="24"/>
        </w:rPr>
        <w:t xml:space="preserve"> of the</w:t>
      </w:r>
      <w:r w:rsidR="00FA4BB8">
        <w:rPr>
          <w:rFonts w:ascii="Times New Roman" w:eastAsia="Times New Roman" w:hAnsi="Times New Roman" w:cs="Times New Roman"/>
          <w:bCs/>
          <w:noProof/>
          <w:sz w:val="24"/>
          <w:szCs w:val="24"/>
        </w:rPr>
        <w:t>se</w:t>
      </w:r>
      <w:r w:rsidR="00A02421" w:rsidRPr="00E76013">
        <w:rPr>
          <w:rFonts w:ascii="Times New Roman" w:eastAsia="Times New Roman" w:hAnsi="Times New Roman" w:cs="Times New Roman"/>
          <w:bCs/>
          <w:noProof/>
          <w:sz w:val="24"/>
          <w:szCs w:val="24"/>
        </w:rPr>
        <w:t xml:space="preserve"> measures.</w:t>
      </w:r>
      <w:r w:rsidR="00A02421" w:rsidRPr="00E76013">
        <w:rPr>
          <w:rFonts w:ascii="Times New Roman" w:eastAsia="Times New Roman" w:hAnsi="Times New Roman" w:cs="Times New Roman"/>
          <w:noProof/>
          <w:sz w:val="24"/>
          <w:szCs w:val="24"/>
        </w:rPr>
        <w:t xml:space="preserve"> Reforms to improve the research and innovation ecosystem and foster investments in these fields by public research institutions as well as innovative businesses are also </w:t>
      </w:r>
      <w:r w:rsidR="00E76013" w:rsidRPr="00E76013">
        <w:rPr>
          <w:rFonts w:ascii="Times New Roman" w:eastAsia="Times New Roman" w:hAnsi="Times New Roman" w:cs="Times New Roman"/>
          <w:noProof/>
          <w:sz w:val="24"/>
          <w:szCs w:val="24"/>
        </w:rPr>
        <w:t>expected</w:t>
      </w:r>
      <w:r w:rsidR="00A02421" w:rsidRPr="00E76013">
        <w:rPr>
          <w:rFonts w:ascii="Times New Roman" w:eastAsia="Times New Roman" w:hAnsi="Times New Roman" w:cs="Times New Roman"/>
          <w:noProof/>
          <w:sz w:val="24"/>
          <w:szCs w:val="24"/>
        </w:rPr>
        <w:t xml:space="preserve"> to contribute to the lasting impact of the plan. </w:t>
      </w:r>
    </w:p>
    <w:p w14:paraId="4D8691CE" w14:textId="0C4642B7" w:rsidR="00A02421" w:rsidRPr="00E76013" w:rsidRDefault="00A02421" w:rsidP="008963AA">
      <w:pPr>
        <w:spacing w:line="276" w:lineRule="auto"/>
        <w:jc w:val="both"/>
        <w:rPr>
          <w:rFonts w:ascii="Times New Roman" w:eastAsia="Times New Roman" w:hAnsi="Times New Roman" w:cs="Times New Roman"/>
          <w:bCs/>
          <w:noProof/>
          <w:sz w:val="24"/>
          <w:szCs w:val="24"/>
        </w:rPr>
      </w:pPr>
      <w:r w:rsidRPr="00E76013">
        <w:rPr>
          <w:rFonts w:ascii="Times New Roman" w:eastAsia="Times New Roman" w:hAnsi="Times New Roman" w:cs="Times New Roman"/>
          <w:b/>
          <w:bCs/>
          <w:noProof/>
          <w:sz w:val="24"/>
          <w:szCs w:val="24"/>
        </w:rPr>
        <w:t xml:space="preserve">The drafting process of the Bulgarian </w:t>
      </w:r>
      <w:r w:rsidR="00DB01D0" w:rsidRPr="00E76013">
        <w:rPr>
          <w:rFonts w:ascii="Times New Roman" w:eastAsia="Times New Roman" w:hAnsi="Times New Roman" w:cs="Times New Roman"/>
          <w:b/>
          <w:bCs/>
          <w:noProof/>
          <w:sz w:val="24"/>
          <w:szCs w:val="24"/>
        </w:rPr>
        <w:t>Plan</w:t>
      </w:r>
      <w:r w:rsidRPr="00E76013">
        <w:rPr>
          <w:rFonts w:ascii="Times New Roman" w:eastAsia="Times New Roman" w:hAnsi="Times New Roman" w:cs="Times New Roman"/>
          <w:b/>
          <w:bCs/>
          <w:noProof/>
          <w:sz w:val="24"/>
          <w:szCs w:val="24"/>
        </w:rPr>
        <w:t xml:space="preserve"> followed mostly a bottom-up approach that contributed to the comprehensive nature of the measures.</w:t>
      </w:r>
      <w:r w:rsidRPr="00E76013">
        <w:rPr>
          <w:rFonts w:ascii="Times New Roman" w:eastAsia="Times New Roman" w:hAnsi="Times New Roman" w:cs="Times New Roman"/>
          <w:bCs/>
          <w:noProof/>
          <w:sz w:val="24"/>
          <w:szCs w:val="24"/>
        </w:rPr>
        <w:t xml:space="preserve"> The Plan has been discussed by various stakeholders and in the Parliament. The major challenge of decarbonisation </w:t>
      </w:r>
      <w:r w:rsidR="001F7699">
        <w:rPr>
          <w:rFonts w:ascii="Times New Roman" w:eastAsia="Times New Roman" w:hAnsi="Times New Roman" w:cs="Times New Roman"/>
          <w:bCs/>
          <w:noProof/>
          <w:sz w:val="24"/>
          <w:szCs w:val="24"/>
        </w:rPr>
        <w:t xml:space="preserve">is </w:t>
      </w:r>
      <w:r w:rsidRPr="00E76013">
        <w:rPr>
          <w:rFonts w:ascii="Times New Roman" w:eastAsia="Times New Roman" w:hAnsi="Times New Roman" w:cs="Times New Roman"/>
          <w:bCs/>
          <w:noProof/>
          <w:sz w:val="24"/>
          <w:szCs w:val="24"/>
        </w:rPr>
        <w:t xml:space="preserve">addressed by the Plan, </w:t>
      </w:r>
      <w:r w:rsidR="00CA705A">
        <w:rPr>
          <w:rFonts w:ascii="Times New Roman" w:eastAsia="Times New Roman" w:hAnsi="Times New Roman" w:cs="Times New Roman"/>
          <w:bCs/>
          <w:noProof/>
          <w:sz w:val="24"/>
          <w:szCs w:val="24"/>
        </w:rPr>
        <w:t>and a</w:t>
      </w:r>
      <w:r w:rsidRPr="00E76013">
        <w:rPr>
          <w:rFonts w:ascii="Times New Roman" w:eastAsia="Times New Roman" w:hAnsi="Times New Roman" w:cs="Times New Roman"/>
          <w:bCs/>
          <w:noProof/>
          <w:sz w:val="24"/>
          <w:szCs w:val="24"/>
        </w:rPr>
        <w:t xml:space="preserve">dequate measures to </w:t>
      </w:r>
      <w:r w:rsidR="00CA705A">
        <w:rPr>
          <w:rFonts w:ascii="Times New Roman" w:eastAsia="Times New Roman" w:hAnsi="Times New Roman" w:cs="Times New Roman"/>
          <w:bCs/>
          <w:noProof/>
          <w:sz w:val="24"/>
          <w:szCs w:val="24"/>
        </w:rPr>
        <w:t>m</w:t>
      </w:r>
      <w:r w:rsidR="00D77AA2">
        <w:rPr>
          <w:rFonts w:ascii="Times New Roman" w:eastAsia="Times New Roman" w:hAnsi="Times New Roman" w:cs="Times New Roman"/>
          <w:bCs/>
          <w:noProof/>
          <w:sz w:val="24"/>
          <w:szCs w:val="24"/>
        </w:rPr>
        <w:t xml:space="preserve">itigate </w:t>
      </w:r>
      <w:r w:rsidRPr="00E76013">
        <w:rPr>
          <w:rFonts w:ascii="Times New Roman" w:eastAsia="Times New Roman" w:hAnsi="Times New Roman" w:cs="Times New Roman"/>
          <w:bCs/>
          <w:noProof/>
          <w:sz w:val="24"/>
          <w:szCs w:val="24"/>
        </w:rPr>
        <w:t>the soci</w:t>
      </w:r>
      <w:r w:rsidR="00CA705A">
        <w:rPr>
          <w:rFonts w:ascii="Times New Roman" w:eastAsia="Times New Roman" w:hAnsi="Times New Roman" w:cs="Times New Roman"/>
          <w:bCs/>
          <w:noProof/>
          <w:sz w:val="24"/>
          <w:szCs w:val="24"/>
        </w:rPr>
        <w:t>o-econo</w:t>
      </w:r>
      <w:r w:rsidR="00D77AA2">
        <w:rPr>
          <w:rFonts w:ascii="Times New Roman" w:eastAsia="Times New Roman" w:hAnsi="Times New Roman" w:cs="Times New Roman"/>
          <w:bCs/>
          <w:noProof/>
          <w:sz w:val="24"/>
          <w:szCs w:val="24"/>
        </w:rPr>
        <w:t xml:space="preserve">mic impact </w:t>
      </w:r>
      <w:r w:rsidR="008F5E4B">
        <w:rPr>
          <w:rFonts w:ascii="Times New Roman" w:eastAsia="Times New Roman" w:hAnsi="Times New Roman" w:cs="Times New Roman"/>
          <w:bCs/>
          <w:noProof/>
          <w:sz w:val="24"/>
          <w:szCs w:val="24"/>
        </w:rPr>
        <w:t>will</w:t>
      </w:r>
      <w:r w:rsidRPr="00E76013">
        <w:rPr>
          <w:rFonts w:ascii="Times New Roman" w:eastAsia="Times New Roman" w:hAnsi="Times New Roman" w:cs="Times New Roman"/>
          <w:bCs/>
          <w:noProof/>
          <w:sz w:val="24"/>
          <w:szCs w:val="24"/>
        </w:rPr>
        <w:t xml:space="preserve"> need to be devised, including through the J</w:t>
      </w:r>
      <w:r w:rsidR="008F0813" w:rsidRPr="00E76013">
        <w:rPr>
          <w:rFonts w:ascii="Times New Roman" w:eastAsia="Times New Roman" w:hAnsi="Times New Roman" w:cs="Times New Roman"/>
          <w:bCs/>
          <w:noProof/>
          <w:sz w:val="24"/>
          <w:szCs w:val="24"/>
        </w:rPr>
        <w:t xml:space="preserve">ust </w:t>
      </w:r>
      <w:r w:rsidRPr="00E76013">
        <w:rPr>
          <w:rFonts w:ascii="Times New Roman" w:eastAsia="Times New Roman" w:hAnsi="Times New Roman" w:cs="Times New Roman"/>
          <w:bCs/>
          <w:noProof/>
          <w:sz w:val="24"/>
          <w:szCs w:val="24"/>
        </w:rPr>
        <w:t>T</w:t>
      </w:r>
      <w:r w:rsidR="008F0813" w:rsidRPr="00E76013">
        <w:rPr>
          <w:rFonts w:ascii="Times New Roman" w:eastAsia="Times New Roman" w:hAnsi="Times New Roman" w:cs="Times New Roman"/>
          <w:bCs/>
          <w:noProof/>
          <w:sz w:val="24"/>
          <w:szCs w:val="24"/>
        </w:rPr>
        <w:t xml:space="preserve">ransition </w:t>
      </w:r>
      <w:r w:rsidRPr="00E76013">
        <w:rPr>
          <w:rFonts w:ascii="Times New Roman" w:eastAsia="Times New Roman" w:hAnsi="Times New Roman" w:cs="Times New Roman"/>
          <w:bCs/>
          <w:noProof/>
          <w:sz w:val="24"/>
          <w:szCs w:val="24"/>
        </w:rPr>
        <w:t>F</w:t>
      </w:r>
      <w:r w:rsidR="008F0813" w:rsidRPr="00E76013">
        <w:rPr>
          <w:rFonts w:ascii="Times New Roman" w:eastAsia="Times New Roman" w:hAnsi="Times New Roman" w:cs="Times New Roman"/>
          <w:bCs/>
          <w:noProof/>
          <w:sz w:val="24"/>
          <w:szCs w:val="24"/>
        </w:rPr>
        <w:t>und</w:t>
      </w:r>
      <w:r w:rsidR="00D97BDC">
        <w:rPr>
          <w:rFonts w:ascii="Times New Roman" w:eastAsia="Times New Roman" w:hAnsi="Times New Roman" w:cs="Times New Roman"/>
          <w:bCs/>
          <w:noProof/>
          <w:sz w:val="24"/>
          <w:szCs w:val="24"/>
        </w:rPr>
        <w:t>, taking into account the partnership principle and in consultation with local and regional stakeholders in the coal regions.</w:t>
      </w:r>
    </w:p>
    <w:p w14:paraId="4CB66098" w14:textId="7E7A3082" w:rsidR="00D600E5" w:rsidRPr="00E76013" w:rsidRDefault="00D600E5" w:rsidP="008963AA">
      <w:pPr>
        <w:spacing w:line="276" w:lineRule="auto"/>
        <w:jc w:val="both"/>
        <w:rPr>
          <w:rFonts w:ascii="Times New Roman" w:eastAsia="Times New Roman" w:hAnsi="Times New Roman" w:cs="Times New Roman"/>
          <w:bCs/>
          <w:noProof/>
          <w:sz w:val="24"/>
          <w:szCs w:val="24"/>
        </w:rPr>
      </w:pPr>
      <w:r w:rsidRPr="00E76013">
        <w:rPr>
          <w:rFonts w:ascii="Times New Roman" w:hAnsi="Times New Roman" w:cs="Times New Roman"/>
          <w:i/>
          <w:noProof/>
          <w:sz w:val="24"/>
          <w:szCs w:val="24"/>
          <w:lang w:val="en-GB"/>
        </w:rPr>
        <w:t>Taking into consideration all reforms and investments envisaged by Bulgaria in its recovery and resilience plan, their implementation is expected, to a large extent to bring about a structural change in the administration or in relevant institutions and</w:t>
      </w:r>
      <w:r w:rsidR="00495EF3" w:rsidRPr="00E76013">
        <w:rPr>
          <w:rFonts w:ascii="Times New Roman" w:hAnsi="Times New Roman" w:cs="Times New Roman"/>
          <w:i/>
          <w:noProof/>
          <w:sz w:val="24"/>
          <w:szCs w:val="24"/>
          <w:lang w:val="en-GB"/>
        </w:rPr>
        <w:t xml:space="preserve"> </w:t>
      </w:r>
      <w:r w:rsidRPr="00E76013">
        <w:rPr>
          <w:rFonts w:ascii="Times New Roman" w:hAnsi="Times New Roman" w:cs="Times New Roman"/>
          <w:i/>
          <w:noProof/>
          <w:sz w:val="24"/>
          <w:szCs w:val="24"/>
          <w:lang w:val="en-GB"/>
        </w:rPr>
        <w:t xml:space="preserve">or in relevant policies and to have a lasting impact. This would warrant a rating of A under criterion 2.7 of Annex </w:t>
      </w:r>
      <w:r w:rsidRPr="00E76013">
        <w:rPr>
          <w:rFonts w:ascii="Times New Roman" w:eastAsia="Times New Roman" w:hAnsi="Times New Roman" w:cs="Times New Roman"/>
          <w:i/>
          <w:noProof/>
          <w:sz w:val="24"/>
          <w:szCs w:val="24"/>
          <w:lang w:val="en-GB"/>
        </w:rPr>
        <w:t>V</w:t>
      </w:r>
      <w:r w:rsidRPr="00E76013">
        <w:rPr>
          <w:rFonts w:ascii="Times New Roman" w:hAnsi="Times New Roman" w:cs="Times New Roman"/>
          <w:i/>
          <w:noProof/>
          <w:sz w:val="24"/>
          <w:szCs w:val="24"/>
          <w:lang w:val="en-GB"/>
        </w:rPr>
        <w:t xml:space="preserve"> </w:t>
      </w:r>
      <w:r w:rsidR="00846017">
        <w:rPr>
          <w:rFonts w:ascii="Times New Roman" w:hAnsi="Times New Roman" w:cs="Times New Roman"/>
          <w:i/>
          <w:noProof/>
          <w:sz w:val="24"/>
          <w:szCs w:val="24"/>
          <w:lang w:val="en-GB"/>
        </w:rPr>
        <w:t>to</w:t>
      </w:r>
      <w:r w:rsidR="00846017" w:rsidRPr="00E76013">
        <w:rPr>
          <w:rFonts w:ascii="Times New Roman" w:hAnsi="Times New Roman" w:cs="Times New Roman"/>
          <w:i/>
          <w:noProof/>
          <w:sz w:val="24"/>
          <w:szCs w:val="24"/>
          <w:lang w:val="en-GB"/>
        </w:rPr>
        <w:t xml:space="preserve"> </w:t>
      </w:r>
      <w:r w:rsidRPr="00E76013">
        <w:rPr>
          <w:rFonts w:ascii="Times New Roman" w:hAnsi="Times New Roman" w:cs="Times New Roman"/>
          <w:i/>
          <w:noProof/>
          <w:sz w:val="24"/>
          <w:szCs w:val="24"/>
          <w:lang w:val="en-GB"/>
        </w:rPr>
        <w:t>the RRF Regulation</w:t>
      </w:r>
    </w:p>
    <w:p w14:paraId="1D9B44D6" w14:textId="1B78BD32" w:rsidR="6DD345C5" w:rsidRPr="00D8256C" w:rsidRDefault="6DD345C5" w:rsidP="00E01A1F">
      <w:pPr>
        <w:pStyle w:val="Heading2"/>
        <w:numPr>
          <w:ilvl w:val="1"/>
          <w:numId w:val="7"/>
        </w:numPr>
        <w:spacing w:after="160" w:line="276" w:lineRule="auto"/>
        <w:rPr>
          <w:noProof/>
        </w:rPr>
      </w:pPr>
      <w:bookmarkStart w:id="392" w:name="_Toc99399076"/>
      <w:bookmarkStart w:id="393" w:name="_Toc99400009"/>
      <w:bookmarkStart w:id="394" w:name="_Toc99400437"/>
      <w:bookmarkStart w:id="395" w:name="_Toc99719452"/>
      <w:bookmarkStart w:id="396" w:name="_Toc99728665"/>
      <w:bookmarkStart w:id="397" w:name="_Toc99729659"/>
      <w:bookmarkStart w:id="398" w:name="_Toc99730636"/>
      <w:bookmarkStart w:id="399" w:name="_Toc99731360"/>
      <w:bookmarkStart w:id="400" w:name="_Toc99756899"/>
      <w:bookmarkStart w:id="401" w:name="_Toc99909929"/>
      <w:bookmarkStart w:id="402" w:name="_Toc98952831"/>
      <w:bookmarkStart w:id="403" w:name="_Toc98954002"/>
      <w:r w:rsidRPr="00D8256C">
        <w:rPr>
          <w:noProof/>
        </w:rPr>
        <w:t>Milestones, targets, monitoring and implementation</w:t>
      </w:r>
      <w:bookmarkEnd w:id="385"/>
      <w:bookmarkEnd w:id="392"/>
      <w:bookmarkEnd w:id="393"/>
      <w:bookmarkEnd w:id="394"/>
      <w:bookmarkEnd w:id="395"/>
      <w:bookmarkEnd w:id="396"/>
      <w:bookmarkEnd w:id="397"/>
      <w:bookmarkEnd w:id="398"/>
      <w:bookmarkEnd w:id="399"/>
      <w:bookmarkEnd w:id="400"/>
      <w:bookmarkEnd w:id="401"/>
      <w:r w:rsidR="00570094" w:rsidRPr="00D8256C">
        <w:rPr>
          <w:noProof/>
        </w:rPr>
        <w:t xml:space="preserve"> </w:t>
      </w:r>
      <w:bookmarkEnd w:id="386"/>
      <w:bookmarkEnd w:id="387"/>
      <w:bookmarkEnd w:id="388"/>
      <w:bookmarkEnd w:id="389"/>
      <w:bookmarkEnd w:id="390"/>
      <w:bookmarkEnd w:id="391"/>
      <w:bookmarkEnd w:id="402"/>
      <w:bookmarkEnd w:id="403"/>
    </w:p>
    <w:p w14:paraId="03C066E2" w14:textId="2C7EBAA7" w:rsidR="0FB3E7AA" w:rsidRPr="00E76013" w:rsidRDefault="0FB3E7AA"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plan includes </w:t>
      </w:r>
      <w:r w:rsidR="0019394A">
        <w:rPr>
          <w:rFonts w:ascii="Times New Roman" w:eastAsia="Times New Roman" w:hAnsi="Times New Roman" w:cs="Times New Roman"/>
          <w:b/>
          <w:bCs/>
          <w:noProof/>
          <w:sz w:val="24"/>
          <w:szCs w:val="24"/>
          <w:lang w:val="en-GB"/>
        </w:rPr>
        <w:t>206</w:t>
      </w:r>
      <w:r w:rsidRPr="00E76013">
        <w:rPr>
          <w:rFonts w:ascii="Times New Roman" w:eastAsia="Times New Roman" w:hAnsi="Times New Roman" w:cs="Times New Roman"/>
          <w:b/>
          <w:noProof/>
          <w:sz w:val="24"/>
          <w:szCs w:val="24"/>
          <w:lang w:val="en-GB"/>
        </w:rPr>
        <w:t xml:space="preserve"> milestones and </w:t>
      </w:r>
      <w:r w:rsidR="0019394A">
        <w:rPr>
          <w:rFonts w:ascii="Times New Roman" w:eastAsia="Times New Roman" w:hAnsi="Times New Roman" w:cs="Times New Roman"/>
          <w:b/>
          <w:bCs/>
          <w:noProof/>
          <w:sz w:val="24"/>
          <w:szCs w:val="24"/>
          <w:lang w:val="en-GB"/>
        </w:rPr>
        <w:t>140</w:t>
      </w:r>
      <w:r w:rsidRPr="00E76013">
        <w:rPr>
          <w:rFonts w:ascii="Times New Roman" w:eastAsia="Times New Roman" w:hAnsi="Times New Roman" w:cs="Times New Roman"/>
          <w:b/>
          <w:noProof/>
          <w:sz w:val="24"/>
          <w:szCs w:val="24"/>
          <w:lang w:val="en-GB"/>
        </w:rPr>
        <w:t xml:space="preserve"> targets that appropriately reflect the implementation of the measures over the entire life-cycle of the Bulgarian recovery and resilience plan. </w:t>
      </w:r>
      <w:r w:rsidRPr="00E76013">
        <w:rPr>
          <w:rFonts w:ascii="Times New Roman" w:eastAsia="Times New Roman" w:hAnsi="Times New Roman" w:cs="Times New Roman"/>
          <w:noProof/>
          <w:sz w:val="24"/>
          <w:szCs w:val="24"/>
          <w:lang w:val="en-GB"/>
        </w:rPr>
        <w:t xml:space="preserve">The achievement of milestones and targets </w:t>
      </w:r>
      <w:r w:rsidR="00344EAC" w:rsidRPr="00E76013">
        <w:rPr>
          <w:rFonts w:ascii="Times New Roman" w:eastAsia="Times New Roman" w:hAnsi="Times New Roman" w:cs="Times New Roman"/>
          <w:noProof/>
          <w:sz w:val="24"/>
          <w:szCs w:val="24"/>
          <w:lang w:val="en-GB"/>
        </w:rPr>
        <w:t>will</w:t>
      </w:r>
      <w:r w:rsidRPr="00E76013">
        <w:rPr>
          <w:rFonts w:ascii="Times New Roman" w:eastAsia="Times New Roman" w:hAnsi="Times New Roman" w:cs="Times New Roman"/>
          <w:noProof/>
          <w:sz w:val="24"/>
          <w:szCs w:val="24"/>
          <w:lang w:val="en-GB"/>
        </w:rPr>
        <w:t xml:space="preserve"> be verified using a detailed set of indicators, which is sufficiently clear and comprehensive. </w:t>
      </w:r>
      <w:r w:rsidRPr="00E76013">
        <w:rPr>
          <w:rFonts w:ascii="Times New Roman" w:eastAsia="Times New Roman" w:hAnsi="Times New Roman" w:cs="Times New Roman"/>
          <w:bCs/>
          <w:noProof/>
          <w:sz w:val="24"/>
          <w:szCs w:val="24"/>
          <w:lang w:val="en-GB"/>
        </w:rPr>
        <w:t>The milestones and targets are relevant</w:t>
      </w:r>
      <w:r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bCs/>
          <w:noProof/>
          <w:sz w:val="24"/>
          <w:szCs w:val="24"/>
          <w:lang w:val="en-GB"/>
        </w:rPr>
        <w:t xml:space="preserve">well-defined, </w:t>
      </w:r>
      <w:r w:rsidRPr="00E76013">
        <w:rPr>
          <w:rFonts w:ascii="Times New Roman" w:eastAsia="Times New Roman" w:hAnsi="Times New Roman" w:cs="Times New Roman"/>
          <w:noProof/>
          <w:sz w:val="24"/>
          <w:szCs w:val="24"/>
          <w:lang w:val="en-GB"/>
        </w:rPr>
        <w:t>and balanced across the different measures.</w:t>
      </w:r>
      <w:r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 xml:space="preserve">In the first phase of the plan, milestones are the predominant monitoring device, in the majority of the cases relating to the entry into force of the legal framework or the selection of projects. During the later years, the implementation of the projects is typically monitored using final output targets. The milestones and targets represent the key steps of the measures and appropriately and realistically indicate whether the measures have been </w:t>
      </w:r>
      <w:r w:rsidR="005E1531">
        <w:rPr>
          <w:rFonts w:ascii="Times New Roman" w:eastAsia="Times New Roman" w:hAnsi="Times New Roman" w:cs="Times New Roman"/>
          <w:noProof/>
          <w:sz w:val="24"/>
          <w:szCs w:val="24"/>
          <w:lang w:val="en-GB"/>
        </w:rPr>
        <w:t>implemented</w:t>
      </w:r>
      <w:r w:rsidRPr="00E76013">
        <w:rPr>
          <w:rFonts w:ascii="Times New Roman" w:eastAsia="Times New Roman" w:hAnsi="Times New Roman" w:cs="Times New Roman"/>
          <w:noProof/>
          <w:sz w:val="24"/>
          <w:szCs w:val="24"/>
          <w:lang w:val="en-GB"/>
        </w:rPr>
        <w:t xml:space="preserve">. Hence, the proposed milestones and targets can be considered </w:t>
      </w:r>
      <w:r w:rsidR="004C3BC4">
        <w:rPr>
          <w:rFonts w:ascii="Times New Roman" w:eastAsia="Times New Roman" w:hAnsi="Times New Roman" w:cs="Times New Roman"/>
          <w:noProof/>
          <w:sz w:val="24"/>
          <w:szCs w:val="24"/>
          <w:lang w:val="en-GB"/>
        </w:rPr>
        <w:t xml:space="preserve">as </w:t>
      </w:r>
      <w:r w:rsidRPr="00E76013">
        <w:rPr>
          <w:rFonts w:ascii="Times New Roman" w:eastAsia="Times New Roman" w:hAnsi="Times New Roman" w:cs="Times New Roman"/>
          <w:noProof/>
          <w:sz w:val="24"/>
          <w:szCs w:val="24"/>
          <w:lang w:val="en-GB"/>
        </w:rPr>
        <w:t xml:space="preserve">in line with the long-term objectives of the plan. </w:t>
      </w:r>
    </w:p>
    <w:p w14:paraId="165A139A" w14:textId="7140AA32" w:rsidR="0FB3E7AA" w:rsidRPr="00E76013" w:rsidRDefault="0FB3E7AA"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The total number of milestones and targets is set at </w:t>
      </w:r>
      <w:r w:rsidR="005D0DA9">
        <w:rPr>
          <w:rFonts w:ascii="Times New Roman" w:eastAsia="Times New Roman" w:hAnsi="Times New Roman" w:cs="Times New Roman"/>
          <w:b/>
          <w:bCs/>
          <w:noProof/>
          <w:sz w:val="24"/>
          <w:szCs w:val="24"/>
          <w:lang w:val="en-GB"/>
        </w:rPr>
        <w:t>346</w:t>
      </w:r>
      <w:r w:rsidRPr="00E76013">
        <w:rPr>
          <w:rFonts w:ascii="Times New Roman" w:eastAsia="Times New Roman" w:hAnsi="Times New Roman" w:cs="Times New Roman"/>
          <w:b/>
          <w:bCs/>
          <w:noProof/>
          <w:sz w:val="24"/>
          <w:szCs w:val="24"/>
          <w:lang w:val="en-GB"/>
        </w:rPr>
        <w:t xml:space="preserve">, reflecting the large number of measures and sub-measures in the </w:t>
      </w:r>
      <w:r w:rsidR="00B85A90" w:rsidRPr="00E76013">
        <w:rPr>
          <w:rFonts w:ascii="Times New Roman" w:eastAsia="Times New Roman" w:hAnsi="Times New Roman" w:cs="Times New Roman"/>
          <w:b/>
          <w:bCs/>
          <w:noProof/>
          <w:sz w:val="24"/>
          <w:szCs w:val="24"/>
          <w:lang w:val="en-GB"/>
        </w:rPr>
        <w:t>P</w:t>
      </w:r>
      <w:r w:rsidRPr="00E76013">
        <w:rPr>
          <w:rFonts w:ascii="Times New Roman" w:eastAsia="Times New Roman" w:hAnsi="Times New Roman" w:cs="Times New Roman"/>
          <w:b/>
          <w:bCs/>
          <w:noProof/>
          <w:sz w:val="24"/>
          <w:szCs w:val="24"/>
          <w:lang w:val="en-GB"/>
        </w:rPr>
        <w:t>lan.</w:t>
      </w:r>
      <w:r w:rsidR="008A4EC9">
        <w:rPr>
          <w:rFonts w:ascii="Times New Roman" w:eastAsia="Times New Roman" w:hAnsi="Times New Roman" w:cs="Times New Roman"/>
          <w:b/>
          <w:bCs/>
          <w:noProof/>
          <w:sz w:val="24"/>
          <w:szCs w:val="24"/>
          <w:lang w:val="en-GB"/>
        </w:rPr>
        <w:t xml:space="preserve"> </w:t>
      </w:r>
      <w:r w:rsidR="00997EEB">
        <w:rPr>
          <w:rFonts w:ascii="Times New Roman" w:eastAsia="Times New Roman" w:hAnsi="Times New Roman" w:cs="Times New Roman"/>
          <w:noProof/>
          <w:sz w:val="24"/>
          <w:szCs w:val="24"/>
          <w:lang w:val="en-GB"/>
        </w:rPr>
        <w:t xml:space="preserve">Where </w:t>
      </w:r>
      <w:r w:rsidR="00B955A4">
        <w:rPr>
          <w:rFonts w:ascii="Times New Roman" w:eastAsia="Times New Roman" w:hAnsi="Times New Roman" w:cs="Times New Roman"/>
          <w:noProof/>
          <w:sz w:val="24"/>
          <w:szCs w:val="24"/>
          <w:lang w:val="en-GB"/>
        </w:rPr>
        <w:t>relevant, m</w:t>
      </w:r>
      <w:r w:rsidRPr="00E76013">
        <w:rPr>
          <w:rFonts w:ascii="Times New Roman" w:eastAsia="Times New Roman" w:hAnsi="Times New Roman" w:cs="Times New Roman"/>
          <w:noProof/>
          <w:sz w:val="24"/>
          <w:szCs w:val="24"/>
          <w:lang w:val="en-GB"/>
        </w:rPr>
        <w:t xml:space="preserve">ilestones and targets are specified </w:t>
      </w:r>
      <w:r w:rsidR="004C3BC4">
        <w:rPr>
          <w:rFonts w:ascii="Times New Roman" w:eastAsia="Times New Roman" w:hAnsi="Times New Roman" w:cs="Times New Roman"/>
          <w:noProof/>
          <w:sz w:val="24"/>
          <w:szCs w:val="24"/>
          <w:lang w:val="en-GB"/>
        </w:rPr>
        <w:t xml:space="preserve">in </w:t>
      </w:r>
      <w:r w:rsidRPr="00E76013">
        <w:rPr>
          <w:rFonts w:ascii="Times New Roman" w:eastAsia="Times New Roman" w:hAnsi="Times New Roman" w:cs="Times New Roman"/>
          <w:noProof/>
          <w:sz w:val="24"/>
          <w:szCs w:val="24"/>
          <w:lang w:val="en-GB"/>
        </w:rPr>
        <w:t xml:space="preserve">such </w:t>
      </w:r>
      <w:r w:rsidR="004C3BC4">
        <w:rPr>
          <w:rFonts w:ascii="Times New Roman" w:eastAsia="Times New Roman" w:hAnsi="Times New Roman" w:cs="Times New Roman"/>
          <w:noProof/>
          <w:sz w:val="24"/>
          <w:szCs w:val="24"/>
          <w:lang w:val="en-GB"/>
        </w:rPr>
        <w:t>a way</w:t>
      </w:r>
      <w:r w:rsidRPr="00E76013">
        <w:rPr>
          <w:rFonts w:ascii="Times New Roman" w:eastAsia="Times New Roman" w:hAnsi="Times New Roman" w:cs="Times New Roman"/>
          <w:noProof/>
          <w:sz w:val="24"/>
          <w:szCs w:val="24"/>
          <w:lang w:val="en-GB"/>
        </w:rPr>
        <w:t xml:space="preserve"> that they ensure compliance with the ‘Do no significant harm’ principle and appropriately justify the climate and digital tagging of the measure.</w:t>
      </w:r>
    </w:p>
    <w:p w14:paraId="35CCBA6E" w14:textId="441011C1" w:rsidR="66F51F59" w:rsidRPr="00E76013" w:rsidRDefault="66F51F59" w:rsidP="008963AA">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 xml:space="preserve">The arrangements proposed by Bulgaria in its </w:t>
      </w:r>
      <w:r w:rsidR="004C3BC4">
        <w:rPr>
          <w:rFonts w:ascii="Times New Roman" w:eastAsia="Times New Roman" w:hAnsi="Times New Roman" w:cs="Times New Roman"/>
          <w:i/>
          <w:noProof/>
          <w:sz w:val="24"/>
          <w:szCs w:val="24"/>
          <w:lang w:val="en-GB"/>
        </w:rPr>
        <w:t>P</w:t>
      </w:r>
      <w:r w:rsidRPr="00E76013">
        <w:rPr>
          <w:rFonts w:ascii="Times New Roman" w:eastAsia="Times New Roman" w:hAnsi="Times New Roman" w:cs="Times New Roman"/>
          <w:i/>
          <w:noProof/>
          <w:sz w:val="24"/>
          <w:szCs w:val="24"/>
          <w:lang w:val="en-GB"/>
        </w:rPr>
        <w:t xml:space="preserve">lan are expected to be adequate to ensure effective monitoring and implementation of the recovery and resilience plan, including the envisaged timetable, milestones and targets, and the related indicators. This would warrant a rating of </w:t>
      </w:r>
      <w:r w:rsidRPr="00E76013">
        <w:rPr>
          <w:rFonts w:ascii="Times New Roman" w:eastAsia="Times New Roman" w:hAnsi="Times New Roman" w:cs="Times New Roman"/>
          <w:i/>
          <w:iCs/>
          <w:noProof/>
          <w:sz w:val="24"/>
          <w:szCs w:val="24"/>
          <w:lang w:val="en-GB"/>
        </w:rPr>
        <w:t>A</w:t>
      </w:r>
      <w:r w:rsidRPr="00E76013">
        <w:rPr>
          <w:rFonts w:ascii="Times New Roman" w:eastAsia="Times New Roman" w:hAnsi="Times New Roman" w:cs="Times New Roman"/>
          <w:i/>
          <w:noProof/>
          <w:sz w:val="24"/>
          <w:szCs w:val="24"/>
          <w:lang w:val="en-GB"/>
        </w:rPr>
        <w:t xml:space="preserve"> the assessment criterion 2.8 of Annex V </w:t>
      </w:r>
      <w:r w:rsidR="00846017">
        <w:rPr>
          <w:rFonts w:ascii="Times New Roman" w:eastAsia="Times New Roman" w:hAnsi="Times New Roman" w:cs="Times New Roman"/>
          <w:i/>
          <w:noProof/>
          <w:sz w:val="24"/>
          <w:szCs w:val="24"/>
          <w:lang w:val="en-GB"/>
        </w:rPr>
        <w:t>to</w:t>
      </w:r>
      <w:r w:rsidR="00846017" w:rsidRPr="00E76013">
        <w:rPr>
          <w:rFonts w:ascii="Times New Roman" w:eastAsia="Times New Roman" w:hAnsi="Times New Roman" w:cs="Times New Roman"/>
          <w:i/>
          <w:noProof/>
          <w:sz w:val="24"/>
          <w:szCs w:val="24"/>
          <w:lang w:val="en-GB"/>
        </w:rPr>
        <w:t xml:space="preserve"> </w:t>
      </w:r>
      <w:r w:rsidRPr="00E76013">
        <w:rPr>
          <w:rFonts w:ascii="Times New Roman" w:eastAsia="Times New Roman" w:hAnsi="Times New Roman" w:cs="Times New Roman"/>
          <w:i/>
          <w:noProof/>
          <w:sz w:val="24"/>
          <w:szCs w:val="24"/>
          <w:lang w:val="en-GB"/>
        </w:rPr>
        <w:t>the RRF Regulation.</w:t>
      </w:r>
    </w:p>
    <w:p w14:paraId="156BF6EB" w14:textId="77777777" w:rsidR="0049442D" w:rsidRPr="008A4EC9" w:rsidRDefault="0049442D" w:rsidP="00E01A1F">
      <w:pPr>
        <w:pStyle w:val="Heading2"/>
        <w:numPr>
          <w:ilvl w:val="1"/>
          <w:numId w:val="7"/>
        </w:numPr>
        <w:spacing w:after="160" w:line="276" w:lineRule="auto"/>
        <w:rPr>
          <w:noProof/>
        </w:rPr>
      </w:pPr>
      <w:bookmarkStart w:id="404" w:name="_Toc66388718"/>
      <w:bookmarkStart w:id="405" w:name="_Toc66388719"/>
      <w:bookmarkStart w:id="406" w:name="_Toc66388720"/>
      <w:bookmarkStart w:id="407" w:name="_Toc62455208"/>
      <w:bookmarkStart w:id="408" w:name="_Toc99719453"/>
      <w:bookmarkStart w:id="409" w:name="_Toc99728666"/>
      <w:bookmarkStart w:id="410" w:name="_Toc99729660"/>
      <w:bookmarkStart w:id="411" w:name="_Toc99730637"/>
      <w:bookmarkStart w:id="412" w:name="_Toc99731361"/>
      <w:bookmarkStart w:id="413" w:name="_Toc99756900"/>
      <w:bookmarkStart w:id="414" w:name="_Toc99909930"/>
      <w:bookmarkStart w:id="415" w:name="_Toc62818231"/>
      <w:bookmarkStart w:id="416" w:name="_Toc62818778"/>
      <w:bookmarkStart w:id="417" w:name="_Toc63417227"/>
      <w:bookmarkStart w:id="418" w:name="_Toc63418917"/>
      <w:bookmarkStart w:id="419" w:name="_Toc63418942"/>
      <w:bookmarkStart w:id="420" w:name="_Toc64281628"/>
      <w:bookmarkStart w:id="421" w:name="_Toc98952832"/>
      <w:bookmarkStart w:id="422" w:name="_Toc98954003"/>
      <w:bookmarkStart w:id="423" w:name="_Toc99399077"/>
      <w:bookmarkStart w:id="424" w:name="_Toc99400010"/>
      <w:bookmarkStart w:id="425" w:name="_Toc99400438"/>
      <w:bookmarkEnd w:id="404"/>
      <w:bookmarkEnd w:id="405"/>
      <w:bookmarkEnd w:id="406"/>
      <w:r w:rsidRPr="008A4EC9">
        <w:rPr>
          <w:noProof/>
        </w:rPr>
        <w:t>Costing</w:t>
      </w:r>
      <w:bookmarkEnd w:id="407"/>
      <w:bookmarkEnd w:id="408"/>
      <w:bookmarkEnd w:id="409"/>
      <w:bookmarkEnd w:id="410"/>
      <w:bookmarkEnd w:id="411"/>
      <w:bookmarkEnd w:id="412"/>
      <w:bookmarkEnd w:id="413"/>
      <w:bookmarkEnd w:id="414"/>
      <w:r w:rsidRPr="008A4EC9">
        <w:rPr>
          <w:noProof/>
        </w:rPr>
        <w:t xml:space="preserve"> </w:t>
      </w:r>
      <w:bookmarkEnd w:id="415"/>
      <w:bookmarkEnd w:id="416"/>
      <w:bookmarkEnd w:id="417"/>
      <w:bookmarkEnd w:id="418"/>
      <w:bookmarkEnd w:id="419"/>
      <w:bookmarkEnd w:id="420"/>
      <w:bookmarkEnd w:id="421"/>
      <w:bookmarkEnd w:id="422"/>
      <w:bookmarkEnd w:id="423"/>
      <w:bookmarkEnd w:id="424"/>
      <w:bookmarkEnd w:id="425"/>
    </w:p>
    <w:p w14:paraId="3E6BFC87" w14:textId="4A53EA63" w:rsidR="2B0008AD" w:rsidRPr="00E76013" w:rsidRDefault="7F86EC3F" w:rsidP="008963AA">
      <w:pPr>
        <w:spacing w:line="276" w:lineRule="auto"/>
        <w:jc w:val="both"/>
        <w:rPr>
          <w:rFonts w:ascii="Times New Roman" w:eastAsia="Times New Roman" w:hAnsi="Times New Roman" w:cs="Times New Roman"/>
          <w:noProof/>
          <w:color w:val="000000" w:themeColor="text1"/>
          <w:sz w:val="24"/>
          <w:szCs w:val="24"/>
          <w:lang w:val="en-IE"/>
        </w:rPr>
      </w:pPr>
      <w:r w:rsidRPr="00E76013">
        <w:rPr>
          <w:rFonts w:ascii="Times New Roman" w:eastAsia="Times New Roman" w:hAnsi="Times New Roman" w:cs="Times New Roman"/>
          <w:b/>
          <w:bCs/>
          <w:noProof/>
          <w:sz w:val="24"/>
          <w:szCs w:val="24"/>
          <w:lang w:val="en-GB"/>
        </w:rPr>
        <w:t xml:space="preserve">Bulgaria has provided individual estimated costs for all </w:t>
      </w:r>
      <w:r w:rsidR="0E1FF6B1" w:rsidRPr="00E76013">
        <w:rPr>
          <w:rFonts w:ascii="Times New Roman" w:eastAsia="Times New Roman" w:hAnsi="Times New Roman" w:cs="Times New Roman"/>
          <w:b/>
          <w:bCs/>
          <w:noProof/>
          <w:sz w:val="24"/>
          <w:szCs w:val="24"/>
          <w:lang w:val="en-GB"/>
        </w:rPr>
        <w:t>the measures</w:t>
      </w:r>
      <w:r w:rsidRPr="00E76013">
        <w:rPr>
          <w:rFonts w:ascii="Times New Roman" w:eastAsia="Times New Roman" w:hAnsi="Times New Roman" w:cs="Times New Roman"/>
          <w:b/>
          <w:bCs/>
          <w:noProof/>
          <w:sz w:val="24"/>
          <w:szCs w:val="24"/>
          <w:lang w:val="en-GB"/>
        </w:rPr>
        <w:t xml:space="preserve"> in the </w:t>
      </w:r>
      <w:r w:rsidR="00934B2B" w:rsidRPr="00E76013">
        <w:rPr>
          <w:rFonts w:ascii="Times New Roman" w:eastAsia="Times New Roman" w:hAnsi="Times New Roman" w:cs="Times New Roman"/>
          <w:b/>
          <w:bCs/>
          <w:noProof/>
          <w:sz w:val="24"/>
          <w:szCs w:val="24"/>
          <w:lang w:val="en-GB"/>
        </w:rPr>
        <w:t>Plan</w:t>
      </w:r>
      <w:r w:rsidR="00AF0AAE" w:rsidRPr="00E76013">
        <w:rPr>
          <w:rFonts w:ascii="Times New Roman" w:eastAsia="Times New Roman" w:hAnsi="Times New Roman" w:cs="Times New Roman"/>
          <w:b/>
          <w:bCs/>
          <w:noProof/>
          <w:sz w:val="24"/>
          <w:szCs w:val="24"/>
          <w:lang w:val="en-GB"/>
        </w:rPr>
        <w:t xml:space="preserve"> </w:t>
      </w:r>
      <w:r w:rsidR="0E1FF6B1" w:rsidRPr="00E76013">
        <w:rPr>
          <w:rFonts w:ascii="Times New Roman" w:eastAsia="Times New Roman" w:hAnsi="Times New Roman" w:cs="Times New Roman"/>
          <w:b/>
          <w:bCs/>
          <w:noProof/>
          <w:sz w:val="24"/>
          <w:szCs w:val="24"/>
          <w:lang w:val="en-GB"/>
        </w:rPr>
        <w:t xml:space="preserve">to which a budget </w:t>
      </w:r>
      <w:r w:rsidR="1D8ECF4E" w:rsidRPr="00E76013">
        <w:rPr>
          <w:rFonts w:ascii="Times New Roman" w:eastAsia="Times New Roman" w:hAnsi="Times New Roman" w:cs="Times New Roman"/>
          <w:b/>
          <w:bCs/>
          <w:noProof/>
          <w:sz w:val="24"/>
          <w:szCs w:val="24"/>
          <w:lang w:val="en-GB"/>
        </w:rPr>
        <w:t>is</w:t>
      </w:r>
      <w:r w:rsidR="0E1FF6B1" w:rsidRPr="00E76013">
        <w:rPr>
          <w:rFonts w:ascii="Times New Roman" w:eastAsia="Times New Roman" w:hAnsi="Times New Roman" w:cs="Times New Roman"/>
          <w:b/>
          <w:bCs/>
          <w:noProof/>
          <w:sz w:val="24"/>
          <w:szCs w:val="24"/>
          <w:lang w:val="en-GB"/>
        </w:rPr>
        <w:t xml:space="preserve"> allocated</w:t>
      </w:r>
      <w:r w:rsidRPr="00E76013">
        <w:rPr>
          <w:rFonts w:ascii="Times New Roman" w:eastAsia="Times New Roman" w:hAnsi="Times New Roman" w:cs="Times New Roman"/>
          <w:b/>
          <w:bCs/>
          <w:noProof/>
          <w:sz w:val="24"/>
          <w:szCs w:val="24"/>
          <w:lang w:val="en-GB"/>
        </w:rPr>
        <w:t>.</w:t>
      </w:r>
      <w:r w:rsidR="004F2DAB">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sz w:val="24"/>
          <w:szCs w:val="24"/>
          <w:lang w:val="en-GB"/>
        </w:rPr>
        <w:t xml:space="preserve">Bulgaria has provided </w:t>
      </w:r>
      <w:r w:rsidRPr="0B0DBA64">
        <w:rPr>
          <w:rFonts w:ascii="Times New Roman" w:eastAsia="Times New Roman" w:hAnsi="Times New Roman" w:cs="Times New Roman"/>
          <w:noProof/>
          <w:sz w:val="24"/>
          <w:szCs w:val="24"/>
          <w:lang w:val="en-GB"/>
        </w:rPr>
        <w:t>generally</w:t>
      </w:r>
      <w:r w:rsidRPr="00E76013">
        <w:rPr>
          <w:rFonts w:ascii="Times New Roman" w:eastAsia="Times New Roman" w:hAnsi="Times New Roman" w:cs="Times New Roman"/>
          <w:noProof/>
          <w:sz w:val="24"/>
          <w:szCs w:val="24"/>
          <w:lang w:val="en-GB"/>
        </w:rPr>
        <w:t xml:space="preserve"> clear and sufficient information to justify the cost estimates </w:t>
      </w:r>
      <w:r w:rsidRPr="7B7E5FA4">
        <w:rPr>
          <w:rFonts w:ascii="Times New Roman" w:eastAsia="Times New Roman" w:hAnsi="Times New Roman" w:cs="Times New Roman"/>
          <w:noProof/>
          <w:sz w:val="24"/>
          <w:szCs w:val="24"/>
          <w:lang w:val="en-GB"/>
        </w:rPr>
        <w:t xml:space="preserve">for each measure in the </w:t>
      </w:r>
      <w:r w:rsidRPr="00E76013">
        <w:rPr>
          <w:rFonts w:ascii="Times New Roman" w:eastAsia="Times New Roman" w:hAnsi="Times New Roman" w:cs="Times New Roman"/>
          <w:noProof/>
          <w:sz w:val="24"/>
          <w:szCs w:val="24"/>
          <w:lang w:val="en-GB"/>
        </w:rPr>
        <w:t>plan</w:t>
      </w:r>
      <w:r w:rsidRPr="7B7E5FA4">
        <w:rPr>
          <w:rFonts w:ascii="Times New Roman" w:eastAsia="Times New Roman" w:hAnsi="Times New Roman" w:cs="Times New Roman"/>
          <w:noProof/>
          <w:sz w:val="24"/>
          <w:szCs w:val="24"/>
          <w:lang w:val="en-GB"/>
        </w:rPr>
        <w:t xml:space="preserve"> that </w:t>
      </w:r>
      <w:r w:rsidRPr="59C819FE">
        <w:rPr>
          <w:rFonts w:ascii="Times New Roman" w:eastAsia="Times New Roman" w:hAnsi="Times New Roman" w:cs="Times New Roman"/>
          <w:noProof/>
          <w:sz w:val="24"/>
          <w:szCs w:val="24"/>
          <w:lang w:val="en-GB"/>
        </w:rPr>
        <w:t>has an associated cost</w:t>
      </w:r>
      <w:r w:rsidRPr="00E76013">
        <w:rPr>
          <w:rFonts w:ascii="Times New Roman" w:eastAsia="Times New Roman" w:hAnsi="Times New Roman" w:cs="Times New Roman"/>
          <w:noProof/>
          <w:sz w:val="24"/>
          <w:szCs w:val="24"/>
          <w:lang w:val="en-GB"/>
        </w:rPr>
        <w:t xml:space="preserve">, </w:t>
      </w:r>
      <w:r w:rsidR="00E26D9C">
        <w:rPr>
          <w:rFonts w:ascii="Times New Roman" w:eastAsia="Times New Roman" w:hAnsi="Times New Roman" w:cs="Times New Roman"/>
          <w:noProof/>
          <w:sz w:val="24"/>
          <w:szCs w:val="24"/>
          <w:lang w:val="en-GB"/>
        </w:rPr>
        <w:t xml:space="preserve">and </w:t>
      </w:r>
      <w:r w:rsidRPr="00E76013">
        <w:rPr>
          <w:rFonts w:ascii="Times New Roman" w:eastAsia="Times New Roman" w:hAnsi="Times New Roman" w:cs="Times New Roman"/>
          <w:noProof/>
          <w:sz w:val="24"/>
          <w:szCs w:val="24"/>
          <w:lang w:val="en-GB"/>
        </w:rPr>
        <w:t>where necessary at the sub-investment level.</w:t>
      </w:r>
      <w:r w:rsidR="004F2DAB">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The evidence provided by Bulgaria is sufficient to </w:t>
      </w:r>
      <w:r w:rsidR="4884F651" w:rsidRPr="00E76013">
        <w:rPr>
          <w:rFonts w:ascii="Times New Roman" w:eastAsia="Times New Roman" w:hAnsi="Times New Roman" w:cs="Times New Roman"/>
          <w:noProof/>
          <w:sz w:val="24"/>
          <w:szCs w:val="24"/>
          <w:lang w:val="en-GB"/>
        </w:rPr>
        <w:t>conclude</w:t>
      </w:r>
      <w:r w:rsidRPr="00E76013">
        <w:rPr>
          <w:rFonts w:ascii="Times New Roman" w:eastAsia="Times New Roman" w:hAnsi="Times New Roman" w:cs="Times New Roman"/>
          <w:noProof/>
          <w:sz w:val="24"/>
          <w:szCs w:val="24"/>
          <w:lang w:val="en-GB"/>
        </w:rPr>
        <w:t xml:space="preserve"> that </w:t>
      </w:r>
      <w:r w:rsidR="4884F651" w:rsidRPr="00E76013">
        <w:rPr>
          <w:rFonts w:ascii="Times New Roman" w:eastAsia="Times New Roman" w:hAnsi="Times New Roman" w:cs="Times New Roman"/>
          <w:noProof/>
          <w:sz w:val="24"/>
          <w:szCs w:val="24"/>
          <w:lang w:val="en-GB"/>
        </w:rPr>
        <w:t xml:space="preserve">the </w:t>
      </w:r>
      <w:r w:rsidR="7B02934B" w:rsidRPr="3055C757">
        <w:rPr>
          <w:rFonts w:ascii="Times New Roman" w:eastAsia="Times New Roman" w:hAnsi="Times New Roman" w:cs="Times New Roman"/>
          <w:noProof/>
          <w:sz w:val="24"/>
          <w:szCs w:val="24"/>
          <w:lang w:val="en-GB"/>
        </w:rPr>
        <w:t>estimated total cost of the plan is</w:t>
      </w:r>
      <w:r w:rsidR="4884F651" w:rsidRPr="00E76013">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reasonable and plausible</w:t>
      </w:r>
      <w:r w:rsidR="4FB6F35C" w:rsidRPr="3055C757">
        <w:rPr>
          <w:rFonts w:ascii="Times New Roman" w:eastAsia="Times New Roman" w:hAnsi="Times New Roman" w:cs="Times New Roman"/>
          <w:noProof/>
          <w:sz w:val="24"/>
          <w:szCs w:val="24"/>
          <w:lang w:val="en-GB"/>
        </w:rPr>
        <w:t xml:space="preserve"> </w:t>
      </w:r>
      <w:r w:rsidRPr="00E76013">
        <w:rPr>
          <w:rFonts w:ascii="Times New Roman" w:eastAsia="Times New Roman" w:hAnsi="Times New Roman" w:cs="Times New Roman"/>
          <w:noProof/>
          <w:sz w:val="24"/>
          <w:szCs w:val="24"/>
          <w:lang w:val="en-GB"/>
        </w:rPr>
        <w:t xml:space="preserve">and in line with the nature and type of </w:t>
      </w:r>
      <w:r w:rsidR="00E26D9C">
        <w:rPr>
          <w:rFonts w:ascii="Times New Roman" w:eastAsia="Times New Roman" w:hAnsi="Times New Roman" w:cs="Times New Roman"/>
          <w:noProof/>
          <w:sz w:val="24"/>
          <w:szCs w:val="24"/>
          <w:lang w:val="en-GB"/>
        </w:rPr>
        <w:t xml:space="preserve">the </w:t>
      </w:r>
      <w:r w:rsidRPr="00E76013">
        <w:rPr>
          <w:rFonts w:ascii="Times New Roman" w:eastAsia="Times New Roman" w:hAnsi="Times New Roman" w:cs="Times New Roman"/>
          <w:noProof/>
          <w:sz w:val="24"/>
          <w:szCs w:val="24"/>
          <w:lang w:val="en-GB"/>
        </w:rPr>
        <w:t xml:space="preserve">envisaged </w:t>
      </w:r>
      <w:r w:rsidR="4FB6F35C" w:rsidRPr="3055C757">
        <w:rPr>
          <w:rFonts w:ascii="Times New Roman" w:eastAsia="Times New Roman" w:hAnsi="Times New Roman" w:cs="Times New Roman"/>
          <w:noProof/>
          <w:sz w:val="24"/>
          <w:szCs w:val="24"/>
          <w:lang w:val="en-GB"/>
        </w:rPr>
        <w:t>measures.</w:t>
      </w:r>
      <w:r w:rsidRPr="00E76013">
        <w:rPr>
          <w:rFonts w:ascii="Times New Roman" w:eastAsia="Times New Roman" w:hAnsi="Times New Roman" w:cs="Times New Roman"/>
          <w:noProof/>
          <w:color w:val="000000" w:themeColor="text1"/>
          <w:sz w:val="24"/>
          <w:szCs w:val="24"/>
          <w:lang w:val="en-IE"/>
        </w:rPr>
        <w:t xml:space="preserve"> For </w:t>
      </w:r>
      <w:r w:rsidRPr="0B0DBA64">
        <w:rPr>
          <w:rFonts w:ascii="Times New Roman" w:eastAsia="Times New Roman" w:hAnsi="Times New Roman" w:cs="Times New Roman"/>
          <w:noProof/>
          <w:color w:val="000000" w:themeColor="text1"/>
          <w:sz w:val="24"/>
          <w:szCs w:val="24"/>
          <w:lang w:val="en-IE"/>
        </w:rPr>
        <w:t>the majority of</w:t>
      </w:r>
      <w:r w:rsidRPr="00E76013">
        <w:rPr>
          <w:rFonts w:ascii="Times New Roman" w:eastAsia="Times New Roman" w:hAnsi="Times New Roman" w:cs="Times New Roman"/>
          <w:noProof/>
          <w:color w:val="000000" w:themeColor="text1"/>
          <w:sz w:val="24"/>
          <w:szCs w:val="24"/>
          <w:lang w:val="en-IE"/>
        </w:rPr>
        <w:t xml:space="preserve"> </w:t>
      </w:r>
      <w:r w:rsidRPr="042D08E0">
        <w:rPr>
          <w:rFonts w:ascii="Times New Roman" w:eastAsia="Times New Roman" w:hAnsi="Times New Roman" w:cs="Times New Roman"/>
          <w:noProof/>
          <w:color w:val="000000" w:themeColor="text1"/>
          <w:sz w:val="24"/>
          <w:szCs w:val="24"/>
          <w:lang w:val="en-IE"/>
        </w:rPr>
        <w:t>measures</w:t>
      </w:r>
      <w:r w:rsidRPr="00E76013">
        <w:rPr>
          <w:rFonts w:ascii="Times New Roman" w:eastAsia="Times New Roman" w:hAnsi="Times New Roman" w:cs="Times New Roman"/>
          <w:noProof/>
          <w:color w:val="000000" w:themeColor="text1"/>
          <w:sz w:val="24"/>
          <w:szCs w:val="24"/>
          <w:lang w:val="en-IE"/>
        </w:rPr>
        <w:t xml:space="preserve">, calculations behind the cost estimates are provided, and </w:t>
      </w:r>
      <w:r w:rsidRPr="042D08E0">
        <w:rPr>
          <w:rFonts w:ascii="Times New Roman" w:eastAsia="Times New Roman" w:hAnsi="Times New Roman" w:cs="Times New Roman"/>
          <w:noProof/>
          <w:color w:val="000000" w:themeColor="text1"/>
          <w:sz w:val="24"/>
          <w:szCs w:val="24"/>
          <w:lang w:val="en-IE"/>
        </w:rPr>
        <w:t>whenever available</w:t>
      </w:r>
      <w:r w:rsidRPr="00E76013">
        <w:rPr>
          <w:rFonts w:ascii="Times New Roman" w:eastAsia="Times New Roman" w:hAnsi="Times New Roman" w:cs="Times New Roman"/>
          <w:noProof/>
          <w:color w:val="000000" w:themeColor="text1"/>
          <w:sz w:val="24"/>
          <w:szCs w:val="24"/>
          <w:lang w:val="en-IE"/>
        </w:rPr>
        <w:t xml:space="preserve">, comparative cost data </w:t>
      </w:r>
      <w:r w:rsidRPr="042D08E0">
        <w:rPr>
          <w:rFonts w:ascii="Times New Roman" w:eastAsia="Times New Roman" w:hAnsi="Times New Roman" w:cs="Times New Roman"/>
          <w:noProof/>
          <w:color w:val="000000" w:themeColor="text1"/>
          <w:sz w:val="24"/>
          <w:szCs w:val="24"/>
          <w:lang w:val="en-IE"/>
        </w:rPr>
        <w:t>are</w:t>
      </w:r>
      <w:r w:rsidRPr="00E76013">
        <w:rPr>
          <w:rFonts w:ascii="Times New Roman" w:eastAsia="Times New Roman" w:hAnsi="Times New Roman" w:cs="Times New Roman"/>
          <w:noProof/>
          <w:color w:val="000000" w:themeColor="text1"/>
          <w:sz w:val="24"/>
          <w:szCs w:val="24"/>
          <w:lang w:val="en-IE"/>
        </w:rPr>
        <w:t xml:space="preserve"> provided.</w:t>
      </w:r>
      <w:r w:rsidRPr="00E76013">
        <w:rPr>
          <w:rFonts w:ascii="Calibri" w:eastAsia="Calibri" w:hAnsi="Calibri" w:cs="Calibri"/>
          <w:noProof/>
          <w:lang w:val="en-IE"/>
        </w:rPr>
        <w:t xml:space="preserve"> </w:t>
      </w:r>
      <w:r w:rsidR="0B0DBA64" w:rsidRPr="0B0DBA64">
        <w:rPr>
          <w:rFonts w:ascii="Times New Roman" w:eastAsia="Times New Roman" w:hAnsi="Times New Roman" w:cs="Times New Roman"/>
          <w:noProof/>
          <w:color w:val="000000" w:themeColor="text1"/>
          <w:sz w:val="24"/>
          <w:szCs w:val="24"/>
          <w:lang w:val="en-IE"/>
        </w:rPr>
        <w:t xml:space="preserve">For certain measures, more details could have been provided to determine how the final budget was computed. </w:t>
      </w:r>
      <w:r w:rsidRPr="00E76013">
        <w:rPr>
          <w:rFonts w:ascii="Times New Roman" w:eastAsia="Times New Roman" w:hAnsi="Times New Roman" w:cs="Times New Roman"/>
          <w:noProof/>
          <w:color w:val="000000" w:themeColor="text1"/>
          <w:sz w:val="24"/>
          <w:szCs w:val="24"/>
          <w:lang w:val="en-IE"/>
        </w:rPr>
        <w:t>For demand-driven measures (such as investments in energy efficiency in buildings, or support programmes for businesses), a reference to the full budgetary execution, and, where appropriate, to the expected</w:t>
      </w:r>
      <w:r w:rsidR="11BBDCE2" w:rsidRPr="00E76013">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 xml:space="preserve">number of beneficiaries, have been included, providing further reassurance with regards to the cost estimates. The cost estimates of the </w:t>
      </w:r>
      <w:r w:rsidR="00AE1A18" w:rsidRPr="00E76013">
        <w:rPr>
          <w:rFonts w:ascii="Times New Roman" w:eastAsia="Times New Roman" w:hAnsi="Times New Roman" w:cs="Times New Roman"/>
          <w:noProof/>
          <w:color w:val="000000" w:themeColor="text1"/>
          <w:sz w:val="24"/>
          <w:szCs w:val="24"/>
          <w:lang w:val="en-IE"/>
        </w:rPr>
        <w:t>Plan</w:t>
      </w:r>
      <w:r w:rsidRPr="00E76013">
        <w:rPr>
          <w:rFonts w:ascii="Times New Roman" w:eastAsia="Times New Roman" w:hAnsi="Times New Roman" w:cs="Times New Roman"/>
          <w:noProof/>
          <w:color w:val="000000" w:themeColor="text1"/>
          <w:sz w:val="24"/>
          <w:szCs w:val="24"/>
          <w:lang w:val="en-IE"/>
        </w:rPr>
        <w:t xml:space="preserve"> ha</w:t>
      </w:r>
      <w:r w:rsidR="23C0D95F" w:rsidRPr="00E76013">
        <w:rPr>
          <w:rFonts w:ascii="Times New Roman" w:eastAsia="Times New Roman" w:hAnsi="Times New Roman" w:cs="Times New Roman"/>
          <w:noProof/>
          <w:color w:val="000000" w:themeColor="text1"/>
          <w:sz w:val="24"/>
          <w:szCs w:val="24"/>
          <w:lang w:val="en-IE"/>
        </w:rPr>
        <w:t>ve</w:t>
      </w:r>
      <w:r w:rsidRPr="00E76013">
        <w:rPr>
          <w:rFonts w:ascii="Times New Roman" w:eastAsia="Times New Roman" w:hAnsi="Times New Roman" w:cs="Times New Roman"/>
          <w:noProof/>
          <w:color w:val="000000" w:themeColor="text1"/>
          <w:sz w:val="24"/>
          <w:szCs w:val="24"/>
          <w:lang w:val="en-IE"/>
        </w:rPr>
        <w:t xml:space="preserve"> been reviewed by the Bulgarian </w:t>
      </w:r>
      <w:r w:rsidR="5F168B5B" w:rsidRPr="00E76013">
        <w:rPr>
          <w:rFonts w:ascii="Times New Roman" w:eastAsia="Times New Roman" w:hAnsi="Times New Roman" w:cs="Times New Roman"/>
          <w:noProof/>
          <w:color w:val="000000" w:themeColor="text1"/>
          <w:sz w:val="24"/>
          <w:szCs w:val="24"/>
          <w:lang w:val="en-IE"/>
        </w:rPr>
        <w:t>Executive Agency for European Funds Audit</w:t>
      </w:r>
      <w:r w:rsidRPr="00E76013">
        <w:rPr>
          <w:rFonts w:ascii="Times New Roman" w:eastAsia="Times New Roman" w:hAnsi="Times New Roman" w:cs="Times New Roman"/>
          <w:noProof/>
          <w:color w:val="000000" w:themeColor="text1"/>
          <w:sz w:val="24"/>
          <w:szCs w:val="24"/>
          <w:lang w:val="en-IE"/>
        </w:rPr>
        <w:t xml:space="preserve">, </w:t>
      </w:r>
      <w:r w:rsidR="00DB05B9" w:rsidRPr="00E76013">
        <w:rPr>
          <w:rFonts w:ascii="Times New Roman" w:eastAsia="Times New Roman" w:hAnsi="Times New Roman" w:cs="Times New Roman"/>
          <w:noProof/>
          <w:color w:val="000000" w:themeColor="text1"/>
          <w:sz w:val="24"/>
          <w:szCs w:val="24"/>
          <w:lang w:val="en-IE"/>
        </w:rPr>
        <w:t>wh</w:t>
      </w:r>
      <w:r w:rsidR="00DB05B9">
        <w:rPr>
          <w:rFonts w:ascii="Times New Roman" w:eastAsia="Times New Roman" w:hAnsi="Times New Roman" w:cs="Times New Roman"/>
          <w:noProof/>
          <w:color w:val="000000" w:themeColor="text1"/>
          <w:sz w:val="24"/>
          <w:szCs w:val="24"/>
          <w:lang w:val="en-IE"/>
        </w:rPr>
        <w:t>ich</w:t>
      </w:r>
      <w:r w:rsidR="00DB05B9" w:rsidRPr="00E76013">
        <w:rPr>
          <w:rFonts w:ascii="Times New Roman" w:eastAsia="Times New Roman" w:hAnsi="Times New Roman" w:cs="Times New Roman"/>
          <w:noProof/>
          <w:color w:val="000000" w:themeColor="text1"/>
          <w:sz w:val="24"/>
          <w:szCs w:val="24"/>
          <w:lang w:val="en-IE"/>
        </w:rPr>
        <w:t xml:space="preserve"> </w:t>
      </w:r>
      <w:r w:rsidR="5F168B5B" w:rsidRPr="00E76013">
        <w:rPr>
          <w:rFonts w:ascii="Times New Roman" w:eastAsia="Times New Roman" w:hAnsi="Times New Roman" w:cs="Times New Roman"/>
          <w:noProof/>
          <w:color w:val="000000" w:themeColor="text1"/>
          <w:sz w:val="24"/>
          <w:szCs w:val="24"/>
          <w:lang w:val="en-IE"/>
        </w:rPr>
        <w:t>stated</w:t>
      </w:r>
      <w:r w:rsidRPr="00E76013">
        <w:rPr>
          <w:rFonts w:ascii="Times New Roman" w:eastAsia="Times New Roman" w:hAnsi="Times New Roman" w:cs="Times New Roman"/>
          <w:noProof/>
          <w:color w:val="000000" w:themeColor="text1"/>
          <w:sz w:val="24"/>
          <w:szCs w:val="24"/>
          <w:lang w:val="en-IE"/>
        </w:rPr>
        <w:t xml:space="preserve"> that the cost estimates </w:t>
      </w:r>
      <w:r w:rsidR="00E26D9C">
        <w:rPr>
          <w:rFonts w:ascii="Times New Roman" w:eastAsia="Times New Roman" w:hAnsi="Times New Roman" w:cs="Times New Roman"/>
          <w:noProof/>
          <w:color w:val="000000" w:themeColor="text1"/>
          <w:sz w:val="24"/>
          <w:szCs w:val="24"/>
          <w:lang w:val="en-IE"/>
        </w:rPr>
        <w:t xml:space="preserve">are </w:t>
      </w:r>
      <w:r w:rsidRPr="00E76013">
        <w:rPr>
          <w:rFonts w:ascii="Times New Roman" w:eastAsia="Times New Roman" w:hAnsi="Times New Roman" w:cs="Times New Roman"/>
          <w:noProof/>
          <w:color w:val="000000" w:themeColor="text1"/>
          <w:sz w:val="24"/>
          <w:szCs w:val="24"/>
          <w:lang w:val="en-IE"/>
        </w:rPr>
        <w:t xml:space="preserve">complete, reasonable and plausible within the meaning of the Recovery and Resilience Facility regulation, and </w:t>
      </w:r>
      <w:r w:rsidR="5F168B5B" w:rsidRPr="00E76013">
        <w:rPr>
          <w:rFonts w:ascii="Times New Roman" w:eastAsia="Times New Roman" w:hAnsi="Times New Roman" w:cs="Times New Roman"/>
          <w:noProof/>
          <w:color w:val="000000" w:themeColor="text1"/>
          <w:sz w:val="24"/>
          <w:szCs w:val="24"/>
          <w:lang w:val="en-IE"/>
        </w:rPr>
        <w:t>they do not have any other source of</w:t>
      </w:r>
      <w:r w:rsidRPr="00E76013">
        <w:rPr>
          <w:rFonts w:ascii="Times New Roman" w:eastAsia="Times New Roman" w:hAnsi="Times New Roman" w:cs="Times New Roman"/>
          <w:noProof/>
          <w:color w:val="000000" w:themeColor="text1"/>
          <w:sz w:val="24"/>
          <w:szCs w:val="24"/>
          <w:lang w:val="en-IE"/>
        </w:rPr>
        <w:t xml:space="preserve"> funding. </w:t>
      </w:r>
    </w:p>
    <w:p w14:paraId="5DC9D73C" w14:textId="664BCD2A" w:rsidR="2B0008AD" w:rsidRDefault="7F86EC3F" w:rsidP="008963AA">
      <w:pPr>
        <w:spacing w:line="276" w:lineRule="auto"/>
        <w:jc w:val="both"/>
        <w:rPr>
          <w:rFonts w:ascii="Times New Roman" w:eastAsia="Times New Roman" w:hAnsi="Times New Roman" w:cs="Times New Roman"/>
          <w:noProof/>
          <w:color w:val="000000" w:themeColor="text1"/>
          <w:sz w:val="24"/>
          <w:szCs w:val="24"/>
          <w:lang w:val="en-IE"/>
        </w:rPr>
      </w:pPr>
      <w:r w:rsidRPr="00E76013">
        <w:rPr>
          <w:rFonts w:ascii="Times New Roman" w:eastAsia="Times New Roman" w:hAnsi="Times New Roman" w:cs="Times New Roman"/>
          <w:b/>
          <w:bCs/>
          <w:noProof/>
          <w:color w:val="000000" w:themeColor="text1"/>
          <w:sz w:val="24"/>
          <w:szCs w:val="24"/>
          <w:lang w:val="en-IE"/>
        </w:rPr>
        <w:t>Evidence was provided establishing the eligibility of the costs.</w:t>
      </w:r>
      <w:r w:rsidRPr="00E76013">
        <w:rPr>
          <w:rFonts w:ascii="Times New Roman" w:eastAsia="Times New Roman" w:hAnsi="Times New Roman" w:cs="Times New Roman"/>
          <w:noProof/>
          <w:color w:val="000000" w:themeColor="text1"/>
          <w:sz w:val="24"/>
          <w:szCs w:val="24"/>
          <w:lang w:val="en-IE"/>
        </w:rPr>
        <w:t xml:space="preserve"> All costs are incurred after February 2020 and do not substitute recurring national budgetary expenditure, unless in a limited number of duly justified cases in which the </w:t>
      </w:r>
      <w:r w:rsidR="00AE1A18" w:rsidRPr="00E76013">
        <w:rPr>
          <w:rFonts w:ascii="Times New Roman" w:eastAsia="Times New Roman" w:hAnsi="Times New Roman" w:cs="Times New Roman"/>
          <w:noProof/>
          <w:color w:val="000000" w:themeColor="text1"/>
          <w:sz w:val="24"/>
          <w:szCs w:val="24"/>
          <w:lang w:val="en-IE"/>
        </w:rPr>
        <w:t>P</w:t>
      </w:r>
      <w:r w:rsidRPr="00E76013">
        <w:rPr>
          <w:rFonts w:ascii="Times New Roman" w:eastAsia="Times New Roman" w:hAnsi="Times New Roman" w:cs="Times New Roman"/>
          <w:noProof/>
          <w:color w:val="000000" w:themeColor="text1"/>
          <w:sz w:val="24"/>
          <w:szCs w:val="24"/>
          <w:lang w:val="en-IE"/>
        </w:rPr>
        <w:t xml:space="preserve">lan includes labour costs for temporarily recruited civil servants whose work is essential to the successful implementation of </w:t>
      </w:r>
      <w:r w:rsidRPr="042D08E0">
        <w:rPr>
          <w:rFonts w:ascii="Times New Roman" w:eastAsia="Times New Roman" w:hAnsi="Times New Roman" w:cs="Times New Roman"/>
          <w:noProof/>
          <w:color w:val="000000" w:themeColor="text1"/>
          <w:sz w:val="24"/>
          <w:szCs w:val="24"/>
          <w:lang w:val="en-IE"/>
        </w:rPr>
        <w:t>the measures</w:t>
      </w:r>
      <w:r w:rsidR="4AF7FDDC" w:rsidRPr="042D08E0">
        <w:rPr>
          <w:rFonts w:ascii="Times New Roman" w:eastAsia="Times New Roman" w:hAnsi="Times New Roman" w:cs="Times New Roman"/>
          <w:noProof/>
          <w:color w:val="000000" w:themeColor="text1"/>
          <w:sz w:val="24"/>
          <w:szCs w:val="24"/>
          <w:lang w:val="en-IE"/>
        </w:rPr>
        <w:t>.</w:t>
      </w:r>
      <w:r w:rsidRPr="00E76013">
        <w:rPr>
          <w:rFonts w:ascii="Times New Roman" w:eastAsia="Times New Roman" w:hAnsi="Times New Roman" w:cs="Times New Roman"/>
          <w:noProof/>
          <w:color w:val="000000" w:themeColor="text1"/>
          <w:sz w:val="24"/>
          <w:szCs w:val="24"/>
          <w:lang w:val="en-IE"/>
        </w:rPr>
        <w:t xml:space="preserve"> Value added tax has been consistently excluded from the calculations behind all </w:t>
      </w:r>
      <w:r w:rsidR="2C56D787" w:rsidRPr="00E76013">
        <w:rPr>
          <w:rFonts w:ascii="Times New Roman" w:eastAsia="Times New Roman" w:hAnsi="Times New Roman" w:cs="Times New Roman"/>
          <w:noProof/>
          <w:color w:val="000000" w:themeColor="text1"/>
          <w:sz w:val="24"/>
          <w:szCs w:val="24"/>
          <w:lang w:val="en-IE"/>
        </w:rPr>
        <w:t>investments.</w:t>
      </w:r>
      <w:r w:rsidRPr="00E76013">
        <w:rPr>
          <w:rFonts w:ascii="Times New Roman" w:eastAsia="Times New Roman" w:hAnsi="Times New Roman" w:cs="Times New Roman"/>
          <w:noProof/>
          <w:color w:val="000000" w:themeColor="text1"/>
          <w:sz w:val="24"/>
          <w:szCs w:val="24"/>
          <w:lang w:val="en-IE"/>
        </w:rPr>
        <w:t xml:space="preserve"> </w:t>
      </w:r>
      <w:r w:rsidRPr="2C149C8E">
        <w:rPr>
          <w:rFonts w:ascii="Times New Roman" w:eastAsia="Times New Roman" w:hAnsi="Times New Roman" w:cs="Times New Roman"/>
          <w:noProof/>
          <w:color w:val="000000" w:themeColor="text1"/>
          <w:sz w:val="24"/>
          <w:szCs w:val="24"/>
          <w:lang w:val="en-IE"/>
        </w:rPr>
        <w:t xml:space="preserve">For the large majority of measures, </w:t>
      </w:r>
      <w:r w:rsidRPr="2C149C8E">
        <w:rPr>
          <w:rFonts w:ascii="Times New Roman" w:eastAsia="Times New Roman" w:hAnsi="Times New Roman" w:cs="Times New Roman"/>
          <w:noProof/>
          <w:sz w:val="24"/>
          <w:szCs w:val="24"/>
          <w:lang w:val="en-GB"/>
        </w:rPr>
        <w:t>cost</w:t>
      </w:r>
      <w:r w:rsidRPr="00E76013">
        <w:rPr>
          <w:rFonts w:ascii="Times New Roman" w:eastAsia="Times New Roman" w:hAnsi="Times New Roman" w:cs="Times New Roman"/>
          <w:noProof/>
          <w:sz w:val="24"/>
          <w:szCs w:val="24"/>
          <w:lang w:val="en-GB"/>
        </w:rPr>
        <w:t xml:space="preserve"> estimates are detailed and well-substantiated and based on a variety of sources, including previous investments of similar types</w:t>
      </w:r>
      <w:r w:rsidRPr="042D08E0">
        <w:rPr>
          <w:rFonts w:ascii="Times New Roman" w:eastAsia="Times New Roman" w:hAnsi="Times New Roman" w:cs="Times New Roman"/>
          <w:noProof/>
          <w:sz w:val="24"/>
          <w:szCs w:val="24"/>
          <w:lang w:val="en-GB"/>
        </w:rPr>
        <w:t>. W</w:t>
      </w:r>
      <w:r w:rsidRPr="00E76013">
        <w:rPr>
          <w:rFonts w:ascii="Times New Roman" w:eastAsia="Times New Roman" w:hAnsi="Times New Roman" w:cs="Times New Roman"/>
          <w:noProof/>
          <w:sz w:val="24"/>
          <w:szCs w:val="24"/>
          <w:lang w:val="en-GB"/>
        </w:rPr>
        <w:t>here information on previous similar investments was not available, price quotes and, in a few rare cases, publicly available pricing information</w:t>
      </w:r>
      <w:r w:rsidRPr="042D08E0">
        <w:rPr>
          <w:rFonts w:ascii="Times New Roman" w:eastAsia="Times New Roman" w:hAnsi="Times New Roman" w:cs="Times New Roman"/>
          <w:noProof/>
          <w:sz w:val="24"/>
          <w:szCs w:val="24"/>
          <w:lang w:val="en-GB"/>
        </w:rPr>
        <w:t xml:space="preserve"> was provided.</w:t>
      </w:r>
      <w:r w:rsidRPr="00E76013">
        <w:rPr>
          <w:rFonts w:ascii="Times New Roman" w:eastAsia="Times New Roman" w:hAnsi="Times New Roman" w:cs="Times New Roman"/>
          <w:b/>
          <w:bCs/>
          <w:noProof/>
          <w:sz w:val="24"/>
          <w:szCs w:val="24"/>
          <w:lang w:val="en-GB"/>
        </w:rPr>
        <w:t xml:space="preserve"> </w:t>
      </w:r>
      <w:r w:rsidRPr="00E76013">
        <w:rPr>
          <w:rFonts w:ascii="Times New Roman" w:eastAsia="Times New Roman" w:hAnsi="Times New Roman" w:cs="Times New Roman"/>
          <w:noProof/>
          <w:color w:val="000000" w:themeColor="text1"/>
          <w:sz w:val="24"/>
          <w:szCs w:val="24"/>
          <w:lang w:val="en-IE"/>
        </w:rPr>
        <w:t xml:space="preserve">The template tables are duly completed with the necessary costing information on the methodology and are consistent with the project fiches. </w:t>
      </w:r>
    </w:p>
    <w:p w14:paraId="1E583D5E" w14:textId="34F77B8D" w:rsidR="2B0008AD" w:rsidRPr="00E76013" w:rsidRDefault="7F86EC3F" w:rsidP="008963AA">
      <w:pPr>
        <w:spacing w:line="276" w:lineRule="auto"/>
        <w:jc w:val="both"/>
        <w:rPr>
          <w:noProof/>
        </w:rPr>
      </w:pPr>
      <w:r w:rsidRPr="00E76013">
        <w:rPr>
          <w:rFonts w:ascii="Times New Roman" w:eastAsia="Times New Roman" w:hAnsi="Times New Roman" w:cs="Times New Roman"/>
          <w:i/>
          <w:iCs/>
          <w:noProof/>
          <w:color w:val="000000" w:themeColor="text1"/>
          <w:sz w:val="24"/>
          <w:szCs w:val="24"/>
          <w:lang w:val="en-IE"/>
        </w:rPr>
        <w:t>Reasonable costs</w:t>
      </w:r>
    </w:p>
    <w:p w14:paraId="3F5DEE51" w14:textId="7371D92E" w:rsidR="2B0008AD" w:rsidRPr="00E76013" w:rsidRDefault="7F86EC3F" w:rsidP="008963AA">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color w:val="000000" w:themeColor="text1"/>
          <w:sz w:val="24"/>
          <w:szCs w:val="24"/>
          <w:lang w:val="en-IE"/>
        </w:rPr>
        <w:t xml:space="preserve">Cost estimates for most of the measures in the </w:t>
      </w:r>
      <w:r w:rsidR="000B4E29" w:rsidRPr="00E76013">
        <w:rPr>
          <w:rFonts w:ascii="Times New Roman" w:eastAsia="Times New Roman" w:hAnsi="Times New Roman" w:cs="Times New Roman"/>
          <w:b/>
          <w:bCs/>
          <w:noProof/>
          <w:color w:val="000000" w:themeColor="text1"/>
          <w:sz w:val="24"/>
          <w:szCs w:val="24"/>
          <w:lang w:val="en-IE"/>
        </w:rPr>
        <w:t>P</w:t>
      </w:r>
      <w:r w:rsidRPr="00E76013">
        <w:rPr>
          <w:rFonts w:ascii="Times New Roman" w:eastAsia="Times New Roman" w:hAnsi="Times New Roman" w:cs="Times New Roman"/>
          <w:b/>
          <w:bCs/>
          <w:noProof/>
          <w:color w:val="000000" w:themeColor="text1"/>
          <w:sz w:val="24"/>
          <w:szCs w:val="24"/>
          <w:lang w:val="en-IE"/>
        </w:rPr>
        <w:t>lan are reasonable.</w:t>
      </w:r>
      <w:r w:rsidR="004F2DAB">
        <w:rPr>
          <w:rFonts w:ascii="Times New Roman" w:eastAsia="Times New Roman" w:hAnsi="Times New Roman" w:cs="Times New Roman"/>
          <w:b/>
          <w:bCs/>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 xml:space="preserve">In the majority of cases, the cost estimates are presented clearly and are appropriate for the specific investments. They are clear and understandable, although the level of details provided varies across components and measures. </w:t>
      </w:r>
      <w:r w:rsidRPr="2C149C8E">
        <w:rPr>
          <w:rFonts w:ascii="Times New Roman" w:eastAsia="Times New Roman" w:hAnsi="Times New Roman" w:cs="Times New Roman"/>
          <w:noProof/>
          <w:color w:val="000000" w:themeColor="text1"/>
          <w:sz w:val="24"/>
          <w:szCs w:val="24"/>
          <w:lang w:val="en-IE"/>
        </w:rPr>
        <w:t>For the large majority of measures, it</w:t>
      </w:r>
      <w:r w:rsidRPr="00E76013">
        <w:rPr>
          <w:rFonts w:ascii="Times New Roman" w:eastAsia="Times New Roman" w:hAnsi="Times New Roman" w:cs="Times New Roman"/>
          <w:noProof/>
          <w:color w:val="000000" w:themeColor="text1"/>
          <w:sz w:val="24"/>
          <w:szCs w:val="24"/>
          <w:lang w:val="en-IE"/>
        </w:rPr>
        <w:t xml:space="preserve"> is clear from the document and its annexes how Bulgaria calculated the </w:t>
      </w:r>
      <w:r w:rsidRPr="186E905F">
        <w:rPr>
          <w:rFonts w:ascii="Times New Roman" w:eastAsia="Times New Roman" w:hAnsi="Times New Roman" w:cs="Times New Roman"/>
          <w:noProof/>
          <w:color w:val="000000" w:themeColor="text1"/>
          <w:sz w:val="24"/>
          <w:szCs w:val="24"/>
          <w:lang w:val="en-IE"/>
        </w:rPr>
        <w:t>amounts</w:t>
      </w:r>
      <w:r w:rsidRPr="00E76013">
        <w:rPr>
          <w:rFonts w:ascii="Times New Roman" w:eastAsia="Times New Roman" w:hAnsi="Times New Roman" w:cs="Times New Roman"/>
          <w:noProof/>
          <w:color w:val="000000" w:themeColor="text1"/>
          <w:sz w:val="24"/>
          <w:szCs w:val="24"/>
          <w:lang w:val="en-IE"/>
        </w:rPr>
        <w:t xml:space="preserve"> estimated. </w:t>
      </w:r>
      <w:r w:rsidRPr="2C149C8E">
        <w:rPr>
          <w:rFonts w:ascii="Times New Roman" w:eastAsia="Times New Roman" w:hAnsi="Times New Roman" w:cs="Times New Roman"/>
          <w:noProof/>
          <w:color w:val="000000" w:themeColor="text1"/>
          <w:sz w:val="24"/>
          <w:szCs w:val="24"/>
          <w:lang w:val="en-IE"/>
        </w:rPr>
        <w:t xml:space="preserve">For certain measures, more details on the calculations could have been provided. </w:t>
      </w:r>
      <w:r w:rsidRPr="00E76013">
        <w:rPr>
          <w:rFonts w:ascii="Times New Roman" w:eastAsia="Times New Roman" w:hAnsi="Times New Roman" w:cs="Times New Roman"/>
          <w:noProof/>
          <w:color w:val="000000" w:themeColor="text1"/>
          <w:sz w:val="24"/>
          <w:szCs w:val="24"/>
          <w:lang w:val="en-IE"/>
        </w:rPr>
        <w:t>The underlying assumptions behind the cost estimates are generally sound, although in a limited number of cases they could be justified better or more clearly. On occasions, when deriving costs from similar projects</w:t>
      </w:r>
      <w:r w:rsidR="00F52CA7">
        <w:rPr>
          <w:rFonts w:ascii="Times New Roman" w:eastAsia="Times New Roman" w:hAnsi="Times New Roman" w:cs="Times New Roman"/>
          <w:noProof/>
          <w:color w:val="000000" w:themeColor="text1"/>
          <w:sz w:val="24"/>
          <w:szCs w:val="24"/>
          <w:lang w:val="en-IE"/>
        </w:rPr>
        <w:t>,</w:t>
      </w:r>
      <w:r w:rsidRPr="00E76013">
        <w:rPr>
          <w:rFonts w:ascii="Times New Roman" w:eastAsia="Times New Roman" w:hAnsi="Times New Roman" w:cs="Times New Roman"/>
          <w:noProof/>
          <w:color w:val="000000" w:themeColor="text1"/>
          <w:sz w:val="24"/>
          <w:szCs w:val="24"/>
          <w:lang w:val="en-IE"/>
        </w:rPr>
        <w:t xml:space="preserve"> adjustments made are not fully explained. </w:t>
      </w:r>
    </w:p>
    <w:p w14:paraId="0E3F0E56" w14:textId="0FF91693" w:rsidR="2B0008AD" w:rsidRPr="00E76013" w:rsidRDefault="7F86EC3F" w:rsidP="008963AA">
      <w:pPr>
        <w:spacing w:line="276" w:lineRule="auto"/>
        <w:jc w:val="both"/>
        <w:rPr>
          <w:noProof/>
        </w:rPr>
      </w:pPr>
      <w:r w:rsidRPr="00E76013">
        <w:rPr>
          <w:rFonts w:ascii="Times New Roman" w:eastAsia="Times New Roman" w:hAnsi="Times New Roman" w:cs="Times New Roman"/>
          <w:i/>
          <w:iCs/>
          <w:noProof/>
          <w:color w:val="000000" w:themeColor="text1"/>
          <w:sz w:val="24"/>
          <w:szCs w:val="24"/>
          <w:lang w:val="en-IE"/>
        </w:rPr>
        <w:t>Plausible costs</w:t>
      </w:r>
    </w:p>
    <w:p w14:paraId="6E70E6DE" w14:textId="3AE68925" w:rsidR="2B0008AD" w:rsidRPr="00E76013" w:rsidRDefault="7F86EC3F" w:rsidP="008963AA">
      <w:pPr>
        <w:spacing w:line="276" w:lineRule="auto"/>
        <w:jc w:val="both"/>
        <w:rPr>
          <w:noProof/>
        </w:rPr>
      </w:pPr>
      <w:r w:rsidRPr="00E76013">
        <w:rPr>
          <w:rFonts w:ascii="Times New Roman" w:eastAsia="Times New Roman" w:hAnsi="Times New Roman" w:cs="Times New Roman"/>
          <w:b/>
          <w:bCs/>
          <w:noProof/>
          <w:color w:val="000000" w:themeColor="text1"/>
          <w:sz w:val="24"/>
          <w:szCs w:val="24"/>
          <w:lang w:val="en-IE"/>
        </w:rPr>
        <w:t xml:space="preserve">The estimated total costs of the </w:t>
      </w:r>
      <w:r w:rsidR="000B4E29" w:rsidRPr="00E76013">
        <w:rPr>
          <w:rFonts w:ascii="Times New Roman" w:eastAsia="Times New Roman" w:hAnsi="Times New Roman" w:cs="Times New Roman"/>
          <w:b/>
          <w:bCs/>
          <w:noProof/>
          <w:color w:val="000000" w:themeColor="text1"/>
          <w:sz w:val="24"/>
          <w:szCs w:val="24"/>
          <w:lang w:val="en-IE"/>
        </w:rPr>
        <w:t>P</w:t>
      </w:r>
      <w:r w:rsidRPr="00E76013">
        <w:rPr>
          <w:rFonts w:ascii="Times New Roman" w:eastAsia="Times New Roman" w:hAnsi="Times New Roman" w:cs="Times New Roman"/>
          <w:b/>
          <w:bCs/>
          <w:noProof/>
          <w:color w:val="000000" w:themeColor="text1"/>
          <w:sz w:val="24"/>
          <w:szCs w:val="24"/>
          <w:lang w:val="en-IE"/>
        </w:rPr>
        <w:t>lan are in line with the nature and the type of the</w:t>
      </w:r>
      <w:r w:rsidR="000B6475">
        <w:rPr>
          <w:rFonts w:ascii="Times New Roman" w:eastAsia="Times New Roman" w:hAnsi="Times New Roman" w:cs="Times New Roman"/>
          <w:b/>
          <w:bCs/>
          <w:noProof/>
          <w:color w:val="000000" w:themeColor="text1"/>
          <w:sz w:val="24"/>
          <w:szCs w:val="24"/>
          <w:lang w:val="en-IE"/>
        </w:rPr>
        <w:t xml:space="preserve"> </w:t>
      </w:r>
      <w:r w:rsidRPr="00E76013">
        <w:rPr>
          <w:rFonts w:ascii="Times New Roman" w:eastAsia="Times New Roman" w:hAnsi="Times New Roman" w:cs="Times New Roman"/>
          <w:b/>
          <w:bCs/>
          <w:noProof/>
          <w:color w:val="000000" w:themeColor="text1"/>
          <w:sz w:val="24"/>
          <w:szCs w:val="24"/>
          <w:lang w:val="en-IE"/>
        </w:rPr>
        <w:t xml:space="preserve">investments envisaged. </w:t>
      </w:r>
      <w:r w:rsidRPr="00E76013">
        <w:rPr>
          <w:rFonts w:ascii="Times New Roman" w:eastAsia="Times New Roman" w:hAnsi="Times New Roman" w:cs="Times New Roman"/>
          <w:noProof/>
          <w:color w:val="000000" w:themeColor="text1"/>
          <w:sz w:val="24"/>
          <w:szCs w:val="24"/>
          <w:lang w:val="en-IE"/>
        </w:rPr>
        <w:t xml:space="preserve">Bulgaria has provided </w:t>
      </w:r>
      <w:r w:rsidR="23C0D95F" w:rsidRPr="00E76013">
        <w:rPr>
          <w:rFonts w:ascii="Times New Roman" w:eastAsia="Times New Roman" w:hAnsi="Times New Roman" w:cs="Times New Roman"/>
          <w:noProof/>
          <w:color w:val="000000" w:themeColor="text1"/>
          <w:sz w:val="24"/>
          <w:szCs w:val="24"/>
          <w:lang w:val="en-IE"/>
        </w:rPr>
        <w:t xml:space="preserve">a wide array of supporting </w:t>
      </w:r>
      <w:r w:rsidRPr="00E76013">
        <w:rPr>
          <w:rFonts w:ascii="Times New Roman" w:eastAsia="Times New Roman" w:hAnsi="Times New Roman" w:cs="Times New Roman"/>
          <w:noProof/>
          <w:color w:val="000000" w:themeColor="text1"/>
          <w:sz w:val="24"/>
          <w:szCs w:val="24"/>
          <w:lang w:val="en-IE"/>
        </w:rPr>
        <w:t xml:space="preserve">documents </w:t>
      </w:r>
      <w:r w:rsidR="23C0D95F" w:rsidRPr="00E76013">
        <w:rPr>
          <w:rFonts w:ascii="Times New Roman" w:eastAsia="Times New Roman" w:hAnsi="Times New Roman" w:cs="Times New Roman"/>
          <w:noProof/>
          <w:color w:val="000000" w:themeColor="text1"/>
          <w:sz w:val="24"/>
          <w:szCs w:val="24"/>
          <w:lang w:val="en-IE"/>
        </w:rPr>
        <w:t>as a justification</w:t>
      </w:r>
      <w:r w:rsidRPr="00E76013">
        <w:rPr>
          <w:rFonts w:ascii="Times New Roman" w:eastAsia="Times New Roman" w:hAnsi="Times New Roman" w:cs="Times New Roman"/>
          <w:noProof/>
          <w:color w:val="000000" w:themeColor="text1"/>
          <w:sz w:val="24"/>
          <w:szCs w:val="24"/>
          <w:lang w:val="en-IE"/>
        </w:rPr>
        <w:t xml:space="preserve"> for the cost estimates: studies, reports, and calculation sheets. In most of the cases, </w:t>
      </w:r>
      <w:r w:rsidR="23C0D95F" w:rsidRPr="00E76013">
        <w:rPr>
          <w:rFonts w:ascii="Times New Roman" w:eastAsia="Times New Roman" w:hAnsi="Times New Roman" w:cs="Times New Roman"/>
          <w:noProof/>
          <w:color w:val="000000" w:themeColor="text1"/>
          <w:sz w:val="24"/>
          <w:szCs w:val="24"/>
          <w:lang w:val="en-IE"/>
        </w:rPr>
        <w:t>Bulgaria</w:t>
      </w:r>
      <w:r w:rsidRPr="00E76013">
        <w:rPr>
          <w:rFonts w:ascii="Times New Roman" w:eastAsia="Times New Roman" w:hAnsi="Times New Roman" w:cs="Times New Roman"/>
          <w:noProof/>
          <w:color w:val="000000" w:themeColor="text1"/>
          <w:sz w:val="24"/>
          <w:szCs w:val="24"/>
          <w:lang w:val="en-IE"/>
        </w:rPr>
        <w:t xml:space="preserve"> has provided information on the cost of similar investments carried out in the past whenever </w:t>
      </w:r>
      <w:r w:rsidR="23C0D95F" w:rsidRPr="00E76013">
        <w:rPr>
          <w:rFonts w:ascii="Times New Roman" w:eastAsia="Times New Roman" w:hAnsi="Times New Roman" w:cs="Times New Roman"/>
          <w:noProof/>
          <w:color w:val="000000" w:themeColor="text1"/>
          <w:sz w:val="24"/>
          <w:szCs w:val="24"/>
          <w:lang w:val="en-IE"/>
        </w:rPr>
        <w:t>these were available.</w:t>
      </w:r>
      <w:r w:rsidRPr="00E76013">
        <w:rPr>
          <w:rFonts w:ascii="Times New Roman" w:eastAsia="Times New Roman" w:hAnsi="Times New Roman" w:cs="Times New Roman"/>
          <w:noProof/>
          <w:color w:val="000000" w:themeColor="text1"/>
          <w:sz w:val="24"/>
          <w:szCs w:val="24"/>
          <w:lang w:val="en-IE"/>
        </w:rPr>
        <w:t xml:space="preserve"> Where this was not available, as for instance for novel projects, Bulgaria has provided price quotes or pricing information from publicly available sources.</w:t>
      </w:r>
      <w:r w:rsidR="000B6475">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The estimated cost of investments included in the plan is in line with similar investments, including those funded by other EU programmes</w:t>
      </w:r>
      <w:r w:rsidR="00F52CA7">
        <w:rPr>
          <w:rFonts w:ascii="Times New Roman" w:eastAsia="Times New Roman" w:hAnsi="Times New Roman" w:cs="Times New Roman"/>
          <w:noProof/>
          <w:color w:val="000000" w:themeColor="text1"/>
          <w:sz w:val="24"/>
          <w:szCs w:val="24"/>
          <w:lang w:val="en-IE"/>
        </w:rPr>
        <w:t>,</w:t>
      </w:r>
      <w:r w:rsidRPr="00E76013">
        <w:rPr>
          <w:rFonts w:ascii="Times New Roman" w:eastAsia="Times New Roman" w:hAnsi="Times New Roman" w:cs="Times New Roman"/>
          <w:noProof/>
          <w:color w:val="000000" w:themeColor="text1"/>
          <w:sz w:val="24"/>
          <w:szCs w:val="24"/>
          <w:lang w:val="en-IE"/>
        </w:rPr>
        <w:t xml:space="preserve"> if available. For certain investments, while costs remain plausible, they are in the high range compared to the costs of similar past investments, but there are also measures for which they are in the low range.</w:t>
      </w:r>
      <w:r w:rsidR="004F2DAB">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 xml:space="preserve">Cost estimates are generally plausible, taking into account the limits of an </w:t>
      </w:r>
      <w:r w:rsidRPr="00E76013">
        <w:rPr>
          <w:rFonts w:ascii="Times New Roman" w:eastAsia="Times New Roman" w:hAnsi="Times New Roman" w:cs="Times New Roman"/>
          <w:i/>
          <w:iCs/>
          <w:noProof/>
          <w:color w:val="000000" w:themeColor="text1"/>
          <w:sz w:val="24"/>
          <w:szCs w:val="24"/>
          <w:lang w:val="en-IE"/>
        </w:rPr>
        <w:t>ex-ante</w:t>
      </w:r>
      <w:r w:rsidRPr="00E76013">
        <w:rPr>
          <w:rFonts w:ascii="Times New Roman" w:eastAsia="Times New Roman" w:hAnsi="Times New Roman" w:cs="Times New Roman"/>
          <w:noProof/>
          <w:color w:val="000000" w:themeColor="text1"/>
          <w:sz w:val="24"/>
          <w:szCs w:val="24"/>
          <w:lang w:val="en-IE"/>
        </w:rPr>
        <w:t xml:space="preserve">-based assessment of cost estimates. The output targets provided in the </w:t>
      </w:r>
      <w:r w:rsidR="000B4E29" w:rsidRPr="00E76013">
        <w:rPr>
          <w:rFonts w:ascii="Times New Roman" w:eastAsia="Times New Roman" w:hAnsi="Times New Roman" w:cs="Times New Roman"/>
          <w:noProof/>
          <w:color w:val="000000" w:themeColor="text1"/>
          <w:sz w:val="24"/>
          <w:szCs w:val="24"/>
          <w:lang w:val="en-IE"/>
        </w:rPr>
        <w:t>P</w:t>
      </w:r>
      <w:r w:rsidRPr="00E76013">
        <w:rPr>
          <w:rFonts w:ascii="Times New Roman" w:eastAsia="Times New Roman" w:hAnsi="Times New Roman" w:cs="Times New Roman"/>
          <w:noProof/>
          <w:color w:val="000000" w:themeColor="text1"/>
          <w:sz w:val="24"/>
          <w:szCs w:val="24"/>
          <w:lang w:val="en-IE"/>
        </w:rPr>
        <w:t>lan for investment are commensurate with the costing justifications and assumptions provided.</w:t>
      </w:r>
    </w:p>
    <w:p w14:paraId="1E1350AF" w14:textId="1A840428" w:rsidR="2B0008AD" w:rsidRPr="00E76013" w:rsidRDefault="7034623D" w:rsidP="008963AA">
      <w:pPr>
        <w:spacing w:line="276" w:lineRule="auto"/>
        <w:jc w:val="both"/>
        <w:rPr>
          <w:rFonts w:ascii="Times New Roman" w:eastAsia="Times New Roman" w:hAnsi="Times New Roman" w:cs="Times New Roman"/>
          <w:i/>
          <w:noProof/>
          <w:color w:val="000000" w:themeColor="text1"/>
          <w:sz w:val="24"/>
          <w:szCs w:val="24"/>
          <w:lang w:val="en-IE"/>
        </w:rPr>
      </w:pPr>
      <w:r w:rsidRPr="00E76013">
        <w:rPr>
          <w:rFonts w:ascii="Times New Roman" w:eastAsia="Times New Roman" w:hAnsi="Times New Roman" w:cs="Times New Roman"/>
          <w:i/>
          <w:iCs/>
          <w:noProof/>
          <w:color w:val="000000" w:themeColor="text1"/>
          <w:sz w:val="24"/>
          <w:szCs w:val="24"/>
          <w:lang w:val="en-IE"/>
        </w:rPr>
        <w:t xml:space="preserve">No double Union </w:t>
      </w:r>
      <w:r w:rsidR="7F86EC3F" w:rsidRPr="00E76013">
        <w:rPr>
          <w:rFonts w:ascii="Times New Roman" w:eastAsia="Times New Roman" w:hAnsi="Times New Roman" w:cs="Times New Roman"/>
          <w:i/>
          <w:iCs/>
          <w:noProof/>
          <w:color w:val="000000" w:themeColor="text1"/>
          <w:sz w:val="24"/>
          <w:szCs w:val="24"/>
          <w:lang w:val="en-IE"/>
        </w:rPr>
        <w:t>funding</w:t>
      </w:r>
    </w:p>
    <w:p w14:paraId="434C7737" w14:textId="08B9DB41" w:rsidR="2B0008AD" w:rsidRPr="00E76013" w:rsidRDefault="7F86EC3F" w:rsidP="008963AA">
      <w:pPr>
        <w:spacing w:line="276" w:lineRule="auto"/>
        <w:jc w:val="both"/>
        <w:rPr>
          <w:noProof/>
        </w:rPr>
      </w:pPr>
      <w:r w:rsidRPr="00E76013">
        <w:rPr>
          <w:rFonts w:ascii="Times New Roman" w:eastAsia="Times New Roman" w:hAnsi="Times New Roman" w:cs="Times New Roman"/>
          <w:b/>
          <w:bCs/>
          <w:noProof/>
          <w:color w:val="000000" w:themeColor="text1"/>
          <w:sz w:val="24"/>
          <w:szCs w:val="24"/>
          <w:lang w:val="en-IE"/>
        </w:rPr>
        <w:t>Bulgaria has provided information on whether parts of the proposed measures under the Plan are covered or planned to be covered by other EU programmes and instruments.</w:t>
      </w:r>
      <w:r w:rsidRPr="00E76013">
        <w:rPr>
          <w:rFonts w:ascii="Times New Roman" w:eastAsia="Times New Roman" w:hAnsi="Times New Roman" w:cs="Times New Roman"/>
          <w:noProof/>
          <w:color w:val="000000" w:themeColor="text1"/>
          <w:sz w:val="24"/>
          <w:szCs w:val="24"/>
          <w:lang w:val="en-IE"/>
        </w:rPr>
        <w:t xml:space="preserve"> In the few cases where similar investment are financed though other EU funds (ERDF, ESF or other), Bulgaria has provided information on the name of the instruments, the amounts covered or expected to be covered, and a clear description of which parts of the measures are expected to be covered. These amounts are clearly identified, and the measures financed through the different funds are in the majority of the cases well defined. In several instances, measures financed under the RRF and other EU programmes and instruments or national funds are complementary, and there are synergies between the different measures.</w:t>
      </w:r>
      <w:r w:rsidR="004F2DAB">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 xml:space="preserve">The audit and control system provides sufficient assurance that the same costs will not be financed from different sources (see Section </w:t>
      </w:r>
      <w:r w:rsidRPr="00460486">
        <w:rPr>
          <w:rFonts w:ascii="Times New Roman" w:eastAsia="Times New Roman" w:hAnsi="Times New Roman" w:cs="Times New Roman"/>
          <w:i/>
          <w:noProof/>
          <w:color w:val="000000" w:themeColor="text1"/>
          <w:sz w:val="24"/>
          <w:szCs w:val="24"/>
          <w:lang w:val="en-IE"/>
        </w:rPr>
        <w:t>4.10</w:t>
      </w:r>
      <w:r w:rsidRPr="00E76013">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i/>
          <w:iCs/>
          <w:noProof/>
          <w:sz w:val="24"/>
          <w:szCs w:val="24"/>
          <w:lang w:val="en-GB"/>
        </w:rPr>
        <w:t>Adequacy of arrangements to avoid double funding from RRF and other EU funds).</w:t>
      </w:r>
    </w:p>
    <w:p w14:paraId="06431AB5" w14:textId="0FF91693" w:rsidR="2B0008AD" w:rsidRPr="00E76013" w:rsidRDefault="7F86EC3F" w:rsidP="008963AA">
      <w:pPr>
        <w:spacing w:line="276" w:lineRule="auto"/>
        <w:jc w:val="both"/>
        <w:rPr>
          <w:noProof/>
        </w:rPr>
      </w:pPr>
      <w:r w:rsidRPr="00E76013">
        <w:rPr>
          <w:rFonts w:ascii="Times New Roman" w:eastAsia="Times New Roman" w:hAnsi="Times New Roman" w:cs="Times New Roman"/>
          <w:i/>
          <w:iCs/>
          <w:noProof/>
          <w:color w:val="000000" w:themeColor="text1"/>
          <w:sz w:val="24"/>
          <w:szCs w:val="24"/>
          <w:lang w:val="en-IE"/>
        </w:rPr>
        <w:t>Commensurate and cost-efficient costs</w:t>
      </w:r>
    </w:p>
    <w:p w14:paraId="21F4C7A2" w14:textId="332EA9C2" w:rsidR="2B0008AD" w:rsidRPr="00E76013" w:rsidRDefault="7F86EC3F" w:rsidP="008963AA">
      <w:pPr>
        <w:spacing w:line="276" w:lineRule="auto"/>
        <w:jc w:val="both"/>
        <w:rPr>
          <w:noProof/>
        </w:rPr>
      </w:pPr>
      <w:r w:rsidRPr="00E76013">
        <w:rPr>
          <w:rFonts w:ascii="Times New Roman" w:eastAsia="Times New Roman" w:hAnsi="Times New Roman" w:cs="Times New Roman"/>
          <w:b/>
          <w:bCs/>
          <w:noProof/>
          <w:color w:val="000000" w:themeColor="text1"/>
          <w:sz w:val="24"/>
          <w:szCs w:val="24"/>
          <w:lang w:val="en-IE"/>
        </w:rPr>
        <w:t xml:space="preserve">The </w:t>
      </w:r>
      <w:r w:rsidR="000B4E29" w:rsidRPr="00E76013">
        <w:rPr>
          <w:rFonts w:ascii="Times New Roman" w:eastAsia="Times New Roman" w:hAnsi="Times New Roman" w:cs="Times New Roman"/>
          <w:b/>
          <w:bCs/>
          <w:noProof/>
          <w:color w:val="000000" w:themeColor="text1"/>
          <w:sz w:val="24"/>
          <w:szCs w:val="24"/>
          <w:lang w:val="en-IE"/>
        </w:rPr>
        <w:t>Plan</w:t>
      </w:r>
      <w:r w:rsidRPr="00E76013">
        <w:rPr>
          <w:rFonts w:ascii="Times New Roman" w:eastAsia="Times New Roman" w:hAnsi="Times New Roman" w:cs="Times New Roman"/>
          <w:b/>
          <w:bCs/>
          <w:noProof/>
          <w:color w:val="000000" w:themeColor="text1"/>
          <w:sz w:val="24"/>
          <w:szCs w:val="24"/>
          <w:lang w:val="en-IE"/>
        </w:rPr>
        <w:t xml:space="preserve"> is expected to effectively help address a significant subset of challenges identified in the country-specific recommendations.</w:t>
      </w:r>
      <w:r w:rsidRPr="00E76013">
        <w:rPr>
          <w:rFonts w:ascii="Times New Roman" w:eastAsia="Times New Roman" w:hAnsi="Times New Roman" w:cs="Times New Roman"/>
          <w:noProof/>
          <w:sz w:val="24"/>
          <w:szCs w:val="24"/>
          <w:lang w:val="en-IE"/>
        </w:rPr>
        <w:t xml:space="preserve"> As discussed in Sections 4.1 and 4.3, the </w:t>
      </w:r>
      <w:r w:rsidR="00F85985"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lan contains measures that are expected to support economic growth and economic cohesion in an inclusive manner. In particular</w:t>
      </w:r>
      <w:r w:rsidR="003857AB">
        <w:rPr>
          <w:rFonts w:ascii="Times New Roman" w:eastAsia="Times New Roman" w:hAnsi="Times New Roman" w:cs="Times New Roman"/>
          <w:noProof/>
          <w:sz w:val="24"/>
          <w:szCs w:val="24"/>
          <w:lang w:val="en-IE"/>
        </w:rPr>
        <w:t>,</w:t>
      </w:r>
      <w:r w:rsidRPr="00E76013">
        <w:rPr>
          <w:rFonts w:ascii="Times New Roman" w:eastAsia="Times New Roman" w:hAnsi="Times New Roman" w:cs="Times New Roman"/>
          <w:noProof/>
          <w:sz w:val="24"/>
          <w:szCs w:val="24"/>
          <w:lang w:val="en-IE"/>
        </w:rPr>
        <w:t xml:space="preserve"> this means that the Plan should address the weaknesses of the Bulgarian economy, boosting its growth potential, stimulating job creation, and mitigating the adverse effects of the crisis. Several of these measures are also expected </w:t>
      </w:r>
      <w:r w:rsidR="00FB4C25">
        <w:rPr>
          <w:rFonts w:ascii="Times New Roman" w:eastAsia="Times New Roman" w:hAnsi="Times New Roman" w:cs="Times New Roman"/>
          <w:noProof/>
          <w:sz w:val="24"/>
          <w:szCs w:val="24"/>
          <w:lang w:val="en-IE"/>
        </w:rPr>
        <w:t>to</w:t>
      </w:r>
      <w:r w:rsidRPr="00E76013">
        <w:rPr>
          <w:rFonts w:ascii="Times New Roman" w:eastAsia="Times New Roman" w:hAnsi="Times New Roman" w:cs="Times New Roman"/>
          <w:noProof/>
          <w:sz w:val="24"/>
          <w:szCs w:val="24"/>
          <w:lang w:val="en-IE"/>
        </w:rPr>
        <w:t xml:space="preserve"> contribute effectively to the implementation of the European Pillar of Social Rights, including through the promotion of policies for children and young people. </w:t>
      </w:r>
      <w:r w:rsidRPr="00E76013">
        <w:rPr>
          <w:rFonts w:ascii="Times New Roman" w:eastAsia="Times New Roman" w:hAnsi="Times New Roman" w:cs="Times New Roman"/>
          <w:noProof/>
          <w:color w:val="000000" w:themeColor="text1"/>
          <w:sz w:val="24"/>
          <w:szCs w:val="24"/>
          <w:lang w:val="en-IE"/>
        </w:rPr>
        <w:t xml:space="preserve">The control and audit system </w:t>
      </w:r>
      <w:r w:rsidR="003857AB">
        <w:rPr>
          <w:rFonts w:ascii="Times New Roman" w:eastAsia="Times New Roman" w:hAnsi="Times New Roman" w:cs="Times New Roman"/>
          <w:noProof/>
          <w:color w:val="000000" w:themeColor="text1"/>
          <w:sz w:val="24"/>
          <w:szCs w:val="24"/>
          <w:lang w:val="en-IE"/>
        </w:rPr>
        <w:t>that will</w:t>
      </w:r>
      <w:r w:rsidR="003857AB" w:rsidRPr="00E76013">
        <w:rPr>
          <w:rFonts w:ascii="Times New Roman" w:eastAsia="Times New Roman" w:hAnsi="Times New Roman" w:cs="Times New Roman"/>
          <w:noProof/>
          <w:color w:val="000000" w:themeColor="text1"/>
          <w:sz w:val="24"/>
          <w:szCs w:val="24"/>
          <w:lang w:val="en-IE"/>
        </w:rPr>
        <w:t xml:space="preserve"> </w:t>
      </w:r>
      <w:r w:rsidRPr="00E76013">
        <w:rPr>
          <w:rFonts w:ascii="Times New Roman" w:eastAsia="Times New Roman" w:hAnsi="Times New Roman" w:cs="Times New Roman"/>
          <w:noProof/>
          <w:color w:val="000000" w:themeColor="text1"/>
          <w:sz w:val="24"/>
          <w:szCs w:val="24"/>
          <w:lang w:val="en-IE"/>
        </w:rPr>
        <w:t>be</w:t>
      </w:r>
      <w:r w:rsidR="003857AB">
        <w:rPr>
          <w:rFonts w:ascii="Times New Roman" w:eastAsia="Times New Roman" w:hAnsi="Times New Roman" w:cs="Times New Roman"/>
          <w:noProof/>
          <w:color w:val="000000" w:themeColor="text1"/>
          <w:sz w:val="24"/>
          <w:szCs w:val="24"/>
          <w:lang w:val="en-IE"/>
        </w:rPr>
        <w:t xml:space="preserve"> put</w:t>
      </w:r>
      <w:r w:rsidRPr="00E76013">
        <w:rPr>
          <w:rFonts w:ascii="Times New Roman" w:eastAsia="Times New Roman" w:hAnsi="Times New Roman" w:cs="Times New Roman"/>
          <w:noProof/>
          <w:color w:val="000000" w:themeColor="text1"/>
          <w:sz w:val="24"/>
          <w:szCs w:val="24"/>
          <w:lang w:val="en-IE"/>
        </w:rPr>
        <w:t xml:space="preserve"> in place for RRF-related spending and the public procurement system will further support the objective of cost-efficiency. </w:t>
      </w:r>
      <w:r w:rsidRPr="00E76013">
        <w:rPr>
          <w:rFonts w:ascii="Times New Roman" w:eastAsia="Times New Roman" w:hAnsi="Times New Roman" w:cs="Times New Roman"/>
          <w:noProof/>
          <w:sz w:val="24"/>
          <w:szCs w:val="24"/>
          <w:lang w:val="en-IE"/>
        </w:rPr>
        <w:t xml:space="preserve">It is deemed that the costs of the </w:t>
      </w:r>
      <w:r w:rsidR="00E500AC" w:rsidRPr="00E76013">
        <w:rPr>
          <w:rFonts w:ascii="Times New Roman" w:eastAsia="Times New Roman" w:hAnsi="Times New Roman" w:cs="Times New Roman"/>
          <w:noProof/>
          <w:sz w:val="24"/>
          <w:szCs w:val="24"/>
          <w:lang w:val="en-IE"/>
        </w:rPr>
        <w:t>P</w:t>
      </w:r>
      <w:r w:rsidRPr="00E76013">
        <w:rPr>
          <w:rFonts w:ascii="Times New Roman" w:eastAsia="Times New Roman" w:hAnsi="Times New Roman" w:cs="Times New Roman"/>
          <w:noProof/>
          <w:sz w:val="24"/>
          <w:szCs w:val="24"/>
          <w:lang w:val="en-IE"/>
        </w:rPr>
        <w:t xml:space="preserve">lan are commensurate to its economic and social impact. </w:t>
      </w:r>
    </w:p>
    <w:p w14:paraId="5BAFF0D6" w14:textId="124A1A7E" w:rsidR="66F51F59" w:rsidRDefault="6AC3A71C" w:rsidP="008963AA">
      <w:pPr>
        <w:spacing w:line="276" w:lineRule="auto"/>
        <w:jc w:val="both"/>
        <w:rPr>
          <w:rFonts w:ascii="Times New Roman" w:hAnsi="Times New Roman" w:cs="Times New Roman"/>
          <w:i/>
          <w:noProof/>
          <w:sz w:val="24"/>
          <w:szCs w:val="24"/>
          <w:lang w:val="en-GB"/>
        </w:rPr>
      </w:pPr>
      <w:r w:rsidRPr="00E76013">
        <w:rPr>
          <w:rFonts w:ascii="Times New Roman" w:hAnsi="Times New Roman" w:cs="Times New Roman"/>
          <w:i/>
          <w:noProof/>
          <w:color w:val="000000" w:themeColor="text1"/>
          <w:sz w:val="24"/>
          <w:szCs w:val="24"/>
          <w:lang w:val="en-GB"/>
        </w:rPr>
        <w:t xml:space="preserve">The justification provided by Bulgaria on the amount of the estimated total costs of the </w:t>
      </w:r>
      <w:r w:rsidR="00E500AC" w:rsidRPr="00E76013">
        <w:rPr>
          <w:rFonts w:ascii="Times New Roman" w:hAnsi="Times New Roman" w:cs="Times New Roman"/>
          <w:i/>
          <w:noProof/>
          <w:color w:val="000000" w:themeColor="text1"/>
          <w:sz w:val="24"/>
          <w:szCs w:val="24"/>
          <w:lang w:val="en-GB"/>
        </w:rPr>
        <w:t>Plan</w:t>
      </w:r>
      <w:r w:rsidRPr="00E76013">
        <w:rPr>
          <w:rFonts w:ascii="Times New Roman" w:hAnsi="Times New Roman" w:cs="Times New Roman"/>
          <w:i/>
          <w:noProof/>
          <w:color w:val="000000" w:themeColor="text1"/>
          <w:sz w:val="24"/>
          <w:szCs w:val="24"/>
          <w:lang w:val="en-GB"/>
        </w:rPr>
        <w:t xml:space="preserve"> is to a medium extent reasonable, plausible, in line with the principle of cost-efficiency and is commensurate to the expected national economic and social impact. </w:t>
      </w:r>
      <w:r w:rsidR="66F51F59" w:rsidRPr="00E76013">
        <w:rPr>
          <w:rFonts w:ascii="Times New Roman" w:hAnsi="Times New Roman" w:cs="Times New Roman"/>
          <w:i/>
          <w:noProof/>
          <w:color w:val="000000" w:themeColor="text1"/>
          <w:sz w:val="24"/>
          <w:szCs w:val="24"/>
          <w:lang w:val="en-GB"/>
        </w:rPr>
        <w:t>Bulgaria provided sufficient information and evidence that the amount of the estimated cost of the reforms and investments of the recovery and resilience plan to be financed under the Facility is not covered by existing or planned Union financing.</w:t>
      </w:r>
      <w:r w:rsidR="004D3E00">
        <w:rPr>
          <w:rFonts w:ascii="Times New Roman" w:hAnsi="Times New Roman" w:cs="Times New Roman"/>
          <w:i/>
          <w:noProof/>
          <w:color w:val="000000" w:themeColor="text1"/>
          <w:sz w:val="24"/>
          <w:szCs w:val="24"/>
          <w:lang w:val="en-GB"/>
        </w:rPr>
        <w:t xml:space="preserve"> </w:t>
      </w:r>
      <w:r w:rsidR="66F51F59" w:rsidRPr="00E76013">
        <w:rPr>
          <w:rFonts w:ascii="Times New Roman" w:hAnsi="Times New Roman" w:cs="Times New Roman"/>
          <w:i/>
          <w:noProof/>
          <w:color w:val="000000" w:themeColor="text1"/>
          <w:sz w:val="24"/>
          <w:szCs w:val="24"/>
          <w:lang w:val="en-GB"/>
        </w:rPr>
        <w:t xml:space="preserve">This would warrant a rating of B under </w:t>
      </w:r>
      <w:r w:rsidR="66F51F59" w:rsidRPr="00E76013">
        <w:rPr>
          <w:rFonts w:ascii="Times New Roman" w:hAnsi="Times New Roman" w:cs="Times New Roman"/>
          <w:i/>
          <w:noProof/>
          <w:sz w:val="24"/>
          <w:szCs w:val="24"/>
          <w:lang w:val="en-GB"/>
        </w:rPr>
        <w:t>the assessment criterion 2.9 of Annex V of the RRF Regulation.</w:t>
      </w:r>
    </w:p>
    <w:p w14:paraId="5B7DA5A2" w14:textId="7E51659E" w:rsidR="003B3AB9" w:rsidRPr="00F06E05" w:rsidRDefault="003B3AB9" w:rsidP="00E01A1F">
      <w:pPr>
        <w:pStyle w:val="Heading2"/>
        <w:numPr>
          <w:ilvl w:val="1"/>
          <w:numId w:val="7"/>
        </w:numPr>
        <w:spacing w:after="160" w:line="276" w:lineRule="auto"/>
        <w:rPr>
          <w:noProof/>
        </w:rPr>
      </w:pPr>
      <w:bookmarkStart w:id="426" w:name="_Toc62455209"/>
      <w:bookmarkStart w:id="427" w:name="_Toc99399078"/>
      <w:bookmarkStart w:id="428" w:name="_Toc99400011"/>
      <w:bookmarkStart w:id="429" w:name="_Toc99400439"/>
      <w:bookmarkStart w:id="430" w:name="_Toc99719454"/>
      <w:bookmarkStart w:id="431" w:name="_Toc99728667"/>
      <w:bookmarkStart w:id="432" w:name="_Toc99729661"/>
      <w:bookmarkStart w:id="433" w:name="_Toc99730638"/>
      <w:bookmarkStart w:id="434" w:name="_Toc99731362"/>
      <w:bookmarkStart w:id="435" w:name="_Toc99756901"/>
      <w:bookmarkStart w:id="436" w:name="_Toc99909931"/>
      <w:bookmarkStart w:id="437" w:name="_Toc62818232"/>
      <w:bookmarkStart w:id="438" w:name="_Toc62818779"/>
      <w:bookmarkStart w:id="439" w:name="_Toc63417228"/>
      <w:bookmarkStart w:id="440" w:name="_Toc63418918"/>
      <w:bookmarkStart w:id="441" w:name="_Toc63418943"/>
      <w:bookmarkStart w:id="442" w:name="_Toc64281629"/>
      <w:bookmarkStart w:id="443" w:name="_Toc98952833"/>
      <w:bookmarkStart w:id="444" w:name="_Toc98954004"/>
      <w:r w:rsidRPr="00F06E05">
        <w:rPr>
          <w:noProof/>
        </w:rPr>
        <w:t>Controls and audit</w:t>
      </w:r>
      <w:bookmarkEnd w:id="426"/>
      <w:bookmarkEnd w:id="427"/>
      <w:bookmarkEnd w:id="428"/>
      <w:bookmarkEnd w:id="429"/>
      <w:bookmarkEnd w:id="430"/>
      <w:bookmarkEnd w:id="431"/>
      <w:bookmarkEnd w:id="432"/>
      <w:bookmarkEnd w:id="433"/>
      <w:bookmarkEnd w:id="434"/>
      <w:bookmarkEnd w:id="435"/>
      <w:bookmarkEnd w:id="436"/>
      <w:r w:rsidR="00570094" w:rsidRPr="00F06E05">
        <w:rPr>
          <w:noProof/>
        </w:rPr>
        <w:t xml:space="preserve"> </w:t>
      </w:r>
      <w:bookmarkEnd w:id="437"/>
      <w:bookmarkEnd w:id="438"/>
      <w:bookmarkEnd w:id="439"/>
      <w:bookmarkEnd w:id="440"/>
      <w:bookmarkEnd w:id="441"/>
      <w:bookmarkEnd w:id="442"/>
      <w:bookmarkEnd w:id="443"/>
      <w:bookmarkEnd w:id="444"/>
    </w:p>
    <w:p w14:paraId="0C970DB8" w14:textId="2690733A" w:rsidR="006618F9" w:rsidRPr="00E76013" w:rsidRDefault="006618F9" w:rsidP="00890E80">
      <w:pPr>
        <w:spacing w:line="276" w:lineRule="auto"/>
        <w:jc w:val="both"/>
        <w:rPr>
          <w:rFonts w:ascii="Times New Roman" w:hAnsi="Times New Roman" w:cs="Times New Roman"/>
          <w:i/>
          <w:iCs/>
          <w:noProof/>
          <w:sz w:val="24"/>
          <w:szCs w:val="24"/>
          <w:lang w:val="en-GB" w:eastAsia="en-GB"/>
        </w:rPr>
      </w:pPr>
      <w:bookmarkStart w:id="445" w:name="_Toc66388723"/>
      <w:bookmarkStart w:id="446" w:name="_Toc66388724"/>
      <w:bookmarkStart w:id="447" w:name="_Toc66388725"/>
      <w:bookmarkStart w:id="448" w:name="_Toc66388726"/>
      <w:bookmarkStart w:id="449" w:name="_Toc62817740"/>
      <w:bookmarkStart w:id="450" w:name="_Toc62820937"/>
      <w:bookmarkEnd w:id="445"/>
      <w:bookmarkEnd w:id="446"/>
      <w:bookmarkEnd w:id="447"/>
      <w:bookmarkEnd w:id="448"/>
      <w:bookmarkEnd w:id="449"/>
      <w:bookmarkEnd w:id="450"/>
      <w:r w:rsidRPr="00E76013">
        <w:rPr>
          <w:rFonts w:ascii="Times New Roman" w:hAnsi="Times New Roman" w:cs="Times New Roman"/>
          <w:i/>
          <w:iCs/>
          <w:noProof/>
          <w:sz w:val="24"/>
          <w:szCs w:val="24"/>
          <w:lang w:val="en-GB" w:eastAsia="en-GB"/>
        </w:rPr>
        <w:t>Robustness of internal control system and distribution of roles and responsibilities</w:t>
      </w:r>
    </w:p>
    <w:p w14:paraId="05208115" w14:textId="108160F9" w:rsidR="006618F9" w:rsidRPr="00E76013" w:rsidRDefault="006618F9" w:rsidP="00E76013">
      <w:pPr>
        <w:spacing w:line="276" w:lineRule="auto"/>
        <w:jc w:val="both"/>
        <w:rPr>
          <w:rFonts w:ascii="Times New Roman" w:hAnsi="Times New Roman" w:cs="Times New Roman"/>
          <w:noProof/>
          <w:sz w:val="24"/>
          <w:szCs w:val="24"/>
          <w:lang w:val="en-IE" w:eastAsia="en-GB"/>
        </w:rPr>
      </w:pPr>
      <w:r w:rsidRPr="00E76013">
        <w:rPr>
          <w:rFonts w:ascii="Times New Roman" w:hAnsi="Times New Roman" w:cs="Times New Roman"/>
          <w:b/>
          <w:noProof/>
          <w:sz w:val="24"/>
          <w:szCs w:val="24"/>
          <w:lang w:val="en-GB" w:eastAsia="en-GB"/>
        </w:rPr>
        <w:t xml:space="preserve">The </w:t>
      </w:r>
      <w:r w:rsidR="00980BEB" w:rsidRPr="00E76013">
        <w:rPr>
          <w:rFonts w:ascii="Times New Roman" w:hAnsi="Times New Roman" w:cs="Times New Roman"/>
          <w:b/>
          <w:noProof/>
          <w:sz w:val="24"/>
          <w:szCs w:val="24"/>
          <w:lang w:val="en-GB" w:eastAsia="en-GB"/>
        </w:rPr>
        <w:t>Plan</w:t>
      </w:r>
      <w:r w:rsidRPr="00E76013">
        <w:rPr>
          <w:rFonts w:ascii="Times New Roman" w:hAnsi="Times New Roman" w:cs="Times New Roman"/>
          <w:b/>
          <w:noProof/>
          <w:sz w:val="24"/>
          <w:szCs w:val="24"/>
          <w:lang w:val="en-GB" w:eastAsia="en-GB"/>
        </w:rPr>
        <w:t xml:space="preserve"> adequately describes the system for the implementation of the </w:t>
      </w:r>
      <w:r w:rsidR="00980BEB" w:rsidRPr="00E76013">
        <w:rPr>
          <w:rFonts w:ascii="Times New Roman" w:hAnsi="Times New Roman" w:cs="Times New Roman"/>
          <w:b/>
          <w:noProof/>
          <w:sz w:val="24"/>
          <w:szCs w:val="24"/>
          <w:lang w:val="en-GB" w:eastAsia="en-GB"/>
        </w:rPr>
        <w:t xml:space="preserve">Recovery and Resilience </w:t>
      </w:r>
      <w:r w:rsidR="00980BEB" w:rsidRPr="00E76013">
        <w:rPr>
          <w:rFonts w:ascii="Times New Roman" w:hAnsi="Times New Roman" w:cs="Times New Roman"/>
          <w:b/>
          <w:bCs/>
          <w:noProof/>
          <w:sz w:val="24"/>
          <w:szCs w:val="24"/>
          <w:lang w:val="en-GB" w:eastAsia="en-GB"/>
        </w:rPr>
        <w:t>Plan</w:t>
      </w:r>
      <w:r w:rsidRPr="00E76013">
        <w:rPr>
          <w:rFonts w:ascii="Times New Roman" w:hAnsi="Times New Roman" w:cs="Times New Roman"/>
          <w:b/>
          <w:noProof/>
          <w:sz w:val="24"/>
          <w:szCs w:val="24"/>
          <w:lang w:val="en-GB" w:eastAsia="en-GB"/>
        </w:rPr>
        <w:t xml:space="preserve"> in Bulgaria.</w:t>
      </w:r>
      <w:r w:rsidRPr="00E76013">
        <w:rPr>
          <w:rFonts w:ascii="Times New Roman" w:hAnsi="Times New Roman" w:cs="Times New Roman"/>
          <w:noProof/>
          <w:sz w:val="24"/>
          <w:szCs w:val="24"/>
          <w:lang w:val="en-GB" w:eastAsia="en-GB"/>
        </w:rPr>
        <w:t xml:space="preserve"> The structures responsible for the organisation and coordination of the </w:t>
      </w:r>
      <w:r w:rsidR="3C9E2FF3" w:rsidRPr="00E76013">
        <w:rPr>
          <w:rFonts w:ascii="Times New Roman" w:hAnsi="Times New Roman" w:cs="Times New Roman"/>
          <w:noProof/>
          <w:sz w:val="24"/>
          <w:szCs w:val="24"/>
          <w:lang w:val="en-GB" w:eastAsia="en-GB"/>
        </w:rPr>
        <w:t>Plan</w:t>
      </w:r>
      <w:r w:rsidRPr="00E76013">
        <w:rPr>
          <w:rFonts w:ascii="Times New Roman" w:hAnsi="Times New Roman" w:cs="Times New Roman"/>
          <w:noProof/>
          <w:sz w:val="24"/>
          <w:szCs w:val="24"/>
          <w:lang w:val="en-GB" w:eastAsia="en-GB"/>
        </w:rPr>
        <w:t xml:space="preserve"> have been designated by a Decision of the Council of Ministers 568, in force since 2</w:t>
      </w:r>
      <w:r w:rsidRPr="00E76013">
        <w:rPr>
          <w:rFonts w:ascii="Times New Roman" w:hAnsi="Times New Roman" w:cs="Times New Roman"/>
          <w:noProof/>
          <w:sz w:val="24"/>
          <w:szCs w:val="24"/>
          <w:vertAlign w:val="superscript"/>
          <w:lang w:val="en-GB" w:eastAsia="en-GB"/>
        </w:rPr>
        <w:t>nd</w:t>
      </w:r>
      <w:r w:rsidRPr="00E76013">
        <w:rPr>
          <w:rFonts w:ascii="Times New Roman" w:hAnsi="Times New Roman" w:cs="Times New Roman"/>
          <w:noProof/>
          <w:sz w:val="24"/>
          <w:szCs w:val="24"/>
          <w:lang w:val="en-GB" w:eastAsia="en-GB"/>
        </w:rPr>
        <w:t xml:space="preserve"> August 2021. </w:t>
      </w:r>
    </w:p>
    <w:p w14:paraId="11407F29" w14:textId="301A71C7" w:rsidR="00980BEB" w:rsidRPr="00E76013" w:rsidRDefault="00980BEB" w:rsidP="00E76013">
      <w:pPr>
        <w:spacing w:line="276" w:lineRule="auto"/>
        <w:jc w:val="both"/>
        <w:rPr>
          <w:rFonts w:ascii="Times New Roman" w:hAnsi="Times New Roman" w:cs="Times New Roman"/>
          <w:noProof/>
          <w:sz w:val="24"/>
          <w:szCs w:val="24"/>
          <w:lang w:val="en-GB" w:eastAsia="en-GB"/>
        </w:rPr>
      </w:pPr>
      <w:r w:rsidRPr="00E76013">
        <w:rPr>
          <w:rFonts w:ascii="Times New Roman" w:hAnsi="Times New Roman" w:cs="Times New Roman"/>
          <w:b/>
          <w:noProof/>
          <w:sz w:val="24"/>
          <w:szCs w:val="24"/>
          <w:lang w:val="en-GB" w:eastAsia="en-GB"/>
        </w:rPr>
        <w:t>For each reform or investment there is a responsible body defined in the Plan together with the description of the reform/investment and timeline.</w:t>
      </w:r>
      <w:r w:rsidRPr="00E76013">
        <w:rPr>
          <w:rFonts w:ascii="Times New Roman" w:hAnsi="Times New Roman" w:cs="Times New Roman"/>
          <w:noProof/>
          <w:sz w:val="24"/>
          <w:szCs w:val="24"/>
          <w:lang w:val="en-GB" w:eastAsia="en-GB"/>
        </w:rPr>
        <w:t xml:space="preserve"> For each of the milestone and target there is a verification mechanism described. There is no description of the planned management verifications for the fulfilment of the milestones and targets at the level of each component separately. However, the description at Plan level applies for all individual components.</w:t>
      </w:r>
    </w:p>
    <w:p w14:paraId="2A137E89" w14:textId="704A74BF" w:rsidR="006618F9" w:rsidRPr="00E76013" w:rsidRDefault="006618F9" w:rsidP="00890E80">
      <w:pPr>
        <w:spacing w:line="276" w:lineRule="auto"/>
        <w:jc w:val="both"/>
        <w:rPr>
          <w:rFonts w:ascii="Times New Roman" w:hAnsi="Times New Roman" w:cs="Times New Roman"/>
          <w:i/>
          <w:iCs/>
          <w:noProof/>
          <w:sz w:val="24"/>
          <w:szCs w:val="24"/>
          <w:lang w:eastAsia="en-GB"/>
        </w:rPr>
      </w:pPr>
      <w:r w:rsidRPr="00E76013">
        <w:rPr>
          <w:rFonts w:ascii="Times New Roman" w:hAnsi="Times New Roman" w:cs="Times New Roman"/>
          <w:i/>
          <w:iCs/>
          <w:noProof/>
          <w:sz w:val="24"/>
          <w:szCs w:val="24"/>
          <w:lang w:eastAsia="en-GB"/>
        </w:rPr>
        <w:t>Adequacy of control systems and other relevant arrangements</w:t>
      </w:r>
    </w:p>
    <w:p w14:paraId="0FBAB0FD" w14:textId="1EC28199" w:rsidR="006618F9" w:rsidRPr="00E76013"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hAnsi="Times New Roman" w:cs="Times New Roman"/>
          <w:b/>
          <w:noProof/>
          <w:sz w:val="24"/>
          <w:szCs w:val="24"/>
          <w:lang w:eastAsia="en-GB"/>
        </w:rPr>
        <w:t xml:space="preserve">The Bulgarian authorities </w:t>
      </w:r>
      <w:r w:rsidRPr="00E76013">
        <w:rPr>
          <w:rFonts w:ascii="Times New Roman" w:hAnsi="Times New Roman" w:cs="Times New Roman"/>
          <w:b/>
          <w:bCs/>
          <w:noProof/>
          <w:sz w:val="24"/>
          <w:szCs w:val="24"/>
          <w:lang w:eastAsia="en-GB"/>
        </w:rPr>
        <w:t xml:space="preserve">describe </w:t>
      </w:r>
      <w:r w:rsidRPr="00E76013">
        <w:rPr>
          <w:rFonts w:ascii="Times New Roman" w:hAnsi="Times New Roman" w:cs="Times New Roman"/>
          <w:b/>
          <w:noProof/>
          <w:sz w:val="24"/>
          <w:szCs w:val="24"/>
          <w:lang w:eastAsia="en-GB"/>
        </w:rPr>
        <w:t xml:space="preserve">in the </w:t>
      </w:r>
      <w:r w:rsidRPr="00E76013">
        <w:rPr>
          <w:rFonts w:ascii="Times New Roman" w:hAnsi="Times New Roman" w:cs="Times New Roman"/>
          <w:b/>
          <w:bCs/>
          <w:noProof/>
          <w:sz w:val="24"/>
          <w:szCs w:val="24"/>
          <w:lang w:eastAsia="en-GB"/>
        </w:rPr>
        <w:t>Plan</w:t>
      </w:r>
      <w:r w:rsidRPr="00E76013">
        <w:rPr>
          <w:rFonts w:ascii="Times New Roman" w:hAnsi="Times New Roman" w:cs="Times New Roman"/>
          <w:b/>
          <w:noProof/>
          <w:sz w:val="24"/>
          <w:szCs w:val="24"/>
          <w:lang w:eastAsia="en-GB"/>
        </w:rPr>
        <w:t xml:space="preserve"> the measures to be applied to prevent the occurrence of fraud, corruption and conflict of interest. </w:t>
      </w:r>
      <w:r w:rsidRPr="00E76013">
        <w:rPr>
          <w:rFonts w:ascii="Times New Roman" w:hAnsi="Times New Roman" w:cs="Times New Roman"/>
          <w:noProof/>
          <w:sz w:val="24"/>
          <w:szCs w:val="24"/>
          <w:lang w:eastAsia="en-GB"/>
        </w:rPr>
        <w:t>The</w:t>
      </w:r>
      <w:r w:rsidR="00980BEB" w:rsidRPr="00E76013">
        <w:rPr>
          <w:rFonts w:ascii="Times New Roman" w:hAnsi="Times New Roman" w:cs="Times New Roman"/>
          <w:noProof/>
          <w:sz w:val="24"/>
          <w:szCs w:val="24"/>
          <w:lang w:eastAsia="en-GB"/>
        </w:rPr>
        <w:t>se</w:t>
      </w:r>
      <w:r w:rsidRPr="00E76013">
        <w:rPr>
          <w:rFonts w:ascii="Times New Roman" w:hAnsi="Times New Roman" w:cs="Times New Roman"/>
          <w:noProof/>
          <w:sz w:val="24"/>
          <w:szCs w:val="24"/>
          <w:lang w:eastAsia="en-GB"/>
        </w:rPr>
        <w:t xml:space="preserve"> include: code of ethical conduct of civil servants</w:t>
      </w:r>
      <w:r w:rsidR="001124DC">
        <w:rPr>
          <w:rFonts w:ascii="Times New Roman" w:hAnsi="Times New Roman" w:cs="Times New Roman"/>
          <w:noProof/>
          <w:sz w:val="24"/>
          <w:szCs w:val="24"/>
          <w:lang w:eastAsia="en-GB"/>
        </w:rPr>
        <w:t>,</w:t>
      </w:r>
      <w:r w:rsidRPr="00E76013">
        <w:rPr>
          <w:rFonts w:ascii="Times New Roman" w:hAnsi="Times New Roman" w:cs="Times New Roman"/>
          <w:noProof/>
          <w:sz w:val="24"/>
          <w:szCs w:val="24"/>
          <w:lang w:eastAsia="en-GB"/>
        </w:rPr>
        <w:t xml:space="preserve"> signing of </w:t>
      </w:r>
      <w:r w:rsidR="001124DC">
        <w:rPr>
          <w:rFonts w:ascii="Times New Roman" w:hAnsi="Times New Roman" w:cs="Times New Roman"/>
          <w:noProof/>
          <w:sz w:val="24"/>
          <w:szCs w:val="24"/>
          <w:lang w:eastAsia="en-GB"/>
        </w:rPr>
        <w:t>the</w:t>
      </w:r>
      <w:r w:rsidRPr="00E76013">
        <w:rPr>
          <w:rFonts w:ascii="Times New Roman" w:hAnsi="Times New Roman" w:cs="Times New Roman"/>
          <w:noProof/>
          <w:sz w:val="24"/>
          <w:szCs w:val="24"/>
          <w:lang w:eastAsia="en-GB"/>
        </w:rPr>
        <w:t xml:space="preserve"> declaration on the civil servants’ awareness of the definition of irregularity within the meaning of Regulation No 2988/95, as well as definitions of fraud and corruption; signing of a declaration of absence of conflict of interest; awareness of procedures for reporting alerts and suspicions of fraud, corruption and conflict of interest; signing of declaration of assets and interests; ex-ante checks by the Public Procurement Agency; carrying out of fraud risk assessments by the Monitoring and Reporting Structures and the National Fund Directorate (using the fraud risk self-assessment tool); and training of participants in the process of implementing and monitoring the </w:t>
      </w:r>
      <w:r w:rsidR="003D2279" w:rsidRPr="00E76013">
        <w:rPr>
          <w:rFonts w:ascii="Times New Roman" w:hAnsi="Times New Roman" w:cs="Times New Roman"/>
          <w:noProof/>
          <w:sz w:val="24"/>
          <w:szCs w:val="24"/>
          <w:lang w:eastAsia="en-GB"/>
        </w:rPr>
        <w:t>Plan</w:t>
      </w:r>
      <w:r w:rsidRPr="00E76013">
        <w:rPr>
          <w:rFonts w:ascii="Times New Roman" w:hAnsi="Times New Roman" w:cs="Times New Roman"/>
          <w:noProof/>
          <w:sz w:val="24"/>
          <w:szCs w:val="24"/>
          <w:lang w:eastAsia="en-GB"/>
        </w:rPr>
        <w:t xml:space="preserve">. It is worth noting that in view of the definition of Article 61 of the Financial Regulation, further measures should be taken to prevent conflict of interest which include, for example, the use of data mining tools for ex-ante checks. </w:t>
      </w:r>
      <w:r w:rsidRPr="00E76013">
        <w:rPr>
          <w:rFonts w:ascii="Times New Roman" w:hAnsi="Times New Roman" w:cs="Times New Roman"/>
          <w:bCs/>
          <w:noProof/>
          <w:sz w:val="24"/>
          <w:szCs w:val="24"/>
          <w:lang w:eastAsia="en-GB"/>
        </w:rPr>
        <w:t>However, the specification of measures to combat fraud, corruption, double funding and conflict of interest and arrangements for reporting and correcting serious irregularities shall be included in the Act approving the Management and Control System, which shall be approved and enter into force before the submission of the first payment request.</w:t>
      </w:r>
      <w:r w:rsidRPr="00E76013">
        <w:rPr>
          <w:rFonts w:ascii="Times New Roman" w:hAnsi="Times New Roman" w:cs="Times New Roman"/>
          <w:b/>
          <w:bCs/>
          <w:noProof/>
          <w:sz w:val="24"/>
          <w:szCs w:val="24"/>
          <w:lang w:eastAsia="en-GB"/>
        </w:rPr>
        <w:t xml:space="preserve"> </w:t>
      </w:r>
      <w:r w:rsidRPr="00E76013">
        <w:rPr>
          <w:rFonts w:ascii="Times New Roman" w:eastAsia="Times New Roman" w:hAnsi="Times New Roman" w:cs="Times New Roman"/>
          <w:noProof/>
          <w:sz w:val="24"/>
          <w:szCs w:val="24"/>
          <w:lang w:val="en-GB"/>
        </w:rPr>
        <w:t xml:space="preserve">This will be implemented through a dedicated milestone. </w:t>
      </w:r>
    </w:p>
    <w:p w14:paraId="2CE0BDED" w14:textId="3DB2F75B" w:rsidR="006618F9" w:rsidRPr="00E76013"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eastAsia="Times New Roman" w:hAnsi="Times New Roman" w:cs="Times New Roman"/>
          <w:b/>
          <w:bCs/>
          <w:noProof/>
          <w:color w:val="000000" w:themeColor="text1"/>
          <w:sz w:val="24"/>
          <w:szCs w:val="24"/>
          <w:lang w:val="en-GB"/>
        </w:rPr>
        <w:t xml:space="preserve">For the management and the monitoring of the RRP, the Bulgarian authorities will </w:t>
      </w:r>
      <w:r w:rsidR="00E957C5">
        <w:rPr>
          <w:rFonts w:ascii="Times New Roman" w:eastAsia="Times New Roman" w:hAnsi="Times New Roman" w:cs="Times New Roman"/>
          <w:b/>
          <w:bCs/>
          <w:noProof/>
          <w:color w:val="000000" w:themeColor="text1"/>
          <w:sz w:val="24"/>
          <w:szCs w:val="24"/>
          <w:lang w:val="en-GB"/>
        </w:rPr>
        <w:t>upgrade</w:t>
      </w:r>
      <w:r w:rsidR="00E957C5" w:rsidRPr="00E76013">
        <w:rPr>
          <w:rFonts w:ascii="Times New Roman" w:eastAsia="Times New Roman" w:hAnsi="Times New Roman" w:cs="Times New Roman"/>
          <w:b/>
          <w:bCs/>
          <w:noProof/>
          <w:color w:val="000000" w:themeColor="text1"/>
          <w:sz w:val="24"/>
          <w:szCs w:val="24"/>
          <w:lang w:val="en-GB"/>
        </w:rPr>
        <w:t xml:space="preserve"> </w:t>
      </w:r>
      <w:r w:rsidRPr="00E76013">
        <w:rPr>
          <w:rFonts w:ascii="Times New Roman" w:eastAsia="Times New Roman" w:hAnsi="Times New Roman" w:cs="Times New Roman"/>
          <w:b/>
          <w:bCs/>
          <w:noProof/>
          <w:color w:val="000000" w:themeColor="text1"/>
          <w:sz w:val="24"/>
          <w:szCs w:val="24"/>
          <w:lang w:val="en-GB"/>
        </w:rPr>
        <w:t xml:space="preserve">the </w:t>
      </w:r>
      <w:r w:rsidR="00E957C5">
        <w:rPr>
          <w:rFonts w:ascii="Times New Roman" w:eastAsia="Times New Roman" w:hAnsi="Times New Roman" w:cs="Times New Roman"/>
          <w:b/>
          <w:bCs/>
          <w:noProof/>
          <w:color w:val="000000" w:themeColor="text1"/>
          <w:sz w:val="24"/>
          <w:szCs w:val="24"/>
          <w:lang w:val="en-GB"/>
        </w:rPr>
        <w:t>existing</w:t>
      </w:r>
      <w:r w:rsidRPr="00E76013">
        <w:rPr>
          <w:rFonts w:ascii="Times New Roman" w:eastAsia="Times New Roman" w:hAnsi="Times New Roman" w:cs="Times New Roman"/>
          <w:b/>
          <w:bCs/>
          <w:noProof/>
          <w:color w:val="000000" w:themeColor="text1"/>
          <w:sz w:val="24"/>
          <w:szCs w:val="24"/>
          <w:lang w:val="en-GB"/>
        </w:rPr>
        <w:t xml:space="preserve"> </w:t>
      </w:r>
      <w:r w:rsidR="00E957C5" w:rsidRPr="00E957C5">
        <w:rPr>
          <w:rFonts w:ascii="Times New Roman" w:eastAsia="Times New Roman" w:hAnsi="Times New Roman" w:cs="Times New Roman"/>
          <w:b/>
          <w:bCs/>
          <w:noProof/>
          <w:color w:val="000000" w:themeColor="text1"/>
          <w:sz w:val="24"/>
          <w:szCs w:val="24"/>
          <w:lang w:val="en-GB"/>
        </w:rPr>
        <w:t xml:space="preserve">information </w:t>
      </w:r>
      <w:r w:rsidRPr="00E76013">
        <w:rPr>
          <w:rFonts w:ascii="Times New Roman" w:eastAsia="Times New Roman" w:hAnsi="Times New Roman" w:cs="Times New Roman"/>
          <w:b/>
          <w:bCs/>
          <w:noProof/>
          <w:color w:val="000000" w:themeColor="text1"/>
          <w:sz w:val="24"/>
          <w:szCs w:val="24"/>
          <w:lang w:val="en-GB"/>
        </w:rPr>
        <w:t>system</w:t>
      </w:r>
      <w:r w:rsidR="00E957C5">
        <w:rPr>
          <w:rFonts w:ascii="Times New Roman" w:eastAsia="Times New Roman" w:hAnsi="Times New Roman" w:cs="Times New Roman"/>
          <w:b/>
          <w:bCs/>
          <w:noProof/>
          <w:color w:val="000000" w:themeColor="text1"/>
          <w:sz w:val="24"/>
          <w:szCs w:val="24"/>
          <w:lang w:val="en-GB"/>
        </w:rPr>
        <w:t xml:space="preserve"> </w:t>
      </w:r>
      <w:r w:rsidR="00E957C5" w:rsidRPr="00E957C5">
        <w:rPr>
          <w:rFonts w:ascii="Times New Roman" w:eastAsia="Times New Roman" w:hAnsi="Times New Roman" w:cs="Times New Roman"/>
          <w:b/>
          <w:bCs/>
          <w:noProof/>
          <w:color w:val="000000" w:themeColor="text1"/>
          <w:sz w:val="24"/>
          <w:szCs w:val="24"/>
          <w:lang w:val="en-GB"/>
        </w:rPr>
        <w:t>for management and monitoring</w:t>
      </w:r>
      <w:r w:rsidR="00E957C5">
        <w:rPr>
          <w:rFonts w:ascii="Times New Roman" w:eastAsia="Times New Roman" w:hAnsi="Times New Roman" w:cs="Times New Roman"/>
          <w:b/>
          <w:bCs/>
          <w:noProof/>
          <w:color w:val="000000" w:themeColor="text1"/>
          <w:sz w:val="24"/>
          <w:szCs w:val="24"/>
          <w:lang w:val="en-GB"/>
        </w:rPr>
        <w:t xml:space="preserve"> </w:t>
      </w:r>
      <w:r w:rsidR="00E957C5" w:rsidRPr="00E957C5">
        <w:rPr>
          <w:rFonts w:ascii="Times New Roman" w:eastAsia="Times New Roman" w:hAnsi="Times New Roman" w:cs="Times New Roman"/>
          <w:b/>
          <w:bCs/>
          <w:noProof/>
          <w:color w:val="000000" w:themeColor="text1"/>
          <w:sz w:val="24"/>
          <w:szCs w:val="24"/>
          <w:lang w:val="en-GB"/>
        </w:rPr>
        <w:t xml:space="preserve">of </w:t>
      </w:r>
      <w:r w:rsidR="00E957C5">
        <w:rPr>
          <w:rFonts w:ascii="Times New Roman" w:eastAsia="Times New Roman" w:hAnsi="Times New Roman" w:cs="Times New Roman"/>
          <w:b/>
          <w:bCs/>
          <w:noProof/>
          <w:color w:val="000000" w:themeColor="text1"/>
          <w:sz w:val="24"/>
          <w:szCs w:val="24"/>
          <w:lang w:val="en-GB"/>
        </w:rPr>
        <w:t>EU</w:t>
      </w:r>
      <w:r w:rsidR="00E957C5" w:rsidRPr="00E957C5">
        <w:rPr>
          <w:rFonts w:ascii="Times New Roman" w:eastAsia="Times New Roman" w:hAnsi="Times New Roman" w:cs="Times New Roman"/>
          <w:b/>
          <w:bCs/>
          <w:noProof/>
          <w:color w:val="000000" w:themeColor="text1"/>
          <w:sz w:val="24"/>
          <w:szCs w:val="24"/>
          <w:lang w:val="en-GB"/>
        </w:rPr>
        <w:t xml:space="preserve"> funds</w:t>
      </w:r>
      <w:r w:rsidR="00E957C5">
        <w:rPr>
          <w:rFonts w:ascii="Times New Roman" w:eastAsia="Times New Roman" w:hAnsi="Times New Roman" w:cs="Times New Roman"/>
          <w:b/>
          <w:bCs/>
          <w:noProof/>
          <w:color w:val="000000" w:themeColor="text1"/>
          <w:sz w:val="24"/>
          <w:szCs w:val="24"/>
          <w:lang w:val="en-GB"/>
        </w:rPr>
        <w:t xml:space="preserve"> (UMIS)</w:t>
      </w:r>
      <w:r w:rsidRPr="00E76013">
        <w:rPr>
          <w:rFonts w:ascii="Times New Roman" w:eastAsia="Times New Roman" w:hAnsi="Times New Roman" w:cs="Times New Roman"/>
          <w:b/>
          <w:bCs/>
          <w:noProof/>
          <w:color w:val="000000" w:themeColor="text1"/>
          <w:sz w:val="24"/>
          <w:szCs w:val="24"/>
          <w:lang w:val="en-GB"/>
        </w:rPr>
        <w:t xml:space="preserve">. </w:t>
      </w:r>
      <w:r w:rsidRPr="00E76013">
        <w:rPr>
          <w:rFonts w:ascii="Times New Roman" w:hAnsi="Times New Roman" w:cs="Times New Roman"/>
          <w:noProof/>
          <w:sz w:val="24"/>
          <w:szCs w:val="24"/>
          <w:lang w:eastAsia="en-GB"/>
        </w:rPr>
        <w:t>They have confirmed that the following elements will be filled in the system by the final recipients: contracts concluded with contractors; supporting and payment documents; documents proving performance – certificates, acts, etc.; payment forecasts; documents proving that the stages and objectives have been met.</w:t>
      </w:r>
      <w:r w:rsidR="00391F5D" w:rsidRPr="00E76013">
        <w:rPr>
          <w:rFonts w:ascii="Times New Roman" w:hAnsi="Times New Roman" w:cs="Times New Roman"/>
          <w:noProof/>
          <w:sz w:val="24"/>
          <w:szCs w:val="24"/>
          <w:lang w:eastAsia="en-GB"/>
        </w:rPr>
        <w:t xml:space="preserve"> </w:t>
      </w:r>
      <w:r w:rsidRPr="00E76013">
        <w:rPr>
          <w:rFonts w:ascii="Times New Roman" w:hAnsi="Times New Roman" w:cs="Times New Roman"/>
          <w:noProof/>
          <w:sz w:val="24"/>
          <w:szCs w:val="24"/>
          <w:lang w:eastAsia="en-GB"/>
        </w:rPr>
        <w:t>Final recipients are also responsible for record keeping, such as statistics and other data related to financing, as well as records and documents in electronic format for 5 years after payment of the balance. By concluding an operational agreement, each final recipient agrees to collect and enter in the IT system the following data under Article 22 (2) (d) of Regulation (E</w:t>
      </w:r>
      <w:r w:rsidR="007854B2">
        <w:rPr>
          <w:rFonts w:ascii="Times New Roman" w:hAnsi="Times New Roman" w:cs="Times New Roman"/>
          <w:noProof/>
          <w:sz w:val="24"/>
          <w:szCs w:val="24"/>
          <w:lang w:eastAsia="en-GB"/>
        </w:rPr>
        <w:t>U</w:t>
      </w:r>
      <w:r w:rsidRPr="00E76013">
        <w:rPr>
          <w:rFonts w:ascii="Times New Roman" w:hAnsi="Times New Roman" w:cs="Times New Roman"/>
          <w:noProof/>
          <w:sz w:val="24"/>
          <w:szCs w:val="24"/>
          <w:lang w:eastAsia="en-GB"/>
        </w:rPr>
        <w:t xml:space="preserve">) No 2021/241. The storage of the required information is provided in the IT system and for control and audit purposes the system’s administrative officer provides access to it, subject to the provisions of the applicable legislation relating to the protection of personal data. Checks of milestones and targets by the Audit Body will aim to confirm that the reported milestones/targets by final recipients are met and the related data are complete, accurate, reliable, correctly aggregated, evidence-based, recorded in the national information system and subject to effective controls. </w:t>
      </w:r>
      <w:r w:rsidRPr="00E76013">
        <w:rPr>
          <w:rFonts w:ascii="Times New Roman" w:hAnsi="Times New Roman" w:cs="Times New Roman"/>
          <w:noProof/>
          <w:sz w:val="24"/>
          <w:szCs w:val="24"/>
          <w:lang w:val="en-IE" w:eastAsia="en-GB"/>
        </w:rPr>
        <w:t>The collection of data on progress and the reporting of the stages and objectives with the requests for payment to the EC is carried out by the N</w:t>
      </w:r>
      <w:r w:rsidR="000E2CDD">
        <w:rPr>
          <w:rFonts w:ascii="Times New Roman" w:hAnsi="Times New Roman" w:cs="Times New Roman"/>
          <w:noProof/>
          <w:sz w:val="24"/>
          <w:szCs w:val="24"/>
          <w:lang w:val="en-IE" w:eastAsia="en-GB"/>
        </w:rPr>
        <w:t xml:space="preserve">ational </w:t>
      </w:r>
      <w:r w:rsidRPr="00E76013">
        <w:rPr>
          <w:rFonts w:ascii="Times New Roman" w:hAnsi="Times New Roman" w:cs="Times New Roman"/>
          <w:noProof/>
          <w:sz w:val="24"/>
          <w:szCs w:val="24"/>
          <w:lang w:val="en-IE" w:eastAsia="en-GB"/>
        </w:rPr>
        <w:t>F</w:t>
      </w:r>
      <w:r w:rsidR="000E2CDD">
        <w:rPr>
          <w:rFonts w:ascii="Times New Roman" w:hAnsi="Times New Roman" w:cs="Times New Roman"/>
          <w:noProof/>
          <w:sz w:val="24"/>
          <w:szCs w:val="24"/>
          <w:lang w:val="en-IE" w:eastAsia="en-GB"/>
        </w:rPr>
        <w:t xml:space="preserve">und </w:t>
      </w:r>
      <w:r w:rsidRPr="00E76013">
        <w:rPr>
          <w:rFonts w:ascii="Times New Roman" w:hAnsi="Times New Roman" w:cs="Times New Roman"/>
          <w:noProof/>
          <w:sz w:val="24"/>
          <w:szCs w:val="24"/>
          <w:lang w:val="en-IE" w:eastAsia="en-GB"/>
        </w:rPr>
        <w:t>D</w:t>
      </w:r>
      <w:r w:rsidR="000E2CDD">
        <w:rPr>
          <w:rFonts w:ascii="Times New Roman" w:hAnsi="Times New Roman" w:cs="Times New Roman"/>
          <w:noProof/>
          <w:sz w:val="24"/>
          <w:szCs w:val="24"/>
          <w:lang w:val="en-IE" w:eastAsia="en-GB"/>
        </w:rPr>
        <w:t>irectorate</w:t>
      </w:r>
      <w:r w:rsidRPr="00E76013">
        <w:rPr>
          <w:rFonts w:ascii="Times New Roman" w:hAnsi="Times New Roman" w:cs="Times New Roman"/>
          <w:noProof/>
          <w:sz w:val="24"/>
          <w:szCs w:val="24"/>
          <w:lang w:val="en-IE" w:eastAsia="en-GB"/>
        </w:rPr>
        <w:t xml:space="preserve">. </w:t>
      </w:r>
      <w:r w:rsidRPr="00E76013">
        <w:rPr>
          <w:rFonts w:ascii="Times New Roman" w:hAnsi="Times New Roman" w:cs="Times New Roman"/>
          <w:noProof/>
          <w:sz w:val="24"/>
          <w:szCs w:val="24"/>
          <w:lang w:eastAsia="en-GB"/>
        </w:rPr>
        <w:t xml:space="preserve">A milestone on the repository system features has been added to the Plan that provides reassurance that </w:t>
      </w:r>
      <w:r w:rsidRPr="00E76013">
        <w:rPr>
          <w:rFonts w:ascii="Times New Roman" w:hAnsi="Times New Roman" w:cs="Times New Roman"/>
          <w:noProof/>
          <w:sz w:val="24"/>
          <w:szCs w:val="24"/>
          <w:lang w:val="en-GB" w:eastAsia="en-GB"/>
        </w:rPr>
        <w:t>the IT system will be operational, with the basic functionalities to track the milestones and targets, before the first payment claim</w:t>
      </w:r>
      <w:r w:rsidRPr="00E76013">
        <w:rPr>
          <w:rFonts w:ascii="Times New Roman" w:hAnsi="Times New Roman" w:cs="Times New Roman"/>
          <w:noProof/>
          <w:sz w:val="24"/>
          <w:szCs w:val="24"/>
          <w:lang w:eastAsia="en-GB"/>
        </w:rPr>
        <w:t xml:space="preserve"> and that, all categories of data required by the RRF Regulation will be collected.</w:t>
      </w:r>
      <w:r w:rsidR="004F2DAB">
        <w:rPr>
          <w:rFonts w:ascii="Times New Roman" w:hAnsi="Times New Roman" w:cs="Times New Roman"/>
          <w:noProof/>
          <w:sz w:val="24"/>
          <w:szCs w:val="24"/>
          <w:lang w:eastAsia="en-GB"/>
        </w:rPr>
        <w:t xml:space="preserve"> </w:t>
      </w:r>
    </w:p>
    <w:p w14:paraId="540F938D" w14:textId="50B43F90" w:rsidR="006618F9" w:rsidRPr="00E76013" w:rsidRDefault="006618F9" w:rsidP="00890E80">
      <w:pPr>
        <w:spacing w:line="276" w:lineRule="auto"/>
        <w:jc w:val="both"/>
        <w:rPr>
          <w:rFonts w:ascii="Times New Roman" w:hAnsi="Times New Roman" w:cs="Times New Roman"/>
          <w:i/>
          <w:iCs/>
          <w:noProof/>
          <w:sz w:val="24"/>
          <w:szCs w:val="24"/>
          <w:lang w:eastAsia="en-GB"/>
        </w:rPr>
      </w:pPr>
      <w:r w:rsidRPr="00E76013">
        <w:rPr>
          <w:rFonts w:ascii="Times New Roman" w:hAnsi="Times New Roman" w:cs="Times New Roman"/>
          <w:i/>
          <w:iCs/>
          <w:noProof/>
          <w:sz w:val="24"/>
          <w:szCs w:val="24"/>
          <w:lang w:eastAsia="en-GB"/>
        </w:rPr>
        <w:t xml:space="preserve">Adequacy of arrangements to avoid double EU funding </w:t>
      </w:r>
    </w:p>
    <w:p w14:paraId="749C746B" w14:textId="50B43F90" w:rsidR="006618F9" w:rsidRPr="00E76013"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hAnsi="Times New Roman" w:cs="Times New Roman"/>
          <w:b/>
          <w:noProof/>
          <w:sz w:val="24"/>
          <w:szCs w:val="24"/>
          <w:lang w:eastAsia="en-GB"/>
        </w:rPr>
        <w:t xml:space="preserve">The arrangements for avoiding double funding are clearly described in the Bulgarian </w:t>
      </w:r>
      <w:r w:rsidR="000E64AB" w:rsidRPr="00E76013">
        <w:rPr>
          <w:rFonts w:ascii="Times New Roman" w:hAnsi="Times New Roman" w:cs="Times New Roman"/>
          <w:b/>
          <w:noProof/>
          <w:sz w:val="24"/>
          <w:szCs w:val="24"/>
          <w:lang w:eastAsia="en-GB"/>
        </w:rPr>
        <w:t>P</w:t>
      </w:r>
      <w:r w:rsidRPr="00E76013">
        <w:rPr>
          <w:rFonts w:ascii="Times New Roman" w:hAnsi="Times New Roman" w:cs="Times New Roman"/>
          <w:b/>
          <w:noProof/>
          <w:sz w:val="24"/>
          <w:szCs w:val="24"/>
          <w:lang w:eastAsia="en-GB"/>
        </w:rPr>
        <w:t>lan.</w:t>
      </w:r>
      <w:r w:rsidRPr="00E76013">
        <w:rPr>
          <w:rFonts w:ascii="Times New Roman" w:hAnsi="Times New Roman" w:cs="Times New Roman"/>
          <w:noProof/>
          <w:sz w:val="24"/>
          <w:szCs w:val="24"/>
          <w:lang w:eastAsia="en-GB"/>
        </w:rPr>
        <w:t xml:space="preserve"> All of the participants of the implementation and control of </w:t>
      </w:r>
      <w:r w:rsidR="001E1377" w:rsidRPr="00E76013">
        <w:rPr>
          <w:rFonts w:ascii="Times New Roman" w:hAnsi="Times New Roman" w:cs="Times New Roman"/>
          <w:noProof/>
          <w:sz w:val="24"/>
          <w:szCs w:val="24"/>
          <w:lang w:eastAsia="en-GB"/>
        </w:rPr>
        <w:t xml:space="preserve">Plan </w:t>
      </w:r>
      <w:r w:rsidRPr="00E76013">
        <w:rPr>
          <w:rFonts w:ascii="Times New Roman" w:hAnsi="Times New Roman" w:cs="Times New Roman"/>
          <w:noProof/>
          <w:sz w:val="24"/>
          <w:szCs w:val="24"/>
          <w:lang w:eastAsia="en-GB"/>
        </w:rPr>
        <w:t xml:space="preserve">ensure that double funding from RRF and other EU funds is avoided – in each technical-financial report presented by the final recipient or the Monitoring and Reporting Structures, up-to-date information will be provided on related projects or investments that the final recipient implements with funding from other EU funds/programmes. Double-funding checks are carried out both for the cost ratio, and in relation to the investments in their entirety. </w:t>
      </w:r>
    </w:p>
    <w:p w14:paraId="312B11CD" w14:textId="01DA7C67" w:rsidR="006618F9" w:rsidRPr="00E76013"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The Plan outlines the specific checks that will be carried out to prevent double funding from RRF and other EU funds during the implementation of the investment, i.e.</w:t>
      </w:r>
      <w:r w:rsidR="00925615" w:rsidRPr="00E76013">
        <w:rPr>
          <w:rFonts w:ascii="Times New Roman" w:hAnsi="Times New Roman" w:cs="Times New Roman"/>
          <w:noProof/>
          <w:sz w:val="24"/>
          <w:szCs w:val="24"/>
          <w:lang w:eastAsia="en-GB"/>
        </w:rPr>
        <w:t>:</w:t>
      </w:r>
    </w:p>
    <w:p w14:paraId="5C56B2B9" w14:textId="78FFEE05" w:rsidR="006618F9" w:rsidRPr="00E76013" w:rsidRDefault="006618F9" w:rsidP="00E01A1F">
      <w:pPr>
        <w:pStyle w:val="ListParagraph"/>
        <w:numPr>
          <w:ilvl w:val="0"/>
          <w:numId w:val="15"/>
        </w:numPr>
        <w:spacing w:line="257"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checks in the IT system for structural funds;</w:t>
      </w:r>
    </w:p>
    <w:p w14:paraId="05134777" w14:textId="07D74611" w:rsidR="006618F9" w:rsidRPr="00E76013" w:rsidRDefault="006618F9" w:rsidP="00E01A1F">
      <w:pPr>
        <w:pStyle w:val="ListParagraph"/>
        <w:numPr>
          <w:ilvl w:val="0"/>
          <w:numId w:val="15"/>
        </w:numPr>
        <w:spacing w:line="257"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checks in the Financial Transparency System;</w:t>
      </w:r>
    </w:p>
    <w:p w14:paraId="4FA9550E" w14:textId="602A5BF1" w:rsidR="006618F9" w:rsidRPr="00E76013" w:rsidRDefault="006618F9" w:rsidP="00E01A1F">
      <w:pPr>
        <w:pStyle w:val="ListParagraph"/>
        <w:numPr>
          <w:ilvl w:val="0"/>
          <w:numId w:val="15"/>
        </w:numPr>
        <w:spacing w:line="257"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check of the existence of an adequate accounting system of the final recipients distinguishing between different funding;</w:t>
      </w:r>
    </w:p>
    <w:p w14:paraId="2E30D619" w14:textId="42FA30AE" w:rsidR="006618F9" w:rsidRPr="00E76013" w:rsidRDefault="006618F9" w:rsidP="00E01A1F">
      <w:pPr>
        <w:pStyle w:val="ListParagraph"/>
        <w:numPr>
          <w:ilvl w:val="0"/>
          <w:numId w:val="15"/>
        </w:numPr>
        <w:spacing w:line="257"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declaration of absence of double funding.</w:t>
      </w:r>
    </w:p>
    <w:p w14:paraId="636DE9C9" w14:textId="06166DE9" w:rsidR="006618F9"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hAnsi="Times New Roman" w:cs="Times New Roman"/>
          <w:noProof/>
          <w:sz w:val="24"/>
          <w:szCs w:val="24"/>
          <w:lang w:eastAsia="en-GB"/>
        </w:rPr>
        <w:t xml:space="preserve">Bulgaria also declares that there is a clear separation of costs between RRF and other EU funds for each measure. In addition, they state that the Audit body carried out a review of the financing and quantification of expenditure. The provided procedures are expected to contribute to the exclusion of </w:t>
      </w:r>
      <w:r w:rsidR="001A5EC1">
        <w:rPr>
          <w:rFonts w:ascii="Times New Roman" w:hAnsi="Times New Roman" w:cs="Times New Roman"/>
          <w:noProof/>
          <w:sz w:val="24"/>
          <w:szCs w:val="24"/>
          <w:lang w:eastAsia="en-GB"/>
        </w:rPr>
        <w:t xml:space="preserve">the </w:t>
      </w:r>
      <w:r w:rsidRPr="00E76013">
        <w:rPr>
          <w:rFonts w:ascii="Times New Roman" w:hAnsi="Times New Roman" w:cs="Times New Roman"/>
          <w:noProof/>
          <w:sz w:val="24"/>
          <w:szCs w:val="24"/>
          <w:lang w:eastAsia="en-GB"/>
        </w:rPr>
        <w:t>possibility of double funding. In case there is doubt about overlapping activities, additional information may be requested from the European office responsible for the programme and the corresponding grant/contract. The verification of the information in the Financial Transparency System related to related projects financed from sources outside the RRF aims at avoiding double funding as well.</w:t>
      </w:r>
    </w:p>
    <w:p w14:paraId="25834A61" w14:textId="77777777" w:rsidR="008F187B" w:rsidRPr="00E76013" w:rsidRDefault="008F187B" w:rsidP="00890E80">
      <w:pPr>
        <w:spacing w:line="276" w:lineRule="auto"/>
        <w:jc w:val="both"/>
        <w:rPr>
          <w:rFonts w:ascii="Times New Roman" w:hAnsi="Times New Roman" w:cs="Times New Roman"/>
          <w:noProof/>
          <w:sz w:val="24"/>
          <w:szCs w:val="24"/>
          <w:lang w:eastAsia="en-GB"/>
        </w:rPr>
      </w:pPr>
    </w:p>
    <w:p w14:paraId="67CE13E3" w14:textId="0FF91693" w:rsidR="006618F9" w:rsidRPr="00E76013" w:rsidRDefault="006618F9" w:rsidP="00890E80">
      <w:pPr>
        <w:spacing w:line="276" w:lineRule="auto"/>
        <w:jc w:val="both"/>
        <w:rPr>
          <w:rFonts w:ascii="Times New Roman" w:hAnsi="Times New Roman" w:cs="Times New Roman"/>
          <w:i/>
          <w:iCs/>
          <w:noProof/>
          <w:sz w:val="24"/>
          <w:szCs w:val="24"/>
          <w:lang w:eastAsia="en-GB"/>
        </w:rPr>
      </w:pPr>
      <w:r w:rsidRPr="00E76013">
        <w:rPr>
          <w:rFonts w:ascii="Times New Roman" w:hAnsi="Times New Roman" w:cs="Times New Roman"/>
          <w:i/>
          <w:iCs/>
          <w:noProof/>
          <w:sz w:val="24"/>
          <w:szCs w:val="24"/>
          <w:lang w:eastAsia="en-GB"/>
        </w:rPr>
        <w:t>Legal empowerment and administrative capacity of control function</w:t>
      </w:r>
    </w:p>
    <w:p w14:paraId="67DDC7B3" w14:textId="377E8DC8" w:rsidR="006618F9" w:rsidRPr="00E76013" w:rsidRDefault="006618F9" w:rsidP="00890E80">
      <w:pPr>
        <w:spacing w:line="276" w:lineRule="auto"/>
        <w:jc w:val="both"/>
        <w:rPr>
          <w:rFonts w:ascii="Times New Roman" w:hAnsi="Times New Roman" w:cs="Times New Roman"/>
          <w:noProof/>
          <w:sz w:val="24"/>
          <w:szCs w:val="24"/>
          <w:lang w:eastAsia="en-GB"/>
        </w:rPr>
      </w:pPr>
      <w:r w:rsidRPr="00E76013">
        <w:rPr>
          <w:rFonts w:ascii="Times New Roman" w:hAnsi="Times New Roman" w:cs="Times New Roman"/>
          <w:b/>
          <w:noProof/>
          <w:sz w:val="24"/>
          <w:szCs w:val="24"/>
          <w:lang w:eastAsia="en-GB"/>
        </w:rPr>
        <w:t xml:space="preserve">Since the ministries/bodies described in the Plan are already part of the national set up, it is assumed that these bodies have already the legal mandate to exercise these tasks. </w:t>
      </w:r>
      <w:r w:rsidRPr="00E76013">
        <w:rPr>
          <w:rFonts w:ascii="Times New Roman" w:hAnsi="Times New Roman" w:cs="Times New Roman"/>
          <w:noProof/>
          <w:sz w:val="24"/>
          <w:szCs w:val="24"/>
          <w:lang w:eastAsia="en-GB"/>
        </w:rPr>
        <w:t xml:space="preserve">However, </w:t>
      </w:r>
      <w:r w:rsidRPr="00E76013">
        <w:rPr>
          <w:rFonts w:ascii="Times New Roman" w:hAnsi="Times New Roman" w:cs="Times New Roman"/>
          <w:bCs/>
          <w:noProof/>
          <w:sz w:val="24"/>
          <w:szCs w:val="24"/>
          <w:lang w:eastAsia="en-GB"/>
        </w:rPr>
        <w:t xml:space="preserve">the final approval of the Management and Control Systems in the specific context of </w:t>
      </w:r>
      <w:r w:rsidRPr="00E76013">
        <w:rPr>
          <w:rFonts w:ascii="Times New Roman" w:hAnsi="Times New Roman" w:cs="Times New Roman"/>
          <w:noProof/>
          <w:sz w:val="24"/>
          <w:szCs w:val="24"/>
          <w:lang w:eastAsia="en-GB"/>
        </w:rPr>
        <w:t xml:space="preserve">the </w:t>
      </w:r>
      <w:r w:rsidRPr="00E76013">
        <w:rPr>
          <w:rFonts w:ascii="Times New Roman" w:hAnsi="Times New Roman" w:cs="Times New Roman"/>
          <w:bCs/>
          <w:noProof/>
          <w:sz w:val="24"/>
          <w:szCs w:val="24"/>
          <w:lang w:eastAsia="en-GB"/>
        </w:rPr>
        <w:t>RRF is introduced as a milestone.</w:t>
      </w:r>
      <w:r w:rsidR="00925615" w:rsidRPr="00E76013">
        <w:rPr>
          <w:rFonts w:ascii="Times New Roman" w:hAnsi="Times New Roman" w:cs="Times New Roman"/>
          <w:bCs/>
          <w:noProof/>
          <w:sz w:val="24"/>
          <w:szCs w:val="24"/>
          <w:lang w:eastAsia="en-GB"/>
        </w:rPr>
        <w:t xml:space="preserve"> </w:t>
      </w:r>
    </w:p>
    <w:p w14:paraId="219E499F" w14:textId="487A9232" w:rsidR="006618F9" w:rsidRPr="00E76013" w:rsidRDefault="006618F9" w:rsidP="00890E80">
      <w:pPr>
        <w:spacing w:line="276" w:lineRule="auto"/>
        <w:jc w:val="both"/>
        <w:rPr>
          <w:rFonts w:ascii="Times New Roman" w:hAnsi="Times New Roman" w:cs="Times New Roman"/>
          <w:b/>
          <w:bCs/>
          <w:noProof/>
          <w:sz w:val="24"/>
          <w:szCs w:val="24"/>
          <w:lang w:val="en-IE" w:eastAsia="en-GB"/>
        </w:rPr>
      </w:pPr>
      <w:r w:rsidRPr="00E76013">
        <w:rPr>
          <w:rFonts w:ascii="Times New Roman" w:hAnsi="Times New Roman" w:cs="Times New Roman"/>
          <w:b/>
          <w:noProof/>
          <w:sz w:val="24"/>
          <w:szCs w:val="24"/>
          <w:lang w:eastAsia="en-GB"/>
        </w:rPr>
        <w:t xml:space="preserve">The Bulgarian </w:t>
      </w:r>
      <w:r w:rsidR="000E64AB" w:rsidRPr="00E76013">
        <w:rPr>
          <w:rFonts w:ascii="Times New Roman" w:hAnsi="Times New Roman" w:cs="Times New Roman"/>
          <w:b/>
          <w:noProof/>
          <w:sz w:val="24"/>
          <w:szCs w:val="24"/>
          <w:lang w:eastAsia="en-GB"/>
        </w:rPr>
        <w:t>P</w:t>
      </w:r>
      <w:r w:rsidRPr="00E76013">
        <w:rPr>
          <w:rFonts w:ascii="Times New Roman" w:hAnsi="Times New Roman" w:cs="Times New Roman"/>
          <w:b/>
          <w:noProof/>
          <w:sz w:val="24"/>
          <w:szCs w:val="24"/>
          <w:lang w:eastAsia="en-GB"/>
        </w:rPr>
        <w:t xml:space="preserve">lan outlines the administrative capacity of staff involved in the implementation, control and audit of the </w:t>
      </w:r>
      <w:r w:rsidR="001E1377" w:rsidRPr="00E76013">
        <w:rPr>
          <w:rFonts w:ascii="Times New Roman" w:hAnsi="Times New Roman" w:cs="Times New Roman"/>
          <w:b/>
          <w:noProof/>
          <w:sz w:val="24"/>
          <w:szCs w:val="24"/>
          <w:lang w:eastAsia="en-GB"/>
        </w:rPr>
        <w:t>Plan</w:t>
      </w:r>
      <w:r w:rsidRPr="00E76013">
        <w:rPr>
          <w:rFonts w:ascii="Times New Roman" w:hAnsi="Times New Roman" w:cs="Times New Roman"/>
          <w:b/>
          <w:noProof/>
          <w:sz w:val="24"/>
          <w:szCs w:val="24"/>
          <w:lang w:eastAsia="en-GB"/>
        </w:rPr>
        <w:t>.</w:t>
      </w:r>
      <w:r w:rsidRPr="00E76013">
        <w:rPr>
          <w:rFonts w:ascii="Times New Roman" w:hAnsi="Times New Roman" w:cs="Times New Roman"/>
          <w:noProof/>
          <w:sz w:val="24"/>
          <w:szCs w:val="24"/>
          <w:lang w:eastAsia="en-GB"/>
        </w:rPr>
        <w:t xml:space="preserve"> The National Fund Directorate of the Ministry of Finance consists of 60 qualified experts. The Central Coordination Unit Directorate (responsible for the development of the National Plan for Recovery and Resilience) has 60 people staff. The Directorate for Economic and Financial Policy at the Ministry of Finance – 41 people staff. The Audit of EU Funds Executive Agency has a staff headcount of 72 people. However, it is mentioned that if the need arises, external persons with specific expertise, knowledge and skills to perform specific audit tasks might be involved under specific conditions. </w:t>
      </w:r>
      <w:r w:rsidR="00925615" w:rsidRPr="00E76013">
        <w:rPr>
          <w:rFonts w:ascii="Times New Roman" w:hAnsi="Times New Roman" w:cs="Times New Roman"/>
          <w:noProof/>
          <w:sz w:val="24"/>
          <w:szCs w:val="24"/>
          <w:lang w:val="en-IE" w:eastAsia="en-GB"/>
        </w:rPr>
        <w:t>T</w:t>
      </w:r>
      <w:r w:rsidRPr="00E76013">
        <w:rPr>
          <w:rFonts w:ascii="Times New Roman" w:hAnsi="Times New Roman" w:cs="Times New Roman"/>
          <w:noProof/>
          <w:sz w:val="24"/>
          <w:szCs w:val="24"/>
          <w:lang w:val="en-IE" w:eastAsia="en-GB"/>
        </w:rPr>
        <w:t xml:space="preserve">he Bulgarian authorities </w:t>
      </w:r>
      <w:r w:rsidR="00925615" w:rsidRPr="00E76013">
        <w:rPr>
          <w:rFonts w:ascii="Times New Roman" w:hAnsi="Times New Roman" w:cs="Times New Roman"/>
          <w:noProof/>
          <w:sz w:val="24"/>
          <w:szCs w:val="24"/>
          <w:lang w:val="en-IE" w:eastAsia="en-GB"/>
        </w:rPr>
        <w:t>included</w:t>
      </w:r>
      <w:r w:rsidRPr="00E76013">
        <w:rPr>
          <w:rFonts w:ascii="Times New Roman" w:hAnsi="Times New Roman" w:cs="Times New Roman"/>
          <w:noProof/>
          <w:sz w:val="24"/>
          <w:szCs w:val="24"/>
          <w:lang w:val="en-IE" w:eastAsia="en-GB"/>
        </w:rPr>
        <w:t xml:space="preserve"> </w:t>
      </w:r>
      <w:r w:rsidRPr="00E76013">
        <w:rPr>
          <w:rFonts w:ascii="Times New Roman" w:hAnsi="Times New Roman" w:cs="Times New Roman"/>
          <w:bCs/>
          <w:noProof/>
          <w:sz w:val="24"/>
          <w:szCs w:val="24"/>
          <w:lang w:val="en-IE" w:eastAsia="en-GB"/>
        </w:rPr>
        <w:t>a milestone on the workload analysis carried out for the National Funds Directorate</w:t>
      </w:r>
      <w:r w:rsidR="00925615" w:rsidRPr="00E76013">
        <w:rPr>
          <w:rFonts w:ascii="Times New Roman" w:hAnsi="Times New Roman" w:cs="Times New Roman"/>
          <w:bCs/>
          <w:noProof/>
          <w:sz w:val="24"/>
          <w:szCs w:val="24"/>
          <w:lang w:val="en-IE" w:eastAsia="en-GB"/>
        </w:rPr>
        <w:t xml:space="preserve"> and for the Audit Agency</w:t>
      </w:r>
      <w:r w:rsidRPr="00E76013">
        <w:rPr>
          <w:rFonts w:ascii="Times New Roman" w:hAnsi="Times New Roman" w:cs="Times New Roman"/>
          <w:noProof/>
          <w:sz w:val="24"/>
          <w:szCs w:val="24"/>
          <w:lang w:val="en-IE" w:eastAsia="en-GB"/>
        </w:rPr>
        <w:t xml:space="preserve">, taking into account the burden arising from the Recovery and Resilience Facility. </w:t>
      </w:r>
      <w:r w:rsidRPr="00E76013">
        <w:rPr>
          <w:rFonts w:ascii="Times New Roman" w:hAnsi="Times New Roman" w:cs="Times New Roman"/>
          <w:bCs/>
          <w:noProof/>
          <w:sz w:val="24"/>
          <w:szCs w:val="24"/>
          <w:lang w:val="en-IE" w:eastAsia="en-GB"/>
        </w:rPr>
        <w:t>The analysis shall be carried out before the first payment request and provide adequate information in terms of administrative capacity needs with a view to reaching them in a timely manner, including by developing a set of recommendations to address insufficient capacity where necessary. Based on the analysis and recommendations, the decision on the allocation of the necessary resources to the National Fund Directorate</w:t>
      </w:r>
      <w:r w:rsidR="00925615" w:rsidRPr="00E76013">
        <w:rPr>
          <w:rFonts w:ascii="Times New Roman" w:hAnsi="Times New Roman" w:cs="Times New Roman"/>
          <w:bCs/>
          <w:noProof/>
          <w:sz w:val="24"/>
          <w:szCs w:val="24"/>
          <w:lang w:val="en-IE" w:eastAsia="en-GB"/>
        </w:rPr>
        <w:t xml:space="preserve"> and the Audit Agency</w:t>
      </w:r>
      <w:r w:rsidRPr="00E76013">
        <w:rPr>
          <w:rFonts w:ascii="Times New Roman" w:hAnsi="Times New Roman" w:cs="Times New Roman"/>
          <w:bCs/>
          <w:noProof/>
          <w:sz w:val="24"/>
          <w:szCs w:val="24"/>
          <w:lang w:val="en-IE" w:eastAsia="en-GB"/>
        </w:rPr>
        <w:t>, shall be taken before the first payment request.</w:t>
      </w:r>
    </w:p>
    <w:p w14:paraId="585D4338" w14:textId="24460698" w:rsidR="006618F9" w:rsidRDefault="006618F9" w:rsidP="00890E80">
      <w:pPr>
        <w:spacing w:line="276" w:lineRule="auto"/>
        <w:jc w:val="both"/>
        <w:rPr>
          <w:rFonts w:ascii="Times New Roman" w:eastAsia="Calibri" w:hAnsi="Times New Roman" w:cs="Times New Roman"/>
          <w:i/>
          <w:iCs/>
          <w:noProof/>
          <w:sz w:val="24"/>
          <w:szCs w:val="24"/>
          <w:lang w:val="en-GB"/>
        </w:rPr>
      </w:pPr>
      <w:r w:rsidRPr="00E76013">
        <w:rPr>
          <w:rFonts w:ascii="Times New Roman" w:eastAsia="Calibri" w:hAnsi="Times New Roman" w:cs="Times New Roman"/>
          <w:i/>
          <w:iCs/>
          <w:noProof/>
          <w:sz w:val="24"/>
          <w:szCs w:val="24"/>
          <w:lang w:val="en-GB"/>
        </w:rPr>
        <w:t xml:space="preserve">The arrangements proposed by Bulgaria in the recovery and resilience plan to prevent, detect and correct corruption, fraud and conflicts of interest when using the funds provided under the Facility, including the arrangements aimed to avoid double funding from the Facility and other Union programmes, are assessed as acceptable </w:t>
      </w:r>
      <w:r w:rsidRPr="00E76013">
        <w:rPr>
          <w:rFonts w:ascii="Times New Roman" w:eastAsia="Times New Roman" w:hAnsi="Times New Roman" w:cs="Times New Roman"/>
          <w:i/>
          <w:iCs/>
          <w:noProof/>
          <w:sz w:val="24"/>
          <w:szCs w:val="24"/>
          <w:lang w:val="en-GB"/>
        </w:rPr>
        <w:t xml:space="preserve">provided that the pending issues are addressed before the first payment request, through </w:t>
      </w:r>
      <w:r w:rsidRPr="00E76013">
        <w:rPr>
          <w:rFonts w:ascii="Times New Roman" w:eastAsia="Times New Roman" w:hAnsi="Times New Roman" w:cs="Times New Roman"/>
          <w:i/>
          <w:noProof/>
          <w:sz w:val="24"/>
          <w:szCs w:val="24"/>
          <w:lang w:val="en-GB"/>
        </w:rPr>
        <w:t>the dedicated milestones</w:t>
      </w:r>
      <w:r w:rsidRPr="00E76013">
        <w:rPr>
          <w:rFonts w:ascii="Times New Roman" w:eastAsia="Calibri" w:hAnsi="Times New Roman" w:cs="Times New Roman"/>
          <w:i/>
          <w:iCs/>
          <w:noProof/>
          <w:sz w:val="24"/>
          <w:szCs w:val="24"/>
          <w:lang w:val="en-GB"/>
        </w:rPr>
        <w:t xml:space="preserve">. This would warrant a rating of A under the assessment criterion 2.10 of Annex V </w:t>
      </w:r>
      <w:r w:rsidR="007854B2">
        <w:rPr>
          <w:rFonts w:ascii="Times New Roman" w:eastAsia="Calibri" w:hAnsi="Times New Roman" w:cs="Times New Roman"/>
          <w:i/>
          <w:iCs/>
          <w:noProof/>
          <w:sz w:val="24"/>
          <w:szCs w:val="24"/>
          <w:lang w:val="en-GB"/>
        </w:rPr>
        <w:t>to</w:t>
      </w:r>
      <w:r w:rsidR="007854B2" w:rsidRPr="00E76013">
        <w:rPr>
          <w:rFonts w:ascii="Times New Roman" w:eastAsia="Calibri" w:hAnsi="Times New Roman" w:cs="Times New Roman"/>
          <w:i/>
          <w:iCs/>
          <w:noProof/>
          <w:sz w:val="24"/>
          <w:szCs w:val="24"/>
          <w:lang w:val="en-GB"/>
        </w:rPr>
        <w:t xml:space="preserve"> </w:t>
      </w:r>
      <w:r w:rsidRPr="00E76013">
        <w:rPr>
          <w:rFonts w:ascii="Times New Roman" w:eastAsia="Calibri" w:hAnsi="Times New Roman" w:cs="Times New Roman"/>
          <w:i/>
          <w:iCs/>
          <w:noProof/>
          <w:sz w:val="24"/>
          <w:szCs w:val="24"/>
          <w:lang w:val="en-GB"/>
        </w:rPr>
        <w:t>the RRF Regulation.</w:t>
      </w:r>
    </w:p>
    <w:p w14:paraId="2D77AC4B" w14:textId="77777777" w:rsidR="000733F2" w:rsidRPr="00E76013" w:rsidRDefault="000733F2" w:rsidP="00890E80">
      <w:pPr>
        <w:spacing w:line="276" w:lineRule="auto"/>
        <w:jc w:val="both"/>
        <w:rPr>
          <w:rFonts w:ascii="Times New Roman" w:eastAsia="Calibri" w:hAnsi="Times New Roman" w:cs="Times New Roman"/>
          <w:i/>
          <w:iCs/>
          <w:noProof/>
          <w:sz w:val="24"/>
          <w:szCs w:val="24"/>
          <w:lang w:val="en-GB"/>
        </w:rPr>
      </w:pPr>
    </w:p>
    <w:p w14:paraId="71DC5E5D" w14:textId="0FF91693" w:rsidR="00AB65FB" w:rsidRPr="00866E5F" w:rsidRDefault="00AB65FB" w:rsidP="00E01A1F">
      <w:pPr>
        <w:pStyle w:val="Heading2"/>
        <w:numPr>
          <w:ilvl w:val="1"/>
          <w:numId w:val="7"/>
        </w:numPr>
        <w:spacing w:after="160" w:line="276" w:lineRule="auto"/>
        <w:rPr>
          <w:noProof/>
        </w:rPr>
      </w:pPr>
      <w:bookmarkStart w:id="451" w:name="_Toc98952834"/>
      <w:bookmarkStart w:id="452" w:name="_Toc98954005"/>
      <w:bookmarkStart w:id="453" w:name="_Toc99399079"/>
      <w:bookmarkStart w:id="454" w:name="_Toc99400012"/>
      <w:bookmarkStart w:id="455" w:name="_Toc99400440"/>
      <w:bookmarkStart w:id="456" w:name="_Toc99719455"/>
      <w:bookmarkStart w:id="457" w:name="_Toc99728668"/>
      <w:bookmarkStart w:id="458" w:name="_Toc99729662"/>
      <w:bookmarkStart w:id="459" w:name="_Toc99730639"/>
      <w:bookmarkStart w:id="460" w:name="_Toc99731363"/>
      <w:bookmarkStart w:id="461" w:name="_Toc99756902"/>
      <w:bookmarkStart w:id="462" w:name="_Toc99909932"/>
      <w:r w:rsidRPr="00866E5F">
        <w:rPr>
          <w:noProof/>
        </w:rPr>
        <w:t>Coherence</w:t>
      </w:r>
      <w:bookmarkEnd w:id="451"/>
      <w:bookmarkEnd w:id="452"/>
      <w:bookmarkEnd w:id="453"/>
      <w:bookmarkEnd w:id="454"/>
      <w:bookmarkEnd w:id="455"/>
      <w:bookmarkEnd w:id="456"/>
      <w:bookmarkEnd w:id="457"/>
      <w:bookmarkEnd w:id="458"/>
      <w:bookmarkEnd w:id="459"/>
      <w:bookmarkEnd w:id="460"/>
      <w:bookmarkEnd w:id="461"/>
      <w:bookmarkEnd w:id="462"/>
      <w:r w:rsidRPr="00866E5F">
        <w:rPr>
          <w:noProof/>
        </w:rPr>
        <w:t xml:space="preserve"> </w:t>
      </w:r>
    </w:p>
    <w:p w14:paraId="2E1D104C" w14:textId="0FF91693" w:rsidR="00AB65FB" w:rsidRPr="00E76013" w:rsidRDefault="00AB65FB" w:rsidP="00890E80">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Mutually-reinforcing measures</w:t>
      </w:r>
    </w:p>
    <w:p w14:paraId="0DEB859F" w14:textId="47729938" w:rsidR="00AB65FB" w:rsidRPr="00E76013" w:rsidRDefault="00AB65F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Each pillar is built around components which include overall consistent packages of mutually reinforcing and complementary reforms and investments.</w:t>
      </w:r>
      <w:r w:rsidRPr="00E76013">
        <w:rPr>
          <w:rFonts w:ascii="Times New Roman" w:eastAsia="Times New Roman" w:hAnsi="Times New Roman" w:cs="Times New Roman"/>
          <w:noProof/>
          <w:sz w:val="24"/>
          <w:szCs w:val="24"/>
          <w:lang w:val="en-GB"/>
        </w:rPr>
        <w:t xml:space="preserve"> In addition, in order to create conditions for effective investments and to address implementation barriers, reforms are concentrated in the first years of the </w:t>
      </w:r>
      <w:r w:rsidR="000E64AB" w:rsidRPr="00E76013">
        <w:rPr>
          <w:rFonts w:ascii="Times New Roman" w:eastAsia="Times New Roman" w:hAnsi="Times New Roman" w:cs="Times New Roman"/>
          <w:noProof/>
          <w:sz w:val="24"/>
          <w:szCs w:val="24"/>
          <w:lang w:val="en-GB"/>
        </w:rPr>
        <w:t>P</w:t>
      </w:r>
      <w:r w:rsidRPr="00E76013">
        <w:rPr>
          <w:rFonts w:ascii="Times New Roman" w:eastAsia="Times New Roman" w:hAnsi="Times New Roman" w:cs="Times New Roman"/>
          <w:noProof/>
          <w:sz w:val="24"/>
          <w:szCs w:val="24"/>
          <w:lang w:val="en-GB"/>
        </w:rPr>
        <w:t xml:space="preserve">lan. Investments and reforms proposed within any component do not contradict or hinder the effectiveness of measures from other areas of the plan. </w:t>
      </w:r>
      <w:r w:rsidR="27DB2B7E" w:rsidRPr="00E76013">
        <w:rPr>
          <w:rFonts w:ascii="Times New Roman" w:eastAsia="Times New Roman" w:hAnsi="Times New Roman" w:cs="Times New Roman"/>
          <w:noProof/>
          <w:sz w:val="24"/>
          <w:szCs w:val="24"/>
          <w:lang w:val="en-GB"/>
        </w:rPr>
        <w:t>The measures in each of the individual component</w:t>
      </w:r>
      <w:r w:rsidR="005A222A">
        <w:rPr>
          <w:rFonts w:ascii="Times New Roman" w:eastAsia="Times New Roman" w:hAnsi="Times New Roman" w:cs="Times New Roman"/>
          <w:noProof/>
          <w:sz w:val="24"/>
          <w:szCs w:val="24"/>
          <w:lang w:val="en-GB"/>
        </w:rPr>
        <w:t>s</w:t>
      </w:r>
      <w:r w:rsidR="27DB2B7E" w:rsidRPr="00E76013">
        <w:rPr>
          <w:rFonts w:ascii="Times New Roman" w:eastAsia="Times New Roman" w:hAnsi="Times New Roman" w:cs="Times New Roman"/>
          <w:noProof/>
          <w:sz w:val="24"/>
          <w:szCs w:val="24"/>
          <w:lang w:val="en-GB"/>
        </w:rPr>
        <w:t xml:space="preserve"> are mutually reinforcing, as investments are accompanied by reforms that aim to resolve structural underlying challenges.</w:t>
      </w:r>
      <w:r w:rsidRPr="00E76013">
        <w:rPr>
          <w:rFonts w:ascii="Times New Roman" w:eastAsia="Times New Roman" w:hAnsi="Times New Roman" w:cs="Times New Roman"/>
          <w:noProof/>
          <w:sz w:val="24"/>
          <w:szCs w:val="24"/>
          <w:lang w:val="en-GB"/>
        </w:rPr>
        <w:t xml:space="preserve"> The </w:t>
      </w:r>
      <w:r w:rsidR="000E64AB" w:rsidRPr="00E76013">
        <w:rPr>
          <w:rFonts w:ascii="Times New Roman" w:eastAsia="Times New Roman" w:hAnsi="Times New Roman" w:cs="Times New Roman"/>
          <w:noProof/>
          <w:sz w:val="24"/>
          <w:szCs w:val="24"/>
          <w:lang w:val="en-GB"/>
        </w:rPr>
        <w:t>Plan</w:t>
      </w:r>
      <w:r w:rsidRPr="00E76013">
        <w:rPr>
          <w:rFonts w:ascii="Times New Roman" w:eastAsia="Times New Roman" w:hAnsi="Times New Roman" w:cs="Times New Roman"/>
          <w:noProof/>
          <w:sz w:val="24"/>
          <w:szCs w:val="24"/>
          <w:lang w:val="en-GB"/>
        </w:rPr>
        <w:t xml:space="preserve"> displays some thematic interlinkages and synergies, namely those related to digital transformation and green transition. </w:t>
      </w:r>
      <w:r w:rsidR="00792B57" w:rsidRPr="00E76013">
        <w:rPr>
          <w:rFonts w:ascii="Times New Roman" w:eastAsia="Times New Roman" w:hAnsi="Times New Roman" w:cs="Times New Roman"/>
          <w:noProof/>
          <w:sz w:val="24"/>
          <w:szCs w:val="24"/>
          <w:lang w:val="en-GB"/>
        </w:rPr>
        <w:t>In addition, measures contributing to an improved business environment support all investments included in the RRP, while investments and reforms in education and skills are also expected to foster the digital transition as well as research and innovation. Hence, the Plan is based on a consistent vision, showing coherence within the components of the four different pillars and between the objectives of each component.</w:t>
      </w:r>
    </w:p>
    <w:p w14:paraId="2A1292F4" w14:textId="3DE2546A" w:rsidR="2AB89E6B" w:rsidRPr="00E76013" w:rsidRDefault="2AB89E6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Pillar 1 (Innovative Bulgaria) </w:t>
      </w:r>
      <w:r w:rsidRPr="00E76013">
        <w:rPr>
          <w:rFonts w:ascii="Times New Roman" w:eastAsia="Times New Roman" w:hAnsi="Times New Roman" w:cs="Times New Roman"/>
          <w:noProof/>
          <w:sz w:val="24"/>
          <w:szCs w:val="24"/>
          <w:lang w:val="en-GB"/>
        </w:rPr>
        <w:t>aims at increasing the competitiveness of the economy and the transformation also in an economy based on knowledge and smart growth through mutually reinforcing reforms and investments in education and skills</w:t>
      </w:r>
      <w:r w:rsidR="00DB746B">
        <w:rPr>
          <w:rFonts w:ascii="Times New Roman" w:eastAsia="Times New Roman" w:hAnsi="Times New Roman" w:cs="Times New Roman"/>
          <w:noProof/>
          <w:sz w:val="24"/>
          <w:szCs w:val="24"/>
          <w:lang w:val="en-GB"/>
        </w:rPr>
        <w:t>,</w:t>
      </w:r>
      <w:r w:rsidRPr="00E76013">
        <w:rPr>
          <w:rFonts w:ascii="Times New Roman" w:eastAsia="Times New Roman" w:hAnsi="Times New Roman" w:cs="Times New Roman"/>
          <w:noProof/>
          <w:sz w:val="24"/>
          <w:szCs w:val="24"/>
          <w:lang w:val="en-GB"/>
        </w:rPr>
        <w:t xml:space="preserve"> research and innovation and business transformation. The development of digital and STEM skills, supported by a comprehensive educational reform and investments in modernised infrastructure, play a key role for enhancing the science and innovation capacity of the country and the technological transformation of businesses. </w:t>
      </w:r>
    </w:p>
    <w:p w14:paraId="37EA096F" w14:textId="41EF8E32" w:rsidR="2AB89E6B" w:rsidRPr="00E76013" w:rsidRDefault="2AB89E6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Pillar 2 (Green Bulgaria)</w:t>
      </w:r>
      <w:r w:rsidRPr="00E76013">
        <w:rPr>
          <w:rFonts w:ascii="Times New Roman" w:eastAsia="Times New Roman" w:hAnsi="Times New Roman" w:cs="Times New Roman"/>
          <w:noProof/>
          <w:sz w:val="24"/>
          <w:szCs w:val="24"/>
          <w:lang w:val="en-GB"/>
        </w:rPr>
        <w:t xml:space="preserve"> supports the sustainable management of natural resources through a broad set of mutually reinforcing reforms and investments in the decarbonisation of the economy, enhancing biodiversity and the development of sustainable agriculture. Measures on phasing-out lignite and coal fired-power plants are complemented with the deployment of renewables and alternative energy sources, as well as investments for improving energy efficiency.</w:t>
      </w:r>
    </w:p>
    <w:p w14:paraId="0F3C342A" w14:textId="192B9F53" w:rsidR="2AB89E6B" w:rsidRPr="00E76013" w:rsidRDefault="2AB89E6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Pillar 3 (Connected Bulgaria)</w:t>
      </w:r>
      <w:r w:rsidRPr="00E76013">
        <w:rPr>
          <w:rFonts w:ascii="Times New Roman" w:eastAsia="Times New Roman" w:hAnsi="Times New Roman" w:cs="Times New Roman"/>
          <w:noProof/>
          <w:sz w:val="24"/>
          <w:szCs w:val="24"/>
          <w:lang w:val="en-GB"/>
        </w:rPr>
        <w:t xml:space="preserve"> includes reforms and investments in transport and digital connectivity, as well as more efficient water management throughout the country, which jointly contribute to reducing territorial disparities, in particular on the urban-rural axis. Furthermore, transport connectivity interventions also contribute to the decarbonisation objective, while investments digital connectivity can help increase the productivity and innovation capacity of business, improve the provision public services and support wider access to education and culture. </w:t>
      </w:r>
    </w:p>
    <w:p w14:paraId="6F834B6F" w14:textId="00DD70B0" w:rsidR="2AB89E6B" w:rsidRPr="00E76013" w:rsidRDefault="2AB89E6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bCs/>
          <w:noProof/>
          <w:sz w:val="24"/>
          <w:szCs w:val="24"/>
          <w:lang w:val="en-GB"/>
        </w:rPr>
        <w:t xml:space="preserve">Pillar 4 (Fair Bulgaria) </w:t>
      </w:r>
      <w:r w:rsidRPr="00E76013">
        <w:rPr>
          <w:rFonts w:ascii="Times New Roman" w:eastAsia="Times New Roman" w:hAnsi="Times New Roman" w:cs="Times New Roman"/>
          <w:noProof/>
          <w:sz w:val="24"/>
          <w:szCs w:val="24"/>
          <w:lang w:val="en-GB"/>
        </w:rPr>
        <w:t>contains a comprehensive set of measures which jointly aim to achieve an inclusive and more sustainable growth through building effective and accountable public institutions sensitive to business and citizens’ needs and supporting disadvantaged groups of society.</w:t>
      </w:r>
    </w:p>
    <w:p w14:paraId="1F71EE92" w14:textId="0FF91693" w:rsidR="00AB65FB" w:rsidRPr="00E76013" w:rsidRDefault="00AB65FB" w:rsidP="00890E80">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Complementarity of measures</w:t>
      </w:r>
    </w:p>
    <w:p w14:paraId="70DA074A" w14:textId="5C7DA3EA" w:rsidR="00AB65FB" w:rsidRPr="00E76013" w:rsidRDefault="00AB65F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All pillars under the </w:t>
      </w:r>
      <w:r w:rsidR="000E64AB" w:rsidRPr="00E76013">
        <w:rPr>
          <w:rFonts w:ascii="Times New Roman" w:eastAsia="Times New Roman" w:hAnsi="Times New Roman" w:cs="Times New Roman"/>
          <w:b/>
          <w:noProof/>
          <w:sz w:val="24"/>
          <w:szCs w:val="24"/>
          <w:lang w:val="en-GB"/>
        </w:rPr>
        <w:t>P</w:t>
      </w:r>
      <w:r w:rsidRPr="00E76013">
        <w:rPr>
          <w:rFonts w:ascii="Times New Roman" w:eastAsia="Times New Roman" w:hAnsi="Times New Roman" w:cs="Times New Roman"/>
          <w:b/>
          <w:noProof/>
          <w:sz w:val="24"/>
          <w:szCs w:val="24"/>
          <w:lang w:val="en-GB"/>
        </w:rPr>
        <w:t>lan foresee measures that mutually reinforce the effects on the green transition.</w:t>
      </w:r>
      <w:r w:rsidRPr="00E76013">
        <w:rPr>
          <w:rFonts w:ascii="Times New Roman" w:eastAsia="Times New Roman" w:hAnsi="Times New Roman" w:cs="Times New Roman"/>
          <w:noProof/>
          <w:sz w:val="24"/>
          <w:szCs w:val="24"/>
          <w:lang w:val="en-GB"/>
        </w:rPr>
        <w:t xml:space="preserve"> These include reforms and investments aimed at enabling the accelerated deployment of renewable energy sources and hydrogen and the development of storage capacities; improving the energy efficiency of residential, public and industrial buildings; sustainable mobility; stimulating the transition to green and circular business practices. Digital solutions included across the Plan, in particular, those in the transport and energy sectors, are also expected to contribute to the decarbonisation of the economy, and to promote smart, sustainable and inclusive growth. In addition to efforts to decarbonise the economy, efforts in the areas of water management and biodiversity conservation and restoration will also be key in the context of the objectives of the European Green Deal.</w:t>
      </w:r>
    </w:p>
    <w:p w14:paraId="7756A12F" w14:textId="5B062B10" w:rsidR="00AB65FB" w:rsidRPr="00E76013" w:rsidRDefault="00AB65F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 xml:space="preserve">The digital dimension is identifiable in all pillars of the </w:t>
      </w:r>
      <w:r w:rsidR="009E1B9B" w:rsidRPr="00E76013">
        <w:rPr>
          <w:rFonts w:ascii="Times New Roman" w:eastAsia="Times New Roman" w:hAnsi="Times New Roman" w:cs="Times New Roman"/>
          <w:b/>
          <w:noProof/>
          <w:sz w:val="24"/>
          <w:szCs w:val="24"/>
          <w:lang w:val="en-GB"/>
        </w:rPr>
        <w:t>P</w:t>
      </w:r>
      <w:r w:rsidRPr="00E76013">
        <w:rPr>
          <w:rFonts w:ascii="Times New Roman" w:eastAsia="Times New Roman" w:hAnsi="Times New Roman" w:cs="Times New Roman"/>
          <w:b/>
          <w:noProof/>
          <w:sz w:val="24"/>
          <w:szCs w:val="24"/>
          <w:lang w:val="en-GB"/>
        </w:rPr>
        <w:t>lan with complementary reforms and investments on several fronts.</w:t>
      </w:r>
      <w:r w:rsidRPr="00E76013">
        <w:rPr>
          <w:rFonts w:ascii="Times New Roman" w:eastAsia="Times New Roman" w:hAnsi="Times New Roman" w:cs="Times New Roman"/>
          <w:noProof/>
          <w:sz w:val="24"/>
          <w:szCs w:val="24"/>
          <w:lang w:val="en-GB"/>
        </w:rPr>
        <w:t xml:space="preserve"> The deployment of broadband infrastructure throughout the country will help bridge the digital divide and enable improved access to online services. Measures aimed at the transformation of public administrations and the increased provision of digital public services will improve the administrative processes and facilitate online interaction with citizens and businesses. Furthermore, digital solutions in the energy and transport sectors are expected to promote smart and sustainable growth. The investments in smart industries to accelerate the economic transformation is coherent with the objectives of supporting entrepreneurship, as well as with the programme for accelerating economic recovery and green transformation through science and innovation and investments to stimulate the uptake of digital technologies in enterprises, in particular in SMEs. These are complemented with measures for enhancing the digital skills of students and adults, as well as of businesses and public administrations, in order to enable them to benefit from the digital transition.</w:t>
      </w:r>
    </w:p>
    <w:p w14:paraId="5172794A" w14:textId="2EFB3E30" w:rsidR="00AB65FB" w:rsidRPr="00E76013" w:rsidRDefault="00AB65FB" w:rsidP="00890E80">
      <w:pPr>
        <w:spacing w:line="276" w:lineRule="auto"/>
        <w:jc w:val="both"/>
        <w:rPr>
          <w:rFonts w:ascii="Times New Roman" w:eastAsia="Times New Roman" w:hAnsi="Times New Roman" w:cs="Times New Roman"/>
          <w:noProof/>
          <w:sz w:val="24"/>
          <w:szCs w:val="24"/>
          <w:lang w:val="en-GB"/>
        </w:rPr>
      </w:pPr>
      <w:r w:rsidRPr="00E76013">
        <w:rPr>
          <w:rFonts w:ascii="Times New Roman" w:eastAsia="Times New Roman" w:hAnsi="Times New Roman" w:cs="Times New Roman"/>
          <w:b/>
          <w:noProof/>
          <w:sz w:val="24"/>
          <w:szCs w:val="24"/>
          <w:lang w:val="en-GB"/>
        </w:rPr>
        <w:t>The second pillar includes several energy</w:t>
      </w:r>
      <w:r w:rsidRPr="00E76013">
        <w:rPr>
          <w:rFonts w:ascii="Times New Roman" w:eastAsia="Times New Roman" w:hAnsi="Times New Roman" w:cs="Times New Roman"/>
          <w:b/>
          <w:bCs/>
          <w:noProof/>
          <w:sz w:val="24"/>
          <w:szCs w:val="24"/>
          <w:lang w:val="en-GB"/>
        </w:rPr>
        <w:t>-</w:t>
      </w:r>
      <w:r w:rsidRPr="00E76013">
        <w:rPr>
          <w:rFonts w:ascii="Times New Roman" w:eastAsia="Times New Roman" w:hAnsi="Times New Roman" w:cs="Times New Roman"/>
          <w:b/>
          <w:noProof/>
          <w:sz w:val="24"/>
          <w:szCs w:val="24"/>
          <w:lang w:val="en-GB"/>
        </w:rPr>
        <w:t>efficiency measures that complement the electrification process in the green transition.</w:t>
      </w:r>
      <w:r w:rsidRPr="00E76013">
        <w:rPr>
          <w:rFonts w:ascii="Times New Roman" w:eastAsia="Times New Roman" w:hAnsi="Times New Roman" w:cs="Times New Roman"/>
          <w:noProof/>
          <w:sz w:val="24"/>
          <w:szCs w:val="24"/>
          <w:lang w:val="en-GB"/>
        </w:rPr>
        <w:t xml:space="preserve"> In particular, measures on energy efficiency of the building stock and of municipal outdoor artificial lighting systems, the development of information systems and real-time systems of the Energy System Operator, along with a programme for financing standalone renewable energy measures in single-family </w:t>
      </w:r>
      <w:r w:rsidR="00FB41DD" w:rsidRPr="00E76013">
        <w:rPr>
          <w:rFonts w:ascii="Times New Roman" w:eastAsia="Times New Roman" w:hAnsi="Times New Roman" w:cs="Times New Roman"/>
          <w:noProof/>
          <w:sz w:val="24"/>
          <w:szCs w:val="24"/>
          <w:lang w:val="en-GB"/>
        </w:rPr>
        <w:t xml:space="preserve">and multifamily </w:t>
      </w:r>
      <w:r w:rsidRPr="00E76013">
        <w:rPr>
          <w:rFonts w:ascii="Times New Roman" w:eastAsia="Times New Roman" w:hAnsi="Times New Roman" w:cs="Times New Roman"/>
          <w:noProof/>
          <w:sz w:val="24"/>
          <w:szCs w:val="24"/>
          <w:lang w:val="en-GB"/>
        </w:rPr>
        <w:t xml:space="preserve">buildings. </w:t>
      </w:r>
      <w:r w:rsidRPr="24F0D4B5">
        <w:rPr>
          <w:rFonts w:ascii="Times New Roman" w:eastAsia="Times New Roman" w:hAnsi="Times New Roman" w:cs="Times New Roman"/>
          <w:noProof/>
          <w:sz w:val="24"/>
          <w:szCs w:val="24"/>
          <w:lang w:val="en-GB"/>
        </w:rPr>
        <w:t>P</w:t>
      </w:r>
      <w:r w:rsidR="273222CE" w:rsidRPr="24F0D4B5">
        <w:rPr>
          <w:rFonts w:ascii="Times New Roman" w:eastAsia="Times New Roman" w:hAnsi="Times New Roman" w:cs="Times New Roman"/>
          <w:noProof/>
          <w:sz w:val="24"/>
          <w:szCs w:val="24"/>
          <w:lang w:val="en-GB"/>
        </w:rPr>
        <w:t>rogress</w:t>
      </w:r>
      <w:r w:rsidR="273222CE" w:rsidRPr="1ED40651">
        <w:rPr>
          <w:rFonts w:ascii="Times New Roman" w:eastAsia="Times New Roman" w:hAnsi="Times New Roman" w:cs="Times New Roman"/>
          <w:noProof/>
          <w:sz w:val="24"/>
          <w:szCs w:val="24"/>
          <w:lang w:val="en-GB"/>
        </w:rPr>
        <w:t xml:space="preserve"> could have been made </w:t>
      </w:r>
      <w:r w:rsidR="273222CE" w:rsidRPr="24F0D4B5">
        <w:rPr>
          <w:rFonts w:ascii="Times New Roman" w:eastAsia="Times New Roman" w:hAnsi="Times New Roman" w:cs="Times New Roman"/>
          <w:noProof/>
          <w:sz w:val="24"/>
          <w:szCs w:val="24"/>
          <w:lang w:val="en-GB"/>
        </w:rPr>
        <w:t>in combining measures to accelerate</w:t>
      </w:r>
      <w:r w:rsidR="273222CE" w:rsidRPr="1ED40651">
        <w:rPr>
          <w:rFonts w:ascii="Times New Roman" w:eastAsia="Times New Roman" w:hAnsi="Times New Roman" w:cs="Times New Roman"/>
          <w:noProof/>
          <w:sz w:val="24"/>
          <w:szCs w:val="24"/>
          <w:lang w:val="en-GB"/>
        </w:rPr>
        <w:t xml:space="preserve"> the decarbonisation path and support the green transition, such as green taxation or stronger transport connectivity commitments.</w:t>
      </w:r>
      <w:r w:rsidR="1ED40651" w:rsidRPr="1ED40651">
        <w:rPr>
          <w:rFonts w:ascii="Times New Roman" w:eastAsia="Times New Roman" w:hAnsi="Times New Roman" w:cs="Times New Roman"/>
          <w:noProof/>
          <w:sz w:val="24"/>
          <w:szCs w:val="24"/>
          <w:lang w:val="en-GB"/>
        </w:rPr>
        <w:t xml:space="preserve"> </w:t>
      </w:r>
      <w:r w:rsidR="1ED40651" w:rsidRPr="25B6CFDD">
        <w:rPr>
          <w:rFonts w:ascii="Times New Roman" w:eastAsia="Times New Roman" w:hAnsi="Times New Roman" w:cs="Times New Roman"/>
          <w:noProof/>
          <w:sz w:val="24"/>
          <w:szCs w:val="24"/>
          <w:lang w:val="en-GB"/>
        </w:rPr>
        <w:t>However, complementarities to</w:t>
      </w:r>
      <w:r w:rsidR="1ED40651" w:rsidRPr="24F0D4B5">
        <w:rPr>
          <w:rFonts w:ascii="Times New Roman" w:eastAsia="Times New Roman" w:hAnsi="Times New Roman" w:cs="Times New Roman"/>
          <w:noProof/>
          <w:sz w:val="24"/>
          <w:szCs w:val="24"/>
          <w:lang w:val="en-GB"/>
        </w:rPr>
        <w:t xml:space="preserve"> energy efficiency </w:t>
      </w:r>
      <w:r w:rsidR="00FB41DD" w:rsidRPr="24F0D4B5">
        <w:rPr>
          <w:rFonts w:ascii="Times New Roman" w:eastAsia="Times New Roman" w:hAnsi="Times New Roman" w:cs="Times New Roman"/>
          <w:noProof/>
          <w:sz w:val="24"/>
          <w:szCs w:val="24"/>
          <w:lang w:val="en-GB"/>
        </w:rPr>
        <w:t xml:space="preserve">measures </w:t>
      </w:r>
      <w:r w:rsidR="00FB41DD" w:rsidRPr="00E76013">
        <w:rPr>
          <w:rFonts w:ascii="Times New Roman" w:eastAsia="Times New Roman" w:hAnsi="Times New Roman" w:cs="Times New Roman"/>
          <w:noProof/>
          <w:sz w:val="24"/>
          <w:szCs w:val="24"/>
          <w:lang w:val="en-GB"/>
        </w:rPr>
        <w:t>are</w:t>
      </w:r>
      <w:r w:rsidRPr="00E76013">
        <w:rPr>
          <w:rFonts w:ascii="Times New Roman" w:eastAsia="Times New Roman" w:hAnsi="Times New Roman" w:cs="Times New Roman"/>
          <w:noProof/>
          <w:sz w:val="24"/>
          <w:szCs w:val="24"/>
          <w:lang w:val="en-GB"/>
        </w:rPr>
        <w:t xml:space="preserve"> </w:t>
      </w:r>
      <w:r w:rsidRPr="4B28185E">
        <w:rPr>
          <w:rFonts w:ascii="Times New Roman" w:eastAsia="Times New Roman" w:hAnsi="Times New Roman" w:cs="Times New Roman"/>
          <w:noProof/>
          <w:sz w:val="24"/>
          <w:szCs w:val="24"/>
          <w:lang w:val="en-GB"/>
        </w:rPr>
        <w:t>included</w:t>
      </w:r>
      <w:r w:rsidRPr="55A9953A">
        <w:rPr>
          <w:rFonts w:ascii="Times New Roman" w:eastAsia="Times New Roman" w:hAnsi="Times New Roman" w:cs="Times New Roman"/>
          <w:noProof/>
          <w:sz w:val="24"/>
          <w:szCs w:val="24"/>
          <w:lang w:val="en-GB"/>
        </w:rPr>
        <w:t xml:space="preserve"> in</w:t>
      </w:r>
      <w:r w:rsidRPr="00E76013">
        <w:rPr>
          <w:rFonts w:ascii="Times New Roman" w:eastAsia="Times New Roman" w:hAnsi="Times New Roman" w:cs="Times New Roman"/>
          <w:noProof/>
          <w:sz w:val="24"/>
          <w:szCs w:val="24"/>
          <w:lang w:val="en-GB"/>
        </w:rPr>
        <w:t xml:space="preserve"> investments in sustainable mobility – such as the purchase of new rail rolling stock - and in the infrastructure of renewable electricity storage, as well as </w:t>
      </w:r>
      <w:r w:rsidRPr="55A9953A">
        <w:rPr>
          <w:rFonts w:ascii="Times New Roman" w:eastAsia="Times New Roman" w:hAnsi="Times New Roman" w:cs="Times New Roman"/>
          <w:noProof/>
          <w:sz w:val="24"/>
          <w:szCs w:val="24"/>
          <w:lang w:val="en-GB"/>
        </w:rPr>
        <w:t>in</w:t>
      </w:r>
      <w:r w:rsidRPr="00E76013">
        <w:rPr>
          <w:rFonts w:ascii="Times New Roman" w:eastAsia="Times New Roman" w:hAnsi="Times New Roman" w:cs="Times New Roman"/>
          <w:noProof/>
          <w:sz w:val="24"/>
          <w:szCs w:val="24"/>
          <w:lang w:val="en-GB"/>
        </w:rPr>
        <w:t xml:space="preserve"> the deployment of renewable energy sources. At a smaller scale, support of studies and pilot projects for the production of green hydrogen, biogas and geothermal combined heat and power is also envisaged. </w:t>
      </w:r>
    </w:p>
    <w:p w14:paraId="40571D5C" w14:textId="27BBE4C0" w:rsidR="002F1168" w:rsidRPr="00E76013" w:rsidRDefault="00AB65FB" w:rsidP="00890E80">
      <w:pPr>
        <w:spacing w:line="276" w:lineRule="auto"/>
        <w:jc w:val="both"/>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t>The different components do not have negative effects on each other and in many cases reinforce the measures related to the green transition and digital transformation. In order to promote wider coherence across instruments, notably with the European cohesion policy funds, a balanced territorial allocation of resources is encouraged.</w:t>
      </w:r>
      <w:r w:rsidR="00D33E2A" w:rsidRPr="00E76013">
        <w:rPr>
          <w:rFonts w:ascii="Times New Roman" w:eastAsia="Times New Roman" w:hAnsi="Times New Roman" w:cs="Times New Roman"/>
          <w:noProof/>
          <w:sz w:val="24"/>
          <w:szCs w:val="24"/>
          <w:lang w:val="en-GB"/>
        </w:rPr>
        <w:t xml:space="preserve"> </w:t>
      </w:r>
      <w:r w:rsidRPr="00E76013">
        <w:rPr>
          <w:rFonts w:ascii="Times New Roman" w:hAnsi="Times New Roman" w:cs="Times New Roman"/>
          <w:i/>
          <w:noProof/>
          <w:sz w:val="24"/>
          <w:szCs w:val="24"/>
          <w:lang w:val="en-GB"/>
        </w:rPr>
        <w:t xml:space="preserve">Taking into consideration the qualitative assessment of all components of Bulgaria’s </w:t>
      </w:r>
      <w:r w:rsidR="00FB41DD">
        <w:rPr>
          <w:rFonts w:ascii="Times New Roman" w:hAnsi="Times New Roman" w:cs="Times New Roman"/>
          <w:i/>
          <w:noProof/>
          <w:sz w:val="24"/>
          <w:szCs w:val="24"/>
          <w:lang w:val="en-GB"/>
        </w:rPr>
        <w:t>P</w:t>
      </w:r>
      <w:r w:rsidRPr="00E76013">
        <w:rPr>
          <w:rFonts w:ascii="Times New Roman" w:hAnsi="Times New Roman" w:cs="Times New Roman"/>
          <w:i/>
          <w:noProof/>
          <w:sz w:val="24"/>
          <w:szCs w:val="24"/>
          <w:lang w:val="en-GB"/>
        </w:rPr>
        <w:t xml:space="preserve">lan, their individual weight (importance, relevance, financial allocation) and their interactions, the plan contains measures for the implementation of reforms and public investments which, to a high/medium/low extent, represent coherent actions. This would warrant a rating of A under the assessment criterion 2.11 of Annex </w:t>
      </w:r>
      <w:r w:rsidRPr="00E76013">
        <w:rPr>
          <w:rFonts w:ascii="Times New Roman" w:eastAsia="Times New Roman" w:hAnsi="Times New Roman" w:cs="Times New Roman"/>
          <w:i/>
          <w:noProof/>
          <w:sz w:val="24"/>
          <w:szCs w:val="24"/>
          <w:lang w:val="en-GB"/>
        </w:rPr>
        <w:t>V</w:t>
      </w:r>
      <w:r w:rsidRPr="00E76013">
        <w:rPr>
          <w:rFonts w:ascii="Times New Roman" w:hAnsi="Times New Roman" w:cs="Times New Roman"/>
          <w:i/>
          <w:noProof/>
          <w:sz w:val="24"/>
          <w:szCs w:val="24"/>
          <w:lang w:val="en-GB"/>
        </w:rPr>
        <w:t xml:space="preserve"> </w:t>
      </w:r>
      <w:r w:rsidR="007854B2">
        <w:rPr>
          <w:rFonts w:ascii="Times New Roman" w:hAnsi="Times New Roman" w:cs="Times New Roman"/>
          <w:i/>
          <w:noProof/>
          <w:sz w:val="24"/>
          <w:szCs w:val="24"/>
          <w:lang w:val="en-GB"/>
        </w:rPr>
        <w:t>to</w:t>
      </w:r>
      <w:r w:rsidR="007854B2" w:rsidRPr="00E76013">
        <w:rPr>
          <w:rFonts w:ascii="Times New Roman" w:hAnsi="Times New Roman" w:cs="Times New Roman"/>
          <w:i/>
          <w:noProof/>
          <w:sz w:val="24"/>
          <w:szCs w:val="24"/>
          <w:lang w:val="en-GB"/>
        </w:rPr>
        <w:t xml:space="preserve"> </w:t>
      </w:r>
      <w:r w:rsidRPr="00E76013">
        <w:rPr>
          <w:rFonts w:ascii="Times New Roman" w:hAnsi="Times New Roman" w:cs="Times New Roman"/>
          <w:i/>
          <w:noProof/>
          <w:sz w:val="24"/>
          <w:szCs w:val="24"/>
          <w:lang w:val="en-GB"/>
        </w:rPr>
        <w:t>the RRF Regulation</w:t>
      </w:r>
      <w:r w:rsidRPr="00E76013">
        <w:rPr>
          <w:rFonts w:ascii="Times New Roman" w:eastAsia="Times New Roman" w:hAnsi="Times New Roman" w:cs="Times New Roman"/>
          <w:i/>
          <w:noProof/>
          <w:sz w:val="24"/>
          <w:szCs w:val="24"/>
          <w:lang w:val="en-GB"/>
        </w:rPr>
        <w:t>.</w:t>
      </w:r>
      <w:bookmarkStart w:id="463" w:name="_Toc62455212"/>
    </w:p>
    <w:p w14:paraId="1DF1D5ED" w14:textId="2AA23FF2" w:rsidR="002F1168" w:rsidRPr="00E76013" w:rsidRDefault="002F1168" w:rsidP="00890E80">
      <w:pPr>
        <w:spacing w:line="276" w:lineRule="auto"/>
        <w:rPr>
          <w:rFonts w:ascii="Times New Roman" w:eastAsia="Times New Roman" w:hAnsi="Times New Roman" w:cs="Times New Roman"/>
          <w:i/>
          <w:noProof/>
          <w:sz w:val="24"/>
          <w:szCs w:val="24"/>
          <w:lang w:val="en-GB"/>
        </w:rPr>
      </w:pPr>
      <w:r w:rsidRPr="00E76013">
        <w:rPr>
          <w:rFonts w:ascii="Times New Roman" w:eastAsia="Times New Roman" w:hAnsi="Times New Roman" w:cs="Times New Roman"/>
          <w:i/>
          <w:noProof/>
          <w:sz w:val="24"/>
          <w:szCs w:val="24"/>
          <w:lang w:val="en-GB"/>
        </w:rPr>
        <w:br w:type="page"/>
      </w:r>
    </w:p>
    <w:p w14:paraId="32A5F386" w14:textId="62A84CF3" w:rsidR="00CE332C" w:rsidRPr="00E76013" w:rsidRDefault="034FC132" w:rsidP="008A4EC9">
      <w:pPr>
        <w:pStyle w:val="Heading2"/>
        <w:spacing w:after="160" w:line="276" w:lineRule="auto"/>
        <w:rPr>
          <w:b w:val="0"/>
          <w:i/>
          <w:noProof/>
        </w:rPr>
      </w:pPr>
      <w:bookmarkStart w:id="464" w:name="_Toc98952835"/>
      <w:bookmarkStart w:id="465" w:name="_Toc98954006"/>
      <w:bookmarkStart w:id="466" w:name="_Toc99399080"/>
      <w:bookmarkStart w:id="467" w:name="_Toc99400013"/>
      <w:bookmarkStart w:id="468" w:name="_Toc99400441"/>
      <w:bookmarkStart w:id="469" w:name="_Toc99719456"/>
      <w:bookmarkStart w:id="470" w:name="_Toc99728669"/>
      <w:bookmarkStart w:id="471" w:name="_Toc99729663"/>
      <w:bookmarkStart w:id="472" w:name="_Toc99730640"/>
      <w:bookmarkStart w:id="473" w:name="_Toc99731364"/>
      <w:bookmarkStart w:id="474" w:name="_Toc99756903"/>
      <w:bookmarkStart w:id="475" w:name="_Toc99909933"/>
      <w:bookmarkEnd w:id="463"/>
      <w:r w:rsidRPr="008A4EC9">
        <w:rPr>
          <w:b w:val="0"/>
          <w:i/>
          <w:noProof/>
        </w:rPr>
        <w:t>ANNEX: Climate tracking and digital tagging</w:t>
      </w:r>
      <w:bookmarkEnd w:id="464"/>
      <w:bookmarkEnd w:id="465"/>
      <w:bookmarkEnd w:id="466"/>
      <w:bookmarkEnd w:id="467"/>
      <w:bookmarkEnd w:id="468"/>
      <w:bookmarkEnd w:id="469"/>
      <w:bookmarkEnd w:id="470"/>
      <w:bookmarkEnd w:id="471"/>
      <w:bookmarkEnd w:id="472"/>
      <w:bookmarkEnd w:id="473"/>
      <w:bookmarkEnd w:id="474"/>
      <w:bookmarkEnd w:id="475"/>
    </w:p>
    <w:p w14:paraId="60562747" w14:textId="0FF91693" w:rsidR="00CE332C" w:rsidRPr="00E76013" w:rsidRDefault="00CE332C" w:rsidP="3C20D647">
      <w:pPr>
        <w:jc w:val="center"/>
        <w:rPr>
          <w:rFonts w:ascii="Times New Roman" w:hAnsi="Times New Roman" w:cs="Times New Roman"/>
          <w:i/>
          <w:iCs/>
          <w:noProof/>
          <w:lang w:val="en-GB"/>
        </w:rPr>
      </w:pPr>
    </w:p>
    <w:tbl>
      <w:tblPr>
        <w:tblW w:w="9270" w:type="dxa"/>
        <w:tblLayout w:type="fixed"/>
        <w:tblLook w:val="04A0" w:firstRow="1" w:lastRow="0" w:firstColumn="1" w:lastColumn="0" w:noHBand="0" w:noVBand="1"/>
      </w:tblPr>
      <w:tblGrid>
        <w:gridCol w:w="1095"/>
        <w:gridCol w:w="3465"/>
        <w:gridCol w:w="1140"/>
        <w:gridCol w:w="990"/>
        <w:gridCol w:w="825"/>
        <w:gridCol w:w="945"/>
        <w:gridCol w:w="810"/>
      </w:tblGrid>
      <w:tr w:rsidR="000733F2" w:rsidRPr="00E76013" w14:paraId="7E350D6B" w14:textId="77777777" w:rsidTr="00785BB5">
        <w:trPr>
          <w:trHeight w:val="405"/>
          <w:tblHeader/>
        </w:trPr>
        <w:tc>
          <w:tcPr>
            <w:tcW w:w="1095"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0B8E18F3" w14:textId="381E8A61"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Measure/ Sub-Measure ID</w:t>
            </w:r>
          </w:p>
        </w:tc>
        <w:tc>
          <w:tcPr>
            <w:tcW w:w="3465"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E958A2E" w14:textId="2886B988"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Measure/Sub-Measure Name</w:t>
            </w:r>
          </w:p>
        </w:tc>
        <w:tc>
          <w:tcPr>
            <w:tcW w:w="1140"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1190C04F" w14:textId="3E27CB3E"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Budget (EUR m)</w:t>
            </w:r>
          </w:p>
        </w:tc>
        <w:tc>
          <w:tcPr>
            <w:tcW w:w="1815" w:type="dxa"/>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tcPr>
          <w:p w14:paraId="7C97BE33" w14:textId="63105483"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Climate</w:t>
            </w:r>
          </w:p>
        </w:tc>
        <w:tc>
          <w:tcPr>
            <w:tcW w:w="1755" w:type="dxa"/>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tcPr>
          <w:p w14:paraId="208BCADF" w14:textId="319513E2"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Digital</w:t>
            </w:r>
          </w:p>
        </w:tc>
      </w:tr>
      <w:tr w:rsidR="000733F2" w:rsidRPr="00E76013" w14:paraId="491D8AED" w14:textId="77777777" w:rsidTr="000733F2">
        <w:trPr>
          <w:trHeight w:val="907"/>
          <w:tblHeader/>
        </w:trPr>
        <w:tc>
          <w:tcPr>
            <w:tcW w:w="1095"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06853B2B" w14:textId="761FAC36" w:rsidR="000733F2" w:rsidRPr="00727D18" w:rsidRDefault="000733F2" w:rsidP="3C20D647">
            <w:pPr>
              <w:jc w:val="center"/>
              <w:rPr>
                <w:rFonts w:ascii="Times New Roman" w:hAnsi="Times New Roman" w:cs="Times New Roman"/>
                <w:noProof/>
                <w:sz w:val="20"/>
                <w:szCs w:val="20"/>
              </w:rPr>
            </w:pPr>
          </w:p>
        </w:tc>
        <w:tc>
          <w:tcPr>
            <w:tcW w:w="3465"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1F42E4B0" w14:textId="31446941" w:rsidR="000733F2" w:rsidRPr="00727D18" w:rsidRDefault="000733F2" w:rsidP="3C20D647">
            <w:pPr>
              <w:jc w:val="center"/>
              <w:rPr>
                <w:rFonts w:ascii="Times New Roman" w:hAnsi="Times New Roman" w:cs="Times New Roman"/>
                <w:noProof/>
                <w:sz w:val="20"/>
                <w:szCs w:val="20"/>
              </w:rPr>
            </w:pPr>
          </w:p>
        </w:tc>
        <w:tc>
          <w:tcPr>
            <w:tcW w:w="1140"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70CB0590" w14:textId="03C1D57D" w:rsidR="000733F2" w:rsidRPr="00727D18" w:rsidRDefault="000733F2" w:rsidP="3C20D647">
            <w:pPr>
              <w:jc w:val="center"/>
              <w:rPr>
                <w:rFonts w:ascii="Times New Roman" w:hAnsi="Times New Roman" w:cs="Times New Roman"/>
                <w:noProof/>
                <w:sz w:val="20"/>
                <w:szCs w:val="20"/>
              </w:rPr>
            </w:pPr>
          </w:p>
        </w:tc>
        <w:tc>
          <w:tcPr>
            <w:tcW w:w="990" w:type="dxa"/>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tcPr>
          <w:p w14:paraId="7ED75401" w14:textId="60C3F25A"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Int. Field</w:t>
            </w:r>
          </w:p>
        </w:tc>
        <w:tc>
          <w:tcPr>
            <w:tcW w:w="825" w:type="dxa"/>
            <w:tcBorders>
              <w:top w:val="nil"/>
              <w:left w:val="single" w:sz="8" w:space="0" w:color="auto"/>
              <w:bottom w:val="single" w:sz="8" w:space="0" w:color="auto"/>
              <w:right w:val="single" w:sz="8" w:space="0" w:color="000000" w:themeColor="text1"/>
            </w:tcBorders>
            <w:shd w:val="clear" w:color="auto" w:fill="BFBFBF" w:themeFill="background1" w:themeFillShade="BF"/>
            <w:vAlign w:val="center"/>
          </w:tcPr>
          <w:p w14:paraId="331CA3B5" w14:textId="0A31C9CD"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Coeff. %</w:t>
            </w:r>
          </w:p>
        </w:tc>
        <w:tc>
          <w:tcPr>
            <w:tcW w:w="945" w:type="dxa"/>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tcPr>
          <w:p w14:paraId="2BADBD95" w14:textId="14AA0355"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Int. Field</w:t>
            </w:r>
          </w:p>
        </w:tc>
        <w:tc>
          <w:tcPr>
            <w:tcW w:w="810" w:type="dxa"/>
            <w:tcBorders>
              <w:top w:val="nil"/>
              <w:left w:val="single" w:sz="8" w:space="0" w:color="auto"/>
              <w:bottom w:val="single" w:sz="8" w:space="0" w:color="auto"/>
              <w:right w:val="single" w:sz="8" w:space="0" w:color="000000" w:themeColor="text1"/>
            </w:tcBorders>
            <w:shd w:val="clear" w:color="auto" w:fill="BFBFBF" w:themeFill="background1" w:themeFillShade="BF"/>
            <w:vAlign w:val="center"/>
          </w:tcPr>
          <w:p w14:paraId="26B32BAA" w14:textId="06E0B4F8" w:rsidR="000733F2" w:rsidRPr="00727D18" w:rsidRDefault="000733F2" w:rsidP="3C20D647">
            <w:pPr>
              <w:jc w:val="center"/>
              <w:rPr>
                <w:rFonts w:ascii="Times New Roman" w:hAnsi="Times New Roman" w:cs="Times New Roman"/>
                <w:noProof/>
                <w:sz w:val="20"/>
                <w:szCs w:val="20"/>
              </w:rPr>
            </w:pPr>
            <w:r w:rsidRPr="00727D18">
              <w:rPr>
                <w:rFonts w:ascii="Times New Roman" w:eastAsia="Times New Roman" w:hAnsi="Times New Roman" w:cs="Times New Roman"/>
                <w:b/>
                <w:bCs/>
                <w:noProof/>
                <w:sz w:val="20"/>
                <w:szCs w:val="20"/>
              </w:rPr>
              <w:t>Coeff. %</w:t>
            </w:r>
          </w:p>
        </w:tc>
      </w:tr>
      <w:tr w:rsidR="3C20D647" w:rsidRPr="00E76013" w14:paraId="7856089F" w14:textId="77777777" w:rsidTr="00E76013">
        <w:trPr>
          <w:trHeight w:val="75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326E0C" w14:textId="7CF2E885"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F02647" w14:textId="0A0EC1AD" w:rsidR="3C20D647" w:rsidRPr="00E76013" w:rsidRDefault="25CAF518"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STEM centres and innovation in education</w:t>
            </w:r>
            <w:r w:rsidR="1C4D17E0" w:rsidRPr="00E76013">
              <w:rPr>
                <w:rFonts w:ascii="Times New Roman" w:eastAsia="Times New Roman" w:hAnsi="Times New Roman" w:cs="Times New Roman"/>
                <w:noProof/>
              </w:rPr>
              <w:t xml:space="preserve"> - digitalisation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44E93A" w14:textId="28DC45E3" w:rsidR="3C20D647" w:rsidRPr="00E76013" w:rsidRDefault="51357007" w:rsidP="006777D8">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121.7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73B4B" w14:textId="021F132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3471D" w14:textId="0CDB7D4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E6D6C6" w14:textId="206B9B2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108</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B593DD" w14:textId="13FA028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04814E6C" w14:textId="77777777" w:rsidTr="00E76013">
        <w:trPr>
          <w:trHeight w:val="1035"/>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50381F" w14:textId="2BD3E766"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2a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946C5D" w14:textId="41749BAB" w:rsidR="3C20D647" w:rsidRPr="00E76013" w:rsidRDefault="25CAF518"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educational </w:t>
            </w:r>
            <w:r w:rsidR="75821CA2" w:rsidRPr="00E76013">
              <w:rPr>
                <w:rFonts w:ascii="Times New Roman" w:eastAsia="Times New Roman" w:hAnsi="Times New Roman" w:cs="Times New Roman"/>
                <w:noProof/>
              </w:rPr>
              <w:t>infrastructures</w:t>
            </w:r>
            <w:r w:rsidRPr="00E76013">
              <w:rPr>
                <w:rFonts w:ascii="Times New Roman" w:eastAsia="Times New Roman" w:hAnsi="Times New Roman" w:cs="Times New Roman"/>
                <w:noProof/>
              </w:rPr>
              <w:t xml:space="preserve"> -</w:t>
            </w:r>
            <w:r w:rsidR="1C4D17E0" w:rsidRPr="00E76013">
              <w:rPr>
                <w:rFonts w:ascii="Times New Roman" w:eastAsia="Times New Roman" w:hAnsi="Times New Roman" w:cs="Times New Roman"/>
                <w:noProof/>
              </w:rPr>
              <w:t xml:space="preserve"> renovated schools/kindergartens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E9FD6B" w14:textId="1E04DFE0" w:rsidR="3C20D647" w:rsidRPr="00E76013" w:rsidRDefault="49E96737" w:rsidP="49E96737">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179.85</w:t>
            </w:r>
          </w:p>
          <w:p w14:paraId="3DBBD871" w14:textId="49EB5A50" w:rsidR="3C20D647" w:rsidRPr="00E76013" w:rsidRDefault="3C20D647" w:rsidP="3C20D647">
            <w:pPr>
              <w:spacing w:line="257" w:lineRule="auto"/>
              <w:jc w:val="center"/>
              <w:rPr>
                <w:rFonts w:ascii="Times New Roman" w:eastAsia="Times New Roman" w:hAnsi="Times New Roman" w:cs="Times New Roman"/>
                <w:noProof/>
              </w:rPr>
            </w:pP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09C8BC" w14:textId="2619ADC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1990C2" w14:textId="7FFAE89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CF7478" w14:textId="4999B6C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35C" w14:textId="020D45D2" w:rsidR="3C20D647" w:rsidRPr="00E76013" w:rsidRDefault="3C20D647">
            <w:pPr>
              <w:rPr>
                <w:rFonts w:ascii="Times New Roman" w:hAnsi="Times New Roman" w:cs="Times New Roman"/>
                <w:noProof/>
              </w:rPr>
            </w:pPr>
          </w:p>
        </w:tc>
      </w:tr>
      <w:tr w:rsidR="3C20D647" w:rsidRPr="00E76013" w14:paraId="35877693"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C484F2" w14:textId="6B94BD30"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2b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FA8F25" w14:textId="4CE7E501" w:rsidR="3C20D647" w:rsidRPr="00E76013" w:rsidRDefault="25CAF518"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educational </w:t>
            </w:r>
            <w:r w:rsidR="75821CA2" w:rsidRPr="00E76013">
              <w:rPr>
                <w:rFonts w:ascii="Times New Roman" w:eastAsia="Times New Roman" w:hAnsi="Times New Roman" w:cs="Times New Roman"/>
                <w:noProof/>
              </w:rPr>
              <w:t>infrastructures</w:t>
            </w:r>
            <w:r w:rsidRPr="00E76013">
              <w:rPr>
                <w:rFonts w:ascii="Times New Roman" w:eastAsia="Times New Roman" w:hAnsi="Times New Roman" w:cs="Times New Roman"/>
                <w:noProof/>
              </w:rPr>
              <w:t xml:space="preserve"> -</w:t>
            </w:r>
            <w:r w:rsidR="1C4D17E0" w:rsidRPr="00E76013">
              <w:rPr>
                <w:rFonts w:ascii="Times New Roman" w:eastAsia="Times New Roman" w:hAnsi="Times New Roman" w:cs="Times New Roman"/>
                <w:noProof/>
              </w:rPr>
              <w:t xml:space="preserve"> new schools/kindergartens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172837" w14:textId="649B8717" w:rsidR="3C20D647" w:rsidRPr="00E76013" w:rsidRDefault="49E96737" w:rsidP="00FF5BBC">
            <w:pPr>
              <w:spacing w:after="0"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33.75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6523E5" w14:textId="0E65F15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025ter</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8B1379" w14:textId="457AEA9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6B20F5" w14:textId="1BD9F6A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38C815" w14:textId="12913E3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5C74A9DB" w14:textId="77777777" w:rsidTr="00E76013">
        <w:trPr>
          <w:trHeight w:val="885"/>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CAB771" w14:textId="5E9519DC"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2c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A3E00" w14:textId="51558281" w:rsidR="3C20D647" w:rsidRPr="00E76013" w:rsidRDefault="25CAF518"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educational </w:t>
            </w:r>
            <w:r w:rsidR="75821CA2" w:rsidRPr="00E76013">
              <w:rPr>
                <w:rFonts w:ascii="Times New Roman" w:eastAsia="Times New Roman" w:hAnsi="Times New Roman" w:cs="Times New Roman"/>
                <w:noProof/>
              </w:rPr>
              <w:t>infrastructures</w:t>
            </w:r>
            <w:r w:rsidRPr="00E76013">
              <w:rPr>
                <w:rFonts w:ascii="Times New Roman" w:eastAsia="Times New Roman" w:hAnsi="Times New Roman" w:cs="Times New Roman"/>
                <w:noProof/>
              </w:rPr>
              <w:t xml:space="preserve"> - </w:t>
            </w:r>
            <w:r w:rsidR="1C4D17E0" w:rsidRPr="00E76013">
              <w:rPr>
                <w:rFonts w:ascii="Times New Roman" w:eastAsia="Times New Roman" w:hAnsi="Times New Roman" w:cs="Times New Roman"/>
                <w:noProof/>
              </w:rPr>
              <w:t>renovated student residences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0FF13D" w14:textId="6709D413" w:rsidR="3C20D647" w:rsidRPr="00E76013" w:rsidRDefault="3C20D647" w:rsidP="006777D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63.</w:t>
            </w:r>
            <w:r w:rsidR="51357007" w:rsidRPr="00E76013">
              <w:rPr>
                <w:rFonts w:ascii="Times New Roman" w:eastAsia="Times New Roman" w:hAnsi="Times New Roman" w:cs="Times New Roman"/>
                <w:noProof/>
              </w:rPr>
              <w:t>70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2EDE29" w14:textId="6F1C55A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09E805" w14:textId="1337A72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EB771" w14:textId="6DC8EFE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C91E9E" w14:textId="5695B65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22CF7097"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ED6C0" w14:textId="37602F86"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E07765" w14:textId="049EFACA" w:rsidR="3C20D647" w:rsidRPr="00E76013" w:rsidRDefault="25CAF518"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Provision of digital</w:t>
            </w:r>
            <w:r w:rsidR="3C20D647" w:rsidRPr="00E76013">
              <w:rPr>
                <w:rFonts w:ascii="Times New Roman" w:eastAsia="Times New Roman" w:hAnsi="Times New Roman" w:cs="Times New Roman"/>
                <w:noProof/>
              </w:rPr>
              <w:t xml:space="preserve"> skills </w:t>
            </w:r>
            <w:r w:rsidRPr="00E76013">
              <w:rPr>
                <w:rFonts w:ascii="Times New Roman" w:eastAsia="Times New Roman" w:hAnsi="Times New Roman" w:cs="Times New Roman"/>
                <w:noProof/>
              </w:rPr>
              <w:t>trainings</w:t>
            </w:r>
            <w:r w:rsidR="3C20D647" w:rsidRPr="00E76013">
              <w:rPr>
                <w:rFonts w:ascii="Times New Roman" w:eastAsia="Times New Roman" w:hAnsi="Times New Roman" w:cs="Times New Roman"/>
                <w:noProof/>
              </w:rPr>
              <w:t xml:space="preserve"> and </w:t>
            </w:r>
            <w:r w:rsidRPr="00E76013">
              <w:rPr>
                <w:rFonts w:ascii="Times New Roman" w:eastAsia="Times New Roman" w:hAnsi="Times New Roman" w:cs="Times New Roman"/>
                <w:noProof/>
              </w:rPr>
              <w:t>set-up of</w:t>
            </w:r>
            <w:r w:rsidR="3C20D647" w:rsidRPr="00E76013">
              <w:rPr>
                <w:rFonts w:ascii="Times New Roman" w:eastAsia="Times New Roman" w:hAnsi="Times New Roman" w:cs="Times New Roman"/>
                <w:noProof/>
              </w:rPr>
              <w:t xml:space="preserve"> a platform for adult learning</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370FBF" w14:textId="18FD2344" w:rsidR="3C20D647" w:rsidRPr="00E76013" w:rsidRDefault="3C20D647" w:rsidP="006777D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164.66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6BD783" w14:textId="5AFBE7E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E2F24D" w14:textId="611E471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369C97" w14:textId="144D22F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012</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E56911" w14:textId="670D3AE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0E167CE2"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E3B4E3" w14:textId="7398C3F4"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4</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89D5EA" w14:textId="3EAC1398" w:rsidR="3C20D647" w:rsidRPr="00E76013" w:rsidRDefault="25CAF518"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Youth centres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DEF9D6" w14:textId="799165D3" w:rsidR="3C20D647" w:rsidRPr="00E76013" w:rsidRDefault="3C20D647" w:rsidP="006777D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32.25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ECB9A4" w14:textId="3B61DB7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D6F8A8" w14:textId="5A9E22A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14278F" w14:textId="5FCD859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099</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935CB6" w14:textId="7378117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r>
      <w:tr w:rsidR="3C20D647" w:rsidRPr="00E76013" w14:paraId="0FA27247"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63BC8" w14:textId="191C10A9"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7a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9D152E" w14:textId="37681A9C" w:rsidR="3C20D647" w:rsidRPr="00E76013" w:rsidRDefault="4004449C">
            <w:pPr>
              <w:rPr>
                <w:rFonts w:ascii="Times New Roman" w:hAnsi="Times New Roman" w:cs="Times New Roman"/>
                <w:noProof/>
              </w:rPr>
            </w:pPr>
            <w:r w:rsidRPr="00E76013">
              <w:rPr>
                <w:rFonts w:ascii="Times New Roman" w:eastAsia="Times New Roman" w:hAnsi="Times New Roman" w:cs="Times New Roman"/>
                <w:noProof/>
                <w:color w:val="000000" w:themeColor="text1"/>
              </w:rPr>
              <w:t>Programme</w:t>
            </w:r>
            <w:r w:rsidR="3C20D647" w:rsidRPr="00E76013">
              <w:rPr>
                <w:rFonts w:ascii="Times New Roman" w:eastAsia="Times New Roman" w:hAnsi="Times New Roman" w:cs="Times New Roman"/>
                <w:noProof/>
                <w:color w:val="000000" w:themeColor="text1"/>
              </w:rPr>
              <w:t xml:space="preserve"> to accelerate economic recovery and transformation through </w:t>
            </w:r>
            <w:r w:rsidRPr="00E76013">
              <w:rPr>
                <w:rFonts w:ascii="Times New Roman" w:eastAsia="Times New Roman" w:hAnsi="Times New Roman" w:cs="Times New Roman"/>
                <w:noProof/>
                <w:color w:val="000000" w:themeColor="text1"/>
              </w:rPr>
              <w:t>research</w:t>
            </w:r>
            <w:r w:rsidR="3C20D647" w:rsidRPr="00E76013">
              <w:rPr>
                <w:rFonts w:ascii="Times New Roman" w:eastAsia="Times New Roman" w:hAnsi="Times New Roman" w:cs="Times New Roman"/>
                <w:noProof/>
                <w:color w:val="000000" w:themeColor="text1"/>
              </w:rPr>
              <w:t xml:space="preserve"> and innovation</w:t>
            </w:r>
            <w:r w:rsidR="1C4D17E0" w:rsidRPr="00E76013">
              <w:rPr>
                <w:rFonts w:ascii="Times New Roman" w:eastAsia="Times New Roman" w:hAnsi="Times New Roman" w:cs="Times New Roman"/>
                <w:noProof/>
                <w:color w:val="000000" w:themeColor="text1"/>
              </w:rPr>
              <w:t xml:space="preserve"> -</w:t>
            </w:r>
            <w:r w:rsidR="3C20D647" w:rsidRPr="00E76013">
              <w:rPr>
                <w:rFonts w:ascii="Times New Roman" w:eastAsia="Times New Roman" w:hAnsi="Times New Roman" w:cs="Times New Roman"/>
                <w:noProof/>
                <w:color w:val="000000" w:themeColor="text1"/>
              </w:rPr>
              <w:t xml:space="preserve"> digital objectives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7F18E8" w14:textId="3E48A50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27.31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88E207" w14:textId="6B7C0BF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B50F24" w14:textId="7F3DFD8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E2B65D" w14:textId="25F25D3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CCD216" w14:textId="685E725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r>
      <w:tr w:rsidR="3C20D647" w:rsidRPr="00E76013" w14:paraId="019F4D01"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E0C5C" w14:textId="62B5B809"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8a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C24443" w14:textId="1133D6DF" w:rsidR="3C20D647" w:rsidRPr="00E76013" w:rsidRDefault="4004449C"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Enhancing</w:t>
            </w:r>
            <w:r w:rsidR="3C20D647" w:rsidRPr="00E76013">
              <w:rPr>
                <w:rFonts w:ascii="Times New Roman" w:eastAsia="Times New Roman" w:hAnsi="Times New Roman" w:cs="Times New Roman"/>
                <w:noProof/>
              </w:rPr>
              <w:t xml:space="preserve"> the innovation capacity of the Bulgarian Academy of Sciences</w:t>
            </w:r>
            <w:r w:rsidR="1C4D17E0" w:rsidRPr="00E76013">
              <w:rPr>
                <w:rFonts w:ascii="Times New Roman" w:eastAsia="Times New Roman" w:hAnsi="Times New Roman" w:cs="Times New Roman"/>
                <w:noProof/>
              </w:rPr>
              <w:t xml:space="preserve"> -</w:t>
            </w:r>
            <w:r w:rsidR="73FB57BC" w:rsidRPr="00E76013">
              <w:rPr>
                <w:rFonts w:ascii="Times New Roman" w:eastAsia="Times New Roman" w:hAnsi="Times New Roman" w:cs="Times New Roman"/>
                <w:noProof/>
              </w:rPr>
              <w:t xml:space="preserve"> digital</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92D67E" w14:textId="424995A7" w:rsidR="3C20D647" w:rsidRPr="00E76013" w:rsidRDefault="3C20D647" w:rsidP="006777D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2.58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20ACB4" w14:textId="6F68124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A12E1F" w14:textId="318C8D4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B3FC7F" w14:textId="7C6E2E69" w:rsidR="3C20D647" w:rsidRPr="00E76013" w:rsidRDefault="3C20D647" w:rsidP="005B64E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05</w:t>
            </w:r>
            <w:r w:rsidR="002318F2">
              <w:rPr>
                <w:rFonts w:ascii="Times New Roman" w:eastAsia="Times New Roman" w:hAnsi="Times New Roman" w:cs="Times New Roman"/>
                <w:noProof/>
                <w:color w:val="000000" w:themeColor="text1"/>
              </w:rPr>
              <w:t>2</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206064" w14:textId="70B1A08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r>
      <w:tr w:rsidR="3C20D647" w:rsidRPr="00E76013" w14:paraId="6904ECCE"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D62EB6" w14:textId="024CAF99"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8b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D408C2" w14:textId="216298B6" w:rsidR="3C20D647" w:rsidRPr="00E76013" w:rsidRDefault="4004449C"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Enhancing</w:t>
            </w:r>
            <w:r w:rsidR="3C20D647" w:rsidRPr="00E76013">
              <w:rPr>
                <w:rFonts w:ascii="Times New Roman" w:eastAsia="Times New Roman" w:hAnsi="Times New Roman" w:cs="Times New Roman"/>
                <w:noProof/>
              </w:rPr>
              <w:t xml:space="preserve"> the innovation capacity of the Bulgarian Academy of Sciences</w:t>
            </w:r>
            <w:r w:rsidR="1C4D17E0" w:rsidRPr="00E76013">
              <w:rPr>
                <w:rFonts w:ascii="Times New Roman" w:eastAsia="Times New Roman" w:hAnsi="Times New Roman" w:cs="Times New Roman"/>
                <w:noProof/>
              </w:rPr>
              <w:t xml:space="preserve"> -</w:t>
            </w:r>
            <w:r w:rsidR="3C20D647" w:rsidRPr="00E76013">
              <w:rPr>
                <w:rFonts w:ascii="Times New Roman" w:eastAsia="Times New Roman" w:hAnsi="Times New Roman" w:cs="Times New Roman"/>
                <w:noProof/>
              </w:rPr>
              <w:t xml:space="preserve"> quantum platform</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3ADA73" w14:textId="26E10E4B"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0.51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62C98E" w14:textId="4439D45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B677D1" w14:textId="7EDE4CE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5A230B" w14:textId="4A0012E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021quater</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02210E" w14:textId="36942ABB"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r>
      <w:tr w:rsidR="3C20D647" w:rsidRPr="00E76013" w14:paraId="296EB984"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15206D" w14:textId="30373331"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8d</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81C63" w14:textId="56E8CE35" w:rsidR="3C20D647" w:rsidRPr="00E76013" w:rsidRDefault="4004449C" w:rsidP="4004449C">
            <w:pPr>
              <w:spacing w:line="257" w:lineRule="auto"/>
              <w:rPr>
                <w:rFonts w:ascii="Times New Roman" w:hAnsi="Times New Roman" w:cs="Times New Roman"/>
                <w:noProof/>
              </w:rPr>
            </w:pPr>
            <w:r w:rsidRPr="00E76013">
              <w:rPr>
                <w:rFonts w:ascii="Times New Roman" w:eastAsia="Times New Roman" w:hAnsi="Times New Roman" w:cs="Times New Roman"/>
                <w:noProof/>
              </w:rPr>
              <w:t>Enhancing</w:t>
            </w:r>
            <w:r w:rsidR="3C20D647" w:rsidRPr="00E76013">
              <w:rPr>
                <w:rFonts w:ascii="Times New Roman" w:eastAsia="Times New Roman" w:hAnsi="Times New Roman" w:cs="Times New Roman"/>
                <w:noProof/>
              </w:rPr>
              <w:t xml:space="preserve"> the innovation capacity of the Bulgarian Academy of Sciences</w:t>
            </w:r>
          </w:p>
          <w:p w14:paraId="350E05EB" w14:textId="3800F4FA" w:rsidR="3C20D647" w:rsidRPr="00E76013" w:rsidRDefault="1C4D17E0"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w:t>
            </w:r>
            <w:r w:rsidR="3C20D647" w:rsidRPr="00E76013">
              <w:rPr>
                <w:rFonts w:ascii="Times New Roman" w:eastAsia="Times New Roman" w:hAnsi="Times New Roman" w:cs="Times New Roman"/>
                <w:noProof/>
              </w:rPr>
              <w:t xml:space="preserve"> technology transfer</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DC3307" w14:textId="23E31215" w:rsidR="3C20D647" w:rsidRPr="00E76013" w:rsidRDefault="3C20D647" w:rsidP="006777D8">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8.18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285CF2" w14:textId="6872C8B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022</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5BFAD0" w14:textId="6C8AC1B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8D83A6" w14:textId="30E534B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5E5ED6" w14:textId="643730C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78022670"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A6EED4" w14:textId="73B49389"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8e</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B8E79A" w14:textId="56E8CE35" w:rsidR="3C20D647" w:rsidRPr="00E76013" w:rsidRDefault="4004449C" w:rsidP="4004449C">
            <w:pPr>
              <w:spacing w:line="257" w:lineRule="auto"/>
              <w:rPr>
                <w:rFonts w:ascii="Times New Roman" w:hAnsi="Times New Roman" w:cs="Times New Roman"/>
                <w:noProof/>
              </w:rPr>
            </w:pPr>
            <w:r w:rsidRPr="00E76013">
              <w:rPr>
                <w:rFonts w:ascii="Times New Roman" w:eastAsia="Times New Roman" w:hAnsi="Times New Roman" w:cs="Times New Roman"/>
                <w:noProof/>
              </w:rPr>
              <w:t>Enhancing</w:t>
            </w:r>
            <w:r w:rsidR="3C20D647" w:rsidRPr="00E76013">
              <w:rPr>
                <w:rFonts w:ascii="Times New Roman" w:eastAsia="Times New Roman" w:hAnsi="Times New Roman" w:cs="Times New Roman"/>
                <w:noProof/>
              </w:rPr>
              <w:t xml:space="preserve"> the innovation capacity of the Bulgarian Academy of Sciences</w:t>
            </w:r>
          </w:p>
          <w:p w14:paraId="5D26FAF4" w14:textId="59398053" w:rsidR="3C20D647" w:rsidRPr="00E76013" w:rsidRDefault="1C4D17E0" w:rsidP="007F3960">
            <w:pPr>
              <w:spacing w:line="257" w:lineRule="auto"/>
              <w:rPr>
                <w:rFonts w:ascii="Times New Roman" w:hAnsi="Times New Roman" w:cs="Times New Roman"/>
                <w:noProof/>
              </w:rPr>
            </w:pPr>
            <w:r w:rsidRPr="00E76013">
              <w:rPr>
                <w:rFonts w:ascii="Times New Roman" w:eastAsia="Times New Roman" w:hAnsi="Times New Roman" w:cs="Times New Roman"/>
                <w:noProof/>
              </w:rPr>
              <w:t>-</w:t>
            </w:r>
            <w:r w:rsidR="3C20D647" w:rsidRPr="00E76013">
              <w:rPr>
                <w:rFonts w:ascii="Times New Roman" w:eastAsia="Times New Roman" w:hAnsi="Times New Roman" w:cs="Times New Roman"/>
                <w:noProof/>
              </w:rPr>
              <w:t xml:space="preserve"> trainings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7E23DC" w14:textId="39789D6F" w:rsidR="3C20D647" w:rsidRPr="00E76013" w:rsidRDefault="3C20D647" w:rsidP="006777D8">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1.67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7BD4D3" w14:textId="3AEE6EDA" w:rsidR="3C20D647" w:rsidRPr="00E76013" w:rsidRDefault="3C20D647" w:rsidP="3C20D647">
            <w:pPr>
              <w:jc w:val="center"/>
              <w:rPr>
                <w:rFonts w:ascii="Times New Roman" w:hAnsi="Times New Roman" w:cs="Times New Roman"/>
                <w:noProof/>
              </w:rPr>
            </w:pP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F0291D" w14:textId="681F7796" w:rsidR="3C20D647" w:rsidRPr="00E76013" w:rsidRDefault="3C20D647" w:rsidP="3C20D647">
            <w:pPr>
              <w:jc w:val="center"/>
              <w:rPr>
                <w:rFonts w:ascii="Times New Roman" w:hAnsi="Times New Roman" w:cs="Times New Roman"/>
                <w:noProof/>
              </w:rPr>
            </w:pP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66BA65" w14:textId="4E791189" w:rsidR="3C20D647" w:rsidRPr="00E76013" w:rsidRDefault="37957999" w:rsidP="005B64E6">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009bis</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D44B35" w14:textId="39AA58F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47B13989"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E0C959" w14:textId="5CD03C6F"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11d</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9B1DAF" w14:textId="5F7EC7E4" w:rsidR="3C20D647" w:rsidRPr="00E76013" w:rsidRDefault="3C20D647"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Economic Transformation Programme — Fund 1 Growth and Innovation: </w:t>
            </w:r>
            <w:r w:rsidR="2B3F1E96" w:rsidRPr="00E76013">
              <w:rPr>
                <w:rFonts w:ascii="Times New Roman" w:eastAsia="Times New Roman" w:hAnsi="Times New Roman" w:cs="Times New Roman"/>
                <w:noProof/>
              </w:rPr>
              <w:t>Grant</w:t>
            </w:r>
            <w:r w:rsidRPr="00E76013">
              <w:rPr>
                <w:rFonts w:ascii="Times New Roman" w:eastAsia="Times New Roman" w:hAnsi="Times New Roman" w:cs="Times New Roman"/>
                <w:noProof/>
              </w:rPr>
              <w:t xml:space="preserve"> scheme for </w:t>
            </w:r>
            <w:r w:rsidR="2B3F1E96" w:rsidRPr="00E76013">
              <w:rPr>
                <w:rFonts w:ascii="Times New Roman" w:eastAsia="Times New Roman" w:hAnsi="Times New Roman" w:cs="Times New Roman"/>
                <w:noProof/>
              </w:rPr>
              <w:t>information and communication technology</w:t>
            </w:r>
            <w:r w:rsidRPr="00E76013">
              <w:rPr>
                <w:rFonts w:ascii="Times New Roman" w:eastAsia="Times New Roman" w:hAnsi="Times New Roman" w:cs="Times New Roman"/>
                <w:noProof/>
              </w:rPr>
              <w:t xml:space="preserve"> and cybersecurity in SMEs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A4837F" w14:textId="1F687684"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15.65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5063B0" w14:textId="22C8E76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F4FBF" w14:textId="058A177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DC29E" w14:textId="50B206D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010</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088B69" w14:textId="0096475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2F794D26"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FFA158" w14:textId="05976220" w:rsidR="3C20D647" w:rsidRPr="00E76013" w:rsidRDefault="3C20D647">
            <w:pPr>
              <w:rPr>
                <w:rFonts w:ascii="Times New Roman" w:hAnsi="Times New Roman" w:cs="Times New Roman"/>
                <w:noProof/>
              </w:rPr>
            </w:pP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F0533" w14:textId="4DA9F58F" w:rsidR="3C20D647" w:rsidRPr="00E76013" w:rsidRDefault="3C20D647" w:rsidP="6CB57544">
            <w:pPr>
              <w:spacing w:line="257" w:lineRule="auto"/>
              <w:rPr>
                <w:rFonts w:ascii="Times New Roman" w:eastAsia="Times New Roman" w:hAnsi="Times New Roman" w:cs="Times New Roman"/>
                <w:noProof/>
              </w:rPr>
            </w:pP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D4C372" w14:textId="3540D8FD" w:rsidR="3C20D647" w:rsidRPr="00E76013" w:rsidRDefault="3C20D647" w:rsidP="3C20D647">
            <w:pPr>
              <w:spacing w:line="257" w:lineRule="auto"/>
              <w:jc w:val="center"/>
              <w:rPr>
                <w:rFonts w:ascii="Times New Roman" w:hAnsi="Times New Roman" w:cs="Times New Roman"/>
                <w:noProof/>
              </w:rPr>
            </w:pP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C10B07" w14:textId="13D135E8" w:rsidR="3C20D647" w:rsidRPr="00E76013" w:rsidRDefault="3C20D647" w:rsidP="3C20D647">
            <w:pPr>
              <w:jc w:val="center"/>
              <w:rPr>
                <w:rFonts w:ascii="Times New Roman" w:hAnsi="Times New Roman" w:cs="Times New Roman"/>
                <w:noProof/>
              </w:rPr>
            </w:pP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A2004B" w14:textId="5C0DD082" w:rsidR="3C20D647" w:rsidRPr="00E76013" w:rsidRDefault="3C20D647" w:rsidP="3C20D647">
            <w:pPr>
              <w:jc w:val="center"/>
              <w:rPr>
                <w:rFonts w:ascii="Times New Roman" w:hAnsi="Times New Roman" w:cs="Times New Roman"/>
                <w:noProof/>
              </w:rPr>
            </w:pP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5AF497" w14:textId="1904F328" w:rsidR="3C20D647" w:rsidRPr="00E76013" w:rsidRDefault="3C20D647" w:rsidP="3C20D647">
            <w:pPr>
              <w:jc w:val="center"/>
              <w:rPr>
                <w:rFonts w:ascii="Times New Roman" w:eastAsia="Times New Roman" w:hAnsi="Times New Roman" w:cs="Times New Roman"/>
                <w:noProof/>
                <w:color w:val="000000" w:themeColor="text1"/>
              </w:rPr>
            </w:pP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6BEE48" w14:textId="6DF0F688" w:rsidR="3C20D647" w:rsidRPr="00E76013" w:rsidRDefault="3C20D647" w:rsidP="3C20D647">
            <w:pPr>
              <w:jc w:val="center"/>
              <w:rPr>
                <w:rFonts w:ascii="Times New Roman" w:hAnsi="Times New Roman" w:cs="Times New Roman"/>
                <w:noProof/>
              </w:rPr>
            </w:pPr>
          </w:p>
        </w:tc>
      </w:tr>
      <w:tr w:rsidR="3C20D647" w:rsidRPr="00E76013" w14:paraId="3B040DA8" w14:textId="77777777" w:rsidTr="00E76013">
        <w:trPr>
          <w:trHeight w:val="15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281ED9" w14:textId="6E99E049"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11f</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730A21" w14:textId="60C7C2A4" w:rsidR="3C20D647" w:rsidRPr="00E76013" w:rsidRDefault="3C20D647"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Economic Transformation Programme - Fund 2 Green Transition and Circular Economy: </w:t>
            </w:r>
            <w:r w:rsidR="7E566500" w:rsidRPr="00E76013">
              <w:rPr>
                <w:rFonts w:ascii="Times New Roman" w:eastAsia="Times New Roman" w:hAnsi="Times New Roman" w:cs="Times New Roman"/>
                <w:noProof/>
              </w:rPr>
              <w:t>Grant</w:t>
            </w:r>
            <w:r w:rsidRPr="00E76013">
              <w:rPr>
                <w:rFonts w:ascii="Times New Roman" w:eastAsia="Times New Roman" w:hAnsi="Times New Roman" w:cs="Times New Roman"/>
                <w:noProof/>
              </w:rPr>
              <w:t xml:space="preserve"> scheme for </w:t>
            </w:r>
            <w:r w:rsidR="7E566500" w:rsidRPr="00E76013">
              <w:rPr>
                <w:rFonts w:ascii="Times New Roman" w:eastAsia="Times New Roman" w:hAnsi="Times New Roman" w:cs="Times New Roman"/>
                <w:noProof/>
              </w:rPr>
              <w:t>investments in</w:t>
            </w:r>
            <w:r w:rsidRPr="00E76013">
              <w:rPr>
                <w:rFonts w:ascii="Times New Roman" w:eastAsia="Times New Roman" w:hAnsi="Times New Roman" w:cs="Times New Roman"/>
                <w:noProof/>
              </w:rPr>
              <w:t xml:space="preserve"> renewable electricity </w:t>
            </w:r>
            <w:r w:rsidR="7E566500" w:rsidRPr="00E76013">
              <w:rPr>
                <w:rFonts w:ascii="Times New Roman" w:eastAsia="Times New Roman" w:hAnsi="Times New Roman" w:cs="Times New Roman"/>
                <w:noProof/>
              </w:rPr>
              <w:t xml:space="preserve">sources for own use </w:t>
            </w:r>
            <w:r w:rsidRPr="00E76013">
              <w:rPr>
                <w:rFonts w:ascii="Times New Roman" w:eastAsia="Times New Roman" w:hAnsi="Times New Roman" w:cs="Times New Roman"/>
                <w:noProof/>
              </w:rPr>
              <w:t>with local storage facilities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A03786" w14:textId="2B48E321"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102.26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DE6547" w14:textId="69E5CA6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033</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8248EB" w14:textId="5DB7F90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B1E09E" w14:textId="0A0CD5F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8ADA65" w14:textId="39F8FBC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71507ACA" w14:textId="77777777" w:rsidTr="00E76013">
        <w:trPr>
          <w:trHeight w:val="81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63493A" w14:textId="1F286DE1"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11g</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BD6031" w14:textId="7C71C4F7" w:rsidR="3C20D647" w:rsidRPr="00E76013" w:rsidRDefault="3C20D647" w:rsidP="6CB57544">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Economic Transformation Programme — Fund 2 Green Transition and Circular Economy: </w:t>
            </w:r>
            <w:r w:rsidR="6CB57544" w:rsidRPr="00E76013">
              <w:rPr>
                <w:rFonts w:ascii="Times New Roman" w:eastAsia="Times New Roman" w:hAnsi="Times New Roman" w:cs="Times New Roman"/>
                <w:noProof/>
              </w:rPr>
              <w:t>Grant scheme for the support of businesses in the transition to a circular economy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231959" w14:textId="3B0A0E0C"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73.62</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38E7E5" w14:textId="61C80E7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047</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4A35BE" w14:textId="382370F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2BD2A2" w14:textId="26F45F1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67BE57" w14:textId="2E42107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325856F0"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78AA36" w14:textId="29EDE845"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11h</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EB9E30" w14:textId="339E4173" w:rsidR="3C20D647" w:rsidRPr="00E76013" w:rsidRDefault="3C20D647" w:rsidP="6CB57544">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Economic Transformation Programme — Fund 2 Green Transition and Circular Economy: </w:t>
            </w:r>
            <w:r w:rsidR="6CB57544" w:rsidRPr="00E76013">
              <w:rPr>
                <w:rFonts w:ascii="Times New Roman" w:eastAsia="Times New Roman" w:hAnsi="Times New Roman" w:cs="Times New Roman"/>
                <w:noProof/>
              </w:rPr>
              <w:t>Grant scheme for the support of businesses in the transition to a circular economy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AAE34D" w14:textId="51AB0BB6"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18.41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D74F70" w14:textId="5CC958A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047bis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679CB7" w14:textId="2D74430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A83C30" w14:textId="6AEDAB6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33247B" w14:textId="5E8DC06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4720DF08" w14:textId="77777777" w:rsidTr="00E76013">
        <w:trPr>
          <w:trHeight w:val="12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90B65" w14:textId="094ED8BA"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11i</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E16763" w14:textId="39FBE7EC" w:rsidR="3C20D647" w:rsidRPr="00E76013" w:rsidRDefault="3C20D647" w:rsidP="6CB57544">
            <w:pPr>
              <w:spacing w:line="257" w:lineRule="auto"/>
              <w:rPr>
                <w:rFonts w:ascii="Times New Roman" w:hAnsi="Times New Roman" w:cs="Times New Roman"/>
                <w:noProof/>
              </w:rPr>
            </w:pPr>
            <w:r w:rsidRPr="00E76013">
              <w:rPr>
                <w:rFonts w:ascii="Times New Roman" w:eastAsia="Times New Roman" w:hAnsi="Times New Roman" w:cs="Times New Roman"/>
                <w:noProof/>
              </w:rPr>
              <w:t>Economic Transformation Programme — Fund 2 Green Transition and Circular Economy:</w:t>
            </w:r>
            <w:r w:rsidR="004F2DAB">
              <w:rPr>
                <w:rFonts w:ascii="Times New Roman" w:eastAsia="Times New Roman" w:hAnsi="Times New Roman" w:cs="Times New Roman"/>
                <w:noProof/>
              </w:rPr>
              <w:t xml:space="preserve"> </w:t>
            </w:r>
            <w:r w:rsidRPr="00E76013">
              <w:rPr>
                <w:rFonts w:ascii="Times New Roman" w:eastAsia="Times New Roman" w:hAnsi="Times New Roman" w:cs="Times New Roman"/>
                <w:noProof/>
              </w:rPr>
              <w:t>Guarantee financial instrument for energy efficiency and renewable energy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F5C13E" w14:textId="0B7E2F83"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37.5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532A62" w14:textId="3A82969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024</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D0C0FD" w14:textId="120DEB7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4EC9D2" w14:textId="7B47A13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8A3D49" w14:textId="3EC9A24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1C85EBD4" w14:textId="77777777" w:rsidTr="00E76013">
        <w:trPr>
          <w:trHeight w:val="12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24A68" w14:textId="2D8C9B07"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11j</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2DC82" w14:textId="7B0D8B20" w:rsidR="3C20D647" w:rsidRPr="00E76013" w:rsidRDefault="3C20D647" w:rsidP="6CB57544">
            <w:pPr>
              <w:spacing w:line="257" w:lineRule="auto"/>
              <w:rPr>
                <w:rFonts w:ascii="Times New Roman" w:hAnsi="Times New Roman" w:cs="Times New Roman"/>
                <w:noProof/>
              </w:rPr>
            </w:pPr>
            <w:r w:rsidRPr="00E76013">
              <w:rPr>
                <w:rFonts w:ascii="Times New Roman" w:eastAsia="Times New Roman" w:hAnsi="Times New Roman" w:cs="Times New Roman"/>
                <w:noProof/>
              </w:rPr>
              <w:t>Economic Transformation Programme — Fund 2 Green Transition and Circular Economy:</w:t>
            </w:r>
            <w:r w:rsidR="004F2DAB">
              <w:rPr>
                <w:rFonts w:ascii="Times New Roman" w:eastAsia="Times New Roman" w:hAnsi="Times New Roman" w:cs="Times New Roman"/>
                <w:noProof/>
              </w:rPr>
              <w:t xml:space="preserve"> </w:t>
            </w:r>
            <w:r w:rsidRPr="00E76013">
              <w:rPr>
                <w:rFonts w:ascii="Times New Roman" w:eastAsia="Times New Roman" w:hAnsi="Times New Roman" w:cs="Times New Roman"/>
                <w:noProof/>
              </w:rPr>
              <w:t>Guarantee financial instrument for energy efficiency and renewable energy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7E2A54" w14:textId="02C4BF42"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37.5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8627E4" w14:textId="41A2E3F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025</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D5FF88" w14:textId="120551E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3D92DE" w14:textId="64AE810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404EF" w14:textId="4F7663F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3F142DC9" w14:textId="77777777" w:rsidTr="00E76013">
        <w:trPr>
          <w:trHeight w:val="12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CE3794" w14:textId="2CC6EE92"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11k</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75FC0F" w14:textId="3A9F938F" w:rsidR="3C20D647" w:rsidRPr="00E76013" w:rsidRDefault="3C20D647" w:rsidP="6CB57544">
            <w:pPr>
              <w:spacing w:line="257" w:lineRule="auto"/>
              <w:rPr>
                <w:rFonts w:ascii="Times New Roman" w:hAnsi="Times New Roman" w:cs="Times New Roman"/>
                <w:noProof/>
              </w:rPr>
            </w:pPr>
            <w:r w:rsidRPr="00E76013">
              <w:rPr>
                <w:rFonts w:ascii="Times New Roman" w:eastAsia="Times New Roman" w:hAnsi="Times New Roman" w:cs="Times New Roman"/>
                <w:noProof/>
              </w:rPr>
              <w:t>Economic Transformation Programme — Fund 3 Investments in Climate Neutrality and Digital Transformation: Equity instruments for climate neutrality and digital transformation investments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FA566F" w14:textId="38689D46"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283AA3" w14:textId="3C4394B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024</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5687E5" w14:textId="20649A6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3F2BE5" w14:textId="7AE0E13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1D4F3" w14:textId="08C41B0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07B84949"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D0C1E9" w14:textId="1045DDD3"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13a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31BD6A" w14:textId="5ED49AAF"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Support for the renovation of building stock -</w:t>
            </w:r>
            <w:r w:rsidR="3C20D647" w:rsidRPr="00E76013">
              <w:rPr>
                <w:rFonts w:ascii="Times New Roman" w:eastAsia="Times New Roman" w:hAnsi="Times New Roman" w:cs="Times New Roman"/>
                <w:noProof/>
              </w:rPr>
              <w:t xml:space="preserve"> residential buildings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382A19" w14:textId="0FBF28D0"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608.18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4E7292" w14:textId="78356D8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025bis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B071AC" w14:textId="234F69B5"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8177D6" w14:textId="1060C44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30E06C" w14:textId="557D907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327DAE16"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B08494" w14:textId="3A9FB6A8"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13b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DF44FD" w14:textId="5C04F252"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Support for the renovation of building stock - </w:t>
            </w:r>
            <w:r w:rsidR="3C20D647" w:rsidRPr="00E76013">
              <w:rPr>
                <w:rFonts w:ascii="Times New Roman" w:eastAsia="Times New Roman" w:hAnsi="Times New Roman" w:cs="Times New Roman"/>
                <w:noProof/>
              </w:rPr>
              <w:t>public buildings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BA5A3" w14:textId="565452A9"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193.13</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DA750D" w14:textId="1484DB2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AA2524" w14:textId="7BB03255"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77EE74" w14:textId="10842B7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31B641" w14:textId="06C01A4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5421CCC4" w14:textId="77777777" w:rsidTr="00E76013">
        <w:trPr>
          <w:trHeight w:val="93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0F0320" w14:textId="269042B2"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13c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B734C1" w14:textId="10EACC33" w:rsidR="3C20D647" w:rsidRPr="00E76013" w:rsidRDefault="000B6D3B" w:rsidP="0086382C">
            <w:pPr>
              <w:spacing w:line="257" w:lineRule="auto"/>
              <w:rPr>
                <w:rFonts w:ascii="Times New Roman" w:hAnsi="Times New Roman" w:cs="Times New Roman"/>
                <w:noProof/>
              </w:rPr>
            </w:pPr>
            <w:r w:rsidRPr="00E76013">
              <w:rPr>
                <w:rFonts w:ascii="Times New Roman" w:eastAsia="Times New Roman" w:hAnsi="Times New Roman" w:cs="Times New Roman"/>
                <w:noProof/>
              </w:rPr>
              <w:t>Support for the renovation</w:t>
            </w:r>
            <w:r w:rsidR="3C20D647" w:rsidRPr="00E76013">
              <w:rPr>
                <w:rFonts w:ascii="Times New Roman" w:eastAsia="Times New Roman" w:hAnsi="Times New Roman" w:cs="Times New Roman"/>
                <w:noProof/>
              </w:rPr>
              <w:t xml:space="preserve"> of </w:t>
            </w:r>
            <w:r w:rsidRPr="00E76013">
              <w:rPr>
                <w:rFonts w:ascii="Times New Roman" w:eastAsia="Times New Roman" w:hAnsi="Times New Roman" w:cs="Times New Roman"/>
                <w:noProof/>
              </w:rPr>
              <w:t>building stock -</w:t>
            </w:r>
            <w:r w:rsidR="3C20D647" w:rsidRPr="00E76013">
              <w:rPr>
                <w:rFonts w:ascii="Times New Roman" w:eastAsia="Times New Roman" w:hAnsi="Times New Roman" w:cs="Times New Roman"/>
                <w:noProof/>
              </w:rPr>
              <w:t xml:space="preserve"> manufacturing and commercial buildings</w:t>
            </w:r>
            <w:r w:rsidR="0086382C">
              <w:rPr>
                <w:rFonts w:ascii="Times New Roman" w:eastAsia="Times New Roman" w:hAnsi="Times New Roman" w:cs="Times New Roman"/>
                <w:noProof/>
              </w:rPr>
              <w:t xml:space="preserve"> - </w:t>
            </w:r>
            <w:r w:rsidR="0086382C" w:rsidRPr="00335EBC">
              <w:rPr>
                <w:rFonts w:ascii="Times New Roman" w:eastAsia="Times New Roman" w:hAnsi="Times New Roman" w:cs="Times New Roman"/>
                <w:noProof/>
              </w:rPr>
              <w:t>buildings in manufacturing, trade and services, as well as buildings from the tourism sector</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A8E6E5" w14:textId="5BAAF016"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122.67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42A961" w14:textId="3B23777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024ter</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C0D829" w14:textId="196788EA"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3D05C0" w14:textId="04142C7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0D82AF" w14:textId="1A45428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4A14CC29" w14:textId="77777777" w:rsidTr="00E76013">
        <w:trPr>
          <w:trHeight w:val="66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ED0E50" w14:textId="5A9A08F3"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14</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BD8671" w14:textId="44860553"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Support for renewable energy for households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3218A7" w14:textId="126198E1"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71.58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C284F1" w14:textId="51B000E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lang w:val="bg"/>
              </w:rPr>
              <w:t>029</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DC38F8" w14:textId="045E237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7F38B3" w14:textId="0767036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F1399B" w14:textId="723A3FE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49D62A5A" w14:textId="77777777" w:rsidTr="00E76013">
        <w:trPr>
          <w:trHeight w:val="72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A2360A" w14:textId="52D32FFF"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15</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7C1082" w14:textId="778AEDE4"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Support for energy-</w:t>
            </w:r>
            <w:r w:rsidR="3C20D647" w:rsidRPr="00E76013">
              <w:rPr>
                <w:rFonts w:ascii="Times New Roman" w:eastAsia="Times New Roman" w:hAnsi="Times New Roman" w:cs="Times New Roman"/>
                <w:noProof/>
              </w:rPr>
              <w:t xml:space="preserve">efficient </w:t>
            </w:r>
            <w:r w:rsidRPr="00E76013">
              <w:rPr>
                <w:rFonts w:ascii="Times New Roman" w:eastAsia="Times New Roman" w:hAnsi="Times New Roman" w:cs="Times New Roman"/>
                <w:noProof/>
              </w:rPr>
              <w:t>street</w:t>
            </w:r>
            <w:r w:rsidR="3C20D647" w:rsidRPr="00E76013">
              <w:rPr>
                <w:rFonts w:ascii="Times New Roman" w:eastAsia="Times New Roman" w:hAnsi="Times New Roman" w:cs="Times New Roman"/>
                <w:noProof/>
              </w:rPr>
              <w:t xml:space="preserve"> lighting systems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3B7A63" w14:textId="46A5D8DF"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76.3</w:t>
            </w:r>
            <w:r w:rsidR="002108C7">
              <w:rPr>
                <w:rFonts w:ascii="Times New Roman" w:eastAsia="Times New Roman" w:hAnsi="Times New Roman" w:cs="Times New Roman"/>
                <w:noProof/>
              </w:rPr>
              <w:t>2</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87BB70" w14:textId="2955AD4C"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lang w:val="bg"/>
              </w:rPr>
              <w:t>026</w:t>
            </w:r>
            <w:r w:rsidRPr="00E76013">
              <w:rPr>
                <w:rFonts w:ascii="Times New Roman" w:eastAsia="Times New Roman" w:hAnsi="Times New Roman" w:cs="Times New Roman"/>
                <w:noProof/>
              </w:rPr>
              <w:t>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53916A" w14:textId="72908E4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C6DFB2" w14:textId="39627E3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CB02C5" w14:textId="2A73624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5B8D43B0" w14:textId="77777777" w:rsidTr="00E76013">
        <w:trPr>
          <w:trHeight w:val="69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1F93DD" w14:textId="2C7EEDFB"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16</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F289A8" w14:textId="04E41F66"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Digital transformation of the electricity transmission grid</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07C145" w14:textId="53208039"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189.</w:t>
            </w:r>
            <w:r w:rsidR="002108C7">
              <w:rPr>
                <w:rFonts w:ascii="Times New Roman" w:eastAsia="Times New Roman" w:hAnsi="Times New Roman" w:cs="Times New Roman"/>
                <w:noProof/>
              </w:rPr>
              <w:t>18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FA0C51" w14:textId="7F71C69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033</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0E3F9B" w14:textId="26EF836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7F5597" w14:textId="3745616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033</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6AA6DF" w14:textId="2A2478D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r>
      <w:tr w:rsidR="3C20D647" w:rsidRPr="00E76013" w14:paraId="618C2CE7"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2874B3" w14:textId="4139663D"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17</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A047D3" w14:textId="17C24852"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Pilot</w:t>
            </w:r>
            <w:r w:rsidR="3C20D647" w:rsidRPr="00E76013">
              <w:rPr>
                <w:rFonts w:ascii="Times New Roman" w:eastAsia="Times New Roman" w:hAnsi="Times New Roman" w:cs="Times New Roman"/>
                <w:noProof/>
              </w:rPr>
              <w:t xml:space="preserve"> projects for </w:t>
            </w:r>
            <w:r w:rsidRPr="00E76013">
              <w:rPr>
                <w:rFonts w:ascii="Times New Roman" w:eastAsia="Times New Roman" w:hAnsi="Times New Roman" w:cs="Times New Roman"/>
                <w:noProof/>
              </w:rPr>
              <w:t xml:space="preserve">the production of </w:t>
            </w:r>
            <w:r w:rsidR="3C20D647" w:rsidRPr="00E76013">
              <w:rPr>
                <w:rFonts w:ascii="Times New Roman" w:eastAsia="Times New Roman" w:hAnsi="Times New Roman" w:cs="Times New Roman"/>
                <w:noProof/>
              </w:rPr>
              <w:t>green hydrogen and biogas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3A7DC4" w14:textId="64A65F4B"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227826" w14:textId="27F0FFD2"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032</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5D5182" w14:textId="52B9D2D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7FF494" w14:textId="5DCEF18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62D6F1" w14:textId="25C8B9A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2DA14C2F"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4E4E1B" w14:textId="10A2F9E6"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18</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1B5056" w14:textId="2666E130"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Support for new capacities for electricity generation from renewable sources and electricity storage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E2FD87" w14:textId="442E9672"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342</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F2955" w14:textId="5E5898C2"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032</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BB7B63" w14:textId="20CC869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D611CC" w14:textId="1C59809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C30A6E" w14:textId="22F3AA9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6BDDA850"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880F2" w14:textId="59331B45"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19</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C10569" w14:textId="05CC3267" w:rsidR="3C20D647" w:rsidRPr="00E76013" w:rsidRDefault="000B6D3B"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Pilot project on combined heat and power from geothermal sources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5A11AD" w14:textId="3DFE8592"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175.4</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06651D" w14:textId="30B9ED5D"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032</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104EFB" w14:textId="5B25D3F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242480" w14:textId="5303400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DD983C" w14:textId="053925B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1B0293BB"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B134BB" w14:textId="700B05BF"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20</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6EE833" w14:textId="6857019C" w:rsidR="3C20D647" w:rsidRPr="00E76013" w:rsidRDefault="37957999" w:rsidP="6113FDAA">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National </w:t>
            </w:r>
            <w:r w:rsidR="00335EBC" w:rsidRPr="00562D16">
              <w:rPr>
                <w:rFonts w:ascii="Times New Roman" w:eastAsia="Calibri" w:hAnsi="Times New Roman" w:cs="Times New Roman"/>
                <w:noProof/>
                <w:sz w:val="24"/>
                <w:u w:val="single"/>
                <w:lang w:val="en-GB"/>
              </w:rPr>
              <w:t>infrastructure for storage of electricity from renewables</w:t>
            </w:r>
            <w:r w:rsidR="00335EBC" w:rsidRPr="00E76013" w:rsidDel="00335EBC">
              <w:rPr>
                <w:rFonts w:ascii="Times New Roman" w:eastAsia="Times New Roman" w:hAnsi="Times New Roman" w:cs="Times New Roman"/>
                <w:noProof/>
              </w:rPr>
              <w:t xml:space="preserve"> </w:t>
            </w:r>
            <w:r w:rsidRPr="00E76013">
              <w:rPr>
                <w:rFonts w:ascii="Times New Roman" w:eastAsia="Times New Roman" w:hAnsi="Times New Roman" w:cs="Times New Roman"/>
                <w:noProof/>
              </w:rPr>
              <w:t>(RESTORE)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0C9D73" w14:textId="73C45336"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799.</w:t>
            </w:r>
            <w:r w:rsidR="002108C7">
              <w:rPr>
                <w:rFonts w:ascii="Times New Roman" w:eastAsia="Times New Roman" w:hAnsi="Times New Roman" w:cs="Times New Roman"/>
                <w:noProof/>
              </w:rPr>
              <w:t>05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2A01BB" w14:textId="3A6F6A48"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033</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6BF4E3" w14:textId="36D4464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7048" w14:textId="11083BF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033</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7D0F98" w14:textId="0C9C875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r>
      <w:tr w:rsidR="3C20D647" w:rsidRPr="00E76013" w14:paraId="3CDBEC98"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918C48" w14:textId="0B41530B"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31</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120687" w14:textId="2FC9EBCD" w:rsidR="3C20D647" w:rsidRPr="00E76013" w:rsidRDefault="73FB57BC"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Integrating</w:t>
            </w:r>
            <w:r w:rsidR="3C20D647" w:rsidRPr="00E76013">
              <w:rPr>
                <w:rFonts w:ascii="Times New Roman" w:eastAsia="Times New Roman" w:hAnsi="Times New Roman" w:cs="Times New Roman"/>
                <w:noProof/>
              </w:rPr>
              <w:t xml:space="preserve"> the ecosystem approach and </w:t>
            </w:r>
            <w:r w:rsidR="00335EBC">
              <w:rPr>
                <w:rFonts w:ascii="Times New Roman" w:hAnsi="Times New Roman" w:cs="Times New Roman"/>
                <w:noProof/>
                <w:sz w:val="24"/>
                <w:szCs w:val="24"/>
                <w:u w:val="single"/>
                <w:lang w:val="en-GB"/>
              </w:rPr>
              <w:t>applying</w:t>
            </w:r>
            <w:r w:rsidR="00335EBC" w:rsidRPr="00562D16">
              <w:rPr>
                <w:rFonts w:ascii="Times New Roman" w:hAnsi="Times New Roman" w:cs="Times New Roman"/>
                <w:noProof/>
                <w:sz w:val="24"/>
                <w:szCs w:val="24"/>
                <w:u w:val="single"/>
                <w:lang w:val="en-GB"/>
              </w:rPr>
              <w:t xml:space="preserve"> </w:t>
            </w:r>
            <w:r w:rsidR="3C20D647" w:rsidRPr="00E76013">
              <w:rPr>
                <w:rFonts w:ascii="Times New Roman" w:eastAsia="Times New Roman" w:hAnsi="Times New Roman" w:cs="Times New Roman"/>
                <w:noProof/>
              </w:rPr>
              <w:t xml:space="preserve">nature-based solutions into the </w:t>
            </w:r>
            <w:r w:rsidR="00335EBC">
              <w:rPr>
                <w:rFonts w:ascii="Times New Roman" w:hAnsi="Times New Roman" w:cs="Times New Roman"/>
                <w:noProof/>
                <w:sz w:val="24"/>
                <w:szCs w:val="24"/>
                <w:u w:val="single"/>
                <w:lang w:val="en-GB"/>
              </w:rPr>
              <w:t>protection</w:t>
            </w:r>
            <w:r w:rsidR="00335EBC" w:rsidRPr="00562D16">
              <w:rPr>
                <w:rFonts w:ascii="Times New Roman" w:hAnsi="Times New Roman" w:cs="Times New Roman"/>
                <w:noProof/>
                <w:sz w:val="24"/>
                <w:szCs w:val="24"/>
                <w:u w:val="single"/>
                <w:lang w:val="en-GB"/>
              </w:rPr>
              <w:t xml:space="preserve"> </w:t>
            </w:r>
            <w:r w:rsidR="3C20D647" w:rsidRPr="00E76013">
              <w:rPr>
                <w:rFonts w:ascii="Times New Roman" w:eastAsia="Times New Roman" w:hAnsi="Times New Roman" w:cs="Times New Roman"/>
                <w:noProof/>
              </w:rPr>
              <w:t>of Natura 2000 sites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531E51" w14:textId="5BE9BB08" w:rsidR="3C20D647" w:rsidRPr="00E76013" w:rsidRDefault="3C20D647" w:rsidP="002108C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15.</w:t>
            </w:r>
            <w:r w:rsidR="51357007" w:rsidRPr="00E76013">
              <w:rPr>
                <w:rFonts w:ascii="Times New Roman" w:eastAsia="Times New Roman" w:hAnsi="Times New Roman" w:cs="Times New Roman"/>
                <w:noProof/>
              </w:rPr>
              <w:t>58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086A39" w14:textId="73479A3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049</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A2212" w14:textId="38638919"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911B1A" w14:textId="057B583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1FCC9" w14:textId="3AB686F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5D109AF5"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CDD184" w14:textId="1197E1FC"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33a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8617FF" w14:textId="3AEF1C69" w:rsidR="3C20D647" w:rsidRPr="00E76013" w:rsidRDefault="3C20D647" w:rsidP="4004449C">
            <w:pPr>
              <w:spacing w:after="0"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Restoring key climate ecosystems in </w:t>
            </w:r>
            <w:r w:rsidR="73FB57BC" w:rsidRPr="00E76013">
              <w:rPr>
                <w:rFonts w:ascii="Times New Roman" w:eastAsia="Times New Roman" w:hAnsi="Times New Roman" w:cs="Times New Roman"/>
                <w:noProof/>
              </w:rPr>
              <w:t>line with</w:t>
            </w:r>
            <w:r w:rsidRPr="00E76013">
              <w:rPr>
                <w:rFonts w:ascii="Times New Roman" w:eastAsia="Times New Roman" w:hAnsi="Times New Roman" w:cs="Times New Roman"/>
                <w:noProof/>
              </w:rPr>
              <w:t xml:space="preserve"> the EU Biodiversity Strategy 2030 and the objectives of the European Green Deal — Natura 2000</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7AC971" w14:textId="4387A118"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FC40C" w14:textId="0E78CB3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049</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40EDA6" w14:textId="48BD01C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C6240B" w14:textId="43288F6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676DE0" w14:textId="25F5D0D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76DE4B2E"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9A5FC" w14:textId="026B3824"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33b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305314" w14:textId="453BE9B7" w:rsidR="3C20D647" w:rsidRPr="00E76013" w:rsidRDefault="3C20D647" w:rsidP="00335EBC">
            <w:pPr>
              <w:spacing w:after="0"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Restoring climate</w:t>
            </w:r>
            <w:r w:rsidR="00335EBC">
              <w:rPr>
                <w:rFonts w:ascii="Times New Roman" w:eastAsia="Times New Roman" w:hAnsi="Times New Roman" w:cs="Times New Roman"/>
                <w:noProof/>
                <w:lang w:val="bg-BG"/>
              </w:rPr>
              <w:t xml:space="preserve"> </w:t>
            </w:r>
            <w:r w:rsidR="00335EBC" w:rsidRPr="00E76013">
              <w:rPr>
                <w:rFonts w:ascii="Times New Roman" w:eastAsia="Times New Roman" w:hAnsi="Times New Roman" w:cs="Times New Roman"/>
                <w:noProof/>
              </w:rPr>
              <w:t>key</w:t>
            </w:r>
            <w:r w:rsidRPr="00E76013">
              <w:rPr>
                <w:rFonts w:ascii="Times New Roman" w:eastAsia="Times New Roman" w:hAnsi="Times New Roman" w:cs="Times New Roman"/>
                <w:noProof/>
              </w:rPr>
              <w:t xml:space="preserve"> ecosystems in </w:t>
            </w:r>
            <w:r w:rsidR="73FB57BC" w:rsidRPr="00E76013">
              <w:rPr>
                <w:rFonts w:ascii="Times New Roman" w:eastAsia="Times New Roman" w:hAnsi="Times New Roman" w:cs="Times New Roman"/>
                <w:noProof/>
              </w:rPr>
              <w:t>line with</w:t>
            </w:r>
            <w:r w:rsidRPr="00E76013">
              <w:rPr>
                <w:rFonts w:ascii="Times New Roman" w:eastAsia="Times New Roman" w:hAnsi="Times New Roman" w:cs="Times New Roman"/>
                <w:noProof/>
              </w:rPr>
              <w:t xml:space="preserve"> the EU Biodiversity Strategy 2030 and the objectives of the European Green Deal</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5DE741" w14:textId="4B64E6B6" w:rsidR="3C20D647" w:rsidRPr="00E76013" w:rsidRDefault="3C20D647" w:rsidP="005B64E6">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26.9</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FBB735" w14:textId="36D671D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050</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121673" w14:textId="39CB0CB5"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BAD790" w14:textId="7697B28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309483" w14:textId="4D6D03E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66CC5E9A"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642C8" w14:textId="58DC1DA5"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34a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0904AB" w14:textId="3441255F" w:rsidR="3C20D647" w:rsidRPr="00E76013" w:rsidRDefault="3C20D647" w:rsidP="00335EBC">
            <w:pPr>
              <w:spacing w:line="257" w:lineRule="auto"/>
              <w:rPr>
                <w:rFonts w:ascii="Times New Roman" w:hAnsi="Times New Roman" w:cs="Times New Roman"/>
                <w:noProof/>
              </w:rPr>
            </w:pPr>
            <w:r w:rsidRPr="00E76013">
              <w:rPr>
                <w:rFonts w:ascii="Times New Roman" w:eastAsia="Times New Roman" w:hAnsi="Times New Roman" w:cs="Times New Roman"/>
                <w:noProof/>
              </w:rPr>
              <w:t>Fund to promote the technological and ecological transition of agriculture — ‘technological and environmental modernisation’ strand</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616FA" w14:textId="6003CCA9" w:rsidR="3C20D647" w:rsidRPr="00E76013" w:rsidRDefault="3C20D647" w:rsidP="00F538B2">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162.62</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2E729D" w14:textId="5028B70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047</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80F365" w14:textId="5D6D0DC3"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A99766" w14:textId="2C1C7F9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F6D39C" w14:textId="002B839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3CB94859"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2502C1" w14:textId="109BBF43"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34d</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E8216" w14:textId="0CCF5DB1"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Fund to promote the technological and </w:t>
            </w:r>
            <w:r w:rsidR="00335EBC" w:rsidRPr="00E76013">
              <w:rPr>
                <w:rFonts w:ascii="Times New Roman" w:eastAsia="Times New Roman" w:hAnsi="Times New Roman" w:cs="Times New Roman"/>
                <w:noProof/>
              </w:rPr>
              <w:t xml:space="preserve">ecological </w:t>
            </w:r>
            <w:r w:rsidRPr="00E76013">
              <w:rPr>
                <w:rFonts w:ascii="Times New Roman" w:eastAsia="Times New Roman" w:hAnsi="Times New Roman" w:cs="Times New Roman"/>
                <w:noProof/>
              </w:rPr>
              <w:t>transition of agriculture — ‘construction/reconstruction and equipment of livestock holdings for the rearing and assessment of male breeding animals’</w:t>
            </w:r>
            <w:r w:rsidR="00501A53" w:rsidRPr="00E76013">
              <w:rPr>
                <w:rFonts w:ascii="Times New Roman" w:eastAsia="Times New Roman" w:hAnsi="Times New Roman" w:cs="Times New Roman"/>
                <w:noProof/>
              </w:rPr>
              <w:t xml:space="preserve"> strand</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D60E6B" w14:textId="56814522" w:rsidR="3C20D647" w:rsidRPr="00E76013" w:rsidRDefault="3C20D647" w:rsidP="00F538B2">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51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30DFED" w14:textId="7AB96AF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040</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8A84A2" w14:textId="6387C5BC"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51D95A" w14:textId="61B2334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1A3F41" w14:textId="56BC0C1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5BC02003" w14:textId="77777777" w:rsidTr="00E76013">
        <w:trPr>
          <w:trHeight w:val="66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245C2B" w14:textId="76332624"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35</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83C85" w14:textId="05C90FB3"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Digitisation of processes from farm to fork</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90E0A3" w14:textId="730BE86A"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10.2</w:t>
            </w:r>
          </w:p>
          <w:p w14:paraId="7F3370C4" w14:textId="5D8F665F"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 xml:space="preserve"> </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6E9128" w14:textId="06DDFC3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722BAA" w14:textId="2742F64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44BA6C" w14:textId="5321AFB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BDB4" w14:textId="104EAFD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1775EDE0"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EF187" w14:textId="4F7B789C"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37</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DEC7C4" w14:textId="4B3B809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Large-scale deployment of digital infrastructure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BC7955" w14:textId="74DED958" w:rsidR="3C20D647" w:rsidRPr="00E76013" w:rsidRDefault="3C20D647" w:rsidP="00F538B2">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269.59</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CC5E30" w14:textId="1EEA643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C13734" w14:textId="3B47784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ED8E33" w14:textId="4B3888FF"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051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4A1FF9" w14:textId="6F746C5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351F54F3"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C9C473" w14:textId="437D91ED"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38</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8B70BA" w14:textId="6906D2BF"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Construction, development and optimisation of the digital TETRA system and radio network</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CE2A0" w14:textId="0565EC03"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63.66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0B9B6C" w14:textId="258F8F2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77FF61" w14:textId="5F39075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7FB759" w14:textId="4A11EDB7"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28E112" w14:textId="5368116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3CB1013E"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D2F6FF" w14:textId="5CF655BB"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39a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89FA93" w14:textId="479F3262"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 transformation of Bulgarian Post and </w:t>
            </w:r>
            <w:r w:rsidR="3506846C" w:rsidRPr="00E76013">
              <w:rPr>
                <w:rFonts w:ascii="Times New Roman" w:eastAsia="Times New Roman" w:hAnsi="Times New Roman" w:cs="Times New Roman"/>
                <w:noProof/>
              </w:rPr>
              <w:t>delivery</w:t>
            </w:r>
            <w:r w:rsidRPr="00E76013">
              <w:rPr>
                <w:rFonts w:ascii="Times New Roman" w:eastAsia="Times New Roman" w:hAnsi="Times New Roman" w:cs="Times New Roman"/>
                <w:noProof/>
              </w:rPr>
              <w:t xml:space="preserve"> of complex services </w:t>
            </w:r>
            <w:r w:rsidR="51357007" w:rsidRPr="00E76013">
              <w:rPr>
                <w:rFonts w:ascii="Times New Roman" w:eastAsia="Times New Roman" w:hAnsi="Times New Roman" w:cs="Times New Roman"/>
                <w:noProof/>
              </w:rPr>
              <w:t>-</w:t>
            </w:r>
            <w:r w:rsidRPr="00E76013">
              <w:rPr>
                <w:rFonts w:ascii="Times New Roman" w:eastAsia="Times New Roman" w:hAnsi="Times New Roman" w:cs="Times New Roman"/>
                <w:noProof/>
              </w:rPr>
              <w:t xml:space="preserve"> digitalisation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4DE786" w14:textId="724AF7F2" w:rsidR="3C20D647" w:rsidRPr="00E76013" w:rsidRDefault="0043084D" w:rsidP="009E126D">
            <w:pPr>
              <w:spacing w:line="257" w:lineRule="auto"/>
              <w:jc w:val="center"/>
              <w:rPr>
                <w:rFonts w:ascii="Times New Roman" w:hAnsi="Times New Roman" w:cs="Times New Roman"/>
                <w:noProof/>
              </w:rPr>
            </w:pPr>
            <w:r>
              <w:rPr>
                <w:rFonts w:ascii="Times New Roman" w:eastAsia="Times New Roman" w:hAnsi="Times New Roman" w:cs="Times New Roman"/>
                <w:noProof/>
              </w:rPr>
              <w:t>34.</w:t>
            </w:r>
            <w:r w:rsidR="009E126D">
              <w:rPr>
                <w:rFonts w:ascii="Times New Roman" w:eastAsia="Times New Roman" w:hAnsi="Times New Roman" w:cs="Times New Roman"/>
                <w:noProof/>
              </w:rPr>
              <w:t>76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802EB7" w14:textId="660FA35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FC26BD" w14:textId="39E2FCB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DAD72B" w14:textId="408CBC16"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B4770" w14:textId="2BC6AD1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49E96737" w:rsidRPr="00E76013" w14:paraId="2E671A88"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556A2" w14:textId="5C980097" w:rsidR="49E96737" w:rsidRPr="00E76013" w:rsidRDefault="49E96737" w:rsidP="49E96737">
            <w:pP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39c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A3D3D1" w14:textId="211774D0" w:rsidR="51357007" w:rsidRPr="00E76013" w:rsidRDefault="51357007" w:rsidP="49E9673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 transformation of Bulgarian Post and </w:t>
            </w:r>
            <w:r w:rsidR="3506846C" w:rsidRPr="00E76013">
              <w:rPr>
                <w:rFonts w:ascii="Times New Roman" w:eastAsia="Times New Roman" w:hAnsi="Times New Roman" w:cs="Times New Roman"/>
                <w:noProof/>
              </w:rPr>
              <w:t>delivery</w:t>
            </w:r>
            <w:r w:rsidRPr="00E76013">
              <w:rPr>
                <w:rFonts w:ascii="Times New Roman" w:eastAsia="Times New Roman" w:hAnsi="Times New Roman" w:cs="Times New Roman"/>
                <w:noProof/>
              </w:rPr>
              <w:t xml:space="preserve"> of complex services - telemedicine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0867" w14:textId="29A4FAE4" w:rsidR="49E96737" w:rsidRPr="00E76013" w:rsidRDefault="49E96737" w:rsidP="001D035E">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3.</w:t>
            </w:r>
            <w:r w:rsidR="001D035E">
              <w:rPr>
                <w:rFonts w:ascii="Times New Roman" w:eastAsia="Times New Roman" w:hAnsi="Times New Roman" w:cs="Times New Roman"/>
                <w:noProof/>
              </w:rPr>
              <w:t>5</w:t>
            </w:r>
            <w:r w:rsidRPr="00E76013">
              <w:rPr>
                <w:rFonts w:ascii="Times New Roman" w:eastAsia="Times New Roman" w:hAnsi="Times New Roman" w:cs="Times New Roman"/>
                <w:noProof/>
              </w:rPr>
              <w:t>9</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1BF240" w14:textId="40B4F1A1" w:rsidR="49E96737" w:rsidRPr="00E76013" w:rsidRDefault="49E96737" w:rsidP="49E96737">
            <w:pPr>
              <w:jc w:val="center"/>
              <w:rPr>
                <w:rFonts w:ascii="Times New Roman" w:eastAsia="Times New Roman" w:hAnsi="Times New Roman" w:cs="Times New Roman"/>
                <w:noProof/>
                <w:color w:val="000000" w:themeColor="text1"/>
              </w:rPr>
            </w:pP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CCD22" w14:textId="1B4E7097" w:rsidR="49E96737" w:rsidRPr="00E76013" w:rsidRDefault="49E96737" w:rsidP="49E96737">
            <w:pPr>
              <w:spacing w:line="257" w:lineRule="auto"/>
              <w:jc w:val="center"/>
              <w:rPr>
                <w:rFonts w:ascii="Times New Roman" w:eastAsia="Times New Roman" w:hAnsi="Times New Roman" w:cs="Times New Roman"/>
                <w:noProof/>
              </w:rPr>
            </w:pP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199F01" w14:textId="653FF3AB" w:rsidR="49E96737" w:rsidRPr="00E76013" w:rsidRDefault="49E96737" w:rsidP="49E96737">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013</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1C016A" w14:textId="76159D9C" w:rsidR="49E96737" w:rsidRPr="00E76013" w:rsidRDefault="49E96737" w:rsidP="49E9673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100%</w:t>
            </w:r>
          </w:p>
        </w:tc>
      </w:tr>
      <w:tr w:rsidR="49E96737" w:rsidRPr="00E76013" w14:paraId="1D72A4E9"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8B46D" w14:textId="63B8EFF6" w:rsidR="49E96737" w:rsidRPr="00E76013" w:rsidRDefault="49E96737" w:rsidP="49E96737">
            <w:pP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39d</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B00969" w14:textId="79E340B8" w:rsidR="51357007" w:rsidRPr="00E76013" w:rsidRDefault="51357007" w:rsidP="49E9673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 transformation of Bulgarian Post and </w:t>
            </w:r>
            <w:r w:rsidR="3506846C" w:rsidRPr="00E76013">
              <w:rPr>
                <w:rFonts w:ascii="Times New Roman" w:eastAsia="Times New Roman" w:hAnsi="Times New Roman" w:cs="Times New Roman"/>
                <w:noProof/>
              </w:rPr>
              <w:t>delivery</w:t>
            </w:r>
            <w:r w:rsidRPr="00E76013">
              <w:rPr>
                <w:rFonts w:ascii="Times New Roman" w:eastAsia="Times New Roman" w:hAnsi="Times New Roman" w:cs="Times New Roman"/>
                <w:noProof/>
              </w:rPr>
              <w:t xml:space="preserve"> of complex services – charging stations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5ECEDD" w14:textId="763E85B8" w:rsidR="49E96737" w:rsidRPr="00E76013" w:rsidRDefault="49E96737" w:rsidP="001D035E">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0.99</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BBACFC" w14:textId="579CDBBA" w:rsidR="49E96737" w:rsidRPr="00A802A9" w:rsidRDefault="49E96737" w:rsidP="009519C8">
            <w:pPr>
              <w:jc w:val="center"/>
              <w:rPr>
                <w:rFonts w:ascii="Times New Roman" w:eastAsia="Times New Roman" w:hAnsi="Times New Roman" w:cs="Times New Roman"/>
                <w:noProof/>
                <w:color w:val="000000" w:themeColor="text1"/>
              </w:rPr>
            </w:pPr>
            <w:r w:rsidRPr="00A802A9">
              <w:rPr>
                <w:rFonts w:ascii="Times New Roman" w:eastAsia="Times New Roman" w:hAnsi="Times New Roman" w:cs="Times New Roman"/>
                <w:noProof/>
                <w:color w:val="000000" w:themeColor="text1"/>
              </w:rPr>
              <w:t>07</w:t>
            </w:r>
            <w:r w:rsidR="009519C8" w:rsidRPr="00A802A9">
              <w:rPr>
                <w:rFonts w:ascii="Times New Roman" w:eastAsia="Times New Roman" w:hAnsi="Times New Roman" w:cs="Times New Roman"/>
                <w:noProof/>
                <w:color w:val="000000" w:themeColor="text1"/>
              </w:rPr>
              <w:t>7</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E0E20B" w14:textId="4265E21D" w:rsidR="49E96737" w:rsidRPr="00A802A9" w:rsidRDefault="49E96737" w:rsidP="49E96737">
            <w:pPr>
              <w:spacing w:line="257" w:lineRule="auto"/>
              <w:jc w:val="center"/>
              <w:rPr>
                <w:rFonts w:ascii="Times New Roman" w:eastAsia="Times New Roman" w:hAnsi="Times New Roman" w:cs="Times New Roman"/>
                <w:noProof/>
              </w:rPr>
            </w:pPr>
            <w:r w:rsidRPr="00A802A9">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EF26A6" w14:textId="46A825AE" w:rsidR="49E96737" w:rsidRPr="00E76013" w:rsidRDefault="49E96737" w:rsidP="49E96737">
            <w:pPr>
              <w:spacing w:line="257" w:lineRule="auto"/>
              <w:jc w:val="center"/>
              <w:rPr>
                <w:rFonts w:ascii="Times New Roman" w:eastAsia="Times New Roman" w:hAnsi="Times New Roman" w:cs="Times New Roman"/>
                <w:noProof/>
              </w:rPr>
            </w:pP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E1A798" w14:textId="421DB09F" w:rsidR="49E96737" w:rsidRPr="00E76013" w:rsidRDefault="49E96737" w:rsidP="49E96737">
            <w:pPr>
              <w:jc w:val="center"/>
              <w:rPr>
                <w:rFonts w:ascii="Times New Roman" w:eastAsia="Times New Roman" w:hAnsi="Times New Roman" w:cs="Times New Roman"/>
                <w:noProof/>
                <w:color w:val="000000" w:themeColor="text1"/>
              </w:rPr>
            </w:pPr>
          </w:p>
        </w:tc>
      </w:tr>
      <w:tr w:rsidR="49E96737" w:rsidRPr="00E76013" w14:paraId="19C576A9"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FD4B01" w14:textId="49E3164C" w:rsidR="49E96737" w:rsidRPr="00E76013" w:rsidRDefault="49E96737" w:rsidP="49E96737">
            <w:pP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39e</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B93552" w14:textId="5A5BECC0" w:rsidR="51357007" w:rsidRPr="00E76013" w:rsidRDefault="51357007" w:rsidP="49E9673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 transformation of Bulgarian Post and </w:t>
            </w:r>
            <w:r w:rsidR="3506846C" w:rsidRPr="00E76013">
              <w:rPr>
                <w:rFonts w:ascii="Times New Roman" w:eastAsia="Times New Roman" w:hAnsi="Times New Roman" w:cs="Times New Roman"/>
                <w:noProof/>
              </w:rPr>
              <w:t>delivery</w:t>
            </w:r>
            <w:r w:rsidRPr="00E76013">
              <w:rPr>
                <w:rFonts w:ascii="Times New Roman" w:eastAsia="Times New Roman" w:hAnsi="Times New Roman" w:cs="Times New Roman"/>
                <w:noProof/>
              </w:rPr>
              <w:t xml:space="preserve"> of complex services - renovation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812C87" w14:textId="36344954" w:rsidR="00AD3CC2" w:rsidRPr="00E76013" w:rsidRDefault="49E96737" w:rsidP="00A869E9">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7.</w:t>
            </w:r>
            <w:r w:rsidR="0043084D">
              <w:rPr>
                <w:rFonts w:ascii="Times New Roman" w:eastAsia="Times New Roman" w:hAnsi="Times New Roman" w:cs="Times New Roman"/>
                <w:noProof/>
              </w:rPr>
              <w:t>76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4AEDE5" w14:textId="6FCBDEB4" w:rsidR="49E96737" w:rsidRPr="00E76013" w:rsidRDefault="49E96737" w:rsidP="49E9673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025</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0BCFF2" w14:textId="2677CC50" w:rsidR="49E96737" w:rsidRPr="00E76013" w:rsidRDefault="49E96737" w:rsidP="49E96737">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424B77" w14:textId="723AE03E" w:rsidR="49E96737" w:rsidRPr="00E76013" w:rsidRDefault="49E96737" w:rsidP="49E96737">
            <w:pPr>
              <w:spacing w:line="257" w:lineRule="auto"/>
              <w:jc w:val="center"/>
              <w:rPr>
                <w:rFonts w:ascii="Times New Roman" w:eastAsia="Times New Roman" w:hAnsi="Times New Roman" w:cs="Times New Roman"/>
                <w:noProof/>
              </w:rPr>
            </w:pP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8AC11F" w14:textId="14A0EDD4" w:rsidR="49E96737" w:rsidRPr="00E76013" w:rsidRDefault="49E96737" w:rsidP="49E96737">
            <w:pPr>
              <w:jc w:val="center"/>
              <w:rPr>
                <w:rFonts w:ascii="Times New Roman" w:eastAsia="Times New Roman" w:hAnsi="Times New Roman" w:cs="Times New Roman"/>
                <w:noProof/>
                <w:color w:val="000000" w:themeColor="text1"/>
              </w:rPr>
            </w:pPr>
          </w:p>
        </w:tc>
      </w:tr>
      <w:tr w:rsidR="3C20D647" w:rsidRPr="00E76013" w14:paraId="12DAAD9F" w14:textId="77777777" w:rsidTr="00E76013">
        <w:trPr>
          <w:trHeight w:val="66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61F326" w14:textId="6D395DBA"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43</w:t>
            </w:r>
            <w:r w:rsidR="00A869E9">
              <w:rPr>
                <w:rFonts w:ascii="Times New Roman" w:eastAsia="Times New Roman" w:hAnsi="Times New Roman" w:cs="Times New Roman"/>
                <w:noProof/>
                <w:color w:val="000000" w:themeColor="text1"/>
              </w:rPr>
              <w:t>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D1A619" w14:textId="0A9CA78F" w:rsidR="3C20D647" w:rsidRPr="00E76013" w:rsidRDefault="006D782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Digitalisation in railways transport and ERTMS </w:t>
            </w:r>
            <w:r w:rsidR="3C20D647" w:rsidRPr="00E76013">
              <w:rPr>
                <w:rFonts w:ascii="Times New Roman" w:eastAsia="Times New Roman" w:hAnsi="Times New Roman" w:cs="Times New Roman"/>
                <w:noProof/>
              </w:rPr>
              <w:t xml:space="preserve">— </w:t>
            </w:r>
            <w:r w:rsidRPr="00E76013">
              <w:rPr>
                <w:rFonts w:ascii="Times New Roman" w:eastAsia="Times New Roman" w:hAnsi="Times New Roman" w:cs="Times New Roman"/>
                <w:noProof/>
              </w:rPr>
              <w:t>K</w:t>
            </w:r>
            <w:r w:rsidR="3C20D647" w:rsidRPr="00E76013">
              <w:rPr>
                <w:rFonts w:ascii="Times New Roman" w:eastAsia="Times New Roman" w:hAnsi="Times New Roman" w:cs="Times New Roman"/>
                <w:noProof/>
              </w:rPr>
              <w:t>aspichan section</w:t>
            </w:r>
            <w:r w:rsidR="00A869E9">
              <w:rPr>
                <w:rFonts w:ascii="Times New Roman" w:eastAsia="Times New Roman" w:hAnsi="Times New Roman" w:cs="Times New Roman"/>
                <w:noProof/>
              </w:rPr>
              <w:t xml:space="preserve"> - ERTMS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6F97F" w14:textId="5FABBC45" w:rsidR="3C20D647" w:rsidRPr="00E76013" w:rsidRDefault="00A869E9" w:rsidP="3C20D647">
            <w:pPr>
              <w:spacing w:line="257" w:lineRule="auto"/>
              <w:jc w:val="center"/>
              <w:rPr>
                <w:rFonts w:ascii="Times New Roman" w:hAnsi="Times New Roman" w:cs="Times New Roman"/>
                <w:noProof/>
              </w:rPr>
            </w:pPr>
            <w:r>
              <w:rPr>
                <w:rFonts w:ascii="Times New Roman" w:eastAsia="Times New Roman" w:hAnsi="Times New Roman" w:cs="Times New Roman"/>
                <w:noProof/>
              </w:rPr>
              <w:t>44.79</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C44842" w14:textId="72EF47F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071</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765F9" w14:textId="3DFE324C"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E69C46" w14:textId="65970E2D"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071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4F26ED" w14:textId="02E934E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00A869E9" w:rsidRPr="00E76013" w14:paraId="600F4C16"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AF2CE3" w14:textId="4AC6EF17" w:rsidR="00A869E9" w:rsidRPr="00E76013" w:rsidRDefault="00A869E9">
            <w:pP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43b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9E325" w14:textId="34248CBF" w:rsidR="00A869E9" w:rsidRPr="00E76013" w:rsidRDefault="00A869E9" w:rsidP="3C20D647">
            <w:pPr>
              <w:spacing w:line="257" w:lineRule="auto"/>
              <w:rPr>
                <w:rFonts w:ascii="Times New Roman" w:eastAsia="Times New Roman" w:hAnsi="Times New Roman" w:cs="Times New Roman"/>
                <w:noProof/>
                <w:lang w:val="en-IE"/>
              </w:rPr>
            </w:pPr>
            <w:r w:rsidRPr="00E76013">
              <w:rPr>
                <w:rFonts w:ascii="Times New Roman" w:eastAsia="Times New Roman" w:hAnsi="Times New Roman" w:cs="Times New Roman"/>
                <w:noProof/>
              </w:rPr>
              <w:t>Digitalisation in railways transport and ERTMS — Kaspichan section</w:t>
            </w:r>
            <w:r>
              <w:rPr>
                <w:rFonts w:ascii="Times New Roman" w:eastAsia="Times New Roman" w:hAnsi="Times New Roman" w:cs="Times New Roman"/>
                <w:noProof/>
              </w:rPr>
              <w:t xml:space="preserve"> – </w:t>
            </w:r>
            <w:r w:rsidR="6F220B95" w:rsidRPr="7C84D552">
              <w:rPr>
                <w:rFonts w:ascii="Times New Roman" w:eastAsia="Times New Roman" w:hAnsi="Times New Roman" w:cs="Times New Roman"/>
                <w:noProof/>
              </w:rPr>
              <w:t>other digitalisation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6BE4BF" w14:textId="624B136E" w:rsidR="00A869E9" w:rsidRDefault="00A869E9" w:rsidP="00FF5BBC">
            <w:pPr>
              <w:spacing w:after="0" w:line="257" w:lineRule="auto"/>
              <w:jc w:val="center"/>
              <w:rPr>
                <w:rFonts w:ascii="Times New Roman" w:eastAsia="Times New Roman" w:hAnsi="Times New Roman" w:cs="Times New Roman"/>
                <w:noProof/>
              </w:rPr>
            </w:pPr>
            <w:r w:rsidRPr="00A869E9">
              <w:rPr>
                <w:rFonts w:ascii="Times New Roman" w:eastAsia="Times New Roman" w:hAnsi="Times New Roman" w:cs="Times New Roman"/>
                <w:noProof/>
              </w:rPr>
              <w:t>60.47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335937" w14:textId="49F2FF9A" w:rsidR="00A869E9" w:rsidRPr="00E76013" w:rsidRDefault="00A869E9"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068</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F2670D" w14:textId="6A78B5B1" w:rsidR="00A869E9" w:rsidRPr="00E76013" w:rsidRDefault="00A869E9" w:rsidP="3C20D647">
            <w:pPr>
              <w:spacing w:line="257" w:lineRule="auto"/>
              <w:jc w:val="center"/>
              <w:rPr>
                <w:rFonts w:ascii="Times New Roman" w:eastAsia="Times New Roman" w:hAnsi="Times New Roman" w:cs="Times New Roman"/>
                <w:noProof/>
              </w:rPr>
            </w:pPr>
            <w:r>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682FEB" w14:textId="2EDED816" w:rsidR="00A869E9" w:rsidRPr="00E76013" w:rsidRDefault="00A869E9" w:rsidP="3C20D647">
            <w:pPr>
              <w:spacing w:line="257" w:lineRule="auto"/>
              <w:jc w:val="center"/>
              <w:rPr>
                <w:rFonts w:ascii="Times New Roman" w:eastAsia="Times New Roman" w:hAnsi="Times New Roman" w:cs="Times New Roman"/>
                <w:noProof/>
              </w:rPr>
            </w:pPr>
            <w:r>
              <w:rPr>
                <w:rFonts w:ascii="Times New Roman" w:eastAsia="Times New Roman" w:hAnsi="Times New Roman" w:cs="Times New Roman"/>
                <w:noProof/>
              </w:rPr>
              <w:t>070</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032E2D" w14:textId="7106FE2A" w:rsidR="00A869E9" w:rsidRPr="00E76013" w:rsidRDefault="00A869E9"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100%</w:t>
            </w:r>
          </w:p>
        </w:tc>
      </w:tr>
      <w:tr w:rsidR="3C20D647" w:rsidRPr="00E76013" w14:paraId="176E5CCA"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703C52" w14:textId="561E569B"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44a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9402A4" w14:textId="68AA01F7" w:rsidR="3C20D647" w:rsidRPr="00E76013" w:rsidRDefault="006D782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lang w:val="en-IE"/>
              </w:rPr>
              <w:t>Railways rolling stock</w:t>
            </w:r>
            <w:r w:rsidRPr="00E76013">
              <w:rPr>
                <w:rFonts w:ascii="Times New Roman" w:eastAsia="Times New Roman" w:hAnsi="Times New Roman" w:cs="Times New Roman"/>
                <w:noProof/>
              </w:rPr>
              <w:t xml:space="preserve"> </w:t>
            </w:r>
            <w:r w:rsidR="3C20D647" w:rsidRPr="00E76013">
              <w:rPr>
                <w:rFonts w:ascii="Times New Roman" w:eastAsia="Times New Roman" w:hAnsi="Times New Roman" w:cs="Times New Roman"/>
                <w:noProof/>
              </w:rPr>
              <w:t>— ERTMS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344D9B" w14:textId="1404AC6A" w:rsidR="3C20D647" w:rsidRPr="00E76013" w:rsidRDefault="49E96737" w:rsidP="007E4471">
            <w:pPr>
              <w:spacing w:after="0"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45.12</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318DB3" w14:textId="5F04738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071</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6E1D7" w14:textId="57077B7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867E98" w14:textId="3E308EB8"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071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E8795" w14:textId="2BBA2D7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6067B0CB" w14:textId="77777777" w:rsidTr="007E4471">
        <w:trPr>
          <w:trHeight w:val="81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83A7FF" w14:textId="2639856A" w:rsidR="3C20D647" w:rsidRPr="00E76013" w:rsidRDefault="3C20D647">
            <w:pPr>
              <w:rPr>
                <w:rFonts w:ascii="Times New Roman" w:hAnsi="Times New Roman" w:cs="Times New Roman"/>
                <w:noProof/>
              </w:rPr>
            </w:pPr>
            <w:r w:rsidRPr="00E76013">
              <w:rPr>
                <w:rFonts w:ascii="Times New Roman" w:eastAsia="Times New Roman" w:hAnsi="Times New Roman" w:cs="Times New Roman"/>
                <w:noProof/>
                <w:color w:val="000000" w:themeColor="text1"/>
              </w:rPr>
              <w:t>44b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04CA" w14:textId="7379D680" w:rsidR="3C20D647" w:rsidRPr="00E76013" w:rsidRDefault="7B16D6B8"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 xml:space="preserve">Railways rolling stock </w:t>
            </w:r>
            <w:r w:rsidR="006D782E" w:rsidRPr="00E76013">
              <w:rPr>
                <w:rFonts w:ascii="Times New Roman" w:eastAsia="Times New Roman" w:hAnsi="Times New Roman" w:cs="Times New Roman"/>
                <w:noProof/>
              </w:rPr>
              <w:t>– rolling stock</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5575F1" w14:textId="3450A014" w:rsidR="3C20D647" w:rsidRPr="00E76013" w:rsidRDefault="51357007" w:rsidP="007E4471">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295.40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287B3A" w14:textId="01D4DCA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072bis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AE41A5" w14:textId="2BDE1826"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C9EAB1" w14:textId="6C8139C4" w:rsidR="3C20D647" w:rsidRPr="00E76013" w:rsidRDefault="3C20D647" w:rsidP="3C20D647">
            <w:pPr>
              <w:spacing w:line="257" w:lineRule="auto"/>
              <w:jc w:val="center"/>
              <w:rPr>
                <w:rFonts w:ascii="Times New Roman" w:eastAsia="Times New Roman" w:hAnsi="Times New Roman" w:cs="Times New Roman"/>
                <w:noProof/>
              </w:rPr>
            </w:pPr>
            <w:r w:rsidRPr="00E76013">
              <w:rPr>
                <w:rFonts w:ascii="Times New Roman" w:eastAsia="Times New Roman" w:hAnsi="Times New Roman" w:cs="Times New Roman"/>
                <w:noProof/>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75E19C" w14:textId="54877AC2"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r>
      <w:tr w:rsidR="3C20D647" w:rsidRPr="00E76013" w14:paraId="6559CF24"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0F521" w14:textId="5C5BDE23"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45</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CC814D" w14:textId="0FF91693" w:rsidR="3C20D647" w:rsidRPr="00E76013" w:rsidRDefault="4FC2FD18"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European Train Control System on-board equipment</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04D4B" w14:textId="41542B0D" w:rsidR="3C20D647" w:rsidRPr="00E76013" w:rsidRDefault="3C20D647" w:rsidP="00F0476F">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32.21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150DA7" w14:textId="77E770A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071</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238CDF" w14:textId="4B38CBDF"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ECEC55" w14:textId="6FBF4637"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071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89891" w14:textId="5B493BA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12B7452F" w14:textId="77777777" w:rsidTr="00E76013">
        <w:trPr>
          <w:trHeight w:val="63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FD107F" w14:textId="5D1A9628"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46</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F2E703" w14:textId="6A0B52F8" w:rsidR="3C20D647" w:rsidRPr="00E76013" w:rsidRDefault="006D782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Intermodal terminal in Ruse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95CD2F" w14:textId="27E9AA9B"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22.58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8E43E7" w14:textId="129B47F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078</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9273FA" w14:textId="4D0CC477"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5E6104" w14:textId="5CEDE7E7"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2366B1" w14:textId="0B688F8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2F8887B1" w14:textId="77777777" w:rsidTr="00E76013">
        <w:trPr>
          <w:trHeight w:val="39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C9B84F" w14:textId="5BD84CFF"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47a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EFC966" w14:textId="482FC60C" w:rsidR="3C20D647" w:rsidRPr="00E76013" w:rsidRDefault="006D782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Road safety</w:t>
            </w:r>
            <w:r w:rsidR="3C20D647" w:rsidRPr="00E76013">
              <w:rPr>
                <w:rFonts w:ascii="Times New Roman" w:eastAsia="Times New Roman" w:hAnsi="Times New Roman" w:cs="Times New Roman"/>
                <w:noProof/>
              </w:rPr>
              <w:t xml:space="preserve"> </w:t>
            </w:r>
            <w:r w:rsidRPr="00E76013">
              <w:rPr>
                <w:rFonts w:ascii="Times New Roman" w:eastAsia="Times New Roman" w:hAnsi="Times New Roman" w:cs="Times New Roman"/>
                <w:noProof/>
              </w:rPr>
              <w:t>-</w:t>
            </w:r>
            <w:r w:rsidR="3C20D647" w:rsidRPr="00E76013">
              <w:rPr>
                <w:rFonts w:ascii="Times New Roman" w:eastAsia="Times New Roman" w:hAnsi="Times New Roman" w:cs="Times New Roman"/>
                <w:noProof/>
              </w:rPr>
              <w:t xml:space="preserve"> traffic management</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F71CE2" w14:textId="7BCBBEC6" w:rsidR="3C20D647" w:rsidRPr="00E76013" w:rsidRDefault="3C20D647" w:rsidP="00F0476F">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1.06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85930B" w14:textId="266D705C"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B9C55" w14:textId="3FD4AA6D"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DBF430" w14:textId="0D016CE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063</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05DD93" w14:textId="4E57140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00F0476F" w:rsidRPr="00E76013" w14:paraId="5E3F0203" w14:textId="77777777" w:rsidTr="00E76013">
        <w:trPr>
          <w:trHeight w:val="39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10BF68" w14:textId="13C23F5F" w:rsidR="00F0476F" w:rsidRPr="00E76013" w:rsidRDefault="00F0476F" w:rsidP="3C20D647">
            <w:pPr>
              <w:spacing w:line="257" w:lineRule="auto"/>
              <w:rPr>
                <w:rFonts w:ascii="Times New Roman" w:eastAsia="Times New Roman" w:hAnsi="Times New Roman" w:cs="Times New Roman"/>
                <w:noProof/>
              </w:rPr>
            </w:pPr>
            <w:r>
              <w:rPr>
                <w:rFonts w:ascii="Times New Roman" w:eastAsia="Times New Roman" w:hAnsi="Times New Roman" w:cs="Times New Roman"/>
                <w:noProof/>
              </w:rPr>
              <w:t>48a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8BACC9" w14:textId="3F313121" w:rsidR="00F0476F" w:rsidRPr="00E76013" w:rsidRDefault="00F0476F" w:rsidP="3C20D647">
            <w:pPr>
              <w:spacing w:line="257" w:lineRule="auto"/>
              <w:rPr>
                <w:rFonts w:ascii="Times New Roman" w:eastAsia="Times New Roman" w:hAnsi="Times New Roman" w:cs="Times New Roman"/>
                <w:noProof/>
              </w:rPr>
            </w:pPr>
            <w:r w:rsidRPr="00E76013">
              <w:rPr>
                <w:rFonts w:ascii="Times New Roman" w:eastAsia="Times New Roman" w:hAnsi="Times New Roman" w:cs="Times New Roman"/>
                <w:noProof/>
              </w:rPr>
              <w:t>Sofia metro line 3</w:t>
            </w:r>
            <w:r>
              <w:rPr>
                <w:rFonts w:ascii="Times New Roman" w:eastAsia="Times New Roman" w:hAnsi="Times New Roman" w:cs="Times New Roman"/>
                <w:noProof/>
              </w:rPr>
              <w:t xml:space="preserve"> – ERTMS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705C3E" w14:textId="319B51E3" w:rsidR="00F0476F" w:rsidRDefault="00F0476F" w:rsidP="3C20D647">
            <w:pPr>
              <w:spacing w:line="257" w:lineRule="auto"/>
              <w:jc w:val="center"/>
              <w:rPr>
                <w:rFonts w:ascii="Times New Roman" w:eastAsia="Times New Roman" w:hAnsi="Times New Roman" w:cs="Times New Roman"/>
                <w:noProof/>
              </w:rPr>
            </w:pPr>
            <w:r>
              <w:rPr>
                <w:rFonts w:ascii="Times New Roman" w:eastAsia="Times New Roman" w:hAnsi="Times New Roman" w:cs="Times New Roman"/>
                <w:noProof/>
              </w:rPr>
              <w:t>15.30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8FA814" w14:textId="77777777" w:rsidR="00F0476F" w:rsidRPr="00E76013" w:rsidRDefault="00F0476F" w:rsidP="3C20D647">
            <w:pPr>
              <w:jc w:val="center"/>
              <w:rPr>
                <w:rFonts w:ascii="Times New Roman" w:eastAsia="Times New Roman" w:hAnsi="Times New Roman" w:cs="Times New Roman"/>
                <w:noProof/>
                <w:color w:val="000000" w:themeColor="text1"/>
              </w:rPr>
            </w:pP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2FD890" w14:textId="77777777" w:rsidR="00F0476F" w:rsidRPr="00E76013" w:rsidRDefault="00F0476F" w:rsidP="3C20D647">
            <w:pPr>
              <w:jc w:val="center"/>
              <w:rPr>
                <w:rFonts w:ascii="Times New Roman" w:eastAsia="Times New Roman" w:hAnsi="Times New Roman" w:cs="Times New Roman"/>
                <w:noProof/>
                <w:color w:val="000000" w:themeColor="text1"/>
              </w:rPr>
            </w:pP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93E939" w14:textId="5AF9A134" w:rsidR="00F0476F" w:rsidRPr="00E76013" w:rsidRDefault="00F0476F"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071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67128B" w14:textId="5F7517E8" w:rsidR="00F0476F" w:rsidRPr="00E76013" w:rsidRDefault="00F0476F"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100%</w:t>
            </w:r>
          </w:p>
        </w:tc>
      </w:tr>
      <w:tr w:rsidR="3C20D647" w:rsidRPr="00E76013" w14:paraId="3EE68008" w14:textId="77777777" w:rsidTr="00E76013">
        <w:trPr>
          <w:trHeight w:val="39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9E2FBD" w14:textId="5262AE89"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48</w:t>
            </w:r>
            <w:r w:rsidR="00F0476F">
              <w:rPr>
                <w:rFonts w:ascii="Times New Roman" w:eastAsia="Times New Roman" w:hAnsi="Times New Roman" w:cs="Times New Roman"/>
                <w:noProof/>
              </w:rPr>
              <w:t>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5FBA0B" w14:textId="5FDEC859" w:rsidR="3C20D647" w:rsidRPr="00E76013" w:rsidRDefault="006D782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Sofia metro line 3</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A7EE41" w14:textId="461C2257" w:rsidR="3C20D647" w:rsidRPr="00E76013" w:rsidRDefault="009519C8" w:rsidP="3C20D647">
            <w:pPr>
              <w:spacing w:line="257" w:lineRule="auto"/>
              <w:jc w:val="center"/>
              <w:rPr>
                <w:rFonts w:ascii="Times New Roman" w:hAnsi="Times New Roman" w:cs="Times New Roman"/>
                <w:noProof/>
              </w:rPr>
            </w:pPr>
            <w:r>
              <w:rPr>
                <w:rFonts w:ascii="Times New Roman" w:eastAsia="Times New Roman" w:hAnsi="Times New Roman" w:cs="Times New Roman"/>
                <w:noProof/>
              </w:rPr>
              <w:t>95.23</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77029" w14:textId="1567B90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073</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050C0A" w14:textId="015EF70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2A7EFC" w14:textId="0FD7DE3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1BA705" w14:textId="55D3611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6628F028"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1CD1FA" w14:textId="3B032C99"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49a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5972F1" w14:textId="124EA88B"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Green mobility — Pilot scheme to support sustainable urban mobility </w:t>
            </w:r>
            <w:r w:rsidR="006D782E" w:rsidRPr="00E76013">
              <w:rPr>
                <w:rFonts w:ascii="Times New Roman" w:eastAsia="Times New Roman" w:hAnsi="Times New Roman" w:cs="Times New Roman"/>
                <w:noProof/>
              </w:rPr>
              <w:t>-</w:t>
            </w:r>
            <w:r w:rsidRPr="00E76013">
              <w:rPr>
                <w:rFonts w:ascii="Times New Roman" w:eastAsia="Times New Roman" w:hAnsi="Times New Roman" w:cs="Times New Roman"/>
                <w:noProof/>
              </w:rPr>
              <w:t xml:space="preserve"> rolling stock</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3170B6" w14:textId="7C259C09" w:rsidR="3C20D647" w:rsidRPr="00E76013" w:rsidRDefault="3C20D647" w:rsidP="009519C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39.06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CC5F20" w14:textId="71F1D8F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074</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B6AAA" w14:textId="44494C8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3F159E" w14:textId="40AE464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C0B446" w14:textId="07FD3A4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7F5F1FAB"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211438" w14:textId="1319D8E7"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49b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903CF8" w14:textId="591745A3"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Green Mobility — Pilot scheme to support sustainable urban mobility </w:t>
            </w:r>
            <w:r w:rsidR="006D782E" w:rsidRPr="00E76013">
              <w:rPr>
                <w:rFonts w:ascii="Times New Roman" w:eastAsia="Times New Roman" w:hAnsi="Times New Roman" w:cs="Times New Roman"/>
                <w:noProof/>
              </w:rPr>
              <w:t>-</w:t>
            </w:r>
            <w:r w:rsidRPr="00E76013">
              <w:rPr>
                <w:rFonts w:ascii="Times New Roman" w:eastAsia="Times New Roman" w:hAnsi="Times New Roman" w:cs="Times New Roman"/>
                <w:noProof/>
              </w:rPr>
              <w:t xml:space="preserve"> integrated route systems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05268C" w14:textId="34300E42"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3.66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D0FF9A" w14:textId="3CEDC22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CF0CC6" w14:textId="68E49C5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165042" w14:textId="635D8D9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076</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8E6DB4" w14:textId="176379F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A37BAC6"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6B401C" w14:textId="6129244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49c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AA1055" w14:textId="1063553A"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Green mobility — Pilot scheme to support sustainable urban mobility </w:t>
            </w:r>
            <w:r w:rsidR="006D782E" w:rsidRPr="00E76013">
              <w:rPr>
                <w:rFonts w:ascii="Times New Roman" w:eastAsia="Times New Roman" w:hAnsi="Times New Roman" w:cs="Times New Roman"/>
                <w:noProof/>
              </w:rPr>
              <w:t>-</w:t>
            </w:r>
            <w:r w:rsidRPr="00E76013">
              <w:rPr>
                <w:rFonts w:ascii="Times New Roman" w:eastAsia="Times New Roman" w:hAnsi="Times New Roman" w:cs="Times New Roman"/>
                <w:noProof/>
              </w:rPr>
              <w:t xml:space="preserve"> recharging points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9CAC2D" w14:textId="3521120B" w:rsidR="3C20D647" w:rsidRPr="00E76013" w:rsidRDefault="3C20D647" w:rsidP="009519C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2.44</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9AC139" w14:textId="50BE0052" w:rsidR="3C20D647" w:rsidRPr="00E76013" w:rsidRDefault="3C20D647" w:rsidP="009519C8">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w:t>
            </w:r>
            <w:r w:rsidR="009519C8">
              <w:rPr>
                <w:rFonts w:ascii="Times New Roman" w:eastAsia="Times New Roman" w:hAnsi="Times New Roman" w:cs="Times New Roman"/>
                <w:noProof/>
                <w:color w:val="000000" w:themeColor="text1"/>
              </w:rPr>
              <w:t>7</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9EDC92" w14:textId="5612156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F360D8" w14:textId="4B12CAB9"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6E3D92" w14:textId="7E4FC76A"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r>
      <w:tr w:rsidR="3C20D647" w:rsidRPr="00E76013" w14:paraId="76B054E7"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1F8971" w14:textId="241F18D7"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49</w:t>
            </w:r>
            <w:r w:rsidR="009519C8">
              <w:rPr>
                <w:rFonts w:ascii="Times New Roman" w:eastAsia="Times New Roman" w:hAnsi="Times New Roman" w:cs="Times New Roman"/>
                <w:noProof/>
              </w:rPr>
              <w:t>d</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83CA19" w14:textId="3A4B6FB1"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Green Mobility — Pilot scheme to support sustainable urban mobility </w:t>
            </w:r>
            <w:r w:rsidR="006D782E" w:rsidRPr="00E76013">
              <w:rPr>
                <w:rFonts w:ascii="Times New Roman" w:eastAsia="Times New Roman" w:hAnsi="Times New Roman" w:cs="Times New Roman"/>
                <w:noProof/>
              </w:rPr>
              <w:t>-</w:t>
            </w:r>
            <w:r w:rsidRPr="00E76013">
              <w:rPr>
                <w:rFonts w:ascii="Times New Roman" w:eastAsia="Times New Roman" w:hAnsi="Times New Roman" w:cs="Times New Roman"/>
                <w:noProof/>
              </w:rPr>
              <w:t xml:space="preserve"> Cycling infrastructure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C536B7" w14:textId="6218D307" w:rsidR="3C20D647" w:rsidRPr="00E76013" w:rsidRDefault="3C20D647" w:rsidP="009519C8">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4DD4A5" w14:textId="0F9D45A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075</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EAE6EB" w14:textId="49B31F7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CFA27" w14:textId="30CC35CF"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A4C380" w14:textId="4CB13971"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r>
      <w:tr w:rsidR="3C20D647" w:rsidRPr="00E76013" w14:paraId="29930E6B" w14:textId="77777777" w:rsidTr="00E76013">
        <w:trPr>
          <w:trHeight w:val="615"/>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57998D" w14:textId="20228C36"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56</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1340C3" w14:textId="6746D3A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Digitalisation for integrated management, control and </w:t>
            </w:r>
            <w:r w:rsidR="73FB57BC" w:rsidRPr="00E76013">
              <w:rPr>
                <w:rFonts w:ascii="Times New Roman" w:eastAsia="Times New Roman" w:hAnsi="Times New Roman" w:cs="Times New Roman"/>
                <w:noProof/>
              </w:rPr>
              <w:t>efficient use of water</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4FED6" w14:textId="3B71ED94" w:rsidR="3C20D647" w:rsidRPr="00E76013" w:rsidRDefault="009519C8" w:rsidP="009519C8">
            <w:pPr>
              <w:spacing w:line="257" w:lineRule="auto"/>
              <w:jc w:val="center"/>
              <w:rPr>
                <w:rFonts w:ascii="Times New Roman" w:hAnsi="Times New Roman" w:cs="Times New Roman"/>
                <w:noProof/>
              </w:rPr>
            </w:pPr>
            <w:r>
              <w:rPr>
                <w:rFonts w:ascii="Times New Roman" w:eastAsia="Times New Roman" w:hAnsi="Times New Roman" w:cs="Times New Roman"/>
                <w:noProof/>
              </w:rPr>
              <w:t>57.73</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22945B" w14:textId="414E763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040</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A622EE" w14:textId="448645B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7713C9" w14:textId="6992E15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5EAA23" w14:textId="5111457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111B26A8"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C49520" w14:textId="1A63B4EE"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59</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1600B" w14:textId="7D6552D1"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Strengthening, further developing and building on the Unified Information System</w:t>
            </w:r>
            <w:r w:rsidR="00CB1810" w:rsidRPr="00E76013">
              <w:rPr>
                <w:rFonts w:ascii="Times New Roman" w:eastAsia="Times New Roman" w:hAnsi="Times New Roman" w:cs="Times New Roman"/>
                <w:noProof/>
              </w:rPr>
              <w:t xml:space="preserve"> of Courts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DA3D9" w14:textId="43232533" w:rsidR="3C20D647" w:rsidRPr="00E76013" w:rsidRDefault="3C20D647" w:rsidP="0042391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9.88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FB1B8B" w14:textId="4D4CC2B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1D8E5A" w14:textId="3855EE5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011D1A" w14:textId="599BD286"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59F93D" w14:textId="2946E02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1A87ED44"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C7A83A" w14:textId="0886CD5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60</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2A9CA2" w14:textId="2C8A5356"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Digitalisation of key </w:t>
            </w:r>
            <w:r w:rsidR="00CB1810" w:rsidRPr="00E76013">
              <w:rPr>
                <w:rFonts w:ascii="Times New Roman" w:eastAsia="Times New Roman" w:hAnsi="Times New Roman" w:cs="Times New Roman"/>
                <w:noProof/>
              </w:rPr>
              <w:t>litigation</w:t>
            </w:r>
            <w:r w:rsidRPr="00E76013">
              <w:rPr>
                <w:rFonts w:ascii="Times New Roman" w:eastAsia="Times New Roman" w:hAnsi="Times New Roman" w:cs="Times New Roman"/>
                <w:noProof/>
              </w:rPr>
              <w:t xml:space="preserve"> processes in administrative justice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5A01E7" w14:textId="3FCADF17" w:rsidR="3C20D647" w:rsidRPr="00E76013" w:rsidRDefault="3C20D647" w:rsidP="0042391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3.64</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C428A" w14:textId="1D6668B3"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3B5E1D" w14:textId="72757B12"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BECA38" w14:textId="3CB5C68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4DD2EB" w14:textId="6AF27C9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DEB1BEC" w14:textId="77777777" w:rsidTr="00E76013">
        <w:trPr>
          <w:trHeight w:val="12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899081" w14:textId="56FCFE04"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61</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FF5482" w14:textId="0121C22B"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Transformation of the information and communication infrastructure at the </w:t>
            </w:r>
            <w:r w:rsidR="00CB1810" w:rsidRPr="00E76013">
              <w:rPr>
                <w:rFonts w:ascii="Times New Roman" w:eastAsia="Times New Roman" w:hAnsi="Times New Roman" w:cs="Times New Roman"/>
                <w:noProof/>
              </w:rPr>
              <w:t xml:space="preserve">Public </w:t>
            </w:r>
            <w:r w:rsidRPr="00E76013">
              <w:rPr>
                <w:rFonts w:ascii="Times New Roman" w:eastAsia="Times New Roman" w:hAnsi="Times New Roman" w:cs="Times New Roman"/>
                <w:noProof/>
              </w:rPr>
              <w:t>Prosecutor’s Office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6ACCE" w14:textId="168501BF" w:rsidR="3C20D647" w:rsidRPr="00E76013" w:rsidRDefault="3C20D647" w:rsidP="0042391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14.71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47A53" w14:textId="38D59F96"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FCF9EA" w14:textId="0B9DC154"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4D1681" w14:textId="6BBE5E8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4B3481" w14:textId="36DF1B0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63EACA09"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7016B2" w14:textId="220B1D51"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62a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E34901" w14:textId="2F5AEA8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Improving the quality and sustainability of </w:t>
            </w:r>
            <w:r w:rsidR="00CB1810" w:rsidRPr="00E76013">
              <w:rPr>
                <w:rFonts w:ascii="Times New Roman" w:eastAsia="Times New Roman" w:hAnsi="Times New Roman" w:cs="Times New Roman"/>
                <w:noProof/>
              </w:rPr>
              <w:t xml:space="preserve">the </w:t>
            </w:r>
            <w:r w:rsidRPr="00E76013">
              <w:rPr>
                <w:rFonts w:ascii="Times New Roman" w:eastAsia="Times New Roman" w:hAnsi="Times New Roman" w:cs="Times New Roman"/>
                <w:noProof/>
              </w:rPr>
              <w:t xml:space="preserve">security </w:t>
            </w:r>
            <w:r w:rsidR="00CB1810" w:rsidRPr="00E76013">
              <w:rPr>
                <w:rFonts w:ascii="Times New Roman" w:eastAsia="Times New Roman" w:hAnsi="Times New Roman" w:cs="Times New Roman"/>
                <w:noProof/>
              </w:rPr>
              <w:t>services -</w:t>
            </w:r>
            <w:r w:rsidRPr="00E76013">
              <w:rPr>
                <w:rFonts w:ascii="Times New Roman" w:eastAsia="Times New Roman" w:hAnsi="Times New Roman" w:cs="Times New Roman"/>
                <w:noProof/>
              </w:rPr>
              <w:t xml:space="preserve"> digitalisation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BF9D3F" w14:textId="3E55F71E"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24.55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BC531A" w14:textId="047E0420"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488DDA" w14:textId="24772FF4"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EB27B4" w14:textId="211D5BC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324E95" w14:textId="34BE69E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1EC96202"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E598DD" w14:textId="5820B72E"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64</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AD8018" w14:textId="1909B1FB" w:rsidR="3C20D647" w:rsidRPr="00E76013" w:rsidRDefault="00CB1810"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Supporting a pilot phase for the introduction of Building Information Modelling</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6BF710" w14:textId="6A62FF37" w:rsidR="3C20D647" w:rsidRPr="00E76013" w:rsidRDefault="3C20D647" w:rsidP="0042391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w:t>
            </w:r>
            <w:r w:rsidR="0042391E">
              <w:rPr>
                <w:rFonts w:ascii="Times New Roman" w:eastAsia="Times New Roman" w:hAnsi="Times New Roman" w:cs="Times New Roman"/>
                <w:noProof/>
              </w:rPr>
              <w:t>98</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158D6A" w14:textId="14CF70E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2EDF0B" w14:textId="176649C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C7A24C" w14:textId="161F2E2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B6C657" w14:textId="296C983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34870E93"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D3A594" w14:textId="57875A47"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65</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74923E" w14:textId="1E243A3C"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Unified Information System</w:t>
            </w:r>
            <w:r w:rsidR="00CB1810" w:rsidRPr="00E76013">
              <w:rPr>
                <w:rFonts w:ascii="Times New Roman" w:eastAsia="Times New Roman" w:hAnsi="Times New Roman" w:cs="Times New Roman"/>
                <w:noProof/>
              </w:rPr>
              <w:t xml:space="preserve"> for Spatial Planning</w:t>
            </w:r>
            <w:r w:rsidRPr="00E76013">
              <w:rPr>
                <w:rFonts w:ascii="Times New Roman" w:eastAsia="Times New Roman" w:hAnsi="Times New Roman" w:cs="Times New Roman"/>
                <w:noProof/>
              </w:rPr>
              <w:t xml:space="preserve">, Investment Design and </w:t>
            </w:r>
            <w:r w:rsidR="00CB1810" w:rsidRPr="00E76013">
              <w:rPr>
                <w:rFonts w:ascii="Times New Roman" w:eastAsia="Times New Roman" w:hAnsi="Times New Roman" w:cs="Times New Roman"/>
                <w:noProof/>
              </w:rPr>
              <w:t xml:space="preserve">Building </w:t>
            </w:r>
            <w:r w:rsidRPr="00E76013">
              <w:rPr>
                <w:rFonts w:ascii="Times New Roman" w:eastAsia="Times New Roman" w:hAnsi="Times New Roman" w:cs="Times New Roman"/>
                <w:noProof/>
              </w:rPr>
              <w:t>Authorisation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7CD76A" w14:textId="5A4766A1" w:rsidR="3C20D647" w:rsidRPr="00E76013" w:rsidRDefault="3C20D647" w:rsidP="005B64E6">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1.7</w:t>
            </w:r>
            <w:r w:rsidR="00AF6111">
              <w:rPr>
                <w:rFonts w:ascii="Times New Roman" w:eastAsia="Times New Roman" w:hAnsi="Times New Roman" w:cs="Times New Roman"/>
                <w:noProof/>
              </w:rPr>
              <w:t>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FC91F4" w14:textId="3460D84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A091C" w14:textId="1DCAE7C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117F17" w14:textId="72C2C6D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0D5532" w14:textId="0DAD507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F57B2AA"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36CFB0" w14:textId="490C195F"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66</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09760A" w14:textId="695A66EC" w:rsidR="3C20D647" w:rsidRPr="00E76013" w:rsidRDefault="00CB1810"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Digitising data in the administration containing paper registries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48DEA7" w14:textId="5679C0CB" w:rsidR="3C20D647" w:rsidRPr="00E76013" w:rsidRDefault="00BE63BC" w:rsidP="3C20D647">
            <w:pPr>
              <w:spacing w:line="257" w:lineRule="auto"/>
              <w:jc w:val="center"/>
              <w:rPr>
                <w:rFonts w:ascii="Times New Roman" w:hAnsi="Times New Roman" w:cs="Times New Roman"/>
                <w:noProof/>
              </w:rPr>
            </w:pPr>
            <w:r>
              <w:rPr>
                <w:rFonts w:ascii="Times New Roman" w:eastAsia="Times New Roman" w:hAnsi="Times New Roman" w:cs="Times New Roman"/>
                <w:noProof/>
              </w:rPr>
              <w:t>48.57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2891A" w14:textId="725F347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C27C1A" w14:textId="2A55A4F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174108" w14:textId="357356A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51EE99" w14:textId="56A9D62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55DA0F3C"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5C7B9C" w14:textId="07936FBD"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67</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08C26" w14:textId="17E60716" w:rsidR="3C20D647" w:rsidRPr="00E76013" w:rsidRDefault="00F57B7A" w:rsidP="3C20D647">
            <w:pPr>
              <w:spacing w:line="257" w:lineRule="auto"/>
              <w:rPr>
                <w:rFonts w:ascii="Times New Roman" w:hAnsi="Times New Roman" w:cs="Times New Roman"/>
                <w:noProof/>
              </w:rPr>
            </w:pPr>
            <w:r>
              <w:rPr>
                <w:rFonts w:ascii="Times New Roman" w:eastAsia="Calibri" w:hAnsi="Times New Roman" w:cs="Times New Roman"/>
                <w:noProof/>
                <w:sz w:val="24"/>
                <w:u w:val="single"/>
                <w:lang w:val="en-GB"/>
              </w:rPr>
              <w:t>S</w:t>
            </w:r>
            <w:r w:rsidRPr="00A17CA8">
              <w:rPr>
                <w:rFonts w:ascii="Times New Roman" w:eastAsia="Calibri" w:hAnsi="Times New Roman" w:cs="Times New Roman"/>
                <w:noProof/>
                <w:sz w:val="24"/>
                <w:u w:val="single"/>
                <w:lang w:val="en-GB"/>
              </w:rPr>
              <w:t>patial monitoring, control and management</w:t>
            </w:r>
            <w:r w:rsidRPr="009F658A">
              <w:rPr>
                <w:noProof/>
                <w:lang w:val="en-GB"/>
              </w:rPr>
              <w:t xml:space="preserve"> </w:t>
            </w:r>
            <w:r w:rsidRPr="009F658A">
              <w:rPr>
                <w:rFonts w:ascii="Times New Roman" w:eastAsia="Calibri" w:hAnsi="Times New Roman" w:cs="Times New Roman"/>
                <w:noProof/>
                <w:sz w:val="24"/>
                <w:u w:val="single"/>
                <w:lang w:val="en-GB"/>
              </w:rPr>
              <w:t>through upgrading the Aerospace Monitoring Centre</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C9600" w14:textId="66A0CBA8" w:rsidR="3C20D647" w:rsidRPr="00E76013" w:rsidRDefault="00BE63BC" w:rsidP="3C20D647">
            <w:pPr>
              <w:spacing w:line="257" w:lineRule="auto"/>
              <w:jc w:val="center"/>
              <w:rPr>
                <w:rFonts w:ascii="Times New Roman" w:hAnsi="Times New Roman" w:cs="Times New Roman"/>
                <w:noProof/>
              </w:rPr>
            </w:pPr>
            <w:r>
              <w:rPr>
                <w:rFonts w:ascii="Times New Roman" w:eastAsia="Times New Roman" w:hAnsi="Times New Roman" w:cs="Times New Roman"/>
                <w:noProof/>
              </w:rPr>
              <w:t>56.56</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A31801" w14:textId="0B07B36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743EE" w14:textId="71D09EE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A7A366" w14:textId="15EE01F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648FB" w14:textId="7E413E6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B05A5A3" w14:textId="77777777" w:rsidTr="00E76013">
        <w:trPr>
          <w:trHeight w:val="54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EBCF66" w14:textId="54B45274"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68</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5B8995" w14:textId="3E63E1F5" w:rsidR="3C20D647" w:rsidRPr="00E76013" w:rsidRDefault="00B51541"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Upgraded strategic planning system</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D557F" w14:textId="61A0ECE4"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0.73</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76CD57" w14:textId="5887725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161C99" w14:textId="7AC6CE9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186075" w14:textId="47AD4232"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A57B30" w14:textId="5B6D0C1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008B28AD" w:rsidRPr="00E76013" w14:paraId="674291D3"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9DDB2B" w14:textId="1D7C8417" w:rsidR="008B28AD" w:rsidRPr="00E76013" w:rsidRDefault="008B28AD" w:rsidP="3C20D647">
            <w:pPr>
              <w:spacing w:line="257" w:lineRule="auto"/>
              <w:rPr>
                <w:rFonts w:ascii="Times New Roman" w:eastAsia="Times New Roman" w:hAnsi="Times New Roman" w:cs="Times New Roman"/>
                <w:noProof/>
              </w:rPr>
            </w:pPr>
            <w:r>
              <w:rPr>
                <w:rFonts w:ascii="Times New Roman" w:eastAsia="Times New Roman" w:hAnsi="Times New Roman" w:cs="Times New Roman"/>
                <w:noProof/>
              </w:rPr>
              <w:t>69a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EDEEEB" w14:textId="13221A66" w:rsidR="008B28AD" w:rsidRPr="00E76013" w:rsidRDefault="008B28AD" w:rsidP="3C20D647">
            <w:pPr>
              <w:spacing w:line="257" w:lineRule="auto"/>
              <w:rPr>
                <w:rFonts w:ascii="Times New Roman" w:eastAsia="Times New Roman" w:hAnsi="Times New Roman" w:cs="Times New Roman"/>
                <w:noProof/>
              </w:rPr>
            </w:pPr>
            <w:r w:rsidRPr="008B28AD">
              <w:rPr>
                <w:rFonts w:ascii="Times New Roman" w:eastAsia="Times New Roman" w:hAnsi="Times New Roman" w:cs="Times New Roman"/>
                <w:noProof/>
              </w:rPr>
              <w:t>Ensuring an adequate information and administrative environment for the implementation of the recovery and resilience plan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F36F3C" w14:textId="266D1A8F" w:rsidR="008B28AD" w:rsidRDefault="008B28AD" w:rsidP="3C20D647">
            <w:pPr>
              <w:spacing w:line="257" w:lineRule="auto"/>
              <w:jc w:val="center"/>
              <w:rPr>
                <w:rFonts w:ascii="Times New Roman" w:eastAsia="Times New Roman" w:hAnsi="Times New Roman" w:cs="Times New Roman"/>
                <w:noProof/>
              </w:rPr>
            </w:pPr>
            <w:r>
              <w:rPr>
                <w:rFonts w:ascii="Times New Roman" w:eastAsia="Times New Roman" w:hAnsi="Times New Roman" w:cs="Times New Roman"/>
                <w:noProof/>
              </w:rPr>
              <w:t>3.51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FF1DAC" w14:textId="77777777" w:rsidR="008B28AD" w:rsidRPr="00E76013" w:rsidRDefault="008B28AD" w:rsidP="3C20D647">
            <w:pPr>
              <w:jc w:val="center"/>
              <w:rPr>
                <w:rFonts w:ascii="Times New Roman" w:eastAsia="Times New Roman" w:hAnsi="Times New Roman" w:cs="Times New Roman"/>
                <w:noProof/>
                <w:color w:val="000000" w:themeColor="text1"/>
              </w:rPr>
            </w:pP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223744" w14:textId="77777777" w:rsidR="008B28AD" w:rsidRPr="00E76013" w:rsidRDefault="008B28AD" w:rsidP="3C20D647">
            <w:pPr>
              <w:jc w:val="center"/>
              <w:rPr>
                <w:rFonts w:ascii="Times New Roman" w:eastAsia="Times New Roman" w:hAnsi="Times New Roman" w:cs="Times New Roman"/>
                <w:noProof/>
                <w:color w:val="000000" w:themeColor="text1"/>
              </w:rPr>
            </w:pP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AECED9" w14:textId="7062FDE3" w:rsidR="008B28AD" w:rsidRPr="00E76013" w:rsidRDefault="008B28AD"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421594" w14:textId="3A4B36C2" w:rsidR="008B28AD" w:rsidRPr="00E76013" w:rsidRDefault="008B28AD" w:rsidP="3C20D647">
            <w:pPr>
              <w:jc w:val="center"/>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100%</w:t>
            </w:r>
          </w:p>
        </w:tc>
      </w:tr>
      <w:tr w:rsidR="3C20D647" w:rsidRPr="00E76013" w14:paraId="0A87A949"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D1447E" w14:textId="4C88B83E"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82b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A773B" w14:textId="073DA909" w:rsidR="3C20D647" w:rsidRPr="00E76013" w:rsidRDefault="009F79DE"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Modernisation of long-term care</w:t>
            </w:r>
            <w:r w:rsidRPr="00E76013">
              <w:rPr>
                <w:rFonts w:ascii="Times New Roman" w:eastAsia="Times New Roman" w:hAnsi="Times New Roman" w:cs="Times New Roman"/>
                <w:noProof/>
                <w:lang w:val="bg-BG"/>
              </w:rPr>
              <w:t xml:space="preserve"> -</w:t>
            </w:r>
            <w:r w:rsidR="3C20D647" w:rsidRPr="00E76013">
              <w:rPr>
                <w:rFonts w:ascii="Times New Roman" w:eastAsia="Times New Roman" w:hAnsi="Times New Roman" w:cs="Times New Roman"/>
                <w:noProof/>
              </w:rPr>
              <w:t xml:space="preserve"> energy efficiency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745EE7" w14:textId="0062468C"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96.1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9BF99" w14:textId="3EFDF1F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026bis</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6C3537" w14:textId="0D63147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29535" w14:textId="0454203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55A45" w14:textId="424B652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126212C8" w14:textId="77777777" w:rsidTr="00E76013">
        <w:trPr>
          <w:trHeight w:val="3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B2100B" w14:textId="7EF7DF3D"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85b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088CB" w14:textId="0EE912A4" w:rsidR="3C20D647" w:rsidRPr="00E76013" w:rsidRDefault="00501A53"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the Social Assistance Agency </w:t>
            </w:r>
            <w:r w:rsidRPr="00E76013">
              <w:rPr>
                <w:rFonts w:ascii="Times New Roman" w:eastAsia="Times New Roman" w:hAnsi="Times New Roman" w:cs="Times New Roman"/>
                <w:noProof/>
                <w:lang w:val="bg-BG"/>
              </w:rPr>
              <w:t xml:space="preserve">- </w:t>
            </w:r>
            <w:r w:rsidRPr="00E76013">
              <w:rPr>
                <w:rFonts w:ascii="Times New Roman" w:eastAsia="Times New Roman" w:hAnsi="Times New Roman" w:cs="Times New Roman"/>
                <w:noProof/>
                <w:lang w:val="en-GB"/>
              </w:rPr>
              <w:t>e</w:t>
            </w:r>
            <w:r w:rsidR="3C20D647" w:rsidRPr="00E76013">
              <w:rPr>
                <w:rFonts w:ascii="Times New Roman" w:eastAsia="Times New Roman" w:hAnsi="Times New Roman" w:cs="Times New Roman"/>
                <w:noProof/>
              </w:rPr>
              <w:t>nergy efficiency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68CCF6" w14:textId="08F5B875" w:rsidR="3C20D647" w:rsidRPr="00E76013" w:rsidRDefault="5135700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1.55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20F813" w14:textId="3BE8126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D24C1D" w14:textId="7E315040"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54483" w14:textId="0661A7E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ED6348" w14:textId="1EB3A67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4ADB39A4"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608708" w14:textId="188B9F35"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85c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B0A82" w14:textId="5516FFDD" w:rsidR="3C20D647" w:rsidRPr="00E76013" w:rsidRDefault="00501A53"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the Social Assistance Agency </w:t>
            </w:r>
            <w:r w:rsidRPr="00E76013">
              <w:rPr>
                <w:rFonts w:ascii="Times New Roman" w:eastAsia="Times New Roman" w:hAnsi="Times New Roman" w:cs="Times New Roman"/>
                <w:noProof/>
                <w:lang w:val="bg-BG"/>
              </w:rPr>
              <w:t>-</w:t>
            </w:r>
            <w:r w:rsidR="3C20D647" w:rsidRPr="00E76013">
              <w:rPr>
                <w:rFonts w:ascii="Times New Roman" w:eastAsia="Times New Roman" w:hAnsi="Times New Roman" w:cs="Times New Roman"/>
                <w:noProof/>
              </w:rPr>
              <w:t xml:space="preserve"> digital component</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B0168B" w14:textId="2B36DB8C"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1.45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D8D4C" w14:textId="60B7ED0C"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1C5290" w14:textId="01D0402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338072" w14:textId="669D5E2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E9036E" w14:textId="514BCA6F"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3C7123CA"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FA6DDC" w14:textId="79FB084D"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86a</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2996F" w14:textId="402F62A1" w:rsidR="3C20D647" w:rsidRPr="00E76013" w:rsidRDefault="00501A53"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Modernisation of the Employment Agency </w:t>
            </w:r>
            <w:r w:rsidRPr="00E76013">
              <w:rPr>
                <w:rFonts w:ascii="Times New Roman" w:eastAsia="Times New Roman" w:hAnsi="Times New Roman" w:cs="Times New Roman"/>
                <w:noProof/>
                <w:lang w:val="bg-BG"/>
              </w:rPr>
              <w:t>–</w:t>
            </w:r>
            <w:r w:rsidRPr="00E76013">
              <w:rPr>
                <w:rFonts w:ascii="Times New Roman" w:eastAsia="Times New Roman" w:hAnsi="Times New Roman" w:cs="Times New Roman"/>
                <w:noProof/>
                <w:lang w:val="en-GB"/>
              </w:rPr>
              <w:t xml:space="preserve"> energy efficiency</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F45B4D" w14:textId="4D06EE95"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5202C8" w14:textId="7A0E0A0B"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026</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9D28E" w14:textId="4A6A5ED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40%</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8EE682" w14:textId="3AB357C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DE25A7" w14:textId="7EF0DB0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r>
      <w:tr w:rsidR="3C20D647" w:rsidRPr="00E76013" w14:paraId="71580210" w14:textId="77777777" w:rsidTr="00E76013">
        <w:trPr>
          <w:trHeight w:val="765"/>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743B" w14:textId="709A56C0"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86b</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C650D6" w14:textId="5C7B36EE" w:rsidR="3C20D647" w:rsidRPr="00E76013" w:rsidRDefault="00501A53"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Modernisation of the Employment Agency -</w:t>
            </w:r>
            <w:r w:rsidR="3C20D647" w:rsidRPr="00E76013">
              <w:rPr>
                <w:rFonts w:ascii="Times New Roman" w:eastAsia="Times New Roman" w:hAnsi="Times New Roman" w:cs="Times New Roman"/>
                <w:noProof/>
              </w:rPr>
              <w:t xml:space="preserve"> </w:t>
            </w:r>
            <w:r w:rsidRPr="00E76013">
              <w:rPr>
                <w:rFonts w:ascii="Times New Roman" w:eastAsia="Times New Roman" w:hAnsi="Times New Roman" w:cs="Times New Roman"/>
                <w:noProof/>
              </w:rPr>
              <w:t>d</w:t>
            </w:r>
            <w:r w:rsidR="3C20D647" w:rsidRPr="00E76013">
              <w:rPr>
                <w:rFonts w:ascii="Times New Roman" w:eastAsia="Times New Roman" w:hAnsi="Times New Roman" w:cs="Times New Roman"/>
                <w:noProof/>
              </w:rPr>
              <w:t>igital component</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95E201" w14:textId="57EB487E"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11.81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CB2D9" w14:textId="7F3D124A"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EDD0" w14:textId="606EA4E5"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EC07A2" w14:textId="079DDD97"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011</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D0D859" w14:textId="2C71372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0BC537B" w14:textId="77777777" w:rsidTr="00E76013">
        <w:trPr>
          <w:trHeight w:val="9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EEDF83" w14:textId="1BEFC421"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88</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C899D6" w14:textId="7E058429" w:rsidR="3C20D647" w:rsidRPr="00E76013" w:rsidRDefault="00501A53"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Digitisation of collections of museums, libraries, and archives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C43D97" w14:textId="1F848D62" w:rsidR="3C20D647" w:rsidRPr="00E76013" w:rsidRDefault="590F4C0E"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30.44</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BBC04B" w14:textId="511FAA1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4C50B6" w14:textId="3D528A7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7E7B83" w14:textId="7598059E"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021bis</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5E6811" w14:textId="75FAC121"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24D3EA4B"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936740" w14:textId="47436F0A"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95</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EC0438" w14:textId="50218734" w:rsidR="3C20D647" w:rsidRPr="00E76013" w:rsidRDefault="00E91C3A"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National digital platform for medical diagnostics</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0F96C8" w14:textId="5330F951"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12.05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8E805F" w14:textId="5127B0DE"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89BEA4" w14:textId="1793F54B"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558F07" w14:textId="2C27D393"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095</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DAB402" w14:textId="34E52044"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E76013" w14:paraId="7297C24E" w14:textId="77777777" w:rsidTr="00E76013">
        <w:trPr>
          <w:trHeight w:val="600"/>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13AA30" w14:textId="4AFBC469"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96</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656FC" w14:textId="3AAEFBE3" w:rsidR="3C20D647" w:rsidRPr="00E76013" w:rsidRDefault="00E91C3A"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 xml:space="preserve">Improving the </w:t>
            </w:r>
            <w:r w:rsidR="3C20D647" w:rsidRPr="00E76013">
              <w:rPr>
                <w:rFonts w:ascii="Times New Roman" w:eastAsia="Times New Roman" w:hAnsi="Times New Roman" w:cs="Times New Roman"/>
                <w:noProof/>
              </w:rPr>
              <w:t>national emergency communication system</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561DDD" w14:textId="68E4ADAB" w:rsidR="3C20D647" w:rsidRPr="00E76013" w:rsidRDefault="3C20D647" w:rsidP="3C20D647">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23.85</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F1FC68" w14:textId="50A63A88"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03D9A" w14:textId="2EB3B8F2"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E52D8D" w14:textId="370F45ED"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095</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BA0936" w14:textId="71665409"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r w:rsidR="3C20D647" w:rsidRPr="00DA1399" w14:paraId="0006DFAD" w14:textId="77777777" w:rsidTr="00F4144E">
        <w:trPr>
          <w:trHeight w:val="672"/>
        </w:trPr>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9956DE" w14:textId="7EDB59E6" w:rsidR="3C20D647" w:rsidRPr="00E76013" w:rsidRDefault="3C20D647"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97c</w:t>
            </w:r>
          </w:p>
        </w:tc>
        <w:tc>
          <w:tcPr>
            <w:tcW w:w="346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48635A" w14:textId="6447E34F" w:rsidR="3C20D647" w:rsidRPr="00E76013" w:rsidRDefault="00E91C3A" w:rsidP="3C20D647">
            <w:pPr>
              <w:spacing w:line="257" w:lineRule="auto"/>
              <w:rPr>
                <w:rFonts w:ascii="Times New Roman" w:hAnsi="Times New Roman" w:cs="Times New Roman"/>
                <w:noProof/>
              </w:rPr>
            </w:pPr>
            <w:r w:rsidRPr="00E76013">
              <w:rPr>
                <w:rFonts w:ascii="Times New Roman" w:eastAsia="Times New Roman" w:hAnsi="Times New Roman" w:cs="Times New Roman"/>
                <w:noProof/>
              </w:rPr>
              <w:t>Development of outpatient care -</w:t>
            </w:r>
            <w:r w:rsidR="3C20D647" w:rsidRPr="00E76013">
              <w:rPr>
                <w:rFonts w:ascii="Times New Roman" w:eastAsia="Times New Roman" w:hAnsi="Times New Roman" w:cs="Times New Roman"/>
                <w:noProof/>
              </w:rPr>
              <w:t xml:space="preserve"> Digitalisation</w:t>
            </w:r>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16C850" w14:textId="70C274E6" w:rsidR="3C20D647" w:rsidRPr="00E76013" w:rsidRDefault="3C20D647" w:rsidP="00F4144E">
            <w:pPr>
              <w:spacing w:line="257" w:lineRule="auto"/>
              <w:jc w:val="center"/>
              <w:rPr>
                <w:rFonts w:ascii="Times New Roman" w:hAnsi="Times New Roman" w:cs="Times New Roman"/>
                <w:noProof/>
              </w:rPr>
            </w:pPr>
            <w:r w:rsidRPr="00E76013">
              <w:rPr>
                <w:rFonts w:ascii="Times New Roman" w:eastAsia="Times New Roman" w:hAnsi="Times New Roman" w:cs="Times New Roman"/>
                <w:noProof/>
              </w:rPr>
              <w:t>0.57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8524D" w14:textId="74D295F3"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8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B77313" w14:textId="527BDA7E" w:rsidR="3C20D647" w:rsidRPr="00E76013" w:rsidRDefault="3C20D647" w:rsidP="3C20D647">
            <w:pPr>
              <w:jc w:val="center"/>
              <w:rPr>
                <w:rFonts w:ascii="Times New Roman" w:eastAsia="Times New Roman" w:hAnsi="Times New Roman" w:cs="Times New Roman"/>
                <w:noProof/>
                <w:color w:val="000000" w:themeColor="text1"/>
              </w:rPr>
            </w:pPr>
            <w:r w:rsidRPr="00E76013">
              <w:rPr>
                <w:rFonts w:ascii="Times New Roman" w:eastAsia="Times New Roman" w:hAnsi="Times New Roman" w:cs="Times New Roman"/>
                <w:noProof/>
                <w:color w:val="000000" w:themeColor="text1"/>
              </w:rPr>
              <w:t xml:space="preserve"> </w:t>
            </w:r>
          </w:p>
        </w:tc>
        <w:tc>
          <w:tcPr>
            <w:tcW w:w="9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2DA7A" w14:textId="2708D2D8" w:rsidR="3C20D647" w:rsidRPr="00E76013"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095</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D8C27B" w14:textId="7882C225" w:rsidR="3C20D647" w:rsidRPr="00DA1399" w:rsidRDefault="3C20D647" w:rsidP="3C20D647">
            <w:pPr>
              <w:jc w:val="center"/>
              <w:rPr>
                <w:rFonts w:ascii="Times New Roman" w:hAnsi="Times New Roman" w:cs="Times New Roman"/>
                <w:noProof/>
              </w:rPr>
            </w:pPr>
            <w:r w:rsidRPr="00E76013">
              <w:rPr>
                <w:rFonts w:ascii="Times New Roman" w:eastAsia="Times New Roman" w:hAnsi="Times New Roman" w:cs="Times New Roman"/>
                <w:noProof/>
                <w:color w:val="000000" w:themeColor="text1"/>
              </w:rPr>
              <w:t>100%</w:t>
            </w:r>
          </w:p>
        </w:tc>
      </w:tr>
    </w:tbl>
    <w:p w14:paraId="546B1110" w14:textId="0FF91693" w:rsidR="3C20D647" w:rsidRPr="00DA1399" w:rsidRDefault="3C20D647" w:rsidP="006812C1">
      <w:pPr>
        <w:rPr>
          <w:rFonts w:ascii="Times New Roman" w:hAnsi="Times New Roman" w:cs="Times New Roman"/>
          <w:i/>
          <w:iCs/>
          <w:noProof/>
          <w:lang w:val="en-GB"/>
        </w:rPr>
      </w:pPr>
    </w:p>
    <w:sectPr w:rsidR="3C20D647" w:rsidRPr="00DA1399" w:rsidSect="0050450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51B871" w16cex:dateUtc="2020-10-22T15:22:53.114Z"/>
  <w16cex:commentExtensible w16cex:durableId="06C82424" w16cex:dateUtc="2020-10-22T15:24:08.067Z"/>
  <w16cex:commentExtensible w16cex:durableId="475574DF" w16cex:dateUtc="2020-10-23T08:53:31.607Z"/>
  <w16cex:commentExtensible w16cex:durableId="7CA741FA" w16cex:dateUtc="2020-10-26T13:56:08Z"/>
  <w16cex:commentExtensible w16cex:durableId="199947F4" w16cex:dateUtc="2020-10-23T13:42:07.581Z"/>
  <w16cex:commentExtensible w16cex:durableId="4A5D5A6D" w16cex:dateUtc="2020-10-26T15:57:42.733Z"/>
  <w16cex:commentExtensible w16cex:durableId="6E47059A" w16cex:dateUtc="2020-11-03T14:17:13Z"/>
  <w16cex:commentExtensible w16cex:durableId="344DF46C" w16cex:dateUtc="2020-11-03T14:49:14Z"/>
  <w16cex:commentExtensible w16cex:durableId="69282601" w16cex:dateUtc="2020-11-03T14:50:44Z"/>
  <w16cex:commentExtensible w16cex:durableId="78F2F5A6" w16cex:dateUtc="2020-11-03T14:52:18Z"/>
  <w16cex:commentExtensible w16cex:durableId="75CC2857" w16cex:dateUtc="2020-11-03T15:00:43Z"/>
  <w16cex:commentExtensible w16cex:durableId="1B86796B" w16cex:dateUtc="2020-11-03T15:10:41Z"/>
  <w16cex:commentExtensible w16cex:durableId="246E7B23" w16cex:dateUtc="2020-11-06T11:01:32.425Z"/>
  <w16cex:commentExtensible w16cex:durableId="28435A0E" w16cex:dateUtc="2020-11-03T15:35:27Z"/>
  <w16cex:commentExtensible w16cex:durableId="060CDA85" w16cex:dateUtc="2020-11-03T15:58:34Z"/>
  <w16cex:commentExtensible w16cex:durableId="5ECE4ED0" w16cex:dateUtc="2020-11-03T16:02:29Z"/>
  <w16cex:commentExtensible w16cex:durableId="7D2BF4DA" w16cex:dateUtc="2020-11-20T10:55:18.565Z"/>
  <w16cex:commentExtensible w16cex:durableId="18045AA5" w16cex:dateUtc="2020-11-04T11:42:56.677Z"/>
  <w16cex:commentExtensible w16cex:durableId="7F2140B9" w16cex:dateUtc="2020-11-06T17:48:38.686Z"/>
  <w16cex:commentExtensible w16cex:durableId="21D795B8" w16cex:dateUtc="2020-11-18T08:32:37Z"/>
  <w16cex:commentExtensible w16cex:durableId="55C6756D" w16cex:dateUtc="2020-11-18T10:16:33Z"/>
  <w16cex:commentExtensible w16cex:durableId="067467D3" w16cex:dateUtc="2020-11-03T16:02:29Z"/>
  <w16cex:commentExtensible w16cex:durableId="442B7B95" w16cex:dateUtc="2021-01-18T08:45:51.137Z"/>
  <w16cex:commentExtensible w16cex:durableId="3216A756" w16cex:dateUtc="2021-01-18T08:48:05.717Z"/>
  <w16cex:commentExtensible w16cex:durableId="786D1E5B" w16cex:dateUtc="2021-01-18T09:14:55.458Z"/>
  <w16cex:commentExtensible w16cex:durableId="27E1C1DE" w16cex:dateUtc="2021-01-18T09:15:17.958Z"/>
  <w16cex:commentExtensible w16cex:durableId="21074F1C" w16cex:dateUtc="2021-01-18T09:40:54.346Z"/>
  <w16cex:commentExtensible w16cex:durableId="3A0B4071" w16cex:dateUtc="2021-01-22T16:14:56.176Z"/>
  <w16cex:commentExtensible w16cex:durableId="7D4A6BC4" w16cex:dateUtc="2021-01-26T13:18:46.904Z"/>
  <w16cex:commentExtensible w16cex:durableId="08189DDA" w16cex:dateUtc="2021-01-26T15:04:14.229Z"/>
  <w16cex:commentExtensible w16cex:durableId="4E2B7995" w16cex:dateUtc="2021-01-26T19:33:38.404Z"/>
  <w16cex:commentExtensible w16cex:durableId="0273E846" w16cex:dateUtc="2021-12-08T14:13:34.183Z"/>
  <w16cex:commentExtensible w16cex:durableId="5D9D2980" w16cex:dateUtc="2021-12-08T14:19:09.362Z"/>
  <w16cex:commentExtensible w16cex:durableId="34C37EC5" w16cex:dateUtc="2021-12-08T14:23:25.312Z"/>
  <w16cex:commentExtensible w16cex:durableId="536BF41E" w16cex:dateUtc="2021-12-08T14:23:56.359Z"/>
  <w16cex:commentExtensible w16cex:durableId="0C24D686" w16cex:dateUtc="2022-03-24T09:50:20.453Z"/>
  <w16cex:commentExtensible w16cex:durableId="4336EC32" w16cex:dateUtc="2022-03-24T09:57:02.61Z"/>
  <w16cex:commentExtensible w16cex:durableId="530F28CB" w16cex:dateUtc="2022-03-24T10:03:46.524Z"/>
  <w16cex:commentExtensible w16cex:durableId="6BAAC8A8" w16cex:dateUtc="2022-03-24T10:06:32.694Z"/>
  <w16cex:commentExtensible w16cex:durableId="5AB4491A" w16cex:dateUtc="2022-03-24T10:07:32.021Z"/>
  <w16cex:commentExtensible w16cex:durableId="67BA6CAF" w16cex:dateUtc="2022-03-25T07:41:47.193Z"/>
  <w16cex:commentExtensible w16cex:durableId="466206EC" w16cex:dateUtc="2022-03-25T07:43:43.601Z"/>
  <w16cex:commentExtensible w16cex:durableId="38C40645" w16cex:dateUtc="2022-03-25T07:59:09.973Z"/>
  <w16cex:commentExtensible w16cex:durableId="6240C9FA" w16cex:dateUtc="2022-04-01T22:06:10.087Z"/>
  <w16cex:commentExtensible w16cex:durableId="7C3A42E9" w16cex:dateUtc="2022-04-03T14:52:09.791Z"/>
  <w16cex:commentExtensible w16cex:durableId="377B9689" w16cex:dateUtc="2022-04-03T15:24:29.912Z"/>
</w16cex:commentsExtensible>
</file>

<file path=word/commentsIds.xml><?xml version="1.0" encoding="utf-8"?>
<w16cid:commentsIds xmlns:mc="http://schemas.openxmlformats.org/markup-compatibility/2006" xmlns:w16cid="http://schemas.microsoft.com/office/word/2016/wordml/cid" mc:Ignorable="w16cid">
  <w16cid:commentId w16cid:paraId="009762F4" w16cid:durableId="28B62254"/>
  <w16cid:commentId w16cid:paraId="417A2E05" w16cid:durableId="0C5F3D24"/>
  <w16cid:commentId w16cid:paraId="2E11B00B" w16cid:durableId="06D10C26"/>
  <w16cid:commentId w16cid:paraId="49C7313F" w16cid:durableId="4939D69F"/>
  <w16cid:commentId w16cid:paraId="04CFB3BA" w16cid:durableId="5AAD193D"/>
  <w16cid:commentId w16cid:paraId="779638D2" w16cid:durableId="174FB1C8"/>
  <w16cid:commentId w16cid:paraId="24EECB26" w16cid:durableId="5B520A2C"/>
  <w16cid:commentId w16cid:paraId="4BFAEE0E" w16cid:durableId="54E49D8B"/>
  <w16cid:commentId w16cid:paraId="42431DC4" w16cid:durableId="1FE1AA13"/>
  <w16cid:commentId w16cid:paraId="5479F9D0" w16cid:durableId="4851B871"/>
  <w16cid:commentId w16cid:paraId="0EE69616" w16cid:durableId="06C82424"/>
  <w16cid:commentId w16cid:paraId="5F300812" w16cid:durableId="5F6F6238"/>
  <w16cid:commentId w16cid:paraId="7B2E8816" w16cid:durableId="475574DF"/>
  <w16cid:commentId w16cid:paraId="1BAE7788" w16cid:durableId="7D0D6459"/>
  <w16cid:commentId w16cid:paraId="2851ECF6" w16cid:durableId="0986849A"/>
  <w16cid:commentId w16cid:paraId="2C88F2C2" w16cid:durableId="3E04C8C0"/>
  <w16cid:commentId w16cid:paraId="7D4CB522" w16cid:durableId="1862732F"/>
  <w16cid:commentId w16cid:paraId="4580C91A" w16cid:durableId="199947F4"/>
  <w16cid:commentId w16cid:paraId="28E3DB81" w16cid:durableId="7CA741FA"/>
  <w16cid:commentId w16cid:paraId="7EC812DB" w16cid:durableId="2D0CB24C"/>
  <w16cid:commentId w16cid:paraId="7D102C37" w16cid:durableId="661B018F"/>
  <w16cid:commentId w16cid:paraId="0345CC3E" w16cid:durableId="4A5D5A6D"/>
  <w16cid:commentId w16cid:paraId="597653D9" w16cid:durableId="5BE9CA0A"/>
  <w16cid:commentId w16cid:paraId="5F02F301" w16cid:durableId="74C4AA5B"/>
  <w16cid:commentId w16cid:paraId="66F735E8" w16cid:durableId="73804E7F"/>
  <w16cid:commentId w16cid:paraId="2374D679" w16cid:durableId="177C8F30"/>
  <w16cid:commentId w16cid:paraId="6A1E3BF9" w16cid:durableId="7CD2E9D2"/>
  <w16cid:commentId w16cid:paraId="217F328F" w16cid:durableId="507F6B42"/>
  <w16cid:commentId w16cid:paraId="270763E9" w16cid:durableId="79D55100"/>
  <w16cid:commentId w16cid:paraId="741626CB" w16cid:durableId="0B0A13C2"/>
  <w16cid:commentId w16cid:paraId="3D74452F" w16cid:durableId="7EDAC298"/>
  <w16cid:commentId w16cid:paraId="4BEB6C17" w16cid:durableId="11401233"/>
  <w16cid:commentId w16cid:paraId="76589AE1" w16cid:durableId="59B1A3E2"/>
  <w16cid:commentId w16cid:paraId="403AAFDC" w16cid:durableId="5EC1C900"/>
  <w16cid:commentId w16cid:paraId="7BC4EF7E" w16cid:durableId="63A6BB43"/>
  <w16cid:commentId w16cid:paraId="2DE6242A" w16cid:durableId="6E47059A"/>
  <w16cid:commentId w16cid:paraId="4A0D9173" w16cid:durableId="344DF46C"/>
  <w16cid:commentId w16cid:paraId="3B8D1827" w16cid:durableId="69282601"/>
  <w16cid:commentId w16cid:paraId="4706DA38" w16cid:durableId="78F2F5A6"/>
  <w16cid:commentId w16cid:paraId="65148954" w16cid:durableId="75CC2857"/>
  <w16cid:commentId w16cid:paraId="2F6E37CD" w16cid:durableId="1B86796B"/>
  <w16cid:commentId w16cid:paraId="04EA2CD3" w16cid:durableId="28435A0E"/>
  <w16cid:commentId w16cid:paraId="41B2CCEE" w16cid:durableId="060CDA85"/>
  <w16cid:commentId w16cid:paraId="315FA5DF" w16cid:durableId="5ECE4ED0"/>
  <w16cid:commentId w16cid:paraId="486007F0" w16cid:durableId="18045AA5"/>
  <w16cid:commentId w16cid:paraId="29AD5DD9" w16cid:durableId="19727B43"/>
  <w16cid:commentId w16cid:paraId="78DAFFE9" w16cid:durableId="32EB23B5"/>
  <w16cid:commentId w16cid:paraId="6034C57F" w16cid:durableId="71F8F17B"/>
  <w16cid:commentId w16cid:paraId="240E7258" w16cid:durableId="246E7B23"/>
  <w16cid:commentId w16cid:paraId="2ABB8E6C" w16cid:durableId="79F52422"/>
  <w16cid:commentId w16cid:paraId="1A97D073" w16cid:durableId="135FA44D"/>
  <w16cid:commentId w16cid:paraId="7CC5DBE1" w16cid:durableId="3D076318"/>
  <w16cid:commentId w16cid:paraId="668252D6" w16cid:durableId="7F2140B9"/>
  <w16cid:commentId w16cid:paraId="70DF05C1" w16cid:durableId="4E93D2E5"/>
  <w16cid:commentId w16cid:paraId="3DFCECB4" w16cid:durableId="4421BBD9"/>
  <w16cid:commentId w16cid:paraId="7AEC62EB" w16cid:durableId="532CC0AA"/>
  <w16cid:commentId w16cid:paraId="47D534F1" w16cid:durableId="16ECA57B"/>
  <w16cid:commentId w16cid:paraId="52E0A53F" w16cid:durableId="4F77120D"/>
  <w16cid:commentId w16cid:paraId="71B1B68C" w16cid:durableId="2A995EF5"/>
  <w16cid:commentId w16cid:paraId="62678592" w16cid:durableId="21D795B8"/>
  <w16cid:commentId w16cid:paraId="058CB700" w16cid:durableId="55C6756D"/>
  <w16cid:commentId w16cid:paraId="2FB4D719" w16cid:durableId="067467D3"/>
  <w16cid:commentId w16cid:paraId="059AB64F" w16cid:durableId="55DB1294"/>
  <w16cid:commentId w16cid:paraId="7D3A7A76" w16cid:durableId="67A9645E"/>
  <w16cid:commentId w16cid:paraId="4B02150C" w16cid:durableId="7D2BF4DA"/>
  <w16cid:commentId w16cid:paraId="751F0C38" w16cid:durableId="66787101"/>
  <w16cid:commentId w16cid:paraId="3D71E147" w16cid:durableId="2DF1CE40"/>
  <w16cid:commentId w16cid:paraId="1A6BF7E0" w16cid:durableId="2453D28D"/>
  <w16cid:commentId w16cid:paraId="024B25AA" w16cid:durableId="37038789"/>
  <w16cid:commentId w16cid:paraId="74D8CAA4" w16cid:durableId="58847AAC"/>
  <w16cid:commentId w16cid:paraId="304FD7BD" w16cid:durableId="03D0770E"/>
  <w16cid:commentId w16cid:paraId="77BAF923" w16cid:durableId="442B7B95"/>
  <w16cid:commentId w16cid:paraId="1C5B7441" w16cid:durableId="3216A756"/>
  <w16cid:commentId w16cid:paraId="7AC097AA" w16cid:durableId="786D1E5B"/>
  <w16cid:commentId w16cid:paraId="33CC4478" w16cid:durableId="27E1C1DE"/>
  <w16cid:commentId w16cid:paraId="1AAE927D" w16cid:durableId="21074F1C"/>
  <w16cid:commentId w16cid:paraId="3069644C" w16cid:durableId="71B90FBF"/>
  <w16cid:commentId w16cid:paraId="167FA00F" w16cid:durableId="314171FE"/>
  <w16cid:commentId w16cid:paraId="0A2836A2" w16cid:durableId="4E241BFD"/>
  <w16cid:commentId w16cid:paraId="75AD6DC5" w16cid:durableId="4AA3F49B"/>
  <w16cid:commentId w16cid:paraId="44CB3914" w16cid:durableId="795B34EA"/>
  <w16cid:commentId w16cid:paraId="6E4C361D" w16cid:durableId="798E6809"/>
  <w16cid:commentId w16cid:paraId="5D026CCB" w16cid:durableId="3A0B4071"/>
  <w16cid:commentId w16cid:paraId="6439AA9B" w16cid:durableId="7780BDAF"/>
  <w16cid:commentId w16cid:paraId="4FCF628B" w16cid:durableId="30301F8A"/>
  <w16cid:commentId w16cid:paraId="272C5004" w16cid:durableId="0ECEF124"/>
  <w16cid:commentId w16cid:paraId="442FE65D" w16cid:durableId="1F7CB2D9"/>
  <w16cid:commentId w16cid:paraId="787933F4" w16cid:durableId="3C25CBC9"/>
  <w16cid:commentId w16cid:paraId="397DE9E4" w16cid:durableId="0C06E460"/>
  <w16cid:commentId w16cid:paraId="4F17335F" w16cid:durableId="1F14CA8B"/>
  <w16cid:commentId w16cid:paraId="225034C6" w16cid:durableId="1F04E910"/>
  <w16cid:commentId w16cid:paraId="78B48ED4" w16cid:durableId="50A9BB94"/>
  <w16cid:commentId w16cid:paraId="7044A500" w16cid:durableId="2BF0EA50"/>
  <w16cid:commentId w16cid:paraId="2604A35A" w16cid:durableId="5BDF2950"/>
  <w16cid:commentId w16cid:paraId="74F3F38C" w16cid:durableId="61A479A0"/>
  <w16cid:commentId w16cid:paraId="28417CD4" w16cid:durableId="38509567"/>
  <w16cid:commentId w16cid:paraId="59B4FB7D" w16cid:durableId="7D4A6BC4"/>
  <w16cid:commentId w16cid:paraId="739FA678" w16cid:durableId="08189DDA"/>
  <w16cid:commentId w16cid:paraId="78AF0864" w16cid:durableId="459E4729"/>
  <w16cid:commentId w16cid:paraId="765FC7A0" w16cid:durableId="6FD01BDD"/>
  <w16cid:commentId w16cid:paraId="16923930" w16cid:durableId="19347707"/>
  <w16cid:commentId w16cid:paraId="20899016" w16cid:durableId="4E2B7995"/>
  <w16cid:commentId w16cid:paraId="4C2718A6" w16cid:durableId="66B1C9A1"/>
  <w16cid:commentId w16cid:paraId="2BF3E2AB" w16cid:durableId="0E59E0BD"/>
  <w16cid:commentId w16cid:paraId="34ED9B22" w16cid:durableId="6EBD381F"/>
  <w16cid:commentId w16cid:paraId="55240276" w16cid:durableId="45CB34C2"/>
  <w16cid:commentId w16cid:paraId="7824E839" w16cid:durableId="172CD96E"/>
  <w16cid:commentId w16cid:paraId="4624DD6D" w16cid:durableId="3F2697E7"/>
  <w16cid:commentId w16cid:paraId="15414121" w16cid:durableId="0E0FE789"/>
  <w16cid:commentId w16cid:paraId="13C7489D" w16cid:durableId="137BDBC0"/>
  <w16cid:commentId w16cid:paraId="7C82BEF9" w16cid:durableId="54765D52"/>
  <w16cid:commentId w16cid:paraId="143E0F57" w16cid:durableId="498E38E6"/>
  <w16cid:commentId w16cid:paraId="1E0A6A9F" w16cid:durableId="70FBEAD2"/>
  <w16cid:commentId w16cid:paraId="2BEE57A3" w16cid:durableId="78C6DAB4"/>
  <w16cid:commentId w16cid:paraId="13BEBC7A" w16cid:durableId="17A58A9D"/>
  <w16cid:commentId w16cid:paraId="5D74D654" w16cid:durableId="167DFF00"/>
  <w16cid:commentId w16cid:paraId="0825EAF0" w16cid:durableId="643EB388"/>
  <w16cid:commentId w16cid:paraId="382BFDB2" w16cid:durableId="72AF41E9"/>
  <w16cid:commentId w16cid:paraId="4E7F8477" w16cid:durableId="491420F2"/>
  <w16cid:commentId w16cid:paraId="76113C51" w16cid:durableId="4ACA77E7"/>
  <w16cid:commentId w16cid:paraId="077979ED" w16cid:durableId="3068215A"/>
  <w16cid:commentId w16cid:paraId="29311532" w16cid:durableId="6CA9D5F2"/>
  <w16cid:commentId w16cid:paraId="3F9908FB" w16cid:durableId="6FC6576F"/>
  <w16cid:commentId w16cid:paraId="03DE19BE" w16cid:durableId="2F653C22"/>
  <w16cid:commentId w16cid:paraId="4E8C7AFC" w16cid:durableId="5A5FB30E"/>
  <w16cid:commentId w16cid:paraId="7B13916B" w16cid:durableId="42D8AF5B"/>
  <w16cid:commentId w16cid:paraId="4B1C2362" w16cid:durableId="23B4AFBE"/>
  <w16cid:commentId w16cid:paraId="57418A3D" w16cid:durableId="70672896"/>
  <w16cid:commentId w16cid:paraId="55E97689" w16cid:durableId="668156CE"/>
  <w16cid:commentId w16cid:paraId="5DB8048E" w16cid:durableId="0273E846"/>
  <w16cid:commentId w16cid:paraId="4958F8FE" w16cid:durableId="5D9D2980"/>
  <w16cid:commentId w16cid:paraId="2CB1A372" w16cid:durableId="34C37EC5"/>
  <w16cid:commentId w16cid:paraId="6242B49E" w16cid:durableId="536BF41E"/>
  <w16cid:commentId w16cid:paraId="39DC70CB" w16cid:durableId="5A0541E5"/>
  <w16cid:commentId w16cid:paraId="0D8DB9F9" w16cid:durableId="4D4AFF6D"/>
  <w16cid:commentId w16cid:paraId="2F9F6869" w16cid:durableId="48C42010"/>
  <w16cid:commentId w16cid:paraId="293A2211" w16cid:durableId="5D3D07C6"/>
  <w16cid:commentId w16cid:paraId="63161E5C" w16cid:durableId="100B67A5"/>
  <w16cid:commentId w16cid:paraId="4ACBE8D5" w16cid:durableId="3A6AB67D"/>
  <w16cid:commentId w16cid:paraId="2627B00D" w16cid:durableId="10DD3EB8"/>
  <w16cid:commentId w16cid:paraId="2A62C147" w16cid:durableId="40BFC9F9"/>
  <w16cid:commentId w16cid:paraId="4C100E19" w16cid:durableId="6C1FBEF7"/>
  <w16cid:commentId w16cid:paraId="1632674E" w16cid:durableId="391AF7B7"/>
  <w16cid:commentId w16cid:paraId="47C85FAE" w16cid:durableId="039BCB6A"/>
  <w16cid:commentId w16cid:paraId="63BC7203" w16cid:durableId="2A494AEE"/>
  <w16cid:commentId w16cid:paraId="795C3CF1" w16cid:durableId="59A0879B"/>
  <w16cid:commentId w16cid:paraId="6C47921F" w16cid:durableId="5F6CC8D5"/>
  <w16cid:commentId w16cid:paraId="5B6A05D4" w16cid:durableId="409CB3E4"/>
  <w16cid:commentId w16cid:paraId="613666F9" w16cid:durableId="2A9FABE2"/>
  <w16cid:commentId w16cid:paraId="3A7038F8" w16cid:durableId="3D1DD822"/>
  <w16cid:commentId w16cid:paraId="3C13D037" w16cid:durableId="33B3957B"/>
  <w16cid:commentId w16cid:paraId="739C9CCD" w16cid:durableId="677F1A91"/>
  <w16cid:commentId w16cid:paraId="46774487" w16cid:durableId="3D1D5FFC"/>
  <w16cid:commentId w16cid:paraId="5FD3271F" w16cid:durableId="3723C946"/>
  <w16cid:commentId w16cid:paraId="27018174" w16cid:durableId="3964ECC9"/>
  <w16cid:commentId w16cid:paraId="5F1C7496" w16cid:durableId="6367056D"/>
  <w16cid:commentId w16cid:paraId="7A6EB66D" w16cid:durableId="63CEC9E9"/>
  <w16cid:commentId w16cid:paraId="09CE2E72" w16cid:durableId="34FF34D4"/>
  <w16cid:commentId w16cid:paraId="155A6A76" w16cid:durableId="172B3B6A"/>
  <w16cid:commentId w16cid:paraId="33C251BF" w16cid:durableId="36E023D0"/>
  <w16cid:commentId w16cid:paraId="34019109" w16cid:durableId="538CCE25"/>
  <w16cid:commentId w16cid:paraId="34CA75C0" w16cid:durableId="5A95CBAA"/>
  <w16cid:commentId w16cid:paraId="5F6A6DDB" w16cid:durableId="77661C7B"/>
  <w16cid:commentId w16cid:paraId="4B06AA3F" w16cid:durableId="6A48D814"/>
  <w16cid:commentId w16cid:paraId="1FCC06B5" w16cid:durableId="253CED9C"/>
  <w16cid:commentId w16cid:paraId="3C6220B3" w16cid:durableId="18A97D9C"/>
  <w16cid:commentId w16cid:paraId="7FBB1FAE" w16cid:durableId="5A89FC5F"/>
  <w16cid:commentId w16cid:paraId="474FF402" w16cid:durableId="318C576C"/>
  <w16cid:commentId w16cid:paraId="55204C4D" w16cid:durableId="7CB2A0D2"/>
  <w16cid:commentId w16cid:paraId="1117D5BC" w16cid:durableId="71E1D0F3"/>
  <w16cid:commentId w16cid:paraId="533612E4" w16cid:durableId="48805EBC"/>
  <w16cid:commentId w16cid:paraId="4C56729B" w16cid:durableId="7E3A5F95"/>
  <w16cid:commentId w16cid:paraId="2C7663DF" w16cid:durableId="29A3E448"/>
  <w16cid:commentId w16cid:paraId="3A762D60" w16cid:durableId="2C6F8605"/>
  <w16cid:commentId w16cid:paraId="78DB2ECB" w16cid:durableId="445277CA"/>
  <w16cid:commentId w16cid:paraId="15516AF0" w16cid:durableId="7447E24F"/>
  <w16cid:commentId w16cid:paraId="4A0A53D0" w16cid:durableId="48927503"/>
  <w16cid:commentId w16cid:paraId="093E1CD2" w16cid:durableId="4E2189A1"/>
  <w16cid:commentId w16cid:paraId="57FAB0B2" w16cid:durableId="7E11F67E"/>
  <w16cid:commentId w16cid:paraId="3C3C0B71" w16cid:durableId="1DE14B17"/>
  <w16cid:commentId w16cid:paraId="71C7231F" w16cid:durableId="70DD1950"/>
  <w16cid:commentId w16cid:paraId="4FA6AB8E" w16cid:durableId="62DDCC58"/>
  <w16cid:commentId w16cid:paraId="549F43AE" w16cid:durableId="3FFA43F7"/>
  <w16cid:commentId w16cid:paraId="1F8D353B" w16cid:durableId="2F9B265A"/>
  <w16cid:commentId w16cid:paraId="16AF00E6" w16cid:durableId="5604173D"/>
  <w16cid:commentId w16cid:paraId="52C23392" w16cid:durableId="7F0BF5EA"/>
  <w16cid:commentId w16cid:paraId="7F4154D5" w16cid:durableId="20A0551C"/>
  <w16cid:commentId w16cid:paraId="086065B2" w16cid:durableId="69E3F9FF"/>
  <w16cid:commentId w16cid:paraId="7E76D4D0" w16cid:durableId="64F55626"/>
  <w16cid:commentId w16cid:paraId="052F10F3" w16cid:durableId="283DD2F2"/>
  <w16cid:commentId w16cid:paraId="5C52BAD6" w16cid:durableId="0C24D686"/>
  <w16cid:commentId w16cid:paraId="01A9868F" w16cid:durableId="4336EC32"/>
  <w16cid:commentId w16cid:paraId="10FD6287" w16cid:durableId="530F28CB"/>
  <w16cid:commentId w16cid:paraId="622B11C3" w16cid:durableId="6BAAC8A8"/>
  <w16cid:commentId w16cid:paraId="74E3412F" w16cid:durableId="5AB4491A"/>
  <w16cid:commentId w16cid:paraId="2F29B528" w16cid:durableId="2E1B0573"/>
  <w16cid:commentId w16cid:paraId="5D307FA8" w16cid:durableId="0B2B436C"/>
  <w16cid:commentId w16cid:paraId="277E9EB3" w16cid:durableId="798A89D4"/>
  <w16cid:commentId w16cid:paraId="56DA8CD2" w16cid:durableId="395BB779"/>
  <w16cid:commentId w16cid:paraId="33FCAE8A" w16cid:durableId="717E70B6"/>
  <w16cid:commentId w16cid:paraId="0AFDE852" w16cid:durableId="49221F6E"/>
  <w16cid:commentId w16cid:paraId="54E285E3" w16cid:durableId="4992D830"/>
  <w16cid:commentId w16cid:paraId="6F1608E1" w16cid:durableId="15FD95F6"/>
  <w16cid:commentId w16cid:paraId="721603A5" w16cid:durableId="19493F0E"/>
  <w16cid:commentId w16cid:paraId="5BC36102" w16cid:durableId="517F3229"/>
  <w16cid:commentId w16cid:paraId="7726D95B" w16cid:durableId="766D36C6"/>
  <w16cid:commentId w16cid:paraId="40A00DC6" w16cid:durableId="1B8CC16F"/>
  <w16cid:commentId w16cid:paraId="6C32BD92" w16cid:durableId="3AEDF503"/>
  <w16cid:commentId w16cid:paraId="45FBEE44" w16cid:durableId="7FBDE819"/>
  <w16cid:commentId w16cid:paraId="271EDC41" w16cid:durableId="7761344A"/>
  <w16cid:commentId w16cid:paraId="75A1952A" w16cid:durableId="247A15B1"/>
  <w16cid:commentId w16cid:paraId="61F7CFEB" w16cid:durableId="67BA6CAF"/>
  <w16cid:commentId w16cid:paraId="601AFA1A" w16cid:durableId="466206EC"/>
  <w16cid:commentId w16cid:paraId="6D269588" w16cid:durableId="38C40645"/>
  <w16cid:commentId w16cid:paraId="6A865133" w16cid:durableId="5ACF5F4B"/>
  <w16cid:commentId w16cid:paraId="60320112" w16cid:durableId="16B2D201"/>
  <w16cid:commentId w16cid:paraId="7799AD11" w16cid:durableId="53C20768"/>
  <w16cid:commentId w16cid:paraId="1F63A84E" w16cid:durableId="0975AC83"/>
  <w16cid:commentId w16cid:paraId="662C09BF" w16cid:durableId="4A82E3EE"/>
  <w16cid:commentId w16cid:paraId="670F929B" w16cid:durableId="0E6AEC2E"/>
  <w16cid:commentId w16cid:paraId="3E38316F" w16cid:durableId="215D01FF"/>
  <w16cid:commentId w16cid:paraId="3A75E53B" w16cid:durableId="409432C1"/>
  <w16cid:commentId w16cid:paraId="024BD519" w16cid:durableId="2C8474D8"/>
  <w16cid:commentId w16cid:paraId="11E2A5DA" w16cid:durableId="40BAE5AD"/>
  <w16cid:commentId w16cid:paraId="46012352" w16cid:durableId="352BBE23"/>
  <w16cid:commentId w16cid:paraId="5ED3D6B1" w16cid:durableId="5863223D"/>
  <w16cid:commentId w16cid:paraId="1045D3DF" w16cid:durableId="547BDDB8"/>
  <w16cid:commentId w16cid:paraId="59AED83A" w16cid:durableId="186A42D3"/>
  <w16cid:commentId w16cid:paraId="2B3B7AB1" w16cid:durableId="58C61BB5"/>
  <w16cid:commentId w16cid:paraId="7D171CE0" w16cid:durableId="62453BCA"/>
  <w16cid:commentId w16cid:paraId="2E9133D3" w16cid:durableId="33F30D88"/>
  <w16cid:commentId w16cid:paraId="42BB87DA" w16cid:durableId="38E4B547"/>
  <w16cid:commentId w16cid:paraId="64AAD561" w16cid:durableId="19C01E56"/>
  <w16cid:commentId w16cid:paraId="65B8CF9A" w16cid:durableId="315EF8A1"/>
  <w16cid:commentId w16cid:paraId="06FD8157" w16cid:durableId="68AA0BE6"/>
  <w16cid:commentId w16cid:paraId="0F924B52" w16cid:durableId="21313D8A"/>
  <w16cid:commentId w16cid:paraId="677889BA" w16cid:durableId="4B1D8442"/>
  <w16cid:commentId w16cid:paraId="655CD2D7" w16cid:durableId="49814912"/>
  <w16cid:commentId w16cid:paraId="029C6258" w16cid:durableId="3359C0D2"/>
  <w16cid:commentId w16cid:paraId="21CF696F" w16cid:durableId="22720131"/>
  <w16cid:commentId w16cid:paraId="0916E6D7" w16cid:durableId="2845294E"/>
  <w16cid:commentId w16cid:paraId="58A451FF" w16cid:durableId="07AEA418"/>
  <w16cid:commentId w16cid:paraId="6E9A23A9" w16cid:durableId="022261EE"/>
  <w16cid:commentId w16cid:paraId="4A4B2A46" w16cid:durableId="4E518FF4"/>
  <w16cid:commentId w16cid:paraId="05C5B504" w16cid:durableId="680B7727"/>
  <w16cid:commentId w16cid:paraId="071FEB88" w16cid:durableId="60C19C2D"/>
  <w16cid:commentId w16cid:paraId="13A6BA64" w16cid:durableId="381CAF0A"/>
  <w16cid:commentId w16cid:paraId="130E692A" w16cid:durableId="3A9F889C"/>
  <w16cid:commentId w16cid:paraId="32CF7E06" w16cid:durableId="0A918016"/>
  <w16cid:commentId w16cid:paraId="5D025035" w16cid:durableId="339FC073"/>
  <w16cid:commentId w16cid:paraId="0DA7E015" w16cid:durableId="2E64C79D"/>
  <w16cid:commentId w16cid:paraId="443E1332" w16cid:durableId="5013E334"/>
  <w16cid:commentId w16cid:paraId="7D5AB2BB" w16cid:durableId="1EEC9590"/>
  <w16cid:commentId w16cid:paraId="138DCE9B" w16cid:durableId="02D13DE8"/>
  <w16cid:commentId w16cid:paraId="21AAD59C" w16cid:durableId="4FE4F52A"/>
  <w16cid:commentId w16cid:paraId="6233EB5C" w16cid:durableId="6B04269C"/>
  <w16cid:commentId w16cid:paraId="646F6456" w16cid:durableId="2074EDFC"/>
  <w16cid:commentId w16cid:paraId="265E2211" w16cid:durableId="37071E72"/>
  <w16cid:commentId w16cid:paraId="75551C11" w16cid:durableId="2AF8C354"/>
  <w16cid:commentId w16cid:paraId="06A4DE2C" w16cid:durableId="45F6A87F"/>
  <w16cid:commentId w16cid:paraId="2F8ED96A" w16cid:durableId="5016054E"/>
  <w16cid:commentId w16cid:paraId="2828A6AB" w16cid:durableId="45C0FB5C"/>
  <w16cid:commentId w16cid:paraId="4DF5DAB4" w16cid:durableId="7FE7D58B"/>
  <w16cid:commentId w16cid:paraId="0C2C0C8A" w16cid:durableId="55A23EB2"/>
  <w16cid:commentId w16cid:paraId="7F5A8860" w16cid:durableId="79095574"/>
  <w16cid:commentId w16cid:paraId="3AD97B1C" w16cid:durableId="4D1AB13E"/>
  <w16cid:commentId w16cid:paraId="21994551" w16cid:durableId="27D821E1"/>
  <w16cid:commentId w16cid:paraId="116A768F" w16cid:durableId="399E21C1"/>
  <w16cid:commentId w16cid:paraId="221EE635" w16cid:durableId="4B954DBE"/>
  <w16cid:commentId w16cid:paraId="5DE16B55" w16cid:durableId="0A40BE56"/>
  <w16cid:commentId w16cid:paraId="556661E2" w16cid:durableId="561BEBB0"/>
  <w16cid:commentId w16cid:paraId="73FA6E7B" w16cid:durableId="2810E2BD"/>
  <w16cid:commentId w16cid:paraId="11B5B2F8" w16cid:durableId="6625C2DF"/>
  <w16cid:commentId w16cid:paraId="34986ED6" w16cid:durableId="19AE5DE7"/>
  <w16cid:commentId w16cid:paraId="69EC439A" w16cid:durableId="3E71D0D3"/>
  <w16cid:commentId w16cid:paraId="790CE0C9" w16cid:durableId="5E32E4E3"/>
  <w16cid:commentId w16cid:paraId="730D80D6" w16cid:durableId="58AF6E85"/>
  <w16cid:commentId w16cid:paraId="09B9DFA5" w16cid:durableId="546A21F5"/>
  <w16cid:commentId w16cid:paraId="13A34A32" w16cid:durableId="20467333"/>
  <w16cid:commentId w16cid:paraId="24DE8AA9" w16cid:durableId="19DC551C"/>
  <w16cid:commentId w16cid:paraId="6282D9F0" w16cid:durableId="0DD8C2BD"/>
  <w16cid:commentId w16cid:paraId="3C70CE6A" w16cid:durableId="74823240"/>
  <w16cid:commentId w16cid:paraId="07317E51" w16cid:durableId="352A68E4"/>
  <w16cid:commentId w16cid:paraId="2EDD4A7C" w16cid:durableId="44CF37B7"/>
  <w16cid:commentId w16cid:paraId="755489A5" w16cid:durableId="494C79C2"/>
  <w16cid:commentId w16cid:paraId="13420F19" w16cid:durableId="52D0F306"/>
  <w16cid:commentId w16cid:paraId="77769156" w16cid:durableId="464E47D6"/>
  <w16cid:commentId w16cid:paraId="63A32F3C" w16cid:durableId="377D4313"/>
  <w16cid:commentId w16cid:paraId="73EE3E8F" w16cid:durableId="03E46C7E"/>
  <w16cid:commentId w16cid:paraId="7CE3D65E" w16cid:durableId="54878D58"/>
  <w16cid:commentId w16cid:paraId="07E66CAD" w16cid:durableId="204B2C58"/>
  <w16cid:commentId w16cid:paraId="4912D1D4" w16cid:durableId="2BEE847B"/>
  <w16cid:commentId w16cid:paraId="7E1EF859" w16cid:durableId="4D915A72"/>
  <w16cid:commentId w16cid:paraId="091B991A" w16cid:durableId="545AFCA0"/>
  <w16cid:commentId w16cid:paraId="77864B86" w16cid:durableId="3F71F09A"/>
  <w16cid:commentId w16cid:paraId="4F5EEEF3" w16cid:durableId="055FBF3B"/>
  <w16cid:commentId w16cid:paraId="1946842F" w16cid:durableId="4E93CD3F"/>
  <w16cid:commentId w16cid:paraId="19A7618C" w16cid:durableId="7EEAB52F"/>
  <w16cid:commentId w16cid:paraId="03C2BF29" w16cid:durableId="53E28764"/>
  <w16cid:commentId w16cid:paraId="016315F8" w16cid:durableId="506806CC"/>
  <w16cid:commentId w16cid:paraId="5422B284" w16cid:durableId="7E5A23F7"/>
  <w16cid:commentId w16cid:paraId="5F2C0A38" w16cid:durableId="0528FEF5"/>
  <w16cid:commentId w16cid:paraId="710EC95F" w16cid:durableId="0561D272"/>
  <w16cid:commentId w16cid:paraId="21B179E5" w16cid:durableId="2BAF475A"/>
  <w16cid:commentId w16cid:paraId="0749D006" w16cid:durableId="4601047B"/>
  <w16cid:commentId w16cid:paraId="0C306306" w16cid:durableId="556AF7B8"/>
  <w16cid:commentId w16cid:paraId="587C8AAC" w16cid:durableId="44145439"/>
  <w16cid:commentId w16cid:paraId="3A6437DC" w16cid:durableId="47D80181"/>
  <w16cid:commentId w16cid:paraId="71D38A1A" w16cid:durableId="50C78D73"/>
  <w16cid:commentId w16cid:paraId="4B990BBC" w16cid:durableId="7CA72633"/>
  <w16cid:commentId w16cid:paraId="58ECDCE5" w16cid:durableId="37246819"/>
  <w16cid:commentId w16cid:paraId="714EC394" w16cid:durableId="4E028C82"/>
  <w16cid:commentId w16cid:paraId="4A82D6E8" w16cid:durableId="6C17DC4D"/>
  <w16cid:commentId w16cid:paraId="5262691D" w16cid:durableId="779FC54F"/>
  <w16cid:commentId w16cid:paraId="411F322E" w16cid:durableId="0B365BD7"/>
  <w16cid:commentId w16cid:paraId="65335742" w16cid:durableId="6C24E5B8"/>
  <w16cid:commentId w16cid:paraId="02DA083F" w16cid:durableId="0C1E37C6"/>
  <w16cid:commentId w16cid:paraId="50648AF3" w16cid:durableId="5392D9F3"/>
  <w16cid:commentId w16cid:paraId="755CB11A" w16cid:durableId="296748A9"/>
  <w16cid:commentId w16cid:paraId="657AFC83" w16cid:durableId="00CC74BB"/>
  <w16cid:commentId w16cid:paraId="555263FE" w16cid:durableId="2EF4086A"/>
  <w16cid:commentId w16cid:paraId="389DE405" w16cid:durableId="2466A0D4"/>
  <w16cid:commentId w16cid:paraId="1C415F6C" w16cid:durableId="7F586FC2"/>
  <w16cid:commentId w16cid:paraId="0A7FD9EF" w16cid:durableId="6232EE2D"/>
  <w16cid:commentId w16cid:paraId="074E9654" w16cid:durableId="5E794086"/>
  <w16cid:commentId w16cid:paraId="56BC2559" w16cid:durableId="5D27B934"/>
  <w16cid:commentId w16cid:paraId="717DAE7B" w16cid:durableId="354B9696"/>
  <w16cid:commentId w16cid:paraId="47B50B58" w16cid:durableId="5D7B1175"/>
  <w16cid:commentId w16cid:paraId="44C88C7A" w16cid:durableId="6B3DFF09"/>
  <w16cid:commentId w16cid:paraId="2DBCB461" w16cid:durableId="79718660"/>
  <w16cid:commentId w16cid:paraId="56922225" w16cid:durableId="3DD770B6"/>
  <w16cid:commentId w16cid:paraId="6D5CB38A" w16cid:durableId="134A55D8"/>
  <w16cid:commentId w16cid:paraId="45D9D096" w16cid:durableId="5EBE14B0"/>
  <w16cid:commentId w16cid:paraId="17F5CC37" w16cid:durableId="4ACA2750"/>
  <w16cid:commentId w16cid:paraId="3EDE588B" w16cid:durableId="75F2EA26"/>
  <w16cid:commentId w16cid:paraId="09336C45" w16cid:durableId="654A3AA5"/>
  <w16cid:commentId w16cid:paraId="2979F3C7" w16cid:durableId="6F205FCE"/>
  <w16cid:commentId w16cid:paraId="1A415A51" w16cid:durableId="097B218A"/>
  <w16cid:commentId w16cid:paraId="321379C4" w16cid:durableId="7ECE333B"/>
  <w16cid:commentId w16cid:paraId="56B14BBB" w16cid:durableId="73E18209"/>
  <w16cid:commentId w16cid:paraId="17864539" w16cid:durableId="0EBC9ECD"/>
  <w16cid:commentId w16cid:paraId="3F9BB3F6" w16cid:durableId="7E764654"/>
  <w16cid:commentId w16cid:paraId="0206E42B" w16cid:durableId="66B5B59F"/>
  <w16cid:commentId w16cid:paraId="7C34030F" w16cid:durableId="073D464A"/>
  <w16cid:commentId w16cid:paraId="3F6B853C" w16cid:durableId="1D63253F"/>
  <w16cid:commentId w16cid:paraId="2BB8CC19" w16cid:durableId="52489FD5"/>
  <w16cid:commentId w16cid:paraId="6895FEBD" w16cid:durableId="3FD6A82D"/>
  <w16cid:commentId w16cid:paraId="51C49B98" w16cid:durableId="55F19522"/>
  <w16cid:commentId w16cid:paraId="6F22B613" w16cid:durableId="4924A0C9"/>
  <w16cid:commentId w16cid:paraId="278AABC9" w16cid:durableId="534D0AE1"/>
  <w16cid:commentId w16cid:paraId="28022027" w16cid:durableId="79418774"/>
  <w16cid:commentId w16cid:paraId="3B473798" w16cid:durableId="7B00F34B"/>
  <w16cid:commentId w16cid:paraId="16B47878" w16cid:durableId="55836C86"/>
  <w16cid:commentId w16cid:paraId="4FA328C1" w16cid:durableId="531612A9"/>
  <w16cid:commentId w16cid:paraId="68CFBE20" w16cid:durableId="2173FE62"/>
  <w16cid:commentId w16cid:paraId="0DB15CCF" w16cid:durableId="59F38323"/>
  <w16cid:commentId w16cid:paraId="46619F08" w16cid:durableId="05D08F32"/>
  <w16cid:commentId w16cid:paraId="330B3B6C" w16cid:durableId="232EE444"/>
  <w16cid:commentId w16cid:paraId="4F3FDD03" w16cid:durableId="4D3606D3"/>
  <w16cid:commentId w16cid:paraId="39A05EB5" w16cid:durableId="68D94B46"/>
  <w16cid:commentId w16cid:paraId="24FAE967" w16cid:durableId="201F6122"/>
  <w16cid:commentId w16cid:paraId="34914001" w16cid:durableId="669942C3"/>
  <w16cid:commentId w16cid:paraId="7D44DA83" w16cid:durableId="5C9A0277"/>
  <w16cid:commentId w16cid:paraId="63A0AE1A" w16cid:durableId="57560712"/>
  <w16cid:commentId w16cid:paraId="4FD024EE" w16cid:durableId="3ECFB57D"/>
  <w16cid:commentId w16cid:paraId="5336CE5E" w16cid:durableId="23DA1241"/>
  <w16cid:commentId w16cid:paraId="03FCC408" w16cid:durableId="6F4477D1"/>
  <w16cid:commentId w16cid:paraId="3913021D" w16cid:durableId="214DB4FD"/>
  <w16cid:commentId w16cid:paraId="6D222C02" w16cid:durableId="01ACDB29"/>
  <w16cid:commentId w16cid:paraId="34764233" w16cid:durableId="25EC2131"/>
  <w16cid:commentId w16cid:paraId="697A1D2E" w16cid:durableId="7D0485E9"/>
  <w16cid:commentId w16cid:paraId="24BDACA1" w16cid:durableId="02A3163C"/>
  <w16cid:commentId w16cid:paraId="47D16CA5" w16cid:durableId="54C4A6B7"/>
  <w16cid:commentId w16cid:paraId="4177476B" w16cid:durableId="3585C69F"/>
  <w16cid:commentId w16cid:paraId="6083E2DB" w16cid:durableId="720FD5ED"/>
  <w16cid:commentId w16cid:paraId="2DE9530C" w16cid:durableId="307DC215"/>
  <w16cid:commentId w16cid:paraId="2BDF80D4" w16cid:durableId="3DB0EB34"/>
  <w16cid:commentId w16cid:paraId="04E1422F" w16cid:durableId="781B2978"/>
  <w16cid:commentId w16cid:paraId="6CD2A118" w16cid:durableId="44CFC8EE"/>
  <w16cid:commentId w16cid:paraId="25974C5D" w16cid:durableId="0C30A0B1"/>
  <w16cid:commentId w16cid:paraId="2F5BDDDC" w16cid:durableId="1D511107"/>
  <w16cid:commentId w16cid:paraId="46FFF297" w16cid:durableId="5F5A0173"/>
  <w16cid:commentId w16cid:paraId="237C3917" w16cid:durableId="145670AC"/>
  <w16cid:commentId w16cid:paraId="6AE431CC" w16cid:durableId="17F0F428"/>
  <w16cid:commentId w16cid:paraId="75C54D2B" w16cid:durableId="002FFEEC"/>
  <w16cid:commentId w16cid:paraId="5FA2721B" w16cid:durableId="42D67D6A"/>
  <w16cid:commentId w16cid:paraId="681CB6F5" w16cid:durableId="3DC6E951"/>
  <w16cid:commentId w16cid:paraId="64EA4658" w16cid:durableId="0BA80207"/>
  <w16cid:commentId w16cid:paraId="4F10C3EC" w16cid:durableId="295628EE"/>
  <w16cid:commentId w16cid:paraId="265272C9" w16cid:durableId="1BFF6703"/>
  <w16cid:commentId w16cid:paraId="4EA3DDC8" w16cid:durableId="5F79AB73"/>
  <w16cid:commentId w16cid:paraId="759C9A8D" w16cid:durableId="4BF17B8A"/>
  <w16cid:commentId w16cid:paraId="1E9CAB81" w16cid:durableId="3C451AB6"/>
  <w16cid:commentId w16cid:paraId="6BF72745" w16cid:durableId="15F4E7F5"/>
  <w16cid:commentId w16cid:paraId="17949AB9" w16cid:durableId="53C220E7"/>
  <w16cid:commentId w16cid:paraId="3F0EF7A4" w16cid:durableId="28235C09"/>
  <w16cid:commentId w16cid:paraId="7BB6CB7A" w16cid:durableId="21DC43DD"/>
  <w16cid:commentId w16cid:paraId="3CBDF7B0" w16cid:durableId="0F5FAE8D"/>
  <w16cid:commentId w16cid:paraId="497D536C" w16cid:durableId="486D90CC"/>
  <w16cid:commentId w16cid:paraId="420BAD57" w16cid:durableId="798912FD"/>
  <w16cid:commentId w16cid:paraId="69522DF2" w16cid:durableId="63042803"/>
  <w16cid:commentId w16cid:paraId="7FEFDD04" w16cid:durableId="1E88F330"/>
  <w16cid:commentId w16cid:paraId="14262BBF" w16cid:durableId="5444B9F9"/>
  <w16cid:commentId w16cid:paraId="181EDA48" w16cid:durableId="23387F98"/>
  <w16cid:commentId w16cid:paraId="15235E17" w16cid:durableId="564884F7"/>
  <w16cid:commentId w16cid:paraId="2DC54AD8" w16cid:durableId="769E7138"/>
  <w16cid:commentId w16cid:paraId="428ECD1C" w16cid:durableId="263C4C94"/>
  <w16cid:commentId w16cid:paraId="6F65106E" w16cid:durableId="1FFDA5E7"/>
  <w16cid:commentId w16cid:paraId="23EE6CCB" w16cid:durableId="61063CBB"/>
  <w16cid:commentId w16cid:paraId="165AAD62" w16cid:durableId="70F63C4C"/>
  <w16cid:commentId w16cid:paraId="4034D6FF" w16cid:durableId="1C4297EF"/>
  <w16cid:commentId w16cid:paraId="4CE9930F" w16cid:durableId="0DB565B9"/>
  <w16cid:commentId w16cid:paraId="56324E40" w16cid:durableId="5E5F1B55"/>
  <w16cid:commentId w16cid:paraId="11EC1A83" w16cid:durableId="41056622"/>
  <w16cid:commentId w16cid:paraId="683D5872" w16cid:durableId="4B883A3F"/>
  <w16cid:commentId w16cid:paraId="22653C7F" w16cid:durableId="40C55FAE"/>
  <w16cid:commentId w16cid:paraId="3F866A68" w16cid:durableId="5242D217"/>
  <w16cid:commentId w16cid:paraId="1BAED7C2" w16cid:durableId="44A90E4F"/>
  <w16cid:commentId w16cid:paraId="184054E8" w16cid:durableId="57260826"/>
  <w16cid:commentId w16cid:paraId="51AFDDB2" w16cid:durableId="7BF93812"/>
  <w16cid:commentId w16cid:paraId="5B9473BC" w16cid:durableId="661328EF"/>
  <w16cid:commentId w16cid:paraId="4CF5A2A0" w16cid:durableId="639C75CA"/>
  <w16cid:commentId w16cid:paraId="2D0B7856" w16cid:durableId="77F78C0E"/>
  <w16cid:commentId w16cid:paraId="19C8352F" w16cid:durableId="65AD7425"/>
  <w16cid:commentId w16cid:paraId="4480E611" w16cid:durableId="467275BD"/>
  <w16cid:commentId w16cid:paraId="6F8D9AB0" w16cid:durableId="31130A5F"/>
  <w16cid:commentId w16cid:paraId="71308370" w16cid:durableId="465DFB85"/>
  <w16cid:commentId w16cid:paraId="02599669" w16cid:durableId="3ECFBEC2"/>
  <w16cid:commentId w16cid:paraId="6B5FDBAD" w16cid:durableId="61C3A5B7"/>
  <w16cid:commentId w16cid:paraId="3D599591" w16cid:durableId="49EC79E4"/>
  <w16cid:commentId w16cid:paraId="354741E4" w16cid:durableId="0EA17E38"/>
  <w16cid:commentId w16cid:paraId="3D7918B1" w16cid:durableId="2E513CA7"/>
  <w16cid:commentId w16cid:paraId="16D4A2EC" w16cid:durableId="2FAD98AC"/>
  <w16cid:commentId w16cid:paraId="6A3EC94D" w16cid:durableId="4B46B5F0"/>
  <w16cid:commentId w16cid:paraId="490C0352" w16cid:durableId="292C78AD"/>
  <w16cid:commentId w16cid:paraId="0EDF8652" w16cid:durableId="7EC81DD6"/>
  <w16cid:commentId w16cid:paraId="768C9571" w16cid:durableId="0B15477A"/>
  <w16cid:commentId w16cid:paraId="3A041D0D" w16cid:durableId="711DF113"/>
  <w16cid:commentId w16cid:paraId="57642894" w16cid:durableId="41A86F30"/>
  <w16cid:commentId w16cid:paraId="34893154" w16cid:durableId="09918DB3"/>
  <w16cid:commentId w16cid:paraId="5BDA7F72" w16cid:durableId="1C9A30D6"/>
  <w16cid:commentId w16cid:paraId="4771E388" w16cid:durableId="1DC9436A"/>
  <w16cid:commentId w16cid:paraId="48D780ED" w16cid:durableId="2AA1C54B"/>
  <w16cid:commentId w16cid:paraId="6C18C6EA" w16cid:durableId="385FECA1"/>
  <w16cid:commentId w16cid:paraId="2AEDEAFD" w16cid:durableId="7FBCCF13"/>
  <w16cid:commentId w16cid:paraId="6B02C585" w16cid:durableId="51C445BA"/>
  <w16cid:commentId w16cid:paraId="25C9F7C8" w16cid:durableId="6D926034"/>
  <w16cid:commentId w16cid:paraId="198EDDB4" w16cid:durableId="7B3FB493"/>
  <w16cid:commentId w16cid:paraId="6B07C7FF" w16cid:durableId="4A6CADB5"/>
  <w16cid:commentId w16cid:paraId="2C9A9BF7" w16cid:durableId="12FCC139"/>
  <w16cid:commentId w16cid:paraId="5B2E6CD7" w16cid:durableId="6240C9FA"/>
  <w16cid:commentId w16cid:paraId="59F6387C" w16cid:durableId="149675A4"/>
  <w16cid:commentId w16cid:paraId="3F9F65D3" w16cid:durableId="117823AA"/>
  <w16cid:commentId w16cid:paraId="543BD92A" w16cid:durableId="55DEFA2A"/>
  <w16cid:commentId w16cid:paraId="216C44D3" w16cid:durableId="32935434"/>
  <w16cid:commentId w16cid:paraId="38E34903" w16cid:durableId="07DEB975"/>
  <w16cid:commentId w16cid:paraId="74E8EB63" w16cid:durableId="037D2B2D"/>
  <w16cid:commentId w16cid:paraId="12D54918" w16cid:durableId="4732625D"/>
  <w16cid:commentId w16cid:paraId="1B61DE16" w16cid:durableId="39B96CA9"/>
  <w16cid:commentId w16cid:paraId="1491A698" w16cid:durableId="6A8C09DC"/>
  <w16cid:commentId w16cid:paraId="12B796C2" w16cid:durableId="194E2C85"/>
  <w16cid:commentId w16cid:paraId="2FA083DE" w16cid:durableId="4509B012"/>
  <w16cid:commentId w16cid:paraId="2D51300D" w16cid:durableId="08C0B58D"/>
  <w16cid:commentId w16cid:paraId="2F465410" w16cid:durableId="73D3B942"/>
  <w16cid:commentId w16cid:paraId="16F062CF" w16cid:durableId="74FD55F1"/>
  <w16cid:commentId w16cid:paraId="253E003C" w16cid:durableId="4B017E6F"/>
  <w16cid:commentId w16cid:paraId="6109F4B5" w16cid:durableId="64EB57CD"/>
  <w16cid:commentId w16cid:paraId="1CD058B6" w16cid:durableId="358C532C"/>
  <w16cid:commentId w16cid:paraId="58F07868" w16cid:durableId="777818CB"/>
  <w16cid:commentId w16cid:paraId="0B072234" w16cid:durableId="654E3304"/>
  <w16cid:commentId w16cid:paraId="2039F740" w16cid:durableId="1335A6EF"/>
  <w16cid:commentId w16cid:paraId="412F157F" w16cid:durableId="66EC9B62"/>
  <w16cid:commentId w16cid:paraId="62610AF8" w16cid:durableId="71CAB3F6"/>
  <w16cid:commentId w16cid:paraId="72F37FA9" w16cid:durableId="3649B01D"/>
  <w16cid:commentId w16cid:paraId="1FAE639C" w16cid:durableId="3DF42A35"/>
  <w16cid:commentId w16cid:paraId="48832D22" w16cid:durableId="7C3A42E9"/>
  <w16cid:commentId w16cid:paraId="14D5CF46" w16cid:durableId="42D727AF"/>
  <w16cid:commentId w16cid:paraId="19128896" w16cid:durableId="4D934BDD"/>
  <w16cid:commentId w16cid:paraId="7F3AEBB6" w16cid:durableId="377B96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4A67" w14:textId="77777777" w:rsidR="000B6475" w:rsidRDefault="000B6475">
      <w:pPr>
        <w:spacing w:after="0" w:line="240" w:lineRule="auto"/>
      </w:pPr>
      <w:r>
        <w:separator/>
      </w:r>
    </w:p>
    <w:p w14:paraId="62132902" w14:textId="77777777" w:rsidR="000B6475" w:rsidRDefault="000B6475"/>
  </w:endnote>
  <w:endnote w:type="continuationSeparator" w:id="0">
    <w:p w14:paraId="21CED4FA" w14:textId="77777777" w:rsidR="000B6475" w:rsidRDefault="000B6475">
      <w:pPr>
        <w:spacing w:after="0" w:line="240" w:lineRule="auto"/>
      </w:pPr>
      <w:r>
        <w:continuationSeparator/>
      </w:r>
    </w:p>
    <w:p w14:paraId="16CD3DCF" w14:textId="77777777" w:rsidR="000B6475" w:rsidRDefault="000B6475"/>
  </w:endnote>
  <w:endnote w:type="continuationNotice" w:id="1">
    <w:p w14:paraId="69BFA1E9" w14:textId="77777777" w:rsidR="000B6475" w:rsidRDefault="000B6475">
      <w:pPr>
        <w:spacing w:after="0" w:line="240" w:lineRule="auto"/>
      </w:pPr>
    </w:p>
    <w:p w14:paraId="77B35D0E" w14:textId="77777777" w:rsidR="000B6475" w:rsidRDefault="000B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Times New Roman"/>
    <w:panose1 w:val="00000000000000000000"/>
    <w:charset w:val="00"/>
    <w:family w:val="roman"/>
    <w:notTrueType/>
    <w:pitch w:val="default"/>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C Square Sans Pro">
    <w:altName w:val="Segoe UI"/>
    <w:charset w:val="00"/>
    <w:family w:val="swiss"/>
    <w:pitch w:val="variable"/>
    <w:sig w:usb0="A00002BF" w:usb1="5000E0FB" w:usb2="00000000" w:usb3="00000000" w:csb0="0000019F" w:csb1="00000000"/>
  </w:font>
  <w:font w:name="ECSquareSans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887F" w14:textId="77777777" w:rsidR="00F529D1" w:rsidRPr="00F529D1" w:rsidRDefault="00F529D1" w:rsidP="00F52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8B2F" w14:textId="24DF69D7" w:rsidR="00F03DF2" w:rsidRPr="00F529D1" w:rsidRDefault="00F529D1" w:rsidP="00F529D1">
    <w:pPr>
      <w:pStyle w:val="FooterCoverPage"/>
      <w:rPr>
        <w:rFonts w:ascii="Arial" w:hAnsi="Arial" w:cs="Arial"/>
        <w:b/>
        <w:sz w:val="48"/>
      </w:rPr>
    </w:pPr>
    <w:r w:rsidRPr="00F529D1">
      <w:rPr>
        <w:rFonts w:ascii="Arial" w:hAnsi="Arial" w:cs="Arial"/>
        <w:b/>
        <w:sz w:val="48"/>
      </w:rPr>
      <w:t>EN</w:t>
    </w:r>
    <w:r w:rsidRPr="00F529D1">
      <w:rPr>
        <w:rFonts w:ascii="Arial" w:hAnsi="Arial" w:cs="Arial"/>
        <w:b/>
        <w:sz w:val="48"/>
      </w:rPr>
      <w:tab/>
    </w:r>
    <w:r w:rsidRPr="00F529D1">
      <w:rPr>
        <w:rFonts w:ascii="Arial" w:hAnsi="Arial" w:cs="Arial"/>
        <w:b/>
        <w:sz w:val="48"/>
      </w:rPr>
      <w:tab/>
    </w:r>
    <w:r w:rsidRPr="00F529D1">
      <w:tab/>
    </w:r>
    <w:r w:rsidRPr="00F529D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499C" w14:textId="77777777" w:rsidR="00F529D1" w:rsidRPr="00F529D1" w:rsidRDefault="00F529D1" w:rsidP="00F529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D026" w14:textId="77777777" w:rsidR="000B6475" w:rsidRDefault="000B64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200054"/>
      <w:docPartObj>
        <w:docPartGallery w:val="Page Numbers (Bottom of Page)"/>
        <w:docPartUnique/>
      </w:docPartObj>
    </w:sdtPr>
    <w:sdtEndPr>
      <w:rPr>
        <w:rFonts w:ascii="Times New Roman" w:hAnsi="Times New Roman" w:cs="Times New Roman"/>
        <w:noProof/>
      </w:rPr>
    </w:sdtEndPr>
    <w:sdtContent>
      <w:p w14:paraId="04F4AC62" w14:textId="6EB68A91" w:rsidR="000B6475" w:rsidRPr="00782AF9" w:rsidRDefault="000B6475">
        <w:pPr>
          <w:pStyle w:val="Footer"/>
          <w:jc w:val="center"/>
          <w:rPr>
            <w:rFonts w:ascii="Times New Roman" w:hAnsi="Times New Roman" w:cs="Times New Roman"/>
          </w:rPr>
        </w:pPr>
        <w:r w:rsidRPr="00782AF9">
          <w:rPr>
            <w:rFonts w:ascii="Times New Roman" w:hAnsi="Times New Roman" w:cs="Times New Roman"/>
            <w:color w:val="2B579A"/>
            <w:shd w:val="clear" w:color="auto" w:fill="E6E6E6"/>
          </w:rPr>
          <w:fldChar w:fldCharType="begin"/>
        </w:r>
        <w:r w:rsidRPr="00782AF9">
          <w:rPr>
            <w:rFonts w:ascii="Times New Roman" w:hAnsi="Times New Roman" w:cs="Times New Roman"/>
          </w:rPr>
          <w:instrText xml:space="preserve"> PAGE   \* MERGEFORMAT </w:instrText>
        </w:r>
        <w:r w:rsidRPr="00782AF9">
          <w:rPr>
            <w:rFonts w:ascii="Times New Roman" w:hAnsi="Times New Roman" w:cs="Times New Roman"/>
            <w:color w:val="2B579A"/>
            <w:shd w:val="clear" w:color="auto" w:fill="E6E6E6"/>
          </w:rPr>
          <w:fldChar w:fldCharType="separate"/>
        </w:r>
        <w:r w:rsidR="00F529D1">
          <w:rPr>
            <w:rFonts w:ascii="Times New Roman" w:hAnsi="Times New Roman" w:cs="Times New Roman"/>
            <w:noProof/>
          </w:rPr>
          <w:t>1</w:t>
        </w:r>
        <w:r w:rsidRPr="00782AF9">
          <w:rPr>
            <w:rFonts w:ascii="Times New Roman" w:hAnsi="Times New Roman" w:cs="Times New Roman"/>
            <w:noProof/>
            <w:color w:val="2B579A"/>
            <w:shd w:val="clear" w:color="auto" w:fill="E6E6E6"/>
          </w:rPr>
          <w:fldChar w:fldCharType="end"/>
        </w:r>
      </w:p>
    </w:sdtContent>
  </w:sdt>
  <w:p w14:paraId="3985EE4A" w14:textId="77777777" w:rsidR="000B6475" w:rsidRDefault="000B6475" w:rsidP="31F456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92D9" w14:textId="77777777" w:rsidR="000B6475" w:rsidRDefault="000B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8A70" w14:textId="77777777" w:rsidR="000B6475" w:rsidRDefault="000B6475">
      <w:r>
        <w:separator/>
      </w:r>
    </w:p>
  </w:footnote>
  <w:footnote w:type="continuationSeparator" w:id="0">
    <w:p w14:paraId="0ED105A2" w14:textId="77777777" w:rsidR="000B6475" w:rsidRDefault="000B6475">
      <w:pPr>
        <w:spacing w:after="0" w:line="240" w:lineRule="auto"/>
      </w:pPr>
      <w:r>
        <w:continuationSeparator/>
      </w:r>
    </w:p>
    <w:p w14:paraId="03D1CE07" w14:textId="77777777" w:rsidR="000B6475" w:rsidRDefault="000B6475"/>
  </w:footnote>
  <w:footnote w:type="continuationNotice" w:id="1">
    <w:p w14:paraId="123D19E5" w14:textId="77777777" w:rsidR="000B6475" w:rsidRDefault="000B6475">
      <w:pPr>
        <w:spacing w:after="0" w:line="240" w:lineRule="auto"/>
      </w:pPr>
    </w:p>
    <w:p w14:paraId="4D171B8A" w14:textId="77777777" w:rsidR="000B6475" w:rsidRDefault="000B6475"/>
  </w:footnote>
  <w:footnote w:id="2">
    <w:p w14:paraId="51F8045C" w14:textId="39EC7D78" w:rsidR="000B6475" w:rsidRPr="000733F2" w:rsidRDefault="000B6475" w:rsidP="006B4EED">
      <w:pPr>
        <w:pStyle w:val="FootnoteText"/>
        <w:rPr>
          <w:rFonts w:ascii="Times New Roman"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rPr>
        <w:t xml:space="preserve"> European innovation scoreboard (https://ec.europa.eu/info/research-and-innovation/statistics/performance-indicators/european-innovation-scoreboard_en)</w:t>
      </w:r>
    </w:p>
  </w:footnote>
  <w:footnote w:id="3">
    <w:p w14:paraId="24DC32F4" w14:textId="4F9048FF" w:rsidR="000B6475" w:rsidRPr="000733F2" w:rsidRDefault="000B6475" w:rsidP="00ED5FD6">
      <w:pPr>
        <w:pStyle w:val="FootnoteText"/>
        <w:rPr>
          <w:rFonts w:ascii="Times New Roman"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rPr>
        <w:t xml:space="preserve"> Regulation (EU) 2021/241 of the European Parliament and of the Council of 12 February 2021 establishing the Recovery and Resilience Facility</w:t>
      </w:r>
      <w:r w:rsidRPr="000733F2">
        <w:rPr>
          <w:rFonts w:ascii="Times New Roman" w:eastAsia="Times New Roman" w:hAnsi="Times New Roman" w:cs="Times New Roman"/>
        </w:rPr>
        <w:t xml:space="preserve"> (hereafter ‘the Recovery and Resilience Facility Regulation’)</w:t>
      </w:r>
      <w:r w:rsidR="00C0646B" w:rsidRPr="000733F2">
        <w:rPr>
          <w:rFonts w:ascii="Times New Roman" w:eastAsia="Times New Roman" w:hAnsi="Times New Roman" w:cs="Times New Roman"/>
        </w:rPr>
        <w:t xml:space="preserve"> (https://eur-lex.europa.eu/legal-content/EN/TXT/?uri=CELEX%3A32021R0241)</w:t>
      </w:r>
      <w:r w:rsidRPr="000733F2">
        <w:rPr>
          <w:rFonts w:ascii="Times New Roman" w:eastAsia="Times New Roman" w:hAnsi="Times New Roman" w:cs="Times New Roman"/>
        </w:rPr>
        <w:t>.</w:t>
      </w:r>
    </w:p>
  </w:footnote>
  <w:footnote w:id="4">
    <w:p w14:paraId="32B0DC54" w14:textId="77777777" w:rsidR="000B6475" w:rsidRPr="00F611C0" w:rsidRDefault="000B6475" w:rsidP="00503238">
      <w:pPr>
        <w:pStyle w:val="FootnoteText"/>
        <w:rPr>
          <w:lang w:val="en-GB"/>
        </w:rPr>
      </w:pPr>
      <w:r>
        <w:rPr>
          <w:rStyle w:val="FootnoteReference"/>
        </w:rPr>
        <w:footnoteRef/>
      </w:r>
      <w:r>
        <w:t xml:space="preserve"> </w:t>
      </w:r>
      <w:r w:rsidRPr="00FF4258">
        <w:rPr>
          <w:rFonts w:ascii="Times New Roman" w:hAnsi="Times New Roman" w:cs="Times New Roman"/>
          <w:u w:val="single"/>
        </w:rPr>
        <w:t xml:space="preserve">See “Households´ income and the cushioning effect of fiscal policy measures during the Great Lockdown”, </w:t>
      </w:r>
      <w:hyperlink r:id="rId1" w:history="1">
        <w:r w:rsidRPr="00FF4258">
          <w:rPr>
            <w:rStyle w:val="Hyperlink"/>
            <w:rFonts w:ascii="Times New Roman" w:hAnsi="Times New Roman" w:cs="Times New Roman"/>
            <w:color w:val="auto"/>
          </w:rPr>
          <w:t>https://ec.europa.eu/jrc/sites/jrcsh/files/jrc121598.pdf</w:t>
        </w:r>
      </w:hyperlink>
      <w:r w:rsidRPr="00FF4258">
        <w:rPr>
          <w:rStyle w:val="Hyperlink"/>
          <w:rFonts w:ascii="Times New Roman" w:hAnsi="Times New Roman" w:cs="Times New Roman"/>
          <w:color w:val="auto"/>
        </w:rPr>
        <w:t>.</w:t>
      </w:r>
    </w:p>
  </w:footnote>
  <w:footnote w:id="5">
    <w:p w14:paraId="3F22FB48" w14:textId="2F2B3F2C" w:rsidR="000B6475" w:rsidRPr="00F84D18" w:rsidRDefault="000B6475" w:rsidP="00D51D35">
      <w:pPr>
        <w:jc w:val="both"/>
        <w:rPr>
          <w:rFonts w:cs="Times New Roman"/>
        </w:rPr>
      </w:pPr>
      <w:r w:rsidRPr="00F84D18">
        <w:rPr>
          <w:rStyle w:val="FootnoteReference"/>
        </w:rPr>
        <w:footnoteRef/>
      </w:r>
      <w:r w:rsidRPr="00F84D18">
        <w:t xml:space="preserve"> </w:t>
      </w:r>
      <w:r w:rsidRPr="00F84D18">
        <w:rPr>
          <w:rFonts w:ascii="Times New Roman" w:hAnsi="Times New Roman" w:cs="Times New Roman"/>
          <w:sz w:val="20"/>
          <w:szCs w:val="20"/>
        </w:rPr>
        <w:t>Amaral-Garcia, S., Compano, R., Domnick, C., Fako, P., Gavigan J and Testa, G. (2022): High Growth Enterprises Demographics &amp; Finance with a focus on venture capital: Factsheet - Germany, JRC128693</w:t>
      </w:r>
    </w:p>
    <w:p w14:paraId="3C0EBCD1" w14:textId="77777777" w:rsidR="000B6475" w:rsidRPr="00B73F89" w:rsidRDefault="000B6475" w:rsidP="00D51D35">
      <w:pPr>
        <w:pStyle w:val="FootnoteText"/>
      </w:pPr>
    </w:p>
  </w:footnote>
  <w:footnote w:id="6">
    <w:p w14:paraId="3CE0C6BF" w14:textId="77777777" w:rsidR="000B6475" w:rsidRPr="00386838" w:rsidRDefault="000B6475" w:rsidP="00541C06">
      <w:pPr>
        <w:autoSpaceDE w:val="0"/>
        <w:autoSpaceDN w:val="0"/>
        <w:adjustRightInd w:val="0"/>
        <w:spacing w:after="0" w:line="240" w:lineRule="auto"/>
        <w:jc w:val="both"/>
        <w:rPr>
          <w:rFonts w:ascii="ECSquareSansPro" w:hAnsi="ECSquareSansPro" w:cs="ECSquareSansPro"/>
          <w:sz w:val="16"/>
          <w:szCs w:val="16"/>
          <w:lang w:val="en-GB"/>
        </w:rPr>
      </w:pPr>
      <w:r>
        <w:rPr>
          <w:rStyle w:val="FootnoteReference"/>
        </w:rPr>
        <w:footnoteRef/>
      </w:r>
      <w:r>
        <w:t xml:space="preserve"> </w:t>
      </w:r>
      <w:r w:rsidRPr="00386838">
        <w:rPr>
          <w:rFonts w:ascii="Times New Roman" w:hAnsi="Times New Roman" w:cs="Times New Roman"/>
          <w:sz w:val="20"/>
          <w:szCs w:val="20"/>
          <w:lang w:val="en-GB"/>
        </w:rPr>
        <w:t>Crucitti, F., Lazarou, N., Monfort, P., and Salotti, S. (2021). A scenario analysis of the 2021-2027 European Cohesion Policy in Bulgaria and its regions. JRC Working Papers on Territorial Modelling and Analysis 06/2021, JRC126268.</w:t>
      </w:r>
    </w:p>
  </w:footnote>
  <w:footnote w:id="7">
    <w:p w14:paraId="14CD2BC2" w14:textId="13303A4F" w:rsidR="000733F2" w:rsidRPr="000733F2" w:rsidRDefault="000B6475">
      <w:pPr>
        <w:pStyle w:val="FootnoteText"/>
        <w:rPr>
          <w:rFonts w:ascii="Times New Roman" w:hAnsi="Times New Roman" w:cs="Times New Roman"/>
          <w:lang w:val="it-IT"/>
        </w:rPr>
      </w:pPr>
      <w:r w:rsidRPr="000733F2">
        <w:rPr>
          <w:rStyle w:val="FootnoteReference"/>
          <w:rFonts w:ascii="Times New Roman" w:hAnsi="Times New Roman" w:cs="Times New Roman"/>
        </w:rPr>
        <w:footnoteRef/>
      </w:r>
      <w:r w:rsidRPr="000733F2">
        <w:rPr>
          <w:rFonts w:ascii="Times New Roman" w:hAnsi="Times New Roman" w:cs="Times New Roman"/>
          <w:lang w:val="it-IT"/>
        </w:rPr>
        <w:t xml:space="preserve"> Eurostat 2019 (</w:t>
      </w:r>
      <w:hyperlink r:id="rId2" w:history="1">
        <w:r w:rsidR="000733F2" w:rsidRPr="000733F2">
          <w:rPr>
            <w:rStyle w:val="Hyperlink"/>
            <w:rFonts w:ascii="Times New Roman" w:hAnsi="Times New Roman" w:cs="Times New Roman"/>
            <w:lang w:val="it-IT"/>
          </w:rPr>
          <w:t>https://appsso.eurostat.ec.europa.eu/nui/show.do?dataset=env_ac_cur&amp;lang=en</w:t>
        </w:r>
      </w:hyperlink>
      <w:r w:rsidRPr="000733F2">
        <w:rPr>
          <w:rFonts w:ascii="Times New Roman" w:hAnsi="Times New Roman" w:cs="Times New Roman"/>
          <w:lang w:val="it-IT"/>
        </w:rPr>
        <w:t>)</w:t>
      </w:r>
    </w:p>
  </w:footnote>
  <w:footnote w:id="8">
    <w:p w14:paraId="2B2BF4D6" w14:textId="13106733" w:rsidR="000B6475" w:rsidRPr="000733F2" w:rsidRDefault="000B6475">
      <w:pPr>
        <w:pStyle w:val="FootnoteText"/>
        <w:rPr>
          <w:lang w:val="it-IT"/>
        </w:rPr>
      </w:pPr>
      <w:r>
        <w:rPr>
          <w:rStyle w:val="FootnoteReference"/>
        </w:rPr>
        <w:footnoteRef/>
      </w:r>
      <w:r w:rsidRPr="000733F2">
        <w:rPr>
          <w:lang w:val="it-IT"/>
        </w:rPr>
        <w:t xml:space="preserve"> https://ec.europa.eu/environment/ecoap/bulgaria_en</w:t>
      </w:r>
    </w:p>
  </w:footnote>
  <w:footnote w:id="9">
    <w:p w14:paraId="686DC8C3" w14:textId="57CAB1E6" w:rsidR="000B6475" w:rsidRPr="004F2DAB" w:rsidRDefault="000B6475">
      <w:pPr>
        <w:pStyle w:val="FootnoteText"/>
        <w:rPr>
          <w:rFonts w:ascii="Times New Roman" w:hAnsi="Times New Roman" w:cs="Times New Roman"/>
          <w:lang w:val="en-GB"/>
        </w:rPr>
      </w:pPr>
      <w:r w:rsidRPr="00D729DF">
        <w:rPr>
          <w:rStyle w:val="FootnoteReference"/>
          <w:rFonts w:ascii="Times New Roman" w:hAnsi="Times New Roman" w:cs="Times New Roman"/>
        </w:rPr>
        <w:footnoteRef/>
      </w:r>
      <w:r w:rsidRPr="004F2DAB">
        <w:rPr>
          <w:rFonts w:ascii="Times New Roman" w:hAnsi="Times New Roman" w:cs="Times New Roman"/>
          <w:lang w:val="en-GB"/>
        </w:rPr>
        <w:t xml:space="preserve"> </w:t>
      </w:r>
      <w:hyperlink r:id="rId3" w:history="1">
        <w:r w:rsidRPr="004F2DAB">
          <w:rPr>
            <w:rStyle w:val="Hyperlink"/>
            <w:rFonts w:ascii="Times New Roman" w:hAnsi="Times New Roman" w:cs="Times New Roman"/>
            <w:lang w:val="en-GB"/>
          </w:rPr>
          <w:t>https://ec.europa.eu/transport/themes/sustainable-transport/internalisation-transport-external-costs_en</w:t>
        </w:r>
      </w:hyperlink>
    </w:p>
  </w:footnote>
  <w:footnote w:id="10">
    <w:p w14:paraId="1528A8DD" w14:textId="35636BB6" w:rsidR="000B6475" w:rsidRPr="00D729DF" w:rsidRDefault="000B6475" w:rsidP="14500D06">
      <w:pPr>
        <w:rPr>
          <w:rFonts w:ascii="Times New Roman" w:hAnsi="Times New Roman" w:cs="Times New Roman"/>
        </w:rPr>
      </w:pPr>
      <w:r w:rsidRPr="00D729DF">
        <w:rPr>
          <w:rFonts w:ascii="Times New Roman" w:hAnsi="Times New Roman" w:cs="Times New Roman"/>
          <w:sz w:val="20"/>
          <w:szCs w:val="20"/>
          <w:vertAlign w:val="superscript"/>
        </w:rPr>
        <w:footnoteRef/>
      </w:r>
      <w:r w:rsidRPr="00D729DF">
        <w:rPr>
          <w:rFonts w:ascii="Times New Roman" w:hAnsi="Times New Roman" w:cs="Times New Roman"/>
          <w:sz w:val="20"/>
          <w:szCs w:val="20"/>
          <w:vertAlign w:val="superscript"/>
        </w:rPr>
        <w:t xml:space="preserve"> </w:t>
      </w:r>
      <w:hyperlink r:id="rId4" w:history="1">
        <w:r w:rsidRPr="00D729DF">
          <w:rPr>
            <w:rStyle w:val="Hyperlink"/>
            <w:rFonts w:ascii="Times New Roman" w:hAnsi="Times New Roman" w:cs="Times New Roman"/>
            <w:sz w:val="20"/>
            <w:szCs w:val="20"/>
          </w:rPr>
          <w:t>https://digital-strategy.ec.europa.eu/en/policies/desi-bulgaria</w:t>
        </w:r>
      </w:hyperlink>
    </w:p>
  </w:footnote>
  <w:footnote w:id="11">
    <w:p w14:paraId="0A9C5AEE" w14:textId="31F1014F" w:rsidR="000B6475" w:rsidRPr="000733F2" w:rsidRDefault="000B6475" w:rsidP="004F2DAB">
      <w:pPr>
        <w:pStyle w:val="FootnoteText"/>
        <w:jc w:val="both"/>
        <w:rPr>
          <w:rFonts w:ascii="Times New Roman"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lang w:val="en-IE"/>
        </w:rPr>
        <w:t xml:space="preserve">Larger agglomerations are defined as agglomerations above 10 000 </w:t>
      </w:r>
      <w:r w:rsidRPr="000733F2">
        <w:rPr>
          <w:rFonts w:ascii="Times New Roman" w:hAnsi="Times New Roman" w:cs="Times New Roman"/>
          <w:i/>
          <w:lang w:val="en-IE"/>
        </w:rPr>
        <w:t>population equivalent</w:t>
      </w:r>
      <w:r w:rsidRPr="000733F2">
        <w:rPr>
          <w:rFonts w:ascii="Times New Roman" w:hAnsi="Times New Roman" w:cs="Times New Roman"/>
          <w:lang w:val="en-IE"/>
        </w:rPr>
        <w:t xml:space="preserve">, while smaller agglomerations are agglomerations between 5 000 and 10 000 </w:t>
      </w:r>
      <w:r w:rsidRPr="000733F2">
        <w:rPr>
          <w:rFonts w:ascii="Times New Roman" w:hAnsi="Times New Roman" w:cs="Times New Roman"/>
          <w:i/>
          <w:lang w:val="en-IE"/>
        </w:rPr>
        <w:t>population equivalent</w:t>
      </w:r>
      <w:r w:rsidRPr="000733F2">
        <w:rPr>
          <w:rFonts w:ascii="Times New Roman" w:hAnsi="Times New Roman" w:cs="Times New Roman"/>
          <w:lang w:val="en-IE"/>
        </w:rPr>
        <w:t xml:space="preserve">. </w:t>
      </w:r>
      <w:r w:rsidRPr="000733F2">
        <w:rPr>
          <w:rFonts w:ascii="Times New Roman" w:hAnsi="Times New Roman" w:cs="Times New Roman"/>
          <w:i/>
          <w:lang w:val="en-IE"/>
        </w:rPr>
        <w:t>Population equivalent</w:t>
      </w:r>
      <w:r w:rsidRPr="000733F2">
        <w:rPr>
          <w:rFonts w:ascii="Times New Roman" w:hAnsi="Times New Roman" w:cs="Times New Roman"/>
          <w:lang w:val="en-IE"/>
        </w:rPr>
        <w:t xml:space="preserve"> is the technical term used in waste water projects. In particular, it refers to the amount of oxygen—demanding substances whose oxygen consumption during biodegradation equals the average oxygen demand of the waste water produced by one person.</w:t>
      </w:r>
      <w:r w:rsidRPr="000733F2">
        <w:rPr>
          <w:rFonts w:ascii="Times New Roman" w:hAnsi="Times New Roman" w:cs="Times New Roman"/>
        </w:rPr>
        <w:t xml:space="preserve"> </w:t>
      </w:r>
    </w:p>
  </w:footnote>
  <w:footnote w:id="12">
    <w:p w14:paraId="58EA5A36" w14:textId="3FF904B9" w:rsidR="00DF0254" w:rsidRPr="000733F2" w:rsidRDefault="00DF0254">
      <w:pPr>
        <w:pStyle w:val="FootnoteText"/>
        <w:rPr>
          <w:rFonts w:ascii="Times New Roman"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rPr>
        <w:t xml:space="preserve"> </w:t>
      </w:r>
      <w:hyperlink r:id="rId5">
        <w:r w:rsidRPr="000733F2">
          <w:rPr>
            <w:rFonts w:ascii="Times New Roman" w:hAnsi="Times New Roman" w:cs="Times New Roman"/>
            <w:lang w:val="en-IE"/>
          </w:rPr>
          <w:t>https://www.nextgeneration.bg</w:t>
        </w:r>
      </w:hyperlink>
    </w:p>
  </w:footnote>
  <w:footnote w:id="13">
    <w:p w14:paraId="45733EB5" w14:textId="77777777" w:rsidR="000B6475" w:rsidRPr="00EF3578" w:rsidRDefault="000B6475" w:rsidP="00EF3578">
      <w:pPr>
        <w:pStyle w:val="FootnoteText"/>
        <w:jc w:val="both"/>
        <w:rPr>
          <w:rFonts w:ascii="Times New Roman"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rPr>
        <w:t xml:space="preserve"> </w:t>
      </w:r>
      <w:r w:rsidRPr="000733F2">
        <w:rPr>
          <w:rFonts w:ascii="Times New Roman" w:eastAsia="Times New Roman" w:hAnsi="Times New Roman" w:cs="Times New Roman"/>
          <w:lang w:val="en-GB"/>
        </w:rPr>
        <w:t>Commission Regulation 651/2014, OJ L 187, 26.6.2014, p. 1</w:t>
      </w:r>
    </w:p>
  </w:footnote>
  <w:footnote w:id="14">
    <w:p w14:paraId="22C2A240" w14:textId="77777777" w:rsidR="000B6475" w:rsidRPr="000733F2" w:rsidRDefault="000B6475" w:rsidP="006B4EED">
      <w:pPr>
        <w:pStyle w:val="FootnoteText"/>
        <w:rPr>
          <w:rStyle w:val="Hyperlink"/>
          <w:rFonts w:ascii="Times New Roman" w:eastAsia="Calibri" w:hAnsi="Times New Roman" w:cs="Times New Roman"/>
        </w:rPr>
      </w:pPr>
      <w:r w:rsidRPr="000733F2">
        <w:rPr>
          <w:rStyle w:val="FootnoteReference"/>
          <w:rFonts w:ascii="Times New Roman" w:hAnsi="Times New Roman" w:cs="Times New Roman"/>
        </w:rPr>
        <w:footnoteRef/>
      </w:r>
      <w:r w:rsidRPr="000733F2">
        <w:rPr>
          <w:rFonts w:ascii="Times New Roman" w:hAnsi="Times New Roman" w:cs="Times New Roman"/>
        </w:rPr>
        <w:t xml:space="preserve"> </w:t>
      </w:r>
      <w:r w:rsidRPr="000733F2">
        <w:rPr>
          <w:rStyle w:val="FootnoteReference"/>
          <w:rFonts w:ascii="Times New Roman" w:hAnsi="Times New Roman" w:cs="Times New Roman"/>
        </w:rPr>
        <w:t xml:space="preserve">COM(2020) 102 final, </w:t>
      </w:r>
      <w:hyperlink r:id="rId6" w:history="1">
        <w:r w:rsidRPr="000733F2">
          <w:rPr>
            <w:rStyle w:val="FootnoteReference"/>
            <w:rFonts w:ascii="Times New Roman" w:hAnsi="Times New Roman" w:cs="Times New Roman"/>
          </w:rPr>
          <w:t>https://ec.europa.eu/info/sites/info/files/communication-eu-industrial-strategy-march-2020_en.pdf</w:t>
        </w:r>
      </w:hyperlink>
      <w:r w:rsidRPr="000733F2">
        <w:rPr>
          <w:rStyle w:val="FootnoteReference"/>
          <w:rFonts w:ascii="Times New Roman" w:hAnsi="Times New Roman" w:cs="Times New Roman"/>
        </w:rPr>
        <w:t xml:space="preserve"> and COM(2021) 350 final </w:t>
      </w:r>
      <w:hyperlink r:id="rId7" w:history="1">
        <w:r w:rsidRPr="000733F2">
          <w:rPr>
            <w:rStyle w:val="FootnoteReference"/>
            <w:rFonts w:ascii="Times New Roman" w:hAnsi="Times New Roman" w:cs="Times New Roman"/>
          </w:rPr>
          <w:t>https://ec.europa.eu/info/sites/default/files/ communication-industrial-strategy-update-2020_en.pdf</w:t>
        </w:r>
      </w:hyperlink>
      <w:r w:rsidRPr="000733F2">
        <w:rPr>
          <w:rFonts w:ascii="Times New Roman" w:eastAsia="Calibri" w:hAnsi="Times New Roman" w:cs="Times New Roman"/>
          <w:color w:val="1F497D"/>
          <w:sz w:val="22"/>
          <w:szCs w:val="22"/>
        </w:rPr>
        <w:t xml:space="preserve"> </w:t>
      </w:r>
    </w:p>
  </w:footnote>
  <w:footnote w:id="15">
    <w:p w14:paraId="2402293B" w14:textId="77777777" w:rsidR="000B6475" w:rsidRDefault="000B6475" w:rsidP="00FE53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six environmental objectives comprise (1) climate change mitigation, (2) climate change adaptation, (3) sustainable use and protection of water and marine resources, (4) the circular economy, (5) pollution prevention and control, and (6) protection and restoration of biodiversity and ecosystems.</w:t>
      </w:r>
    </w:p>
  </w:footnote>
  <w:footnote w:id="16">
    <w:p w14:paraId="2DDF3799" w14:textId="4BC9A00E" w:rsidR="000B6475" w:rsidRPr="005672D6" w:rsidRDefault="000B6475">
      <w:pPr>
        <w:pStyle w:val="FootnoteText"/>
        <w:rPr>
          <w:lang w:val="en-GB"/>
        </w:rPr>
      </w:pPr>
      <w:r>
        <w:rPr>
          <w:rStyle w:val="FootnoteReference"/>
        </w:rPr>
        <w:footnoteRef/>
      </w:r>
      <w:r>
        <w:t xml:space="preserve"> </w:t>
      </w:r>
      <w:r w:rsidRPr="005672D6">
        <w:rPr>
          <w:rFonts w:ascii="Times New Roman" w:eastAsia="Times New Roman" w:hAnsi="Times New Roman" w:cs="Times New Roman"/>
        </w:rPr>
        <w:t>COM(2021) 118 - 2030 Digital Compass: the European way for the Digital Decade, 9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1EE2" w14:textId="77777777" w:rsidR="00F529D1" w:rsidRPr="00F529D1" w:rsidRDefault="00F529D1" w:rsidP="00F52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017A" w14:textId="77777777" w:rsidR="00F529D1" w:rsidRPr="00F529D1" w:rsidRDefault="00F529D1" w:rsidP="00F529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1A2A" w14:textId="77777777" w:rsidR="00F529D1" w:rsidRPr="00F529D1" w:rsidRDefault="00F529D1" w:rsidP="00F529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E4A4" w14:textId="05F0726B" w:rsidR="000B6475" w:rsidRDefault="000B64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42B" w14:textId="74621C88" w:rsidR="000B6475" w:rsidRDefault="000B6475" w:rsidP="31F45692">
    <w:pPr>
      <w:pStyle w:val="Header"/>
      <w:rPr>
        <w:i/>
        <w:i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0628" w14:textId="03203727" w:rsidR="000B6475" w:rsidRDefault="000B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E00"/>
    <w:multiLevelType w:val="multilevel"/>
    <w:tmpl w:val="AF20E67C"/>
    <w:lvl w:ilvl="0">
      <w:start w:val="1"/>
      <w:numFmt w:val="decimal"/>
      <w:lvlText w:val="%1."/>
      <w:lvlJc w:val="left"/>
      <w:pPr>
        <w:tabs>
          <w:tab w:val="num" w:pos="482"/>
        </w:tabs>
        <w:ind w:left="482" w:hanging="482"/>
      </w:pPr>
      <w:rPr>
        <w:rFonts w:hint="default"/>
      </w:rPr>
    </w:lvl>
    <w:lvl w:ilvl="1">
      <w:start w:val="1"/>
      <w:numFmt w:val="decimal"/>
      <w:lvlText w:val="%2."/>
      <w:lvlJc w:val="left"/>
      <w:pPr>
        <w:tabs>
          <w:tab w:val="num" w:pos="1202"/>
        </w:tabs>
        <w:ind w:left="1202"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1922"/>
        </w:tabs>
        <w:ind w:left="1922" w:hanging="720"/>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1" w15:restartNumberingAfterBreak="0">
    <w:nsid w:val="0E075945"/>
    <w:multiLevelType w:val="hybridMultilevel"/>
    <w:tmpl w:val="DF648104"/>
    <w:lvl w:ilvl="0" w:tplc="0E38FFF8">
      <w:start w:val="1"/>
      <w:numFmt w:val="bullet"/>
      <w:lvlText w:val="·"/>
      <w:lvlJc w:val="left"/>
      <w:pPr>
        <w:ind w:left="720" w:hanging="360"/>
      </w:pPr>
      <w:rPr>
        <w:rFonts w:ascii="Symbol" w:hAnsi="Symbol" w:hint="default"/>
      </w:rPr>
    </w:lvl>
    <w:lvl w:ilvl="1" w:tplc="8244EB70">
      <w:start w:val="1"/>
      <w:numFmt w:val="bullet"/>
      <w:lvlText w:val="o"/>
      <w:lvlJc w:val="left"/>
      <w:pPr>
        <w:ind w:left="1440" w:hanging="360"/>
      </w:pPr>
      <w:rPr>
        <w:rFonts w:ascii="Courier New" w:hAnsi="Courier New" w:hint="default"/>
      </w:rPr>
    </w:lvl>
    <w:lvl w:ilvl="2" w:tplc="ED440260">
      <w:start w:val="1"/>
      <w:numFmt w:val="bullet"/>
      <w:lvlText w:val=""/>
      <w:lvlJc w:val="left"/>
      <w:pPr>
        <w:ind w:left="2160" w:hanging="360"/>
      </w:pPr>
      <w:rPr>
        <w:rFonts w:ascii="Wingdings" w:hAnsi="Wingdings" w:hint="default"/>
      </w:rPr>
    </w:lvl>
    <w:lvl w:ilvl="3" w:tplc="5E382436">
      <w:start w:val="1"/>
      <w:numFmt w:val="bullet"/>
      <w:lvlText w:val=""/>
      <w:lvlJc w:val="left"/>
      <w:pPr>
        <w:ind w:left="2880" w:hanging="360"/>
      </w:pPr>
      <w:rPr>
        <w:rFonts w:ascii="Symbol" w:hAnsi="Symbol" w:hint="default"/>
      </w:rPr>
    </w:lvl>
    <w:lvl w:ilvl="4" w:tplc="94726A26">
      <w:start w:val="1"/>
      <w:numFmt w:val="bullet"/>
      <w:lvlText w:val="o"/>
      <w:lvlJc w:val="left"/>
      <w:pPr>
        <w:ind w:left="3600" w:hanging="360"/>
      </w:pPr>
      <w:rPr>
        <w:rFonts w:ascii="Courier New" w:hAnsi="Courier New" w:hint="default"/>
      </w:rPr>
    </w:lvl>
    <w:lvl w:ilvl="5" w:tplc="A35A5BD0">
      <w:start w:val="1"/>
      <w:numFmt w:val="bullet"/>
      <w:lvlText w:val=""/>
      <w:lvlJc w:val="left"/>
      <w:pPr>
        <w:ind w:left="4320" w:hanging="360"/>
      </w:pPr>
      <w:rPr>
        <w:rFonts w:ascii="Wingdings" w:hAnsi="Wingdings" w:hint="default"/>
      </w:rPr>
    </w:lvl>
    <w:lvl w:ilvl="6" w:tplc="A4C823C8">
      <w:start w:val="1"/>
      <w:numFmt w:val="bullet"/>
      <w:lvlText w:val=""/>
      <w:lvlJc w:val="left"/>
      <w:pPr>
        <w:ind w:left="5040" w:hanging="360"/>
      </w:pPr>
      <w:rPr>
        <w:rFonts w:ascii="Symbol" w:hAnsi="Symbol" w:hint="default"/>
      </w:rPr>
    </w:lvl>
    <w:lvl w:ilvl="7" w:tplc="2DE881B6">
      <w:start w:val="1"/>
      <w:numFmt w:val="bullet"/>
      <w:lvlText w:val="o"/>
      <w:lvlJc w:val="left"/>
      <w:pPr>
        <w:ind w:left="5760" w:hanging="360"/>
      </w:pPr>
      <w:rPr>
        <w:rFonts w:ascii="Courier New" w:hAnsi="Courier New" w:hint="default"/>
      </w:rPr>
    </w:lvl>
    <w:lvl w:ilvl="8" w:tplc="C2FE39AC">
      <w:start w:val="1"/>
      <w:numFmt w:val="bullet"/>
      <w:lvlText w:val=""/>
      <w:lvlJc w:val="left"/>
      <w:pPr>
        <w:ind w:left="6480" w:hanging="360"/>
      </w:pPr>
      <w:rPr>
        <w:rFonts w:ascii="Wingdings" w:hAnsi="Wingdings" w:hint="default"/>
      </w:rPr>
    </w:lvl>
  </w:abstractNum>
  <w:abstractNum w:abstractNumId="2" w15:restartNumberingAfterBreak="0">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 w15:restartNumberingAfterBreak="0">
    <w:nsid w:val="27F52E43"/>
    <w:multiLevelType w:val="hybridMultilevel"/>
    <w:tmpl w:val="F16EACCC"/>
    <w:lvl w:ilvl="0" w:tplc="A1FCE3D6">
      <w:start w:val="1"/>
      <w:numFmt w:val="bullet"/>
      <w:lvlText w:val="·"/>
      <w:lvlJc w:val="left"/>
      <w:pPr>
        <w:ind w:left="720" w:hanging="360"/>
      </w:pPr>
      <w:rPr>
        <w:rFonts w:ascii="Symbol" w:hAnsi="Symbol" w:hint="default"/>
      </w:rPr>
    </w:lvl>
    <w:lvl w:ilvl="1" w:tplc="47C47EC6">
      <w:start w:val="1"/>
      <w:numFmt w:val="bullet"/>
      <w:lvlText w:val="o"/>
      <w:lvlJc w:val="left"/>
      <w:pPr>
        <w:ind w:left="1440" w:hanging="360"/>
      </w:pPr>
      <w:rPr>
        <w:rFonts w:ascii="Courier New" w:hAnsi="Courier New" w:hint="default"/>
      </w:rPr>
    </w:lvl>
    <w:lvl w:ilvl="2" w:tplc="D8A6E5A8">
      <w:start w:val="1"/>
      <w:numFmt w:val="bullet"/>
      <w:lvlText w:val=""/>
      <w:lvlJc w:val="left"/>
      <w:pPr>
        <w:ind w:left="2160" w:hanging="360"/>
      </w:pPr>
      <w:rPr>
        <w:rFonts w:ascii="Wingdings" w:hAnsi="Wingdings" w:hint="default"/>
      </w:rPr>
    </w:lvl>
    <w:lvl w:ilvl="3" w:tplc="0004D120">
      <w:start w:val="1"/>
      <w:numFmt w:val="bullet"/>
      <w:lvlText w:val=""/>
      <w:lvlJc w:val="left"/>
      <w:pPr>
        <w:ind w:left="2880" w:hanging="360"/>
      </w:pPr>
      <w:rPr>
        <w:rFonts w:ascii="Symbol" w:hAnsi="Symbol" w:hint="default"/>
      </w:rPr>
    </w:lvl>
    <w:lvl w:ilvl="4" w:tplc="664847AA">
      <w:start w:val="1"/>
      <w:numFmt w:val="bullet"/>
      <w:lvlText w:val="o"/>
      <w:lvlJc w:val="left"/>
      <w:pPr>
        <w:ind w:left="3600" w:hanging="360"/>
      </w:pPr>
      <w:rPr>
        <w:rFonts w:ascii="Courier New" w:hAnsi="Courier New" w:hint="default"/>
      </w:rPr>
    </w:lvl>
    <w:lvl w:ilvl="5" w:tplc="BBA06598">
      <w:start w:val="1"/>
      <w:numFmt w:val="bullet"/>
      <w:lvlText w:val=""/>
      <w:lvlJc w:val="left"/>
      <w:pPr>
        <w:ind w:left="4320" w:hanging="360"/>
      </w:pPr>
      <w:rPr>
        <w:rFonts w:ascii="Wingdings" w:hAnsi="Wingdings" w:hint="default"/>
      </w:rPr>
    </w:lvl>
    <w:lvl w:ilvl="6" w:tplc="FD3A63B0">
      <w:start w:val="1"/>
      <w:numFmt w:val="bullet"/>
      <w:lvlText w:val=""/>
      <w:lvlJc w:val="left"/>
      <w:pPr>
        <w:ind w:left="5040" w:hanging="360"/>
      </w:pPr>
      <w:rPr>
        <w:rFonts w:ascii="Symbol" w:hAnsi="Symbol" w:hint="default"/>
      </w:rPr>
    </w:lvl>
    <w:lvl w:ilvl="7" w:tplc="D91CB2E0">
      <w:start w:val="1"/>
      <w:numFmt w:val="bullet"/>
      <w:lvlText w:val="o"/>
      <w:lvlJc w:val="left"/>
      <w:pPr>
        <w:ind w:left="5760" w:hanging="360"/>
      </w:pPr>
      <w:rPr>
        <w:rFonts w:ascii="Courier New" w:hAnsi="Courier New" w:hint="default"/>
      </w:rPr>
    </w:lvl>
    <w:lvl w:ilvl="8" w:tplc="BA6C52A0">
      <w:start w:val="1"/>
      <w:numFmt w:val="bullet"/>
      <w:lvlText w:val=""/>
      <w:lvlJc w:val="left"/>
      <w:pPr>
        <w:ind w:left="6480" w:hanging="360"/>
      </w:pPr>
      <w:rPr>
        <w:rFonts w:ascii="Wingdings" w:hAnsi="Wingdings" w:hint="default"/>
      </w:r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BA0525"/>
    <w:multiLevelType w:val="hybridMultilevel"/>
    <w:tmpl w:val="37643EC0"/>
    <w:lvl w:ilvl="0" w:tplc="D434899A">
      <w:start w:val="1"/>
      <w:numFmt w:val="decimal"/>
      <w:lvlText w:val="%1."/>
      <w:lvlJc w:val="left"/>
      <w:pPr>
        <w:ind w:left="720" w:hanging="360"/>
      </w:pPr>
    </w:lvl>
    <w:lvl w:ilvl="1" w:tplc="5EAEBE16">
      <w:start w:val="1"/>
      <w:numFmt w:val="lowerLetter"/>
      <w:lvlText w:val="%2."/>
      <w:lvlJc w:val="left"/>
      <w:pPr>
        <w:ind w:left="1440" w:hanging="360"/>
      </w:pPr>
    </w:lvl>
    <w:lvl w:ilvl="2" w:tplc="065425C2">
      <w:start w:val="1"/>
      <w:numFmt w:val="lowerRoman"/>
      <w:lvlText w:val="%3."/>
      <w:lvlJc w:val="right"/>
      <w:pPr>
        <w:ind w:left="2160" w:hanging="180"/>
      </w:pPr>
    </w:lvl>
    <w:lvl w:ilvl="3" w:tplc="EA4AB450">
      <w:start w:val="1"/>
      <w:numFmt w:val="decimal"/>
      <w:lvlText w:val="%4."/>
      <w:lvlJc w:val="left"/>
      <w:pPr>
        <w:ind w:left="2880" w:hanging="360"/>
      </w:pPr>
    </w:lvl>
    <w:lvl w:ilvl="4" w:tplc="F48E9316">
      <w:start w:val="1"/>
      <w:numFmt w:val="lowerLetter"/>
      <w:lvlText w:val="%5."/>
      <w:lvlJc w:val="left"/>
      <w:pPr>
        <w:ind w:left="3600" w:hanging="360"/>
      </w:pPr>
    </w:lvl>
    <w:lvl w:ilvl="5" w:tplc="5D3AEDD6">
      <w:start w:val="1"/>
      <w:numFmt w:val="lowerRoman"/>
      <w:lvlText w:val="%6."/>
      <w:lvlJc w:val="right"/>
      <w:pPr>
        <w:ind w:left="4320" w:hanging="180"/>
      </w:pPr>
    </w:lvl>
    <w:lvl w:ilvl="6" w:tplc="EB549286">
      <w:start w:val="1"/>
      <w:numFmt w:val="decimal"/>
      <w:lvlText w:val="%7."/>
      <w:lvlJc w:val="left"/>
      <w:pPr>
        <w:ind w:left="5040" w:hanging="360"/>
      </w:pPr>
    </w:lvl>
    <w:lvl w:ilvl="7" w:tplc="CC16E0C0">
      <w:start w:val="1"/>
      <w:numFmt w:val="lowerLetter"/>
      <w:lvlText w:val="%8."/>
      <w:lvlJc w:val="left"/>
      <w:pPr>
        <w:ind w:left="5760" w:hanging="360"/>
      </w:pPr>
    </w:lvl>
    <w:lvl w:ilvl="8" w:tplc="DD687EDA">
      <w:start w:val="1"/>
      <w:numFmt w:val="lowerRoman"/>
      <w:lvlText w:val="%9."/>
      <w:lvlJc w:val="right"/>
      <w:pPr>
        <w:ind w:left="6480" w:hanging="180"/>
      </w:pPr>
    </w:lvl>
  </w:abstractNum>
  <w:abstractNum w:abstractNumId="6" w15:restartNumberingAfterBreak="0">
    <w:nsid w:val="49E9212C"/>
    <w:multiLevelType w:val="hybridMultilevel"/>
    <w:tmpl w:val="AC8E5ABE"/>
    <w:lvl w:ilvl="0" w:tplc="C5A6E5AC">
      <w:start w:val="1"/>
      <w:numFmt w:val="bullet"/>
      <w:lvlText w:val="-"/>
      <w:lvlJc w:val="left"/>
      <w:pPr>
        <w:ind w:left="-1080" w:hanging="360"/>
      </w:pPr>
      <w:rPr>
        <w:rFonts w:ascii="&quot;Calibri&quot;,sans-serif" w:hAnsi="&quot;Calibri&quot;,sans-serif" w:hint="default"/>
      </w:rPr>
    </w:lvl>
    <w:lvl w:ilvl="1" w:tplc="76E0F49A">
      <w:start w:val="1"/>
      <w:numFmt w:val="bullet"/>
      <w:lvlText w:val="o"/>
      <w:lvlJc w:val="left"/>
      <w:pPr>
        <w:ind w:left="-360" w:hanging="360"/>
      </w:pPr>
      <w:rPr>
        <w:rFonts w:ascii="Courier New" w:hAnsi="Courier New" w:hint="default"/>
      </w:rPr>
    </w:lvl>
    <w:lvl w:ilvl="2" w:tplc="45F2C4EC">
      <w:start w:val="1"/>
      <w:numFmt w:val="bullet"/>
      <w:lvlText w:val=""/>
      <w:lvlJc w:val="left"/>
      <w:pPr>
        <w:ind w:left="360" w:hanging="360"/>
      </w:pPr>
      <w:rPr>
        <w:rFonts w:ascii="Wingdings" w:hAnsi="Wingdings" w:hint="default"/>
      </w:rPr>
    </w:lvl>
    <w:lvl w:ilvl="3" w:tplc="4F0AB4FE">
      <w:start w:val="1"/>
      <w:numFmt w:val="bullet"/>
      <w:lvlText w:val=""/>
      <w:lvlJc w:val="left"/>
      <w:pPr>
        <w:ind w:left="1080" w:hanging="360"/>
      </w:pPr>
      <w:rPr>
        <w:rFonts w:ascii="Symbol" w:hAnsi="Symbol" w:hint="default"/>
      </w:rPr>
    </w:lvl>
    <w:lvl w:ilvl="4" w:tplc="F30CD29A">
      <w:start w:val="1"/>
      <w:numFmt w:val="bullet"/>
      <w:lvlText w:val="o"/>
      <w:lvlJc w:val="left"/>
      <w:pPr>
        <w:ind w:left="1800" w:hanging="360"/>
      </w:pPr>
      <w:rPr>
        <w:rFonts w:ascii="Courier New" w:hAnsi="Courier New" w:hint="default"/>
      </w:rPr>
    </w:lvl>
    <w:lvl w:ilvl="5" w:tplc="EFAAF094">
      <w:start w:val="1"/>
      <w:numFmt w:val="bullet"/>
      <w:lvlText w:val=""/>
      <w:lvlJc w:val="left"/>
      <w:pPr>
        <w:ind w:left="2520" w:hanging="360"/>
      </w:pPr>
      <w:rPr>
        <w:rFonts w:ascii="Wingdings" w:hAnsi="Wingdings" w:hint="default"/>
      </w:rPr>
    </w:lvl>
    <w:lvl w:ilvl="6" w:tplc="25709CB4">
      <w:start w:val="1"/>
      <w:numFmt w:val="bullet"/>
      <w:lvlText w:val=""/>
      <w:lvlJc w:val="left"/>
      <w:pPr>
        <w:ind w:left="3240" w:hanging="360"/>
      </w:pPr>
      <w:rPr>
        <w:rFonts w:ascii="Symbol" w:hAnsi="Symbol" w:hint="default"/>
      </w:rPr>
    </w:lvl>
    <w:lvl w:ilvl="7" w:tplc="325662F6">
      <w:start w:val="1"/>
      <w:numFmt w:val="bullet"/>
      <w:lvlText w:val="o"/>
      <w:lvlJc w:val="left"/>
      <w:pPr>
        <w:ind w:left="3960" w:hanging="360"/>
      </w:pPr>
      <w:rPr>
        <w:rFonts w:ascii="Courier New" w:hAnsi="Courier New" w:hint="default"/>
      </w:rPr>
    </w:lvl>
    <w:lvl w:ilvl="8" w:tplc="EFA4FE32">
      <w:start w:val="1"/>
      <w:numFmt w:val="bullet"/>
      <w:lvlText w:val=""/>
      <w:lvlJc w:val="left"/>
      <w:pPr>
        <w:ind w:left="4680" w:hanging="360"/>
      </w:pPr>
      <w:rPr>
        <w:rFonts w:ascii="Wingdings" w:hAnsi="Wingdings" w:hint="default"/>
      </w:rPr>
    </w:lvl>
  </w:abstractNum>
  <w:abstractNum w:abstractNumId="7" w15:restartNumberingAfterBreak="0">
    <w:nsid w:val="53412ADD"/>
    <w:multiLevelType w:val="hybridMultilevel"/>
    <w:tmpl w:val="4A0E8D9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5CFB4085"/>
    <w:multiLevelType w:val="hybridMultilevel"/>
    <w:tmpl w:val="DCF439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6AB713C"/>
    <w:multiLevelType w:val="hybridMultilevel"/>
    <w:tmpl w:val="AE209E92"/>
    <w:lvl w:ilvl="0" w:tplc="C5A6E5AC">
      <w:start w:val="1"/>
      <w:numFmt w:val="bullet"/>
      <w:lvlText w:val="-"/>
      <w:lvlJc w:val="left"/>
      <w:pPr>
        <w:ind w:left="720" w:hanging="360"/>
      </w:pPr>
      <w:rPr>
        <w:rFonts w:ascii="&quot;Calibri&quot;,sans-serif" w:hAnsi="&quot;Calibri&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363A9"/>
    <w:multiLevelType w:val="hybridMultilevel"/>
    <w:tmpl w:val="2B14EC98"/>
    <w:lvl w:ilvl="0" w:tplc="0EBEEBD8">
      <w:start w:val="1"/>
      <w:numFmt w:val="bullet"/>
      <w:lvlText w:val="·"/>
      <w:lvlJc w:val="left"/>
      <w:pPr>
        <w:ind w:left="720" w:hanging="360"/>
      </w:pPr>
      <w:rPr>
        <w:rFonts w:ascii="Symbol" w:hAnsi="Symbol" w:hint="default"/>
      </w:rPr>
    </w:lvl>
    <w:lvl w:ilvl="1" w:tplc="3D2ADE1A">
      <w:start w:val="1"/>
      <w:numFmt w:val="bullet"/>
      <w:lvlText w:val="o"/>
      <w:lvlJc w:val="left"/>
      <w:pPr>
        <w:ind w:left="1440" w:hanging="360"/>
      </w:pPr>
      <w:rPr>
        <w:rFonts w:ascii="Courier New" w:hAnsi="Courier New" w:hint="default"/>
      </w:rPr>
    </w:lvl>
    <w:lvl w:ilvl="2" w:tplc="0A4665A0">
      <w:start w:val="1"/>
      <w:numFmt w:val="bullet"/>
      <w:lvlText w:val=""/>
      <w:lvlJc w:val="left"/>
      <w:pPr>
        <w:ind w:left="2160" w:hanging="360"/>
      </w:pPr>
      <w:rPr>
        <w:rFonts w:ascii="Wingdings" w:hAnsi="Wingdings" w:hint="default"/>
      </w:rPr>
    </w:lvl>
    <w:lvl w:ilvl="3" w:tplc="3488D6AE">
      <w:start w:val="1"/>
      <w:numFmt w:val="bullet"/>
      <w:lvlText w:val=""/>
      <w:lvlJc w:val="left"/>
      <w:pPr>
        <w:ind w:left="2880" w:hanging="360"/>
      </w:pPr>
      <w:rPr>
        <w:rFonts w:ascii="Symbol" w:hAnsi="Symbol" w:hint="default"/>
      </w:rPr>
    </w:lvl>
    <w:lvl w:ilvl="4" w:tplc="4C44250C">
      <w:start w:val="1"/>
      <w:numFmt w:val="bullet"/>
      <w:lvlText w:val="o"/>
      <w:lvlJc w:val="left"/>
      <w:pPr>
        <w:ind w:left="3600" w:hanging="360"/>
      </w:pPr>
      <w:rPr>
        <w:rFonts w:ascii="Courier New" w:hAnsi="Courier New" w:hint="default"/>
      </w:rPr>
    </w:lvl>
    <w:lvl w:ilvl="5" w:tplc="A02C4022">
      <w:start w:val="1"/>
      <w:numFmt w:val="bullet"/>
      <w:lvlText w:val=""/>
      <w:lvlJc w:val="left"/>
      <w:pPr>
        <w:ind w:left="4320" w:hanging="360"/>
      </w:pPr>
      <w:rPr>
        <w:rFonts w:ascii="Wingdings" w:hAnsi="Wingdings" w:hint="default"/>
      </w:rPr>
    </w:lvl>
    <w:lvl w:ilvl="6" w:tplc="DCC40398">
      <w:start w:val="1"/>
      <w:numFmt w:val="bullet"/>
      <w:lvlText w:val=""/>
      <w:lvlJc w:val="left"/>
      <w:pPr>
        <w:ind w:left="5040" w:hanging="360"/>
      </w:pPr>
      <w:rPr>
        <w:rFonts w:ascii="Symbol" w:hAnsi="Symbol" w:hint="default"/>
      </w:rPr>
    </w:lvl>
    <w:lvl w:ilvl="7" w:tplc="221E526C">
      <w:start w:val="1"/>
      <w:numFmt w:val="bullet"/>
      <w:lvlText w:val="o"/>
      <w:lvlJc w:val="left"/>
      <w:pPr>
        <w:ind w:left="5760" w:hanging="360"/>
      </w:pPr>
      <w:rPr>
        <w:rFonts w:ascii="Courier New" w:hAnsi="Courier New" w:hint="default"/>
      </w:rPr>
    </w:lvl>
    <w:lvl w:ilvl="8" w:tplc="54CECA6E">
      <w:start w:val="1"/>
      <w:numFmt w:val="bullet"/>
      <w:lvlText w:val=""/>
      <w:lvlJc w:val="left"/>
      <w:pPr>
        <w:ind w:left="6480" w:hanging="360"/>
      </w:pPr>
      <w:rPr>
        <w:rFonts w:ascii="Wingdings" w:hAnsi="Wingdings" w:hint="default"/>
      </w:rPr>
    </w:lvl>
  </w:abstractNum>
  <w:abstractNum w:abstractNumId="11" w15:restartNumberingAfterBreak="0">
    <w:nsid w:val="78C576F1"/>
    <w:multiLevelType w:val="hybridMultilevel"/>
    <w:tmpl w:val="9D149212"/>
    <w:lvl w:ilvl="0" w:tplc="50CAAC8E">
      <w:start w:val="1"/>
      <w:numFmt w:val="bullet"/>
      <w:lvlText w:val="-"/>
      <w:lvlJc w:val="left"/>
      <w:pPr>
        <w:ind w:left="720" w:hanging="360"/>
      </w:pPr>
      <w:rPr>
        <w:rFonts w:ascii="&quot;Times New Roman&quot;,serif" w:hAnsi="&quot;Times New Roman&quot;,serif" w:hint="default"/>
      </w:rPr>
    </w:lvl>
    <w:lvl w:ilvl="1" w:tplc="35161A6E">
      <w:start w:val="1"/>
      <w:numFmt w:val="bullet"/>
      <w:lvlText w:val="o"/>
      <w:lvlJc w:val="left"/>
      <w:pPr>
        <w:ind w:left="1440" w:hanging="360"/>
      </w:pPr>
      <w:rPr>
        <w:rFonts w:ascii="Courier New" w:hAnsi="Courier New" w:hint="default"/>
      </w:rPr>
    </w:lvl>
    <w:lvl w:ilvl="2" w:tplc="4CC8F494">
      <w:start w:val="1"/>
      <w:numFmt w:val="bullet"/>
      <w:lvlText w:val=""/>
      <w:lvlJc w:val="left"/>
      <w:pPr>
        <w:ind w:left="2160" w:hanging="360"/>
      </w:pPr>
      <w:rPr>
        <w:rFonts w:ascii="Wingdings" w:hAnsi="Wingdings" w:hint="default"/>
      </w:rPr>
    </w:lvl>
    <w:lvl w:ilvl="3" w:tplc="60D08390">
      <w:start w:val="1"/>
      <w:numFmt w:val="bullet"/>
      <w:lvlText w:val=""/>
      <w:lvlJc w:val="left"/>
      <w:pPr>
        <w:ind w:left="2880" w:hanging="360"/>
      </w:pPr>
      <w:rPr>
        <w:rFonts w:ascii="Symbol" w:hAnsi="Symbol" w:hint="default"/>
      </w:rPr>
    </w:lvl>
    <w:lvl w:ilvl="4" w:tplc="9EBAEBE8">
      <w:start w:val="1"/>
      <w:numFmt w:val="bullet"/>
      <w:lvlText w:val="o"/>
      <w:lvlJc w:val="left"/>
      <w:pPr>
        <w:ind w:left="3600" w:hanging="360"/>
      </w:pPr>
      <w:rPr>
        <w:rFonts w:ascii="Courier New" w:hAnsi="Courier New" w:hint="default"/>
      </w:rPr>
    </w:lvl>
    <w:lvl w:ilvl="5" w:tplc="ADE811BA">
      <w:start w:val="1"/>
      <w:numFmt w:val="bullet"/>
      <w:lvlText w:val=""/>
      <w:lvlJc w:val="left"/>
      <w:pPr>
        <w:ind w:left="4320" w:hanging="360"/>
      </w:pPr>
      <w:rPr>
        <w:rFonts w:ascii="Wingdings" w:hAnsi="Wingdings" w:hint="default"/>
      </w:rPr>
    </w:lvl>
    <w:lvl w:ilvl="6" w:tplc="929CE3A8">
      <w:start w:val="1"/>
      <w:numFmt w:val="bullet"/>
      <w:lvlText w:val=""/>
      <w:lvlJc w:val="left"/>
      <w:pPr>
        <w:ind w:left="5040" w:hanging="360"/>
      </w:pPr>
      <w:rPr>
        <w:rFonts w:ascii="Symbol" w:hAnsi="Symbol" w:hint="default"/>
      </w:rPr>
    </w:lvl>
    <w:lvl w:ilvl="7" w:tplc="67FED208">
      <w:start w:val="1"/>
      <w:numFmt w:val="bullet"/>
      <w:lvlText w:val="o"/>
      <w:lvlJc w:val="left"/>
      <w:pPr>
        <w:ind w:left="5760" w:hanging="360"/>
      </w:pPr>
      <w:rPr>
        <w:rFonts w:ascii="Courier New" w:hAnsi="Courier New" w:hint="default"/>
      </w:rPr>
    </w:lvl>
    <w:lvl w:ilvl="8" w:tplc="09B60E16">
      <w:start w:val="1"/>
      <w:numFmt w:val="bullet"/>
      <w:lvlText w:val=""/>
      <w:lvlJc w:val="left"/>
      <w:pPr>
        <w:ind w:left="6480" w:hanging="360"/>
      </w:pPr>
      <w:rPr>
        <w:rFonts w:ascii="Wingdings" w:hAnsi="Wingdings" w:hint="default"/>
      </w:rPr>
    </w:lvl>
  </w:abstractNum>
  <w:abstractNum w:abstractNumId="12" w15:restartNumberingAfterBreak="0">
    <w:nsid w:val="7B0A76C9"/>
    <w:multiLevelType w:val="hybridMultilevel"/>
    <w:tmpl w:val="7CCE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14AC4"/>
    <w:multiLevelType w:val="hybridMultilevel"/>
    <w:tmpl w:val="1C86BF32"/>
    <w:lvl w:ilvl="0" w:tplc="7A5CB208">
      <w:start w:val="1"/>
      <w:numFmt w:val="bullet"/>
      <w:lvlText w:val="·"/>
      <w:lvlJc w:val="left"/>
      <w:pPr>
        <w:ind w:left="720" w:hanging="360"/>
      </w:pPr>
      <w:rPr>
        <w:rFonts w:ascii="Symbol" w:hAnsi="Symbol" w:hint="default"/>
      </w:rPr>
    </w:lvl>
    <w:lvl w:ilvl="1" w:tplc="6C8CCD1E">
      <w:start w:val="1"/>
      <w:numFmt w:val="bullet"/>
      <w:lvlText w:val="o"/>
      <w:lvlJc w:val="left"/>
      <w:pPr>
        <w:ind w:left="1440" w:hanging="360"/>
      </w:pPr>
      <w:rPr>
        <w:rFonts w:ascii="Courier New" w:hAnsi="Courier New" w:hint="default"/>
      </w:rPr>
    </w:lvl>
    <w:lvl w:ilvl="2" w:tplc="6CB4CD72">
      <w:start w:val="1"/>
      <w:numFmt w:val="bullet"/>
      <w:lvlText w:val=""/>
      <w:lvlJc w:val="left"/>
      <w:pPr>
        <w:ind w:left="2160" w:hanging="360"/>
      </w:pPr>
      <w:rPr>
        <w:rFonts w:ascii="Wingdings" w:hAnsi="Wingdings" w:hint="default"/>
      </w:rPr>
    </w:lvl>
    <w:lvl w:ilvl="3" w:tplc="29DAD406">
      <w:start w:val="1"/>
      <w:numFmt w:val="bullet"/>
      <w:lvlText w:val=""/>
      <w:lvlJc w:val="left"/>
      <w:pPr>
        <w:ind w:left="2880" w:hanging="360"/>
      </w:pPr>
      <w:rPr>
        <w:rFonts w:ascii="Symbol" w:hAnsi="Symbol" w:hint="default"/>
      </w:rPr>
    </w:lvl>
    <w:lvl w:ilvl="4" w:tplc="66C4CFAE">
      <w:start w:val="1"/>
      <w:numFmt w:val="bullet"/>
      <w:lvlText w:val="o"/>
      <w:lvlJc w:val="left"/>
      <w:pPr>
        <w:ind w:left="3600" w:hanging="360"/>
      </w:pPr>
      <w:rPr>
        <w:rFonts w:ascii="Courier New" w:hAnsi="Courier New" w:hint="default"/>
      </w:rPr>
    </w:lvl>
    <w:lvl w:ilvl="5" w:tplc="C406ADF6">
      <w:start w:val="1"/>
      <w:numFmt w:val="bullet"/>
      <w:lvlText w:val=""/>
      <w:lvlJc w:val="left"/>
      <w:pPr>
        <w:ind w:left="4320" w:hanging="360"/>
      </w:pPr>
      <w:rPr>
        <w:rFonts w:ascii="Wingdings" w:hAnsi="Wingdings" w:hint="default"/>
      </w:rPr>
    </w:lvl>
    <w:lvl w:ilvl="6" w:tplc="66C88F56">
      <w:start w:val="1"/>
      <w:numFmt w:val="bullet"/>
      <w:lvlText w:val=""/>
      <w:lvlJc w:val="left"/>
      <w:pPr>
        <w:ind w:left="5040" w:hanging="360"/>
      </w:pPr>
      <w:rPr>
        <w:rFonts w:ascii="Symbol" w:hAnsi="Symbol" w:hint="default"/>
      </w:rPr>
    </w:lvl>
    <w:lvl w:ilvl="7" w:tplc="71CC1CF2">
      <w:start w:val="1"/>
      <w:numFmt w:val="bullet"/>
      <w:lvlText w:val="o"/>
      <w:lvlJc w:val="left"/>
      <w:pPr>
        <w:ind w:left="5760" w:hanging="360"/>
      </w:pPr>
      <w:rPr>
        <w:rFonts w:ascii="Courier New" w:hAnsi="Courier New" w:hint="default"/>
      </w:rPr>
    </w:lvl>
    <w:lvl w:ilvl="8" w:tplc="DD8CE554">
      <w:start w:val="1"/>
      <w:numFmt w:val="bullet"/>
      <w:lvlText w:val=""/>
      <w:lvlJc w:val="left"/>
      <w:pPr>
        <w:ind w:left="6480" w:hanging="360"/>
      </w:pPr>
      <w:rPr>
        <w:rFonts w:ascii="Wingdings" w:hAnsi="Wingdings" w:hint="default"/>
      </w:rPr>
    </w:lvl>
  </w:abstractNum>
  <w:abstractNum w:abstractNumId="14" w15:restartNumberingAfterBreak="0">
    <w:nsid w:val="7C65145E"/>
    <w:multiLevelType w:val="multilevel"/>
    <w:tmpl w:val="88408258"/>
    <w:lvl w:ilvl="0">
      <w:start w:val="2"/>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13"/>
  </w:num>
  <w:num w:numId="4">
    <w:abstractNumId w:val="3"/>
  </w:num>
  <w:num w:numId="5">
    <w:abstractNumId w:val="1"/>
  </w:num>
  <w:num w:numId="6">
    <w:abstractNumId w:val="10"/>
  </w:num>
  <w:num w:numId="7">
    <w:abstractNumId w:val="14"/>
  </w:num>
  <w:num w:numId="8">
    <w:abstractNumId w:val="0"/>
  </w:num>
  <w:num w:numId="9">
    <w:abstractNumId w:val="4"/>
  </w:num>
  <w:num w:numId="10">
    <w:abstractNumId w:val="12"/>
  </w:num>
  <w:num w:numId="11">
    <w:abstractNumId w:val="2"/>
  </w:num>
  <w:num w:numId="12">
    <w:abstractNumId w:val="7"/>
  </w:num>
  <w:num w:numId="13">
    <w:abstractNumId w:val="8"/>
  </w:num>
  <w:num w:numId="14">
    <w:abstractNumId w:val="6"/>
  </w:num>
  <w:num w:numId="15">
    <w:abstractNumId w:val="9"/>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it-IT" w:vendorID="64" w:dllVersion="131078" w:nlCheck="1" w:checkStyle="0"/>
  <w:revisionView w:markup="0"/>
  <w:documentProtection w:edit="trackedChanges" w:enforcement="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20BC8029-866D-47A8-AF0B-2F9D8D368FD0"/>
    <w:docVar w:name="LW_COVERPAGE_TYPE" w:val="1"/>
    <w:docVar w:name="LW_CROSSREFERENCE" w:val="{COM(2022) 172 final}"/>
    <w:docVar w:name="LW_DocType" w:val="NORMAL"/>
    <w:docVar w:name="LW_EMISSION" w:val="7.4.2022"/>
    <w:docVar w:name="LW_EMISSION_ISODATE" w:val="2022-04-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pproval of the assessment of the recovery and resilience plan for Bulgaria"/>
    <w:docVar w:name="LW_PART_NBR" w:val="1"/>
    <w:docVar w:name="LW_PART_NBR_TOTAL" w:val="1"/>
    <w:docVar w:name="LW_REF.INST.NEW" w:val="SWD"/>
    <w:docVar w:name="LW_REF.INST.NEW_ADOPTED" w:val="final"/>
    <w:docVar w:name="LW_REF.INST.NEW_TEXT" w:val="(2022) 1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ysis of the recovery and resilience plan of Bulgaria"/>
    <w:docVar w:name="LW_TYPE.DOC.CP" w:val="COMMISSION STAFF WORKING DOCUMENT"/>
    <w:docVar w:name="LW_TYPEACTEPRINCIPAL.CP" w:val="Proposal for a COUNCIL IMPLEMENTING DECISION"/>
    <w:docVar w:name="LwApiVersions" w:val="LW4CoDe 1.23.2.0; LW 8.0, Build 20211117"/>
  </w:docVars>
  <w:rsids>
    <w:rsidRoot w:val="28178231"/>
    <w:rsid w:val="000013DC"/>
    <w:rsid w:val="0000174C"/>
    <w:rsid w:val="00001979"/>
    <w:rsid w:val="00001B9B"/>
    <w:rsid w:val="00002476"/>
    <w:rsid w:val="000027E3"/>
    <w:rsid w:val="00002D56"/>
    <w:rsid w:val="00002FFB"/>
    <w:rsid w:val="0000333D"/>
    <w:rsid w:val="000039C8"/>
    <w:rsid w:val="00003D84"/>
    <w:rsid w:val="00003F13"/>
    <w:rsid w:val="00004142"/>
    <w:rsid w:val="0000419D"/>
    <w:rsid w:val="0000437B"/>
    <w:rsid w:val="00004BEB"/>
    <w:rsid w:val="00004D0C"/>
    <w:rsid w:val="00004D9F"/>
    <w:rsid w:val="0000525E"/>
    <w:rsid w:val="00005712"/>
    <w:rsid w:val="0000576B"/>
    <w:rsid w:val="00005C1C"/>
    <w:rsid w:val="00005E7E"/>
    <w:rsid w:val="0000606D"/>
    <w:rsid w:val="00006072"/>
    <w:rsid w:val="0000729C"/>
    <w:rsid w:val="000072F2"/>
    <w:rsid w:val="0000783E"/>
    <w:rsid w:val="00007D37"/>
    <w:rsid w:val="0001032F"/>
    <w:rsid w:val="000115DE"/>
    <w:rsid w:val="00012670"/>
    <w:rsid w:val="00012AE1"/>
    <w:rsid w:val="00012E1D"/>
    <w:rsid w:val="000136F1"/>
    <w:rsid w:val="0001500A"/>
    <w:rsid w:val="0001516A"/>
    <w:rsid w:val="000157DA"/>
    <w:rsid w:val="00016048"/>
    <w:rsid w:val="00016273"/>
    <w:rsid w:val="0001692D"/>
    <w:rsid w:val="00016F22"/>
    <w:rsid w:val="00017BAC"/>
    <w:rsid w:val="00020417"/>
    <w:rsid w:val="000207B0"/>
    <w:rsid w:val="000216FF"/>
    <w:rsid w:val="00021ABF"/>
    <w:rsid w:val="000221C5"/>
    <w:rsid w:val="00022685"/>
    <w:rsid w:val="000226AB"/>
    <w:rsid w:val="000227C1"/>
    <w:rsid w:val="000229FF"/>
    <w:rsid w:val="00022AAE"/>
    <w:rsid w:val="00022D50"/>
    <w:rsid w:val="000230F5"/>
    <w:rsid w:val="00024264"/>
    <w:rsid w:val="000244D1"/>
    <w:rsid w:val="000247BE"/>
    <w:rsid w:val="00024980"/>
    <w:rsid w:val="00024C83"/>
    <w:rsid w:val="00024FF8"/>
    <w:rsid w:val="000252E1"/>
    <w:rsid w:val="00025AA2"/>
    <w:rsid w:val="000262F2"/>
    <w:rsid w:val="00026AD0"/>
    <w:rsid w:val="00026D0E"/>
    <w:rsid w:val="0002741A"/>
    <w:rsid w:val="00027565"/>
    <w:rsid w:val="00027943"/>
    <w:rsid w:val="00030754"/>
    <w:rsid w:val="00030E7A"/>
    <w:rsid w:val="00031977"/>
    <w:rsid w:val="000322C8"/>
    <w:rsid w:val="00032311"/>
    <w:rsid w:val="0003268D"/>
    <w:rsid w:val="00032FE4"/>
    <w:rsid w:val="000330DF"/>
    <w:rsid w:val="00033433"/>
    <w:rsid w:val="000334EB"/>
    <w:rsid w:val="00034351"/>
    <w:rsid w:val="00034C6E"/>
    <w:rsid w:val="00035BDA"/>
    <w:rsid w:val="00035DB9"/>
    <w:rsid w:val="00035E8A"/>
    <w:rsid w:val="00035FA8"/>
    <w:rsid w:val="00036260"/>
    <w:rsid w:val="00036A98"/>
    <w:rsid w:val="0003723D"/>
    <w:rsid w:val="00037A81"/>
    <w:rsid w:val="00037B79"/>
    <w:rsid w:val="00037D40"/>
    <w:rsid w:val="000415FA"/>
    <w:rsid w:val="00041982"/>
    <w:rsid w:val="00041B80"/>
    <w:rsid w:val="00041EAC"/>
    <w:rsid w:val="00041F2A"/>
    <w:rsid w:val="00042379"/>
    <w:rsid w:val="00042600"/>
    <w:rsid w:val="00042EB8"/>
    <w:rsid w:val="00043564"/>
    <w:rsid w:val="0004392F"/>
    <w:rsid w:val="00043999"/>
    <w:rsid w:val="00043BB5"/>
    <w:rsid w:val="00043DFF"/>
    <w:rsid w:val="000441C1"/>
    <w:rsid w:val="00044743"/>
    <w:rsid w:val="00045017"/>
    <w:rsid w:val="00045495"/>
    <w:rsid w:val="000457B9"/>
    <w:rsid w:val="00045A72"/>
    <w:rsid w:val="00045FC1"/>
    <w:rsid w:val="0004608F"/>
    <w:rsid w:val="0004631D"/>
    <w:rsid w:val="000465FA"/>
    <w:rsid w:val="0004667F"/>
    <w:rsid w:val="00047103"/>
    <w:rsid w:val="000471D5"/>
    <w:rsid w:val="0004761F"/>
    <w:rsid w:val="000477E7"/>
    <w:rsid w:val="000479D9"/>
    <w:rsid w:val="00050090"/>
    <w:rsid w:val="000502E4"/>
    <w:rsid w:val="0005035D"/>
    <w:rsid w:val="0005038B"/>
    <w:rsid w:val="00050B72"/>
    <w:rsid w:val="000516C4"/>
    <w:rsid w:val="00052403"/>
    <w:rsid w:val="000528C0"/>
    <w:rsid w:val="00053181"/>
    <w:rsid w:val="00053212"/>
    <w:rsid w:val="0005325C"/>
    <w:rsid w:val="0005379C"/>
    <w:rsid w:val="00054B26"/>
    <w:rsid w:val="0005550A"/>
    <w:rsid w:val="000556A1"/>
    <w:rsid w:val="000559EC"/>
    <w:rsid w:val="00055ABF"/>
    <w:rsid w:val="0005624B"/>
    <w:rsid w:val="000568D5"/>
    <w:rsid w:val="0005737F"/>
    <w:rsid w:val="00057ACC"/>
    <w:rsid w:val="00057FD8"/>
    <w:rsid w:val="0006044F"/>
    <w:rsid w:val="00060710"/>
    <w:rsid w:val="000607C3"/>
    <w:rsid w:val="000615E7"/>
    <w:rsid w:val="000620C2"/>
    <w:rsid w:val="00062656"/>
    <w:rsid w:val="0006280D"/>
    <w:rsid w:val="00062CDF"/>
    <w:rsid w:val="00063740"/>
    <w:rsid w:val="00063A3C"/>
    <w:rsid w:val="00064240"/>
    <w:rsid w:val="00064403"/>
    <w:rsid w:val="00064DBD"/>
    <w:rsid w:val="00064ECC"/>
    <w:rsid w:val="00065598"/>
    <w:rsid w:val="0006565E"/>
    <w:rsid w:val="00065BD2"/>
    <w:rsid w:val="00065F25"/>
    <w:rsid w:val="000665B7"/>
    <w:rsid w:val="00066651"/>
    <w:rsid w:val="000674BA"/>
    <w:rsid w:val="000677E5"/>
    <w:rsid w:val="00067B8E"/>
    <w:rsid w:val="000700BE"/>
    <w:rsid w:val="00070153"/>
    <w:rsid w:val="00070374"/>
    <w:rsid w:val="00070758"/>
    <w:rsid w:val="00070AE0"/>
    <w:rsid w:val="00070C22"/>
    <w:rsid w:val="0007107E"/>
    <w:rsid w:val="00071554"/>
    <w:rsid w:val="000718C3"/>
    <w:rsid w:val="00072B2D"/>
    <w:rsid w:val="000733F2"/>
    <w:rsid w:val="00074083"/>
    <w:rsid w:val="00074E99"/>
    <w:rsid w:val="00075399"/>
    <w:rsid w:val="0007679B"/>
    <w:rsid w:val="00076818"/>
    <w:rsid w:val="00076B17"/>
    <w:rsid w:val="0007782A"/>
    <w:rsid w:val="00077BAB"/>
    <w:rsid w:val="00080043"/>
    <w:rsid w:val="000800B8"/>
    <w:rsid w:val="00080D47"/>
    <w:rsid w:val="000814E7"/>
    <w:rsid w:val="00081AFF"/>
    <w:rsid w:val="00082444"/>
    <w:rsid w:val="000826BC"/>
    <w:rsid w:val="00082C22"/>
    <w:rsid w:val="0008327F"/>
    <w:rsid w:val="00083D39"/>
    <w:rsid w:val="000845DC"/>
    <w:rsid w:val="0008491A"/>
    <w:rsid w:val="00084C8F"/>
    <w:rsid w:val="00085838"/>
    <w:rsid w:val="000858E0"/>
    <w:rsid w:val="000859DF"/>
    <w:rsid w:val="00085A2F"/>
    <w:rsid w:val="00086A69"/>
    <w:rsid w:val="00086B12"/>
    <w:rsid w:val="000876AC"/>
    <w:rsid w:val="00087EA0"/>
    <w:rsid w:val="00090E06"/>
    <w:rsid w:val="000913A4"/>
    <w:rsid w:val="00091C32"/>
    <w:rsid w:val="000926F9"/>
    <w:rsid w:val="0009332D"/>
    <w:rsid w:val="0009351A"/>
    <w:rsid w:val="00093ADF"/>
    <w:rsid w:val="00094022"/>
    <w:rsid w:val="000947F9"/>
    <w:rsid w:val="00095504"/>
    <w:rsid w:val="00096243"/>
    <w:rsid w:val="00096C83"/>
    <w:rsid w:val="00096DD0"/>
    <w:rsid w:val="00096E75"/>
    <w:rsid w:val="0009B9D4"/>
    <w:rsid w:val="000A00BC"/>
    <w:rsid w:val="000A0332"/>
    <w:rsid w:val="000A0B56"/>
    <w:rsid w:val="000A0C35"/>
    <w:rsid w:val="000A0DC7"/>
    <w:rsid w:val="000A0E16"/>
    <w:rsid w:val="000A1676"/>
    <w:rsid w:val="000A1AA8"/>
    <w:rsid w:val="000A218D"/>
    <w:rsid w:val="000A21FC"/>
    <w:rsid w:val="000A2420"/>
    <w:rsid w:val="000A2624"/>
    <w:rsid w:val="000A2D98"/>
    <w:rsid w:val="000A3A1A"/>
    <w:rsid w:val="000A3A83"/>
    <w:rsid w:val="000A3C69"/>
    <w:rsid w:val="000A56E6"/>
    <w:rsid w:val="000A6C09"/>
    <w:rsid w:val="000A73C0"/>
    <w:rsid w:val="000A7EEF"/>
    <w:rsid w:val="000A7F09"/>
    <w:rsid w:val="000B0D77"/>
    <w:rsid w:val="000B14FA"/>
    <w:rsid w:val="000B19B4"/>
    <w:rsid w:val="000B1A77"/>
    <w:rsid w:val="000B2D7D"/>
    <w:rsid w:val="000B320E"/>
    <w:rsid w:val="000B349A"/>
    <w:rsid w:val="000B361A"/>
    <w:rsid w:val="000B47A1"/>
    <w:rsid w:val="000B4D50"/>
    <w:rsid w:val="000B4E29"/>
    <w:rsid w:val="000B530B"/>
    <w:rsid w:val="000B5405"/>
    <w:rsid w:val="000B6475"/>
    <w:rsid w:val="000B6D3B"/>
    <w:rsid w:val="000B6E1A"/>
    <w:rsid w:val="000B6E53"/>
    <w:rsid w:val="000B7115"/>
    <w:rsid w:val="000C043B"/>
    <w:rsid w:val="000C07ED"/>
    <w:rsid w:val="000C08F1"/>
    <w:rsid w:val="000C0AF9"/>
    <w:rsid w:val="000C1B12"/>
    <w:rsid w:val="000C2223"/>
    <w:rsid w:val="000C22EF"/>
    <w:rsid w:val="000C25C9"/>
    <w:rsid w:val="000C2877"/>
    <w:rsid w:val="000C2982"/>
    <w:rsid w:val="000C2A03"/>
    <w:rsid w:val="000C386B"/>
    <w:rsid w:val="000C41BB"/>
    <w:rsid w:val="000C4703"/>
    <w:rsid w:val="000C4C50"/>
    <w:rsid w:val="000C5388"/>
    <w:rsid w:val="000C5BBE"/>
    <w:rsid w:val="000C5D56"/>
    <w:rsid w:val="000C6132"/>
    <w:rsid w:val="000C7010"/>
    <w:rsid w:val="000C7379"/>
    <w:rsid w:val="000D02EA"/>
    <w:rsid w:val="000D0523"/>
    <w:rsid w:val="000D110C"/>
    <w:rsid w:val="000D1291"/>
    <w:rsid w:val="000D175C"/>
    <w:rsid w:val="000D1904"/>
    <w:rsid w:val="000D19F4"/>
    <w:rsid w:val="000D1BD5"/>
    <w:rsid w:val="000D1D13"/>
    <w:rsid w:val="000D1F20"/>
    <w:rsid w:val="000D2A93"/>
    <w:rsid w:val="000D3220"/>
    <w:rsid w:val="000D327C"/>
    <w:rsid w:val="000D3511"/>
    <w:rsid w:val="000D3CB3"/>
    <w:rsid w:val="000D3EC2"/>
    <w:rsid w:val="000D4732"/>
    <w:rsid w:val="000D4C39"/>
    <w:rsid w:val="000D4D4C"/>
    <w:rsid w:val="000D51E7"/>
    <w:rsid w:val="000D5218"/>
    <w:rsid w:val="000D5330"/>
    <w:rsid w:val="000D5970"/>
    <w:rsid w:val="000D5C7D"/>
    <w:rsid w:val="000D6A8E"/>
    <w:rsid w:val="000D6D02"/>
    <w:rsid w:val="000D72FA"/>
    <w:rsid w:val="000D73B4"/>
    <w:rsid w:val="000D7AC0"/>
    <w:rsid w:val="000D7FBE"/>
    <w:rsid w:val="000E010D"/>
    <w:rsid w:val="000E026D"/>
    <w:rsid w:val="000E0B44"/>
    <w:rsid w:val="000E0C59"/>
    <w:rsid w:val="000E1E09"/>
    <w:rsid w:val="000E2A82"/>
    <w:rsid w:val="000E2BA3"/>
    <w:rsid w:val="000E2CDD"/>
    <w:rsid w:val="000E2CFB"/>
    <w:rsid w:val="000E2D96"/>
    <w:rsid w:val="000E334F"/>
    <w:rsid w:val="000E339A"/>
    <w:rsid w:val="000E3593"/>
    <w:rsid w:val="000E3747"/>
    <w:rsid w:val="000E396F"/>
    <w:rsid w:val="000E397D"/>
    <w:rsid w:val="000E3DF1"/>
    <w:rsid w:val="000E45BE"/>
    <w:rsid w:val="000E489F"/>
    <w:rsid w:val="000E51AD"/>
    <w:rsid w:val="000E5970"/>
    <w:rsid w:val="000E64AB"/>
    <w:rsid w:val="000E701D"/>
    <w:rsid w:val="000E78C2"/>
    <w:rsid w:val="000E7D0E"/>
    <w:rsid w:val="000E7E1E"/>
    <w:rsid w:val="000F07A8"/>
    <w:rsid w:val="000F0CFA"/>
    <w:rsid w:val="000F0FEA"/>
    <w:rsid w:val="000F1040"/>
    <w:rsid w:val="000F1265"/>
    <w:rsid w:val="000F1B6B"/>
    <w:rsid w:val="000F276F"/>
    <w:rsid w:val="000F289A"/>
    <w:rsid w:val="000F2D12"/>
    <w:rsid w:val="000F30AE"/>
    <w:rsid w:val="000F3688"/>
    <w:rsid w:val="000F38DA"/>
    <w:rsid w:val="000F3EEC"/>
    <w:rsid w:val="000F442C"/>
    <w:rsid w:val="000F4572"/>
    <w:rsid w:val="000F4624"/>
    <w:rsid w:val="000F482D"/>
    <w:rsid w:val="000F4AD8"/>
    <w:rsid w:val="000F4F68"/>
    <w:rsid w:val="000F5A8C"/>
    <w:rsid w:val="000F5BFC"/>
    <w:rsid w:val="000F692E"/>
    <w:rsid w:val="000F7525"/>
    <w:rsid w:val="000F7947"/>
    <w:rsid w:val="000F7A99"/>
    <w:rsid w:val="001003E8"/>
    <w:rsid w:val="00101B02"/>
    <w:rsid w:val="00101FD4"/>
    <w:rsid w:val="00102B38"/>
    <w:rsid w:val="00102F42"/>
    <w:rsid w:val="00104075"/>
    <w:rsid w:val="001049F4"/>
    <w:rsid w:val="00105291"/>
    <w:rsid w:val="001057D5"/>
    <w:rsid w:val="00105980"/>
    <w:rsid w:val="001063C5"/>
    <w:rsid w:val="00106865"/>
    <w:rsid w:val="00106AC2"/>
    <w:rsid w:val="00107675"/>
    <w:rsid w:val="00107A07"/>
    <w:rsid w:val="00107AB2"/>
    <w:rsid w:val="00110D5A"/>
    <w:rsid w:val="00111042"/>
    <w:rsid w:val="001110E1"/>
    <w:rsid w:val="00111CC4"/>
    <w:rsid w:val="00112223"/>
    <w:rsid w:val="001124DC"/>
    <w:rsid w:val="00112E28"/>
    <w:rsid w:val="00113AFB"/>
    <w:rsid w:val="00113E52"/>
    <w:rsid w:val="001141F9"/>
    <w:rsid w:val="001144D6"/>
    <w:rsid w:val="00114E8D"/>
    <w:rsid w:val="00114F96"/>
    <w:rsid w:val="0011554E"/>
    <w:rsid w:val="0011572E"/>
    <w:rsid w:val="00115B00"/>
    <w:rsid w:val="00116CD3"/>
    <w:rsid w:val="00116EE3"/>
    <w:rsid w:val="00117573"/>
    <w:rsid w:val="00117FA2"/>
    <w:rsid w:val="00120081"/>
    <w:rsid w:val="0012031A"/>
    <w:rsid w:val="00120666"/>
    <w:rsid w:val="00121358"/>
    <w:rsid w:val="00121C9D"/>
    <w:rsid w:val="00121E74"/>
    <w:rsid w:val="001220F4"/>
    <w:rsid w:val="001228AA"/>
    <w:rsid w:val="00122BFC"/>
    <w:rsid w:val="00122C4C"/>
    <w:rsid w:val="00122FEF"/>
    <w:rsid w:val="00123611"/>
    <w:rsid w:val="001243CD"/>
    <w:rsid w:val="001253CF"/>
    <w:rsid w:val="00125B30"/>
    <w:rsid w:val="00125B3F"/>
    <w:rsid w:val="001272C5"/>
    <w:rsid w:val="001272F6"/>
    <w:rsid w:val="0012751A"/>
    <w:rsid w:val="0012794F"/>
    <w:rsid w:val="001300C2"/>
    <w:rsid w:val="0013043A"/>
    <w:rsid w:val="00132095"/>
    <w:rsid w:val="0013245F"/>
    <w:rsid w:val="00133857"/>
    <w:rsid w:val="00133954"/>
    <w:rsid w:val="00133BFB"/>
    <w:rsid w:val="00133F19"/>
    <w:rsid w:val="001343BD"/>
    <w:rsid w:val="001344D1"/>
    <w:rsid w:val="001352BE"/>
    <w:rsid w:val="001354CA"/>
    <w:rsid w:val="00135581"/>
    <w:rsid w:val="0013652C"/>
    <w:rsid w:val="0013757F"/>
    <w:rsid w:val="00137A7B"/>
    <w:rsid w:val="00137FA8"/>
    <w:rsid w:val="00140C66"/>
    <w:rsid w:val="00142589"/>
    <w:rsid w:val="00142C17"/>
    <w:rsid w:val="00143002"/>
    <w:rsid w:val="001434CF"/>
    <w:rsid w:val="00143DB0"/>
    <w:rsid w:val="00144586"/>
    <w:rsid w:val="00144863"/>
    <w:rsid w:val="00144866"/>
    <w:rsid w:val="00144B8D"/>
    <w:rsid w:val="00145462"/>
    <w:rsid w:val="001456F3"/>
    <w:rsid w:val="00145E39"/>
    <w:rsid w:val="001460FD"/>
    <w:rsid w:val="00146A62"/>
    <w:rsid w:val="00146F29"/>
    <w:rsid w:val="00147048"/>
    <w:rsid w:val="001478D0"/>
    <w:rsid w:val="0014BB88"/>
    <w:rsid w:val="0015005F"/>
    <w:rsid w:val="001501BF"/>
    <w:rsid w:val="00150524"/>
    <w:rsid w:val="001509F3"/>
    <w:rsid w:val="00151881"/>
    <w:rsid w:val="00151AE1"/>
    <w:rsid w:val="00152FD9"/>
    <w:rsid w:val="00153502"/>
    <w:rsid w:val="001539B0"/>
    <w:rsid w:val="001539CC"/>
    <w:rsid w:val="001539E3"/>
    <w:rsid w:val="0015492B"/>
    <w:rsid w:val="00154F56"/>
    <w:rsid w:val="00155812"/>
    <w:rsid w:val="00155869"/>
    <w:rsid w:val="001559CC"/>
    <w:rsid w:val="00155C3D"/>
    <w:rsid w:val="00156100"/>
    <w:rsid w:val="00156B24"/>
    <w:rsid w:val="001576E3"/>
    <w:rsid w:val="001601BF"/>
    <w:rsid w:val="00161EF8"/>
    <w:rsid w:val="0016243F"/>
    <w:rsid w:val="00162D55"/>
    <w:rsid w:val="00163715"/>
    <w:rsid w:val="00163832"/>
    <w:rsid w:val="00163A83"/>
    <w:rsid w:val="00163E1B"/>
    <w:rsid w:val="0016405E"/>
    <w:rsid w:val="001647DF"/>
    <w:rsid w:val="00165911"/>
    <w:rsid w:val="0016619B"/>
    <w:rsid w:val="0016696F"/>
    <w:rsid w:val="00166A96"/>
    <w:rsid w:val="00166DF9"/>
    <w:rsid w:val="00166EC2"/>
    <w:rsid w:val="001675DC"/>
    <w:rsid w:val="001679E6"/>
    <w:rsid w:val="001704C1"/>
    <w:rsid w:val="00170B7A"/>
    <w:rsid w:val="00170E0D"/>
    <w:rsid w:val="0017178B"/>
    <w:rsid w:val="00171861"/>
    <w:rsid w:val="00171C3B"/>
    <w:rsid w:val="00172616"/>
    <w:rsid w:val="00172893"/>
    <w:rsid w:val="001728B6"/>
    <w:rsid w:val="001736BA"/>
    <w:rsid w:val="0017492F"/>
    <w:rsid w:val="00176605"/>
    <w:rsid w:val="00176D5E"/>
    <w:rsid w:val="00176FDD"/>
    <w:rsid w:val="001770A3"/>
    <w:rsid w:val="00177435"/>
    <w:rsid w:val="0017773E"/>
    <w:rsid w:val="00177B4D"/>
    <w:rsid w:val="00177E5B"/>
    <w:rsid w:val="00177F19"/>
    <w:rsid w:val="00180264"/>
    <w:rsid w:val="00180DC9"/>
    <w:rsid w:val="00181095"/>
    <w:rsid w:val="001815A0"/>
    <w:rsid w:val="0018166D"/>
    <w:rsid w:val="00181810"/>
    <w:rsid w:val="001821B1"/>
    <w:rsid w:val="0018282E"/>
    <w:rsid w:val="001829C0"/>
    <w:rsid w:val="00183120"/>
    <w:rsid w:val="0018355B"/>
    <w:rsid w:val="00183F24"/>
    <w:rsid w:val="00183F6D"/>
    <w:rsid w:val="00184007"/>
    <w:rsid w:val="001842CF"/>
    <w:rsid w:val="00184644"/>
    <w:rsid w:val="00184658"/>
    <w:rsid w:val="00184E52"/>
    <w:rsid w:val="00185044"/>
    <w:rsid w:val="00185276"/>
    <w:rsid w:val="001859F1"/>
    <w:rsid w:val="0018662F"/>
    <w:rsid w:val="001868DF"/>
    <w:rsid w:val="00186A81"/>
    <w:rsid w:val="00186B76"/>
    <w:rsid w:val="00186C68"/>
    <w:rsid w:val="00187652"/>
    <w:rsid w:val="00187AAE"/>
    <w:rsid w:val="0019003D"/>
    <w:rsid w:val="0019006F"/>
    <w:rsid w:val="0019016E"/>
    <w:rsid w:val="001902E9"/>
    <w:rsid w:val="0019100B"/>
    <w:rsid w:val="0019120D"/>
    <w:rsid w:val="0019170A"/>
    <w:rsid w:val="00191E74"/>
    <w:rsid w:val="00191F54"/>
    <w:rsid w:val="001928C7"/>
    <w:rsid w:val="001928D2"/>
    <w:rsid w:val="0019292D"/>
    <w:rsid w:val="00192978"/>
    <w:rsid w:val="00192C55"/>
    <w:rsid w:val="00192F58"/>
    <w:rsid w:val="00193503"/>
    <w:rsid w:val="0019358A"/>
    <w:rsid w:val="0019394A"/>
    <w:rsid w:val="00193AF9"/>
    <w:rsid w:val="00193D0D"/>
    <w:rsid w:val="001943F3"/>
    <w:rsid w:val="00194B37"/>
    <w:rsid w:val="001952CD"/>
    <w:rsid w:val="00195635"/>
    <w:rsid w:val="00195BEA"/>
    <w:rsid w:val="00195D97"/>
    <w:rsid w:val="0019630F"/>
    <w:rsid w:val="001966E8"/>
    <w:rsid w:val="00197817"/>
    <w:rsid w:val="001A0C4A"/>
    <w:rsid w:val="001A0DDC"/>
    <w:rsid w:val="001A22AF"/>
    <w:rsid w:val="001A298B"/>
    <w:rsid w:val="001A2FEE"/>
    <w:rsid w:val="001A413B"/>
    <w:rsid w:val="001A4282"/>
    <w:rsid w:val="001A448A"/>
    <w:rsid w:val="001A568E"/>
    <w:rsid w:val="001A5D28"/>
    <w:rsid w:val="001A5D81"/>
    <w:rsid w:val="001A5EAD"/>
    <w:rsid w:val="001A5EC1"/>
    <w:rsid w:val="001A673A"/>
    <w:rsid w:val="001A6CBD"/>
    <w:rsid w:val="001A6F32"/>
    <w:rsid w:val="001A7345"/>
    <w:rsid w:val="001A75E8"/>
    <w:rsid w:val="001B0CA3"/>
    <w:rsid w:val="001B0CE8"/>
    <w:rsid w:val="001B0FFD"/>
    <w:rsid w:val="001B1251"/>
    <w:rsid w:val="001B14E0"/>
    <w:rsid w:val="001B1CA2"/>
    <w:rsid w:val="001B2329"/>
    <w:rsid w:val="001B2E0C"/>
    <w:rsid w:val="001B3645"/>
    <w:rsid w:val="001B433B"/>
    <w:rsid w:val="001B443E"/>
    <w:rsid w:val="001B490D"/>
    <w:rsid w:val="001B4C6C"/>
    <w:rsid w:val="001B4DE9"/>
    <w:rsid w:val="001B5396"/>
    <w:rsid w:val="001B5BF1"/>
    <w:rsid w:val="001B602A"/>
    <w:rsid w:val="001B6113"/>
    <w:rsid w:val="001B7E27"/>
    <w:rsid w:val="001C0160"/>
    <w:rsid w:val="001C043F"/>
    <w:rsid w:val="001C0B45"/>
    <w:rsid w:val="001C13B7"/>
    <w:rsid w:val="001C16BD"/>
    <w:rsid w:val="001C1E4A"/>
    <w:rsid w:val="001C2F4A"/>
    <w:rsid w:val="001C3087"/>
    <w:rsid w:val="001C32B1"/>
    <w:rsid w:val="001C3FD5"/>
    <w:rsid w:val="001C4977"/>
    <w:rsid w:val="001C5045"/>
    <w:rsid w:val="001C578F"/>
    <w:rsid w:val="001C58FD"/>
    <w:rsid w:val="001C5972"/>
    <w:rsid w:val="001C5A37"/>
    <w:rsid w:val="001C5D2E"/>
    <w:rsid w:val="001C5D72"/>
    <w:rsid w:val="001C5D9B"/>
    <w:rsid w:val="001C6BFC"/>
    <w:rsid w:val="001C71BE"/>
    <w:rsid w:val="001C7479"/>
    <w:rsid w:val="001C7531"/>
    <w:rsid w:val="001C771B"/>
    <w:rsid w:val="001C7CE5"/>
    <w:rsid w:val="001C7F4F"/>
    <w:rsid w:val="001D035E"/>
    <w:rsid w:val="001D13FB"/>
    <w:rsid w:val="001D28C9"/>
    <w:rsid w:val="001D2D5B"/>
    <w:rsid w:val="001D2ED4"/>
    <w:rsid w:val="001D3055"/>
    <w:rsid w:val="001D30D8"/>
    <w:rsid w:val="001D4292"/>
    <w:rsid w:val="001D4300"/>
    <w:rsid w:val="001D466E"/>
    <w:rsid w:val="001D469B"/>
    <w:rsid w:val="001D4D09"/>
    <w:rsid w:val="001D53B8"/>
    <w:rsid w:val="001D5461"/>
    <w:rsid w:val="001D659B"/>
    <w:rsid w:val="001D70A5"/>
    <w:rsid w:val="001E02A1"/>
    <w:rsid w:val="001E0CB5"/>
    <w:rsid w:val="001E133A"/>
    <w:rsid w:val="001E1377"/>
    <w:rsid w:val="001E1829"/>
    <w:rsid w:val="001E1A8A"/>
    <w:rsid w:val="001E1EE9"/>
    <w:rsid w:val="001E2207"/>
    <w:rsid w:val="001E24FB"/>
    <w:rsid w:val="001E33BD"/>
    <w:rsid w:val="001E33EC"/>
    <w:rsid w:val="001E3807"/>
    <w:rsid w:val="001E4211"/>
    <w:rsid w:val="001E48B7"/>
    <w:rsid w:val="001E5005"/>
    <w:rsid w:val="001E5174"/>
    <w:rsid w:val="001E54F1"/>
    <w:rsid w:val="001E5550"/>
    <w:rsid w:val="001E55B8"/>
    <w:rsid w:val="001E5696"/>
    <w:rsid w:val="001E65F0"/>
    <w:rsid w:val="001E6907"/>
    <w:rsid w:val="001E6AA7"/>
    <w:rsid w:val="001E6E4A"/>
    <w:rsid w:val="001E6F79"/>
    <w:rsid w:val="001E776A"/>
    <w:rsid w:val="001E7AC8"/>
    <w:rsid w:val="001F045E"/>
    <w:rsid w:val="001F057B"/>
    <w:rsid w:val="001F0731"/>
    <w:rsid w:val="001F1620"/>
    <w:rsid w:val="001F16F1"/>
    <w:rsid w:val="001F28EA"/>
    <w:rsid w:val="001F2F88"/>
    <w:rsid w:val="001F3164"/>
    <w:rsid w:val="001F34E3"/>
    <w:rsid w:val="001F51A5"/>
    <w:rsid w:val="001F5BDD"/>
    <w:rsid w:val="001F5C24"/>
    <w:rsid w:val="001F5EFD"/>
    <w:rsid w:val="001F6279"/>
    <w:rsid w:val="001F639D"/>
    <w:rsid w:val="001F7146"/>
    <w:rsid w:val="001F7699"/>
    <w:rsid w:val="001F77E7"/>
    <w:rsid w:val="001F7B58"/>
    <w:rsid w:val="001F7F19"/>
    <w:rsid w:val="00200986"/>
    <w:rsid w:val="00200CD9"/>
    <w:rsid w:val="00202965"/>
    <w:rsid w:val="0020309C"/>
    <w:rsid w:val="002030D1"/>
    <w:rsid w:val="00203308"/>
    <w:rsid w:val="00203861"/>
    <w:rsid w:val="0020420F"/>
    <w:rsid w:val="00204370"/>
    <w:rsid w:val="00204796"/>
    <w:rsid w:val="00204AD4"/>
    <w:rsid w:val="00204EE3"/>
    <w:rsid w:val="0020577C"/>
    <w:rsid w:val="00206599"/>
    <w:rsid w:val="00206718"/>
    <w:rsid w:val="0020778E"/>
    <w:rsid w:val="002078EF"/>
    <w:rsid w:val="00207B2A"/>
    <w:rsid w:val="00207C1D"/>
    <w:rsid w:val="00210290"/>
    <w:rsid w:val="0021067A"/>
    <w:rsid w:val="002108A5"/>
    <w:rsid w:val="002108C7"/>
    <w:rsid w:val="00210CA0"/>
    <w:rsid w:val="002116A6"/>
    <w:rsid w:val="00212110"/>
    <w:rsid w:val="002128A7"/>
    <w:rsid w:val="00212D85"/>
    <w:rsid w:val="0021338F"/>
    <w:rsid w:val="00213EC4"/>
    <w:rsid w:val="002144F4"/>
    <w:rsid w:val="00214BB8"/>
    <w:rsid w:val="002152C3"/>
    <w:rsid w:val="00215B02"/>
    <w:rsid w:val="00215F07"/>
    <w:rsid w:val="00216539"/>
    <w:rsid w:val="002166CC"/>
    <w:rsid w:val="0021744B"/>
    <w:rsid w:val="002174EA"/>
    <w:rsid w:val="00217B19"/>
    <w:rsid w:val="00220A0C"/>
    <w:rsid w:val="00220E99"/>
    <w:rsid w:val="002210EF"/>
    <w:rsid w:val="002218CC"/>
    <w:rsid w:val="00222380"/>
    <w:rsid w:val="00222765"/>
    <w:rsid w:val="00222E74"/>
    <w:rsid w:val="00222EB9"/>
    <w:rsid w:val="002232BB"/>
    <w:rsid w:val="00223484"/>
    <w:rsid w:val="00223824"/>
    <w:rsid w:val="00223B41"/>
    <w:rsid w:val="00223CBD"/>
    <w:rsid w:val="00224680"/>
    <w:rsid w:val="00224CD9"/>
    <w:rsid w:val="002252AB"/>
    <w:rsid w:val="002261A4"/>
    <w:rsid w:val="0022718A"/>
    <w:rsid w:val="0022737C"/>
    <w:rsid w:val="00227395"/>
    <w:rsid w:val="0022782D"/>
    <w:rsid w:val="00230A06"/>
    <w:rsid w:val="00231841"/>
    <w:rsid w:val="002318F2"/>
    <w:rsid w:val="002328F8"/>
    <w:rsid w:val="00233058"/>
    <w:rsid w:val="00233FFA"/>
    <w:rsid w:val="00234389"/>
    <w:rsid w:val="002345AE"/>
    <w:rsid w:val="00234B37"/>
    <w:rsid w:val="00234FDF"/>
    <w:rsid w:val="0023596B"/>
    <w:rsid w:val="00235B98"/>
    <w:rsid w:val="00235F84"/>
    <w:rsid w:val="00236CC8"/>
    <w:rsid w:val="00236DE8"/>
    <w:rsid w:val="00236EB4"/>
    <w:rsid w:val="00237482"/>
    <w:rsid w:val="00240034"/>
    <w:rsid w:val="002403C8"/>
    <w:rsid w:val="00240AEC"/>
    <w:rsid w:val="00240D8A"/>
    <w:rsid w:val="00240FC5"/>
    <w:rsid w:val="00241146"/>
    <w:rsid w:val="00241392"/>
    <w:rsid w:val="00241779"/>
    <w:rsid w:val="00241795"/>
    <w:rsid w:val="00242CC2"/>
    <w:rsid w:val="00242E23"/>
    <w:rsid w:val="00243B15"/>
    <w:rsid w:val="002442FF"/>
    <w:rsid w:val="0024469B"/>
    <w:rsid w:val="00244FB6"/>
    <w:rsid w:val="00245289"/>
    <w:rsid w:val="0024617B"/>
    <w:rsid w:val="0024637C"/>
    <w:rsid w:val="0024677B"/>
    <w:rsid w:val="00247158"/>
    <w:rsid w:val="002472E3"/>
    <w:rsid w:val="002475CE"/>
    <w:rsid w:val="00250819"/>
    <w:rsid w:val="00250B2B"/>
    <w:rsid w:val="00250CBA"/>
    <w:rsid w:val="00251832"/>
    <w:rsid w:val="00251A88"/>
    <w:rsid w:val="00251C87"/>
    <w:rsid w:val="002520B4"/>
    <w:rsid w:val="00252839"/>
    <w:rsid w:val="00253301"/>
    <w:rsid w:val="00253582"/>
    <w:rsid w:val="00253BFD"/>
    <w:rsid w:val="002540FE"/>
    <w:rsid w:val="002541E9"/>
    <w:rsid w:val="00254314"/>
    <w:rsid w:val="002544F4"/>
    <w:rsid w:val="00254F23"/>
    <w:rsid w:val="00255587"/>
    <w:rsid w:val="00256437"/>
    <w:rsid w:val="002568D5"/>
    <w:rsid w:val="00256E4D"/>
    <w:rsid w:val="002578BC"/>
    <w:rsid w:val="00257B48"/>
    <w:rsid w:val="00257C1D"/>
    <w:rsid w:val="00257DEB"/>
    <w:rsid w:val="00260E25"/>
    <w:rsid w:val="00260E91"/>
    <w:rsid w:val="00261434"/>
    <w:rsid w:val="0026207A"/>
    <w:rsid w:val="00262BF6"/>
    <w:rsid w:val="00263842"/>
    <w:rsid w:val="0026454D"/>
    <w:rsid w:val="00264A27"/>
    <w:rsid w:val="00264DFF"/>
    <w:rsid w:val="00265E5B"/>
    <w:rsid w:val="00266441"/>
    <w:rsid w:val="002673C0"/>
    <w:rsid w:val="0026787D"/>
    <w:rsid w:val="0026DAEE"/>
    <w:rsid w:val="002704C0"/>
    <w:rsid w:val="0027125F"/>
    <w:rsid w:val="00271377"/>
    <w:rsid w:val="00271846"/>
    <w:rsid w:val="00271C5F"/>
    <w:rsid w:val="00272372"/>
    <w:rsid w:val="00272CCE"/>
    <w:rsid w:val="00272E63"/>
    <w:rsid w:val="00272EE0"/>
    <w:rsid w:val="002735D5"/>
    <w:rsid w:val="00273E10"/>
    <w:rsid w:val="0027413E"/>
    <w:rsid w:val="00274269"/>
    <w:rsid w:val="00274500"/>
    <w:rsid w:val="00274E79"/>
    <w:rsid w:val="002756B3"/>
    <w:rsid w:val="00275BD7"/>
    <w:rsid w:val="00275D8A"/>
    <w:rsid w:val="00276003"/>
    <w:rsid w:val="002766E6"/>
    <w:rsid w:val="002768EA"/>
    <w:rsid w:val="0027699C"/>
    <w:rsid w:val="00277A76"/>
    <w:rsid w:val="00277D05"/>
    <w:rsid w:val="00280135"/>
    <w:rsid w:val="00280BBE"/>
    <w:rsid w:val="00280F6E"/>
    <w:rsid w:val="00281D79"/>
    <w:rsid w:val="002820A5"/>
    <w:rsid w:val="0028234B"/>
    <w:rsid w:val="00282603"/>
    <w:rsid w:val="00282726"/>
    <w:rsid w:val="0028309D"/>
    <w:rsid w:val="002832C3"/>
    <w:rsid w:val="0028361C"/>
    <w:rsid w:val="002838D3"/>
    <w:rsid w:val="002843C1"/>
    <w:rsid w:val="00285EBD"/>
    <w:rsid w:val="0028605F"/>
    <w:rsid w:val="002864A8"/>
    <w:rsid w:val="00286B20"/>
    <w:rsid w:val="002871A7"/>
    <w:rsid w:val="002876C7"/>
    <w:rsid w:val="0028784C"/>
    <w:rsid w:val="002906CE"/>
    <w:rsid w:val="00290AB0"/>
    <w:rsid w:val="00292D03"/>
    <w:rsid w:val="00292F7B"/>
    <w:rsid w:val="00293AD2"/>
    <w:rsid w:val="00293D9D"/>
    <w:rsid w:val="00293F65"/>
    <w:rsid w:val="00294080"/>
    <w:rsid w:val="0029436E"/>
    <w:rsid w:val="00294AC2"/>
    <w:rsid w:val="00294CBC"/>
    <w:rsid w:val="00294DBD"/>
    <w:rsid w:val="002954BC"/>
    <w:rsid w:val="00295B75"/>
    <w:rsid w:val="00295E63"/>
    <w:rsid w:val="0029657F"/>
    <w:rsid w:val="00296983"/>
    <w:rsid w:val="002971F1"/>
    <w:rsid w:val="00297867"/>
    <w:rsid w:val="00297CEA"/>
    <w:rsid w:val="00297F44"/>
    <w:rsid w:val="002A0BDC"/>
    <w:rsid w:val="002A0EDF"/>
    <w:rsid w:val="002A0FC3"/>
    <w:rsid w:val="002A112D"/>
    <w:rsid w:val="002A29C9"/>
    <w:rsid w:val="002A354B"/>
    <w:rsid w:val="002A372F"/>
    <w:rsid w:val="002A45A6"/>
    <w:rsid w:val="002A49EA"/>
    <w:rsid w:val="002A4F3D"/>
    <w:rsid w:val="002A50E8"/>
    <w:rsid w:val="002A5A80"/>
    <w:rsid w:val="002A5EA3"/>
    <w:rsid w:val="002A5F36"/>
    <w:rsid w:val="002A7F51"/>
    <w:rsid w:val="002B0F60"/>
    <w:rsid w:val="002B1210"/>
    <w:rsid w:val="002B1636"/>
    <w:rsid w:val="002B17EF"/>
    <w:rsid w:val="002B3C78"/>
    <w:rsid w:val="002B4BEF"/>
    <w:rsid w:val="002B4C87"/>
    <w:rsid w:val="002B4CE0"/>
    <w:rsid w:val="002B4D0B"/>
    <w:rsid w:val="002B5A38"/>
    <w:rsid w:val="002B5C0C"/>
    <w:rsid w:val="002B5CAD"/>
    <w:rsid w:val="002B5D1D"/>
    <w:rsid w:val="002B616A"/>
    <w:rsid w:val="002B6344"/>
    <w:rsid w:val="002B676E"/>
    <w:rsid w:val="002B68A0"/>
    <w:rsid w:val="002B6E8C"/>
    <w:rsid w:val="002B7870"/>
    <w:rsid w:val="002B78B0"/>
    <w:rsid w:val="002B7A6F"/>
    <w:rsid w:val="002C0188"/>
    <w:rsid w:val="002C0637"/>
    <w:rsid w:val="002C07CA"/>
    <w:rsid w:val="002C0910"/>
    <w:rsid w:val="002C0F7F"/>
    <w:rsid w:val="002C0F82"/>
    <w:rsid w:val="002C0F94"/>
    <w:rsid w:val="002C1177"/>
    <w:rsid w:val="002C16AB"/>
    <w:rsid w:val="002C173E"/>
    <w:rsid w:val="002C1B42"/>
    <w:rsid w:val="002C2978"/>
    <w:rsid w:val="002C342E"/>
    <w:rsid w:val="002C34E1"/>
    <w:rsid w:val="002C3659"/>
    <w:rsid w:val="002C3A81"/>
    <w:rsid w:val="002C3F5E"/>
    <w:rsid w:val="002C49FD"/>
    <w:rsid w:val="002C4D4F"/>
    <w:rsid w:val="002C4E86"/>
    <w:rsid w:val="002C50DC"/>
    <w:rsid w:val="002C55DB"/>
    <w:rsid w:val="002C581A"/>
    <w:rsid w:val="002C6532"/>
    <w:rsid w:val="002C6CEC"/>
    <w:rsid w:val="002C70C4"/>
    <w:rsid w:val="002D02F8"/>
    <w:rsid w:val="002D0370"/>
    <w:rsid w:val="002D0809"/>
    <w:rsid w:val="002D1377"/>
    <w:rsid w:val="002D13E4"/>
    <w:rsid w:val="002D1532"/>
    <w:rsid w:val="002D1721"/>
    <w:rsid w:val="002D2A43"/>
    <w:rsid w:val="002D3145"/>
    <w:rsid w:val="002D3684"/>
    <w:rsid w:val="002D3D2A"/>
    <w:rsid w:val="002D3E4F"/>
    <w:rsid w:val="002D471A"/>
    <w:rsid w:val="002D4C8B"/>
    <w:rsid w:val="002D4D12"/>
    <w:rsid w:val="002D4F12"/>
    <w:rsid w:val="002D623F"/>
    <w:rsid w:val="002D624D"/>
    <w:rsid w:val="002D66C7"/>
    <w:rsid w:val="002D6741"/>
    <w:rsid w:val="002D6827"/>
    <w:rsid w:val="002D6FF8"/>
    <w:rsid w:val="002D70BE"/>
    <w:rsid w:val="002D70E6"/>
    <w:rsid w:val="002D7BF0"/>
    <w:rsid w:val="002E018D"/>
    <w:rsid w:val="002E0306"/>
    <w:rsid w:val="002E03E9"/>
    <w:rsid w:val="002E063C"/>
    <w:rsid w:val="002E0A0E"/>
    <w:rsid w:val="002E0F50"/>
    <w:rsid w:val="002E165B"/>
    <w:rsid w:val="002E16BF"/>
    <w:rsid w:val="002E1B09"/>
    <w:rsid w:val="002E1BB3"/>
    <w:rsid w:val="002E2136"/>
    <w:rsid w:val="002E2193"/>
    <w:rsid w:val="002E2B2F"/>
    <w:rsid w:val="002E2D36"/>
    <w:rsid w:val="002E3CF2"/>
    <w:rsid w:val="002E3E35"/>
    <w:rsid w:val="002E4050"/>
    <w:rsid w:val="002E43A1"/>
    <w:rsid w:val="002E4D76"/>
    <w:rsid w:val="002E60A0"/>
    <w:rsid w:val="002E6526"/>
    <w:rsid w:val="002E6840"/>
    <w:rsid w:val="002E688B"/>
    <w:rsid w:val="002E6DF9"/>
    <w:rsid w:val="002E7244"/>
    <w:rsid w:val="002E756B"/>
    <w:rsid w:val="002E7718"/>
    <w:rsid w:val="002E7938"/>
    <w:rsid w:val="002E7C85"/>
    <w:rsid w:val="002F0100"/>
    <w:rsid w:val="002F03B7"/>
    <w:rsid w:val="002F06C3"/>
    <w:rsid w:val="002F1168"/>
    <w:rsid w:val="002F24D9"/>
    <w:rsid w:val="002F288F"/>
    <w:rsid w:val="002F2C31"/>
    <w:rsid w:val="002F3FCF"/>
    <w:rsid w:val="002F462D"/>
    <w:rsid w:val="002F46A5"/>
    <w:rsid w:val="002F48B8"/>
    <w:rsid w:val="002F5146"/>
    <w:rsid w:val="002F5EC5"/>
    <w:rsid w:val="002F6523"/>
    <w:rsid w:val="002F6646"/>
    <w:rsid w:val="002F6780"/>
    <w:rsid w:val="002F6B0D"/>
    <w:rsid w:val="002F7643"/>
    <w:rsid w:val="002F774C"/>
    <w:rsid w:val="003001D1"/>
    <w:rsid w:val="00300281"/>
    <w:rsid w:val="00300870"/>
    <w:rsid w:val="00300F98"/>
    <w:rsid w:val="00301E71"/>
    <w:rsid w:val="0030213D"/>
    <w:rsid w:val="00302938"/>
    <w:rsid w:val="00302F75"/>
    <w:rsid w:val="00303436"/>
    <w:rsid w:val="00303D59"/>
    <w:rsid w:val="00303EC4"/>
    <w:rsid w:val="00303ED2"/>
    <w:rsid w:val="0030485D"/>
    <w:rsid w:val="00304863"/>
    <w:rsid w:val="0030529B"/>
    <w:rsid w:val="003055C3"/>
    <w:rsid w:val="003055DB"/>
    <w:rsid w:val="003060C5"/>
    <w:rsid w:val="0030647B"/>
    <w:rsid w:val="00306527"/>
    <w:rsid w:val="003065A0"/>
    <w:rsid w:val="00306707"/>
    <w:rsid w:val="00306B95"/>
    <w:rsid w:val="00306D62"/>
    <w:rsid w:val="00306DF3"/>
    <w:rsid w:val="00307263"/>
    <w:rsid w:val="00307F6B"/>
    <w:rsid w:val="00310DB7"/>
    <w:rsid w:val="0031123C"/>
    <w:rsid w:val="003112E8"/>
    <w:rsid w:val="003119D8"/>
    <w:rsid w:val="003123AC"/>
    <w:rsid w:val="00312865"/>
    <w:rsid w:val="003132FD"/>
    <w:rsid w:val="003136DB"/>
    <w:rsid w:val="00313B29"/>
    <w:rsid w:val="00313F01"/>
    <w:rsid w:val="003143F8"/>
    <w:rsid w:val="003145B0"/>
    <w:rsid w:val="0031463A"/>
    <w:rsid w:val="00314FDF"/>
    <w:rsid w:val="0031507E"/>
    <w:rsid w:val="00315FA5"/>
    <w:rsid w:val="00316355"/>
    <w:rsid w:val="0031670E"/>
    <w:rsid w:val="00316741"/>
    <w:rsid w:val="00316B0F"/>
    <w:rsid w:val="00316E42"/>
    <w:rsid w:val="00317381"/>
    <w:rsid w:val="00317636"/>
    <w:rsid w:val="00317838"/>
    <w:rsid w:val="00317DE6"/>
    <w:rsid w:val="00320183"/>
    <w:rsid w:val="00320AEF"/>
    <w:rsid w:val="00320D0D"/>
    <w:rsid w:val="00320D65"/>
    <w:rsid w:val="00320E6E"/>
    <w:rsid w:val="00320F94"/>
    <w:rsid w:val="003214E2"/>
    <w:rsid w:val="00321ADD"/>
    <w:rsid w:val="00321AF6"/>
    <w:rsid w:val="00321C4D"/>
    <w:rsid w:val="00321D38"/>
    <w:rsid w:val="00321D8A"/>
    <w:rsid w:val="00322427"/>
    <w:rsid w:val="00323501"/>
    <w:rsid w:val="00323950"/>
    <w:rsid w:val="00323A7B"/>
    <w:rsid w:val="003244B5"/>
    <w:rsid w:val="0032512F"/>
    <w:rsid w:val="00325452"/>
    <w:rsid w:val="0032555B"/>
    <w:rsid w:val="00325619"/>
    <w:rsid w:val="003266F8"/>
    <w:rsid w:val="00326868"/>
    <w:rsid w:val="00326AD7"/>
    <w:rsid w:val="00326C7B"/>
    <w:rsid w:val="00327279"/>
    <w:rsid w:val="00330753"/>
    <w:rsid w:val="003312E8"/>
    <w:rsid w:val="00332926"/>
    <w:rsid w:val="00332D48"/>
    <w:rsid w:val="00332FDE"/>
    <w:rsid w:val="003336DF"/>
    <w:rsid w:val="003337AD"/>
    <w:rsid w:val="00333B47"/>
    <w:rsid w:val="00333CCA"/>
    <w:rsid w:val="00333DBA"/>
    <w:rsid w:val="003349CC"/>
    <w:rsid w:val="0033547A"/>
    <w:rsid w:val="00335808"/>
    <w:rsid w:val="00335EBC"/>
    <w:rsid w:val="00336608"/>
    <w:rsid w:val="00336A6D"/>
    <w:rsid w:val="00336A88"/>
    <w:rsid w:val="00337016"/>
    <w:rsid w:val="00337591"/>
    <w:rsid w:val="0034085D"/>
    <w:rsid w:val="00340A59"/>
    <w:rsid w:val="00340D26"/>
    <w:rsid w:val="00341516"/>
    <w:rsid w:val="00341893"/>
    <w:rsid w:val="003419EA"/>
    <w:rsid w:val="00341DBC"/>
    <w:rsid w:val="00341EF4"/>
    <w:rsid w:val="00342D95"/>
    <w:rsid w:val="0034328A"/>
    <w:rsid w:val="003439A5"/>
    <w:rsid w:val="0034404C"/>
    <w:rsid w:val="003445A9"/>
    <w:rsid w:val="003446F6"/>
    <w:rsid w:val="00344926"/>
    <w:rsid w:val="00344EAC"/>
    <w:rsid w:val="00345457"/>
    <w:rsid w:val="00345A83"/>
    <w:rsid w:val="00345E56"/>
    <w:rsid w:val="003463E5"/>
    <w:rsid w:val="00346907"/>
    <w:rsid w:val="00346F88"/>
    <w:rsid w:val="003473A2"/>
    <w:rsid w:val="003479C6"/>
    <w:rsid w:val="00347A9B"/>
    <w:rsid w:val="00347BE8"/>
    <w:rsid w:val="0035160F"/>
    <w:rsid w:val="00351D44"/>
    <w:rsid w:val="00352340"/>
    <w:rsid w:val="00352669"/>
    <w:rsid w:val="00353774"/>
    <w:rsid w:val="00353891"/>
    <w:rsid w:val="00353B75"/>
    <w:rsid w:val="00355139"/>
    <w:rsid w:val="003561CA"/>
    <w:rsid w:val="00356E45"/>
    <w:rsid w:val="003605A6"/>
    <w:rsid w:val="003606DA"/>
    <w:rsid w:val="003610D1"/>
    <w:rsid w:val="00361CB7"/>
    <w:rsid w:val="00362073"/>
    <w:rsid w:val="003631CA"/>
    <w:rsid w:val="003632C4"/>
    <w:rsid w:val="003632D5"/>
    <w:rsid w:val="003637C3"/>
    <w:rsid w:val="00363B16"/>
    <w:rsid w:val="00363BA0"/>
    <w:rsid w:val="00364198"/>
    <w:rsid w:val="00364C35"/>
    <w:rsid w:val="00364CF8"/>
    <w:rsid w:val="00364E78"/>
    <w:rsid w:val="0036522D"/>
    <w:rsid w:val="003653EC"/>
    <w:rsid w:val="00365CBC"/>
    <w:rsid w:val="003665CD"/>
    <w:rsid w:val="0036677B"/>
    <w:rsid w:val="00366E51"/>
    <w:rsid w:val="003675C7"/>
    <w:rsid w:val="003703BE"/>
    <w:rsid w:val="00371634"/>
    <w:rsid w:val="00371885"/>
    <w:rsid w:val="00371C43"/>
    <w:rsid w:val="00372610"/>
    <w:rsid w:val="00372ACA"/>
    <w:rsid w:val="00372DAC"/>
    <w:rsid w:val="00373357"/>
    <w:rsid w:val="003735B6"/>
    <w:rsid w:val="00373702"/>
    <w:rsid w:val="0037486E"/>
    <w:rsid w:val="00375A12"/>
    <w:rsid w:val="00375DC0"/>
    <w:rsid w:val="00375DF0"/>
    <w:rsid w:val="0037628D"/>
    <w:rsid w:val="003764B1"/>
    <w:rsid w:val="00376B38"/>
    <w:rsid w:val="00377754"/>
    <w:rsid w:val="00377FB3"/>
    <w:rsid w:val="003803CF"/>
    <w:rsid w:val="00380ED7"/>
    <w:rsid w:val="0038111F"/>
    <w:rsid w:val="003811B7"/>
    <w:rsid w:val="0038156C"/>
    <w:rsid w:val="00382688"/>
    <w:rsid w:val="00382A4D"/>
    <w:rsid w:val="0038309F"/>
    <w:rsid w:val="00384123"/>
    <w:rsid w:val="003841E8"/>
    <w:rsid w:val="00384208"/>
    <w:rsid w:val="00384B07"/>
    <w:rsid w:val="00384BA4"/>
    <w:rsid w:val="003852E4"/>
    <w:rsid w:val="003857AB"/>
    <w:rsid w:val="003865C4"/>
    <w:rsid w:val="00386D13"/>
    <w:rsid w:val="00386DA2"/>
    <w:rsid w:val="003873AD"/>
    <w:rsid w:val="0038753A"/>
    <w:rsid w:val="003878AB"/>
    <w:rsid w:val="00387B8C"/>
    <w:rsid w:val="00391527"/>
    <w:rsid w:val="00391D8B"/>
    <w:rsid w:val="00391F5D"/>
    <w:rsid w:val="003938B0"/>
    <w:rsid w:val="003939C2"/>
    <w:rsid w:val="00394590"/>
    <w:rsid w:val="00394767"/>
    <w:rsid w:val="00394F77"/>
    <w:rsid w:val="00395291"/>
    <w:rsid w:val="003956A9"/>
    <w:rsid w:val="00395D29"/>
    <w:rsid w:val="0039664F"/>
    <w:rsid w:val="003972D4"/>
    <w:rsid w:val="00397707"/>
    <w:rsid w:val="0039799C"/>
    <w:rsid w:val="003A08EA"/>
    <w:rsid w:val="003A0DE1"/>
    <w:rsid w:val="003A1867"/>
    <w:rsid w:val="003A1C5E"/>
    <w:rsid w:val="003A21E6"/>
    <w:rsid w:val="003A35EF"/>
    <w:rsid w:val="003A3813"/>
    <w:rsid w:val="003A38AA"/>
    <w:rsid w:val="003A3DBC"/>
    <w:rsid w:val="003A4880"/>
    <w:rsid w:val="003A4D13"/>
    <w:rsid w:val="003A4EFB"/>
    <w:rsid w:val="003A5138"/>
    <w:rsid w:val="003A530B"/>
    <w:rsid w:val="003A5802"/>
    <w:rsid w:val="003A611E"/>
    <w:rsid w:val="003A64E7"/>
    <w:rsid w:val="003A6516"/>
    <w:rsid w:val="003A6950"/>
    <w:rsid w:val="003A6A8B"/>
    <w:rsid w:val="003A7205"/>
    <w:rsid w:val="003A755E"/>
    <w:rsid w:val="003A7714"/>
    <w:rsid w:val="003B06AF"/>
    <w:rsid w:val="003B0B6E"/>
    <w:rsid w:val="003B0BE9"/>
    <w:rsid w:val="003B1266"/>
    <w:rsid w:val="003B16F2"/>
    <w:rsid w:val="003B1DA7"/>
    <w:rsid w:val="003B20DE"/>
    <w:rsid w:val="003B2790"/>
    <w:rsid w:val="003B2B14"/>
    <w:rsid w:val="003B317D"/>
    <w:rsid w:val="003B3220"/>
    <w:rsid w:val="003B3AB9"/>
    <w:rsid w:val="003B5296"/>
    <w:rsid w:val="003B5586"/>
    <w:rsid w:val="003B5F51"/>
    <w:rsid w:val="003B72B7"/>
    <w:rsid w:val="003B7A9B"/>
    <w:rsid w:val="003C09DF"/>
    <w:rsid w:val="003C13CF"/>
    <w:rsid w:val="003C1622"/>
    <w:rsid w:val="003C1A9F"/>
    <w:rsid w:val="003C1FD1"/>
    <w:rsid w:val="003C3262"/>
    <w:rsid w:val="003C3521"/>
    <w:rsid w:val="003C3AB7"/>
    <w:rsid w:val="003C40FD"/>
    <w:rsid w:val="003C468B"/>
    <w:rsid w:val="003C4758"/>
    <w:rsid w:val="003C4869"/>
    <w:rsid w:val="003C4F75"/>
    <w:rsid w:val="003C54BE"/>
    <w:rsid w:val="003C5C10"/>
    <w:rsid w:val="003C660C"/>
    <w:rsid w:val="003C66E0"/>
    <w:rsid w:val="003C7127"/>
    <w:rsid w:val="003C767E"/>
    <w:rsid w:val="003C77B2"/>
    <w:rsid w:val="003D0049"/>
    <w:rsid w:val="003D01DF"/>
    <w:rsid w:val="003D0BE4"/>
    <w:rsid w:val="003D0E3C"/>
    <w:rsid w:val="003D1429"/>
    <w:rsid w:val="003D160E"/>
    <w:rsid w:val="003D1922"/>
    <w:rsid w:val="003D1934"/>
    <w:rsid w:val="003D1F6A"/>
    <w:rsid w:val="003D2279"/>
    <w:rsid w:val="003D22FC"/>
    <w:rsid w:val="003D28CC"/>
    <w:rsid w:val="003D30F6"/>
    <w:rsid w:val="003D34B0"/>
    <w:rsid w:val="003D3E3C"/>
    <w:rsid w:val="003D3EE6"/>
    <w:rsid w:val="003D4689"/>
    <w:rsid w:val="003D4847"/>
    <w:rsid w:val="003D4D68"/>
    <w:rsid w:val="003D6285"/>
    <w:rsid w:val="003D62D0"/>
    <w:rsid w:val="003D6650"/>
    <w:rsid w:val="003D777F"/>
    <w:rsid w:val="003E0612"/>
    <w:rsid w:val="003E0980"/>
    <w:rsid w:val="003E0E26"/>
    <w:rsid w:val="003E1188"/>
    <w:rsid w:val="003E11AE"/>
    <w:rsid w:val="003E11BC"/>
    <w:rsid w:val="003E183D"/>
    <w:rsid w:val="003E2309"/>
    <w:rsid w:val="003E2F6D"/>
    <w:rsid w:val="003E3348"/>
    <w:rsid w:val="003E403F"/>
    <w:rsid w:val="003E40A1"/>
    <w:rsid w:val="003E4599"/>
    <w:rsid w:val="003E47BD"/>
    <w:rsid w:val="003E4CFC"/>
    <w:rsid w:val="003E5585"/>
    <w:rsid w:val="003E5AA5"/>
    <w:rsid w:val="003E6421"/>
    <w:rsid w:val="003E6C77"/>
    <w:rsid w:val="003E716F"/>
    <w:rsid w:val="003E78C4"/>
    <w:rsid w:val="003E7FA3"/>
    <w:rsid w:val="003F0E5D"/>
    <w:rsid w:val="003F1769"/>
    <w:rsid w:val="003F1D04"/>
    <w:rsid w:val="003F2088"/>
    <w:rsid w:val="003F257B"/>
    <w:rsid w:val="003F2B48"/>
    <w:rsid w:val="003F2DF0"/>
    <w:rsid w:val="003F32A7"/>
    <w:rsid w:val="003F34B4"/>
    <w:rsid w:val="003F3FA6"/>
    <w:rsid w:val="003F48B1"/>
    <w:rsid w:val="003F4968"/>
    <w:rsid w:val="003F4F25"/>
    <w:rsid w:val="003F5127"/>
    <w:rsid w:val="003F5266"/>
    <w:rsid w:val="003F5F13"/>
    <w:rsid w:val="003F6617"/>
    <w:rsid w:val="003F6972"/>
    <w:rsid w:val="003F6C8F"/>
    <w:rsid w:val="003F6FCE"/>
    <w:rsid w:val="003F72E5"/>
    <w:rsid w:val="003F7ECC"/>
    <w:rsid w:val="004004FA"/>
    <w:rsid w:val="00401715"/>
    <w:rsid w:val="00401836"/>
    <w:rsid w:val="00401BB4"/>
    <w:rsid w:val="004022F6"/>
    <w:rsid w:val="00402C33"/>
    <w:rsid w:val="00402E3C"/>
    <w:rsid w:val="00402F7F"/>
    <w:rsid w:val="00404164"/>
    <w:rsid w:val="0040473E"/>
    <w:rsid w:val="0040513F"/>
    <w:rsid w:val="00405356"/>
    <w:rsid w:val="004059B8"/>
    <w:rsid w:val="00405B85"/>
    <w:rsid w:val="00405E6B"/>
    <w:rsid w:val="00405EBD"/>
    <w:rsid w:val="0040696F"/>
    <w:rsid w:val="00407641"/>
    <w:rsid w:val="0040774E"/>
    <w:rsid w:val="00407BA3"/>
    <w:rsid w:val="004105B3"/>
    <w:rsid w:val="0041107B"/>
    <w:rsid w:val="0041147B"/>
    <w:rsid w:val="004115B8"/>
    <w:rsid w:val="00411660"/>
    <w:rsid w:val="00411881"/>
    <w:rsid w:val="00411A5C"/>
    <w:rsid w:val="00412011"/>
    <w:rsid w:val="00412CAC"/>
    <w:rsid w:val="00412D88"/>
    <w:rsid w:val="00412DEE"/>
    <w:rsid w:val="00413DF9"/>
    <w:rsid w:val="00413FED"/>
    <w:rsid w:val="00414E45"/>
    <w:rsid w:val="00415484"/>
    <w:rsid w:val="004156D0"/>
    <w:rsid w:val="004159B7"/>
    <w:rsid w:val="00415B98"/>
    <w:rsid w:val="00416946"/>
    <w:rsid w:val="00416BBE"/>
    <w:rsid w:val="00417234"/>
    <w:rsid w:val="00417591"/>
    <w:rsid w:val="004176FA"/>
    <w:rsid w:val="00417C2A"/>
    <w:rsid w:val="004200B8"/>
    <w:rsid w:val="00420425"/>
    <w:rsid w:val="00420B5F"/>
    <w:rsid w:val="00420FDD"/>
    <w:rsid w:val="00421171"/>
    <w:rsid w:val="004211F9"/>
    <w:rsid w:val="00421312"/>
    <w:rsid w:val="0042163A"/>
    <w:rsid w:val="00421640"/>
    <w:rsid w:val="00421A75"/>
    <w:rsid w:val="00422D33"/>
    <w:rsid w:val="00422DE6"/>
    <w:rsid w:val="00422E35"/>
    <w:rsid w:val="00423723"/>
    <w:rsid w:val="0042391E"/>
    <w:rsid w:val="004247A9"/>
    <w:rsid w:val="004250C6"/>
    <w:rsid w:val="00426C6B"/>
    <w:rsid w:val="0042740B"/>
    <w:rsid w:val="004279D0"/>
    <w:rsid w:val="00429B0C"/>
    <w:rsid w:val="004305A3"/>
    <w:rsid w:val="0043084D"/>
    <w:rsid w:val="00430A89"/>
    <w:rsid w:val="00430C82"/>
    <w:rsid w:val="00431075"/>
    <w:rsid w:val="0043138F"/>
    <w:rsid w:val="0043186A"/>
    <w:rsid w:val="00431A5A"/>
    <w:rsid w:val="004323D4"/>
    <w:rsid w:val="00432A57"/>
    <w:rsid w:val="00432C97"/>
    <w:rsid w:val="00432D8A"/>
    <w:rsid w:val="00433733"/>
    <w:rsid w:val="004337B0"/>
    <w:rsid w:val="00433A36"/>
    <w:rsid w:val="00433F18"/>
    <w:rsid w:val="00433FAC"/>
    <w:rsid w:val="004340CB"/>
    <w:rsid w:val="0043437A"/>
    <w:rsid w:val="004343D9"/>
    <w:rsid w:val="004347D8"/>
    <w:rsid w:val="00434C17"/>
    <w:rsid w:val="00434F23"/>
    <w:rsid w:val="00435335"/>
    <w:rsid w:val="00435857"/>
    <w:rsid w:val="00435B25"/>
    <w:rsid w:val="004367AC"/>
    <w:rsid w:val="00436D42"/>
    <w:rsid w:val="00436FD0"/>
    <w:rsid w:val="004370F6"/>
    <w:rsid w:val="00437F6F"/>
    <w:rsid w:val="004402B1"/>
    <w:rsid w:val="00440622"/>
    <w:rsid w:val="0044062C"/>
    <w:rsid w:val="00441DC7"/>
    <w:rsid w:val="0044207D"/>
    <w:rsid w:val="00442506"/>
    <w:rsid w:val="00442B8F"/>
    <w:rsid w:val="00442FB7"/>
    <w:rsid w:val="0044311A"/>
    <w:rsid w:val="0044320A"/>
    <w:rsid w:val="0044329A"/>
    <w:rsid w:val="00443E85"/>
    <w:rsid w:val="00444040"/>
    <w:rsid w:val="004444A8"/>
    <w:rsid w:val="00444FCF"/>
    <w:rsid w:val="004457E4"/>
    <w:rsid w:val="0044604B"/>
    <w:rsid w:val="004470CC"/>
    <w:rsid w:val="00447109"/>
    <w:rsid w:val="00447C76"/>
    <w:rsid w:val="0045026A"/>
    <w:rsid w:val="00450471"/>
    <w:rsid w:val="004511CC"/>
    <w:rsid w:val="00451450"/>
    <w:rsid w:val="0045196F"/>
    <w:rsid w:val="00451ADD"/>
    <w:rsid w:val="00452628"/>
    <w:rsid w:val="00452966"/>
    <w:rsid w:val="00452DE4"/>
    <w:rsid w:val="004531B5"/>
    <w:rsid w:val="00453D89"/>
    <w:rsid w:val="00454259"/>
    <w:rsid w:val="0045483C"/>
    <w:rsid w:val="00454BF0"/>
    <w:rsid w:val="00454E73"/>
    <w:rsid w:val="00454F78"/>
    <w:rsid w:val="00455857"/>
    <w:rsid w:val="00455E05"/>
    <w:rsid w:val="004568CE"/>
    <w:rsid w:val="004576E1"/>
    <w:rsid w:val="00457D17"/>
    <w:rsid w:val="00457F44"/>
    <w:rsid w:val="00460486"/>
    <w:rsid w:val="004604EA"/>
    <w:rsid w:val="0046068C"/>
    <w:rsid w:val="00461AC2"/>
    <w:rsid w:val="00461F6D"/>
    <w:rsid w:val="004621FD"/>
    <w:rsid w:val="004622DE"/>
    <w:rsid w:val="0046262B"/>
    <w:rsid w:val="00462CF7"/>
    <w:rsid w:val="00462F7D"/>
    <w:rsid w:val="00463EE8"/>
    <w:rsid w:val="0046418C"/>
    <w:rsid w:val="0046471D"/>
    <w:rsid w:val="00464B07"/>
    <w:rsid w:val="00464F77"/>
    <w:rsid w:val="00464FE0"/>
    <w:rsid w:val="0046572A"/>
    <w:rsid w:val="00465DCC"/>
    <w:rsid w:val="0046692B"/>
    <w:rsid w:val="00466A20"/>
    <w:rsid w:val="00466B30"/>
    <w:rsid w:val="00466FD4"/>
    <w:rsid w:val="00467554"/>
    <w:rsid w:val="0046793E"/>
    <w:rsid w:val="00467E20"/>
    <w:rsid w:val="0046FEC2"/>
    <w:rsid w:val="00470886"/>
    <w:rsid w:val="00470D62"/>
    <w:rsid w:val="00470DC9"/>
    <w:rsid w:val="00471229"/>
    <w:rsid w:val="00471842"/>
    <w:rsid w:val="00471A3D"/>
    <w:rsid w:val="00471B19"/>
    <w:rsid w:val="00471C5F"/>
    <w:rsid w:val="00471CDD"/>
    <w:rsid w:val="00471DFD"/>
    <w:rsid w:val="00473455"/>
    <w:rsid w:val="00473924"/>
    <w:rsid w:val="00473BDB"/>
    <w:rsid w:val="00473D92"/>
    <w:rsid w:val="00473E8B"/>
    <w:rsid w:val="00474221"/>
    <w:rsid w:val="00475BFA"/>
    <w:rsid w:val="00475EDE"/>
    <w:rsid w:val="0047660F"/>
    <w:rsid w:val="0047663C"/>
    <w:rsid w:val="00476A4C"/>
    <w:rsid w:val="00477054"/>
    <w:rsid w:val="004776D6"/>
    <w:rsid w:val="004778A5"/>
    <w:rsid w:val="00480195"/>
    <w:rsid w:val="004807D7"/>
    <w:rsid w:val="00481A24"/>
    <w:rsid w:val="00481EFE"/>
    <w:rsid w:val="004832C6"/>
    <w:rsid w:val="00483C8B"/>
    <w:rsid w:val="00483CED"/>
    <w:rsid w:val="00483E48"/>
    <w:rsid w:val="004841FE"/>
    <w:rsid w:val="00484CAA"/>
    <w:rsid w:val="0048586B"/>
    <w:rsid w:val="00485D10"/>
    <w:rsid w:val="00485F2A"/>
    <w:rsid w:val="00486EAC"/>
    <w:rsid w:val="004870EF"/>
    <w:rsid w:val="0048785F"/>
    <w:rsid w:val="00487B0E"/>
    <w:rsid w:val="004900A7"/>
    <w:rsid w:val="004903BB"/>
    <w:rsid w:val="004904B1"/>
    <w:rsid w:val="00490D99"/>
    <w:rsid w:val="00490FD1"/>
    <w:rsid w:val="00491359"/>
    <w:rsid w:val="004917A2"/>
    <w:rsid w:val="00491AD8"/>
    <w:rsid w:val="00492A82"/>
    <w:rsid w:val="00494239"/>
    <w:rsid w:val="004942BA"/>
    <w:rsid w:val="0049442D"/>
    <w:rsid w:val="004949FD"/>
    <w:rsid w:val="00494A7D"/>
    <w:rsid w:val="00494ECD"/>
    <w:rsid w:val="00495EF3"/>
    <w:rsid w:val="004964C9"/>
    <w:rsid w:val="00496B73"/>
    <w:rsid w:val="00496C21"/>
    <w:rsid w:val="004A0EF9"/>
    <w:rsid w:val="004A11BB"/>
    <w:rsid w:val="004A120C"/>
    <w:rsid w:val="004A14F0"/>
    <w:rsid w:val="004A1AEC"/>
    <w:rsid w:val="004A1C72"/>
    <w:rsid w:val="004A1C76"/>
    <w:rsid w:val="004A1D8A"/>
    <w:rsid w:val="004A1DEB"/>
    <w:rsid w:val="004A2B57"/>
    <w:rsid w:val="004A2EFC"/>
    <w:rsid w:val="004A3000"/>
    <w:rsid w:val="004A36E0"/>
    <w:rsid w:val="004A39A5"/>
    <w:rsid w:val="004A3D95"/>
    <w:rsid w:val="004A4104"/>
    <w:rsid w:val="004A4336"/>
    <w:rsid w:val="004A43BD"/>
    <w:rsid w:val="004A5568"/>
    <w:rsid w:val="004A582F"/>
    <w:rsid w:val="004A5F78"/>
    <w:rsid w:val="004A66EA"/>
    <w:rsid w:val="004A6DB4"/>
    <w:rsid w:val="004A6E0E"/>
    <w:rsid w:val="004A70D0"/>
    <w:rsid w:val="004A79AD"/>
    <w:rsid w:val="004A7BEF"/>
    <w:rsid w:val="004A7D11"/>
    <w:rsid w:val="004B0279"/>
    <w:rsid w:val="004B08E5"/>
    <w:rsid w:val="004B0E68"/>
    <w:rsid w:val="004B12F2"/>
    <w:rsid w:val="004B1634"/>
    <w:rsid w:val="004B1C25"/>
    <w:rsid w:val="004B2473"/>
    <w:rsid w:val="004B2724"/>
    <w:rsid w:val="004B2E4B"/>
    <w:rsid w:val="004B348A"/>
    <w:rsid w:val="004B352D"/>
    <w:rsid w:val="004B35E3"/>
    <w:rsid w:val="004B3D28"/>
    <w:rsid w:val="004B3E10"/>
    <w:rsid w:val="004B45D9"/>
    <w:rsid w:val="004B4769"/>
    <w:rsid w:val="004B4870"/>
    <w:rsid w:val="004B4B93"/>
    <w:rsid w:val="004B4C65"/>
    <w:rsid w:val="004B508B"/>
    <w:rsid w:val="004B5090"/>
    <w:rsid w:val="004B5C43"/>
    <w:rsid w:val="004B66C2"/>
    <w:rsid w:val="004B6857"/>
    <w:rsid w:val="004B71C1"/>
    <w:rsid w:val="004B720A"/>
    <w:rsid w:val="004B7418"/>
    <w:rsid w:val="004B7DB9"/>
    <w:rsid w:val="004C0696"/>
    <w:rsid w:val="004C09E7"/>
    <w:rsid w:val="004C0CAA"/>
    <w:rsid w:val="004C0F7F"/>
    <w:rsid w:val="004C1A5E"/>
    <w:rsid w:val="004C1CE7"/>
    <w:rsid w:val="004C1DB9"/>
    <w:rsid w:val="004C223F"/>
    <w:rsid w:val="004C2E04"/>
    <w:rsid w:val="004C3175"/>
    <w:rsid w:val="004C3B1A"/>
    <w:rsid w:val="004C3BC4"/>
    <w:rsid w:val="004C3D6C"/>
    <w:rsid w:val="004C41A4"/>
    <w:rsid w:val="004C47BF"/>
    <w:rsid w:val="004C4AAA"/>
    <w:rsid w:val="004C504A"/>
    <w:rsid w:val="004C5623"/>
    <w:rsid w:val="004C5784"/>
    <w:rsid w:val="004C6CC1"/>
    <w:rsid w:val="004C7010"/>
    <w:rsid w:val="004C7BC1"/>
    <w:rsid w:val="004D02CF"/>
    <w:rsid w:val="004D04E8"/>
    <w:rsid w:val="004D055F"/>
    <w:rsid w:val="004D0857"/>
    <w:rsid w:val="004D0F81"/>
    <w:rsid w:val="004D1291"/>
    <w:rsid w:val="004D1CBE"/>
    <w:rsid w:val="004D2730"/>
    <w:rsid w:val="004D2E41"/>
    <w:rsid w:val="004D3070"/>
    <w:rsid w:val="004D3807"/>
    <w:rsid w:val="004D38CD"/>
    <w:rsid w:val="004D3E00"/>
    <w:rsid w:val="004D4280"/>
    <w:rsid w:val="004D43BD"/>
    <w:rsid w:val="004D49C5"/>
    <w:rsid w:val="004D57A6"/>
    <w:rsid w:val="004D5847"/>
    <w:rsid w:val="004D5C4A"/>
    <w:rsid w:val="004D60E9"/>
    <w:rsid w:val="004D6825"/>
    <w:rsid w:val="004D6CA9"/>
    <w:rsid w:val="004D7514"/>
    <w:rsid w:val="004D7C4B"/>
    <w:rsid w:val="004D7D51"/>
    <w:rsid w:val="004D7E14"/>
    <w:rsid w:val="004D7F37"/>
    <w:rsid w:val="004D7FAA"/>
    <w:rsid w:val="004E0832"/>
    <w:rsid w:val="004E11B2"/>
    <w:rsid w:val="004E1991"/>
    <w:rsid w:val="004E1FA8"/>
    <w:rsid w:val="004E2329"/>
    <w:rsid w:val="004E26C3"/>
    <w:rsid w:val="004E2B2E"/>
    <w:rsid w:val="004E2EC5"/>
    <w:rsid w:val="004E30E8"/>
    <w:rsid w:val="004E3D3D"/>
    <w:rsid w:val="004E3E35"/>
    <w:rsid w:val="004E4BC9"/>
    <w:rsid w:val="004E4DC3"/>
    <w:rsid w:val="004E4F26"/>
    <w:rsid w:val="004E5106"/>
    <w:rsid w:val="004E52FB"/>
    <w:rsid w:val="004E5637"/>
    <w:rsid w:val="004E5641"/>
    <w:rsid w:val="004E5C19"/>
    <w:rsid w:val="004E6091"/>
    <w:rsid w:val="004E6311"/>
    <w:rsid w:val="004E6AAE"/>
    <w:rsid w:val="004E6AD0"/>
    <w:rsid w:val="004E731B"/>
    <w:rsid w:val="004E7408"/>
    <w:rsid w:val="004E7C5E"/>
    <w:rsid w:val="004E7D82"/>
    <w:rsid w:val="004F00C2"/>
    <w:rsid w:val="004F0837"/>
    <w:rsid w:val="004F0BD5"/>
    <w:rsid w:val="004F11A6"/>
    <w:rsid w:val="004F1830"/>
    <w:rsid w:val="004F19F6"/>
    <w:rsid w:val="004F1B8A"/>
    <w:rsid w:val="004F1C49"/>
    <w:rsid w:val="004F1D18"/>
    <w:rsid w:val="004F1DE0"/>
    <w:rsid w:val="004F2583"/>
    <w:rsid w:val="004F2950"/>
    <w:rsid w:val="004F2A3D"/>
    <w:rsid w:val="004F2BCF"/>
    <w:rsid w:val="004F2DAB"/>
    <w:rsid w:val="004F3C7F"/>
    <w:rsid w:val="004F409D"/>
    <w:rsid w:val="004F4375"/>
    <w:rsid w:val="004F4D3F"/>
    <w:rsid w:val="004F58DE"/>
    <w:rsid w:val="004F671F"/>
    <w:rsid w:val="004F6C6A"/>
    <w:rsid w:val="004F775C"/>
    <w:rsid w:val="00500110"/>
    <w:rsid w:val="005017CC"/>
    <w:rsid w:val="005017FB"/>
    <w:rsid w:val="00501A53"/>
    <w:rsid w:val="00501B48"/>
    <w:rsid w:val="00501F6F"/>
    <w:rsid w:val="005022CC"/>
    <w:rsid w:val="00502674"/>
    <w:rsid w:val="0050272B"/>
    <w:rsid w:val="005031A0"/>
    <w:rsid w:val="00503238"/>
    <w:rsid w:val="005037EF"/>
    <w:rsid w:val="005039D9"/>
    <w:rsid w:val="0050450A"/>
    <w:rsid w:val="005046BA"/>
    <w:rsid w:val="005048FB"/>
    <w:rsid w:val="00504C64"/>
    <w:rsid w:val="005061A5"/>
    <w:rsid w:val="00506550"/>
    <w:rsid w:val="005077A1"/>
    <w:rsid w:val="00507CDB"/>
    <w:rsid w:val="00512A28"/>
    <w:rsid w:val="00512ACD"/>
    <w:rsid w:val="00512C3E"/>
    <w:rsid w:val="00512EDC"/>
    <w:rsid w:val="00512F03"/>
    <w:rsid w:val="005139A3"/>
    <w:rsid w:val="0051409A"/>
    <w:rsid w:val="00514CB0"/>
    <w:rsid w:val="00514E95"/>
    <w:rsid w:val="005201A8"/>
    <w:rsid w:val="00521290"/>
    <w:rsid w:val="00521555"/>
    <w:rsid w:val="005216E5"/>
    <w:rsid w:val="0052359B"/>
    <w:rsid w:val="00523E34"/>
    <w:rsid w:val="005244FC"/>
    <w:rsid w:val="0052493F"/>
    <w:rsid w:val="00524AA3"/>
    <w:rsid w:val="005250F4"/>
    <w:rsid w:val="00525598"/>
    <w:rsid w:val="00525607"/>
    <w:rsid w:val="0052590E"/>
    <w:rsid w:val="00525BD6"/>
    <w:rsid w:val="0052617D"/>
    <w:rsid w:val="00526206"/>
    <w:rsid w:val="00526988"/>
    <w:rsid w:val="00526C54"/>
    <w:rsid w:val="00526E50"/>
    <w:rsid w:val="0052780E"/>
    <w:rsid w:val="00527B6B"/>
    <w:rsid w:val="00527E33"/>
    <w:rsid w:val="00530181"/>
    <w:rsid w:val="0053029F"/>
    <w:rsid w:val="005303B2"/>
    <w:rsid w:val="00530ABA"/>
    <w:rsid w:val="00530C17"/>
    <w:rsid w:val="00531394"/>
    <w:rsid w:val="0053178F"/>
    <w:rsid w:val="00532777"/>
    <w:rsid w:val="00532785"/>
    <w:rsid w:val="00532B4B"/>
    <w:rsid w:val="00533EF6"/>
    <w:rsid w:val="0053468E"/>
    <w:rsid w:val="00535216"/>
    <w:rsid w:val="0053778E"/>
    <w:rsid w:val="00537C1B"/>
    <w:rsid w:val="00537F5C"/>
    <w:rsid w:val="005402F6"/>
    <w:rsid w:val="00540789"/>
    <w:rsid w:val="00541C06"/>
    <w:rsid w:val="00541E93"/>
    <w:rsid w:val="00542080"/>
    <w:rsid w:val="005424A4"/>
    <w:rsid w:val="00542869"/>
    <w:rsid w:val="00542F43"/>
    <w:rsid w:val="00542FAE"/>
    <w:rsid w:val="0054356A"/>
    <w:rsid w:val="00543E0F"/>
    <w:rsid w:val="00543EBE"/>
    <w:rsid w:val="00544C3F"/>
    <w:rsid w:val="00545267"/>
    <w:rsid w:val="0054566A"/>
    <w:rsid w:val="0054572A"/>
    <w:rsid w:val="00546357"/>
    <w:rsid w:val="00546388"/>
    <w:rsid w:val="005464A0"/>
    <w:rsid w:val="00546C6D"/>
    <w:rsid w:val="00548885"/>
    <w:rsid w:val="005500A8"/>
    <w:rsid w:val="00551541"/>
    <w:rsid w:val="00551567"/>
    <w:rsid w:val="005517D0"/>
    <w:rsid w:val="0055239A"/>
    <w:rsid w:val="00552B33"/>
    <w:rsid w:val="00552E15"/>
    <w:rsid w:val="0055407D"/>
    <w:rsid w:val="0055459E"/>
    <w:rsid w:val="00554AC0"/>
    <w:rsid w:val="00555A87"/>
    <w:rsid w:val="0055612A"/>
    <w:rsid w:val="005567BF"/>
    <w:rsid w:val="00557F78"/>
    <w:rsid w:val="00560055"/>
    <w:rsid w:val="0056011B"/>
    <w:rsid w:val="0056054D"/>
    <w:rsid w:val="005606E4"/>
    <w:rsid w:val="005608BF"/>
    <w:rsid w:val="005614A8"/>
    <w:rsid w:val="00561933"/>
    <w:rsid w:val="0056237B"/>
    <w:rsid w:val="00562881"/>
    <w:rsid w:val="00562E27"/>
    <w:rsid w:val="00564B04"/>
    <w:rsid w:val="00564C06"/>
    <w:rsid w:val="005651D1"/>
    <w:rsid w:val="005652EC"/>
    <w:rsid w:val="0056546B"/>
    <w:rsid w:val="0056547E"/>
    <w:rsid w:val="005655EC"/>
    <w:rsid w:val="00565FDF"/>
    <w:rsid w:val="0056639F"/>
    <w:rsid w:val="005672D6"/>
    <w:rsid w:val="00567AC8"/>
    <w:rsid w:val="00570094"/>
    <w:rsid w:val="005705CD"/>
    <w:rsid w:val="0057072D"/>
    <w:rsid w:val="0057110A"/>
    <w:rsid w:val="00572087"/>
    <w:rsid w:val="00572A32"/>
    <w:rsid w:val="005731A6"/>
    <w:rsid w:val="005734A7"/>
    <w:rsid w:val="005739EE"/>
    <w:rsid w:val="005746DE"/>
    <w:rsid w:val="005746FB"/>
    <w:rsid w:val="00574ACB"/>
    <w:rsid w:val="0057615D"/>
    <w:rsid w:val="00576563"/>
    <w:rsid w:val="00576B90"/>
    <w:rsid w:val="00576D1F"/>
    <w:rsid w:val="00576FCF"/>
    <w:rsid w:val="00577896"/>
    <w:rsid w:val="00577A81"/>
    <w:rsid w:val="00577AC3"/>
    <w:rsid w:val="00577FFE"/>
    <w:rsid w:val="00580A93"/>
    <w:rsid w:val="00581231"/>
    <w:rsid w:val="00581467"/>
    <w:rsid w:val="0058159B"/>
    <w:rsid w:val="005819F3"/>
    <w:rsid w:val="005833D1"/>
    <w:rsid w:val="00584224"/>
    <w:rsid w:val="00584968"/>
    <w:rsid w:val="00584BE2"/>
    <w:rsid w:val="00584C2E"/>
    <w:rsid w:val="00584CE5"/>
    <w:rsid w:val="00584ED2"/>
    <w:rsid w:val="00584F33"/>
    <w:rsid w:val="00584F57"/>
    <w:rsid w:val="00585481"/>
    <w:rsid w:val="005854C9"/>
    <w:rsid w:val="00585794"/>
    <w:rsid w:val="00585B54"/>
    <w:rsid w:val="00585C5F"/>
    <w:rsid w:val="00586981"/>
    <w:rsid w:val="0058700C"/>
    <w:rsid w:val="00587E51"/>
    <w:rsid w:val="00590F0D"/>
    <w:rsid w:val="00591207"/>
    <w:rsid w:val="005914ED"/>
    <w:rsid w:val="00591B0A"/>
    <w:rsid w:val="00591F51"/>
    <w:rsid w:val="00592DA7"/>
    <w:rsid w:val="00593B35"/>
    <w:rsid w:val="005943CB"/>
    <w:rsid w:val="00595F53"/>
    <w:rsid w:val="005960F7"/>
    <w:rsid w:val="00596A42"/>
    <w:rsid w:val="00596FE6"/>
    <w:rsid w:val="005970D2"/>
    <w:rsid w:val="005972D0"/>
    <w:rsid w:val="00597FCE"/>
    <w:rsid w:val="005A0883"/>
    <w:rsid w:val="005A1005"/>
    <w:rsid w:val="005A115F"/>
    <w:rsid w:val="005A132A"/>
    <w:rsid w:val="005A1800"/>
    <w:rsid w:val="005A1E15"/>
    <w:rsid w:val="005A222A"/>
    <w:rsid w:val="005A26D9"/>
    <w:rsid w:val="005A2B30"/>
    <w:rsid w:val="005A3140"/>
    <w:rsid w:val="005A3607"/>
    <w:rsid w:val="005A3C23"/>
    <w:rsid w:val="005A3FFC"/>
    <w:rsid w:val="005A41EE"/>
    <w:rsid w:val="005A474B"/>
    <w:rsid w:val="005A4AF3"/>
    <w:rsid w:val="005A4C43"/>
    <w:rsid w:val="005A50AD"/>
    <w:rsid w:val="005A50BE"/>
    <w:rsid w:val="005A599C"/>
    <w:rsid w:val="005A620B"/>
    <w:rsid w:val="005A63F1"/>
    <w:rsid w:val="005A7D54"/>
    <w:rsid w:val="005AD390"/>
    <w:rsid w:val="005B00BD"/>
    <w:rsid w:val="005B076B"/>
    <w:rsid w:val="005B09B3"/>
    <w:rsid w:val="005B0CDA"/>
    <w:rsid w:val="005B1995"/>
    <w:rsid w:val="005B1B6E"/>
    <w:rsid w:val="005B269C"/>
    <w:rsid w:val="005B2775"/>
    <w:rsid w:val="005B39C8"/>
    <w:rsid w:val="005B3A29"/>
    <w:rsid w:val="005B405D"/>
    <w:rsid w:val="005B428D"/>
    <w:rsid w:val="005B4520"/>
    <w:rsid w:val="005B487F"/>
    <w:rsid w:val="005B610E"/>
    <w:rsid w:val="005B64E6"/>
    <w:rsid w:val="005B6BAD"/>
    <w:rsid w:val="005B6BB1"/>
    <w:rsid w:val="005B71BF"/>
    <w:rsid w:val="005B78BB"/>
    <w:rsid w:val="005C0040"/>
    <w:rsid w:val="005C04B3"/>
    <w:rsid w:val="005C1224"/>
    <w:rsid w:val="005C1434"/>
    <w:rsid w:val="005C1ED2"/>
    <w:rsid w:val="005C2312"/>
    <w:rsid w:val="005C2460"/>
    <w:rsid w:val="005C250B"/>
    <w:rsid w:val="005C2A44"/>
    <w:rsid w:val="005C2FA8"/>
    <w:rsid w:val="005C3127"/>
    <w:rsid w:val="005C31AA"/>
    <w:rsid w:val="005C3A18"/>
    <w:rsid w:val="005C3B2D"/>
    <w:rsid w:val="005C3CC5"/>
    <w:rsid w:val="005C3FC3"/>
    <w:rsid w:val="005C4177"/>
    <w:rsid w:val="005C5224"/>
    <w:rsid w:val="005C581B"/>
    <w:rsid w:val="005C595B"/>
    <w:rsid w:val="005C5ADB"/>
    <w:rsid w:val="005C659D"/>
    <w:rsid w:val="005C6A49"/>
    <w:rsid w:val="005C6BAD"/>
    <w:rsid w:val="005C6D20"/>
    <w:rsid w:val="005C78FA"/>
    <w:rsid w:val="005C7A36"/>
    <w:rsid w:val="005C7B7C"/>
    <w:rsid w:val="005D09D6"/>
    <w:rsid w:val="005D0D07"/>
    <w:rsid w:val="005D0DA9"/>
    <w:rsid w:val="005D19DE"/>
    <w:rsid w:val="005D1ACA"/>
    <w:rsid w:val="005D2901"/>
    <w:rsid w:val="005D3001"/>
    <w:rsid w:val="005D3240"/>
    <w:rsid w:val="005D56B3"/>
    <w:rsid w:val="005D629C"/>
    <w:rsid w:val="005D6336"/>
    <w:rsid w:val="005D64D5"/>
    <w:rsid w:val="005D666A"/>
    <w:rsid w:val="005D6782"/>
    <w:rsid w:val="005D6862"/>
    <w:rsid w:val="005D76C5"/>
    <w:rsid w:val="005D7AD7"/>
    <w:rsid w:val="005E01E0"/>
    <w:rsid w:val="005E0C74"/>
    <w:rsid w:val="005E0D83"/>
    <w:rsid w:val="005E1531"/>
    <w:rsid w:val="005E1906"/>
    <w:rsid w:val="005E2436"/>
    <w:rsid w:val="005E3442"/>
    <w:rsid w:val="005E358B"/>
    <w:rsid w:val="005E3829"/>
    <w:rsid w:val="005E47AA"/>
    <w:rsid w:val="005E4D86"/>
    <w:rsid w:val="005E4EA6"/>
    <w:rsid w:val="005E6606"/>
    <w:rsid w:val="005E7137"/>
    <w:rsid w:val="005E722D"/>
    <w:rsid w:val="005E7545"/>
    <w:rsid w:val="005E77D5"/>
    <w:rsid w:val="005E7CB9"/>
    <w:rsid w:val="005F04F2"/>
    <w:rsid w:val="005F0D8E"/>
    <w:rsid w:val="005F0F4C"/>
    <w:rsid w:val="005F2C9A"/>
    <w:rsid w:val="005F31DA"/>
    <w:rsid w:val="005F327A"/>
    <w:rsid w:val="005F3961"/>
    <w:rsid w:val="005F3CD1"/>
    <w:rsid w:val="005F40D7"/>
    <w:rsid w:val="005F41A4"/>
    <w:rsid w:val="005F4D54"/>
    <w:rsid w:val="005F4DA9"/>
    <w:rsid w:val="005F505B"/>
    <w:rsid w:val="005F506D"/>
    <w:rsid w:val="005F5E58"/>
    <w:rsid w:val="005F5FBB"/>
    <w:rsid w:val="005F634E"/>
    <w:rsid w:val="005F668C"/>
    <w:rsid w:val="005F66EC"/>
    <w:rsid w:val="005F71B8"/>
    <w:rsid w:val="0060013C"/>
    <w:rsid w:val="00600630"/>
    <w:rsid w:val="006009EA"/>
    <w:rsid w:val="00600CCB"/>
    <w:rsid w:val="00601720"/>
    <w:rsid w:val="00601F7C"/>
    <w:rsid w:val="00602CAE"/>
    <w:rsid w:val="00602E82"/>
    <w:rsid w:val="00602EE0"/>
    <w:rsid w:val="00603042"/>
    <w:rsid w:val="00603230"/>
    <w:rsid w:val="006032F8"/>
    <w:rsid w:val="00603531"/>
    <w:rsid w:val="00603ED4"/>
    <w:rsid w:val="0060414D"/>
    <w:rsid w:val="00604158"/>
    <w:rsid w:val="0060469D"/>
    <w:rsid w:val="00604BD9"/>
    <w:rsid w:val="00604CC6"/>
    <w:rsid w:val="00605352"/>
    <w:rsid w:val="006060DD"/>
    <w:rsid w:val="006067B6"/>
    <w:rsid w:val="00606973"/>
    <w:rsid w:val="00606F2C"/>
    <w:rsid w:val="006077B9"/>
    <w:rsid w:val="006100A9"/>
    <w:rsid w:val="006105A6"/>
    <w:rsid w:val="00610834"/>
    <w:rsid w:val="00610B86"/>
    <w:rsid w:val="00610D93"/>
    <w:rsid w:val="006112EE"/>
    <w:rsid w:val="006114F1"/>
    <w:rsid w:val="00611EB5"/>
    <w:rsid w:val="006123D7"/>
    <w:rsid w:val="00612830"/>
    <w:rsid w:val="0061319D"/>
    <w:rsid w:val="00613A16"/>
    <w:rsid w:val="00613A2B"/>
    <w:rsid w:val="00614639"/>
    <w:rsid w:val="0061482C"/>
    <w:rsid w:val="0061494D"/>
    <w:rsid w:val="00614C2C"/>
    <w:rsid w:val="00615173"/>
    <w:rsid w:val="006151ED"/>
    <w:rsid w:val="0061595E"/>
    <w:rsid w:val="00615F4E"/>
    <w:rsid w:val="00616475"/>
    <w:rsid w:val="00616AE7"/>
    <w:rsid w:val="00616C01"/>
    <w:rsid w:val="0061730B"/>
    <w:rsid w:val="00617700"/>
    <w:rsid w:val="00617CAA"/>
    <w:rsid w:val="006209E5"/>
    <w:rsid w:val="00621297"/>
    <w:rsid w:val="00621CBD"/>
    <w:rsid w:val="00621D12"/>
    <w:rsid w:val="00621FBB"/>
    <w:rsid w:val="0062241D"/>
    <w:rsid w:val="00622DA5"/>
    <w:rsid w:val="006230DB"/>
    <w:rsid w:val="006232A5"/>
    <w:rsid w:val="006233BD"/>
    <w:rsid w:val="00623FEE"/>
    <w:rsid w:val="006243FC"/>
    <w:rsid w:val="00624470"/>
    <w:rsid w:val="0062458F"/>
    <w:rsid w:val="00624655"/>
    <w:rsid w:val="00624E36"/>
    <w:rsid w:val="00624EC1"/>
    <w:rsid w:val="006250F3"/>
    <w:rsid w:val="006258E3"/>
    <w:rsid w:val="006259B9"/>
    <w:rsid w:val="00626C56"/>
    <w:rsid w:val="00627149"/>
    <w:rsid w:val="00627417"/>
    <w:rsid w:val="006276A6"/>
    <w:rsid w:val="00627DA0"/>
    <w:rsid w:val="006310DA"/>
    <w:rsid w:val="00631D02"/>
    <w:rsid w:val="00631DE4"/>
    <w:rsid w:val="00631E2C"/>
    <w:rsid w:val="00632184"/>
    <w:rsid w:val="00633D87"/>
    <w:rsid w:val="00633F2F"/>
    <w:rsid w:val="00634598"/>
    <w:rsid w:val="00634990"/>
    <w:rsid w:val="006353F6"/>
    <w:rsid w:val="00635609"/>
    <w:rsid w:val="00635877"/>
    <w:rsid w:val="00635A76"/>
    <w:rsid w:val="00636182"/>
    <w:rsid w:val="00636B52"/>
    <w:rsid w:val="00636F89"/>
    <w:rsid w:val="006374D3"/>
    <w:rsid w:val="0063753E"/>
    <w:rsid w:val="00637735"/>
    <w:rsid w:val="00637DA8"/>
    <w:rsid w:val="0064020A"/>
    <w:rsid w:val="00640246"/>
    <w:rsid w:val="00640DDF"/>
    <w:rsid w:val="00640EC4"/>
    <w:rsid w:val="0064116C"/>
    <w:rsid w:val="00641A81"/>
    <w:rsid w:val="00641B06"/>
    <w:rsid w:val="00642FD3"/>
    <w:rsid w:val="00643B86"/>
    <w:rsid w:val="00643E66"/>
    <w:rsid w:val="006444FB"/>
    <w:rsid w:val="00644E06"/>
    <w:rsid w:val="006454F1"/>
    <w:rsid w:val="00645687"/>
    <w:rsid w:val="00645C7B"/>
    <w:rsid w:val="00645F47"/>
    <w:rsid w:val="00646429"/>
    <w:rsid w:val="006466EE"/>
    <w:rsid w:val="00646BBF"/>
    <w:rsid w:val="00647025"/>
    <w:rsid w:val="00647806"/>
    <w:rsid w:val="00647B87"/>
    <w:rsid w:val="00647FAB"/>
    <w:rsid w:val="00650497"/>
    <w:rsid w:val="00650A68"/>
    <w:rsid w:val="00650ABE"/>
    <w:rsid w:val="00651010"/>
    <w:rsid w:val="006512D0"/>
    <w:rsid w:val="00651C46"/>
    <w:rsid w:val="00652075"/>
    <w:rsid w:val="00652300"/>
    <w:rsid w:val="00652CB1"/>
    <w:rsid w:val="00653249"/>
    <w:rsid w:val="00653F98"/>
    <w:rsid w:val="006540F0"/>
    <w:rsid w:val="006545B0"/>
    <w:rsid w:val="00654992"/>
    <w:rsid w:val="00654A62"/>
    <w:rsid w:val="006556FC"/>
    <w:rsid w:val="00655DFF"/>
    <w:rsid w:val="00655EA5"/>
    <w:rsid w:val="00656EBA"/>
    <w:rsid w:val="00657190"/>
    <w:rsid w:val="006577C8"/>
    <w:rsid w:val="00657D1D"/>
    <w:rsid w:val="00657E25"/>
    <w:rsid w:val="00660132"/>
    <w:rsid w:val="00660D39"/>
    <w:rsid w:val="00660D90"/>
    <w:rsid w:val="006618F9"/>
    <w:rsid w:val="00661AB8"/>
    <w:rsid w:val="00662473"/>
    <w:rsid w:val="006632F8"/>
    <w:rsid w:val="00663530"/>
    <w:rsid w:val="00663644"/>
    <w:rsid w:val="00663F95"/>
    <w:rsid w:val="0066455A"/>
    <w:rsid w:val="0066466D"/>
    <w:rsid w:val="006651AB"/>
    <w:rsid w:val="00665332"/>
    <w:rsid w:val="00666BF3"/>
    <w:rsid w:val="00666EF3"/>
    <w:rsid w:val="006672C7"/>
    <w:rsid w:val="0066767C"/>
    <w:rsid w:val="00670412"/>
    <w:rsid w:val="00670655"/>
    <w:rsid w:val="00670688"/>
    <w:rsid w:val="006714FD"/>
    <w:rsid w:val="00671A91"/>
    <w:rsid w:val="00671A96"/>
    <w:rsid w:val="00671CDB"/>
    <w:rsid w:val="00672C97"/>
    <w:rsid w:val="0067394F"/>
    <w:rsid w:val="00674668"/>
    <w:rsid w:val="00674DD1"/>
    <w:rsid w:val="006754EE"/>
    <w:rsid w:val="00675DBB"/>
    <w:rsid w:val="00675E34"/>
    <w:rsid w:val="006763B0"/>
    <w:rsid w:val="00676884"/>
    <w:rsid w:val="00676A30"/>
    <w:rsid w:val="00676AC6"/>
    <w:rsid w:val="00677134"/>
    <w:rsid w:val="006777D8"/>
    <w:rsid w:val="00677936"/>
    <w:rsid w:val="00680865"/>
    <w:rsid w:val="006812C1"/>
    <w:rsid w:val="00681457"/>
    <w:rsid w:val="00682327"/>
    <w:rsid w:val="00682B45"/>
    <w:rsid w:val="00682BA8"/>
    <w:rsid w:val="00682CF7"/>
    <w:rsid w:val="0068392F"/>
    <w:rsid w:val="00683BE7"/>
    <w:rsid w:val="0068437B"/>
    <w:rsid w:val="006843A9"/>
    <w:rsid w:val="00684575"/>
    <w:rsid w:val="00684ADC"/>
    <w:rsid w:val="00684BED"/>
    <w:rsid w:val="00684D36"/>
    <w:rsid w:val="006855E0"/>
    <w:rsid w:val="00686130"/>
    <w:rsid w:val="006863C5"/>
    <w:rsid w:val="006870BE"/>
    <w:rsid w:val="006872A7"/>
    <w:rsid w:val="00690094"/>
    <w:rsid w:val="006902F4"/>
    <w:rsid w:val="00690332"/>
    <w:rsid w:val="0069036C"/>
    <w:rsid w:val="00690AD5"/>
    <w:rsid w:val="00690F2D"/>
    <w:rsid w:val="006929C2"/>
    <w:rsid w:val="00692BD1"/>
    <w:rsid w:val="006944C5"/>
    <w:rsid w:val="00694721"/>
    <w:rsid w:val="00695034"/>
    <w:rsid w:val="006951B4"/>
    <w:rsid w:val="006954CC"/>
    <w:rsid w:val="006959DA"/>
    <w:rsid w:val="00695B3A"/>
    <w:rsid w:val="00696441"/>
    <w:rsid w:val="00696DDA"/>
    <w:rsid w:val="00696DE6"/>
    <w:rsid w:val="00697412"/>
    <w:rsid w:val="00697470"/>
    <w:rsid w:val="0069750F"/>
    <w:rsid w:val="00697994"/>
    <w:rsid w:val="006A0965"/>
    <w:rsid w:val="006A1C6A"/>
    <w:rsid w:val="006A1DB4"/>
    <w:rsid w:val="006A22DE"/>
    <w:rsid w:val="006A2B52"/>
    <w:rsid w:val="006A36C8"/>
    <w:rsid w:val="006A3D94"/>
    <w:rsid w:val="006A513A"/>
    <w:rsid w:val="006A54C6"/>
    <w:rsid w:val="006A5B72"/>
    <w:rsid w:val="006A5E12"/>
    <w:rsid w:val="006A64FD"/>
    <w:rsid w:val="006A675F"/>
    <w:rsid w:val="006A6816"/>
    <w:rsid w:val="006A6A68"/>
    <w:rsid w:val="006A6DB3"/>
    <w:rsid w:val="006A6EE2"/>
    <w:rsid w:val="006A6F3D"/>
    <w:rsid w:val="006B128E"/>
    <w:rsid w:val="006B13E4"/>
    <w:rsid w:val="006B1575"/>
    <w:rsid w:val="006B18C7"/>
    <w:rsid w:val="006B18F3"/>
    <w:rsid w:val="006B1A17"/>
    <w:rsid w:val="006B33D4"/>
    <w:rsid w:val="006B3A3D"/>
    <w:rsid w:val="006B3CB5"/>
    <w:rsid w:val="006B46D3"/>
    <w:rsid w:val="006B476D"/>
    <w:rsid w:val="006B4EED"/>
    <w:rsid w:val="006B535E"/>
    <w:rsid w:val="006B5514"/>
    <w:rsid w:val="006B5FB2"/>
    <w:rsid w:val="006B642A"/>
    <w:rsid w:val="006B6474"/>
    <w:rsid w:val="006B6718"/>
    <w:rsid w:val="006B68BC"/>
    <w:rsid w:val="006B697F"/>
    <w:rsid w:val="006B7166"/>
    <w:rsid w:val="006B74B7"/>
    <w:rsid w:val="006B7A58"/>
    <w:rsid w:val="006C002C"/>
    <w:rsid w:val="006C051A"/>
    <w:rsid w:val="006C08DE"/>
    <w:rsid w:val="006C09AE"/>
    <w:rsid w:val="006C1824"/>
    <w:rsid w:val="006C1D90"/>
    <w:rsid w:val="006C213A"/>
    <w:rsid w:val="006C2631"/>
    <w:rsid w:val="006C2686"/>
    <w:rsid w:val="006C27E7"/>
    <w:rsid w:val="006C2D93"/>
    <w:rsid w:val="006C34D9"/>
    <w:rsid w:val="006C42EF"/>
    <w:rsid w:val="006C4657"/>
    <w:rsid w:val="006C480B"/>
    <w:rsid w:val="006C4AA0"/>
    <w:rsid w:val="006C5902"/>
    <w:rsid w:val="006C5CAC"/>
    <w:rsid w:val="006C5F80"/>
    <w:rsid w:val="006C66A4"/>
    <w:rsid w:val="006C678B"/>
    <w:rsid w:val="006C6C8A"/>
    <w:rsid w:val="006C6E9A"/>
    <w:rsid w:val="006D0119"/>
    <w:rsid w:val="006D01E3"/>
    <w:rsid w:val="006D0C68"/>
    <w:rsid w:val="006D0C8F"/>
    <w:rsid w:val="006D0E8E"/>
    <w:rsid w:val="006D12CC"/>
    <w:rsid w:val="006D182E"/>
    <w:rsid w:val="006D1E27"/>
    <w:rsid w:val="006D24E9"/>
    <w:rsid w:val="006D2B24"/>
    <w:rsid w:val="006D2C4A"/>
    <w:rsid w:val="006D2EBD"/>
    <w:rsid w:val="006D33D9"/>
    <w:rsid w:val="006D3DBF"/>
    <w:rsid w:val="006D4857"/>
    <w:rsid w:val="006D4901"/>
    <w:rsid w:val="006D4BB6"/>
    <w:rsid w:val="006D588F"/>
    <w:rsid w:val="006D5919"/>
    <w:rsid w:val="006D5964"/>
    <w:rsid w:val="006D5BB2"/>
    <w:rsid w:val="006D67BA"/>
    <w:rsid w:val="006D6890"/>
    <w:rsid w:val="006D6AB5"/>
    <w:rsid w:val="006D6F0B"/>
    <w:rsid w:val="006D712E"/>
    <w:rsid w:val="006D719E"/>
    <w:rsid w:val="006D782E"/>
    <w:rsid w:val="006D792A"/>
    <w:rsid w:val="006E0B66"/>
    <w:rsid w:val="006E0DBA"/>
    <w:rsid w:val="006E0EB1"/>
    <w:rsid w:val="006E1A64"/>
    <w:rsid w:val="006E24E4"/>
    <w:rsid w:val="006E29EC"/>
    <w:rsid w:val="006E2E55"/>
    <w:rsid w:val="006E2FB2"/>
    <w:rsid w:val="006E3547"/>
    <w:rsid w:val="006E3E0F"/>
    <w:rsid w:val="006E3F09"/>
    <w:rsid w:val="006E402F"/>
    <w:rsid w:val="006E411F"/>
    <w:rsid w:val="006E415B"/>
    <w:rsid w:val="006E4711"/>
    <w:rsid w:val="006E47CF"/>
    <w:rsid w:val="006E485B"/>
    <w:rsid w:val="006E4ACD"/>
    <w:rsid w:val="006E57E5"/>
    <w:rsid w:val="006E6F3B"/>
    <w:rsid w:val="006E7007"/>
    <w:rsid w:val="006E70F2"/>
    <w:rsid w:val="006E7188"/>
    <w:rsid w:val="006E72EF"/>
    <w:rsid w:val="006E7705"/>
    <w:rsid w:val="006E7D6F"/>
    <w:rsid w:val="006F04C2"/>
    <w:rsid w:val="006F0AEF"/>
    <w:rsid w:val="006F29A2"/>
    <w:rsid w:val="006F33D3"/>
    <w:rsid w:val="006F3818"/>
    <w:rsid w:val="006F3F3A"/>
    <w:rsid w:val="006F4168"/>
    <w:rsid w:val="006F464E"/>
    <w:rsid w:val="006F4B7F"/>
    <w:rsid w:val="006F4E6D"/>
    <w:rsid w:val="006F50A3"/>
    <w:rsid w:val="006F59CB"/>
    <w:rsid w:val="006F604B"/>
    <w:rsid w:val="006F6E88"/>
    <w:rsid w:val="006F7211"/>
    <w:rsid w:val="006F7847"/>
    <w:rsid w:val="006F7C7B"/>
    <w:rsid w:val="00700253"/>
    <w:rsid w:val="007005BB"/>
    <w:rsid w:val="00700E9C"/>
    <w:rsid w:val="00701574"/>
    <w:rsid w:val="00701A2F"/>
    <w:rsid w:val="00702746"/>
    <w:rsid w:val="0070330D"/>
    <w:rsid w:val="00703727"/>
    <w:rsid w:val="00703738"/>
    <w:rsid w:val="0070411B"/>
    <w:rsid w:val="00704765"/>
    <w:rsid w:val="00705CB7"/>
    <w:rsid w:val="00707439"/>
    <w:rsid w:val="00707599"/>
    <w:rsid w:val="00707897"/>
    <w:rsid w:val="007079D7"/>
    <w:rsid w:val="007103C9"/>
    <w:rsid w:val="007109B1"/>
    <w:rsid w:val="00710A4A"/>
    <w:rsid w:val="00710F89"/>
    <w:rsid w:val="00710FCD"/>
    <w:rsid w:val="007110F9"/>
    <w:rsid w:val="007112CC"/>
    <w:rsid w:val="007115BA"/>
    <w:rsid w:val="007117F5"/>
    <w:rsid w:val="0071187B"/>
    <w:rsid w:val="00711D38"/>
    <w:rsid w:val="007125DE"/>
    <w:rsid w:val="007126E0"/>
    <w:rsid w:val="00713BBF"/>
    <w:rsid w:val="007141C5"/>
    <w:rsid w:val="007148FF"/>
    <w:rsid w:val="0071510A"/>
    <w:rsid w:val="00715AD4"/>
    <w:rsid w:val="00716596"/>
    <w:rsid w:val="00716D71"/>
    <w:rsid w:val="00716F81"/>
    <w:rsid w:val="0071747C"/>
    <w:rsid w:val="007174C7"/>
    <w:rsid w:val="00717A7B"/>
    <w:rsid w:val="00720027"/>
    <w:rsid w:val="0072129B"/>
    <w:rsid w:val="0072181D"/>
    <w:rsid w:val="00721D24"/>
    <w:rsid w:val="00721D49"/>
    <w:rsid w:val="00722115"/>
    <w:rsid w:val="007226FB"/>
    <w:rsid w:val="00722CAA"/>
    <w:rsid w:val="00722F13"/>
    <w:rsid w:val="007232A6"/>
    <w:rsid w:val="00723B32"/>
    <w:rsid w:val="00723B3D"/>
    <w:rsid w:val="00724A02"/>
    <w:rsid w:val="0072524A"/>
    <w:rsid w:val="00726DD4"/>
    <w:rsid w:val="00727D18"/>
    <w:rsid w:val="00727E67"/>
    <w:rsid w:val="00727F29"/>
    <w:rsid w:val="00729369"/>
    <w:rsid w:val="00730AB8"/>
    <w:rsid w:val="007310F5"/>
    <w:rsid w:val="007314B3"/>
    <w:rsid w:val="00731EBF"/>
    <w:rsid w:val="007320C7"/>
    <w:rsid w:val="0073285E"/>
    <w:rsid w:val="0073386B"/>
    <w:rsid w:val="00733AA0"/>
    <w:rsid w:val="007340C2"/>
    <w:rsid w:val="00734338"/>
    <w:rsid w:val="0073534F"/>
    <w:rsid w:val="00735D3E"/>
    <w:rsid w:val="007365B0"/>
    <w:rsid w:val="0073671D"/>
    <w:rsid w:val="00736F20"/>
    <w:rsid w:val="0073794D"/>
    <w:rsid w:val="00740082"/>
    <w:rsid w:val="0074018F"/>
    <w:rsid w:val="00740AD5"/>
    <w:rsid w:val="00740BBC"/>
    <w:rsid w:val="00740C0A"/>
    <w:rsid w:val="007414D4"/>
    <w:rsid w:val="00741650"/>
    <w:rsid w:val="007416B1"/>
    <w:rsid w:val="00742BC5"/>
    <w:rsid w:val="00743DAB"/>
    <w:rsid w:val="007442D6"/>
    <w:rsid w:val="00744549"/>
    <w:rsid w:val="007446CE"/>
    <w:rsid w:val="00744939"/>
    <w:rsid w:val="007453DE"/>
    <w:rsid w:val="007457D8"/>
    <w:rsid w:val="00745BD7"/>
    <w:rsid w:val="00746172"/>
    <w:rsid w:val="00746440"/>
    <w:rsid w:val="00746549"/>
    <w:rsid w:val="00746680"/>
    <w:rsid w:val="007469F3"/>
    <w:rsid w:val="0074704F"/>
    <w:rsid w:val="007475AB"/>
    <w:rsid w:val="007476FF"/>
    <w:rsid w:val="00750946"/>
    <w:rsid w:val="00751158"/>
    <w:rsid w:val="007513B4"/>
    <w:rsid w:val="0075163E"/>
    <w:rsid w:val="00751BC8"/>
    <w:rsid w:val="00751CDF"/>
    <w:rsid w:val="00752185"/>
    <w:rsid w:val="0075223C"/>
    <w:rsid w:val="0075224C"/>
    <w:rsid w:val="00752523"/>
    <w:rsid w:val="0075275A"/>
    <w:rsid w:val="00752E21"/>
    <w:rsid w:val="007537CC"/>
    <w:rsid w:val="007537FC"/>
    <w:rsid w:val="00753B79"/>
    <w:rsid w:val="00753C30"/>
    <w:rsid w:val="00753F79"/>
    <w:rsid w:val="00754018"/>
    <w:rsid w:val="0075427A"/>
    <w:rsid w:val="007542CC"/>
    <w:rsid w:val="00755063"/>
    <w:rsid w:val="00755E85"/>
    <w:rsid w:val="00756847"/>
    <w:rsid w:val="0075735E"/>
    <w:rsid w:val="00757AEB"/>
    <w:rsid w:val="00757C03"/>
    <w:rsid w:val="00757DC8"/>
    <w:rsid w:val="00757F64"/>
    <w:rsid w:val="0075A782"/>
    <w:rsid w:val="00760873"/>
    <w:rsid w:val="00760AA8"/>
    <w:rsid w:val="00761A2D"/>
    <w:rsid w:val="00762265"/>
    <w:rsid w:val="007623E1"/>
    <w:rsid w:val="00762713"/>
    <w:rsid w:val="0076325F"/>
    <w:rsid w:val="00764130"/>
    <w:rsid w:val="00764600"/>
    <w:rsid w:val="00764727"/>
    <w:rsid w:val="00764777"/>
    <w:rsid w:val="0076481D"/>
    <w:rsid w:val="00764B7E"/>
    <w:rsid w:val="00764EE6"/>
    <w:rsid w:val="00765BF8"/>
    <w:rsid w:val="00765D06"/>
    <w:rsid w:val="00765E66"/>
    <w:rsid w:val="00766047"/>
    <w:rsid w:val="007660A4"/>
    <w:rsid w:val="00766430"/>
    <w:rsid w:val="00766563"/>
    <w:rsid w:val="007668AB"/>
    <w:rsid w:val="0076710A"/>
    <w:rsid w:val="00767378"/>
    <w:rsid w:val="0076791F"/>
    <w:rsid w:val="00767B90"/>
    <w:rsid w:val="00767C9B"/>
    <w:rsid w:val="00767F6E"/>
    <w:rsid w:val="00770B7C"/>
    <w:rsid w:val="007712A6"/>
    <w:rsid w:val="00771622"/>
    <w:rsid w:val="00771DF9"/>
    <w:rsid w:val="007722DF"/>
    <w:rsid w:val="007729AF"/>
    <w:rsid w:val="00773329"/>
    <w:rsid w:val="00774B17"/>
    <w:rsid w:val="0077508D"/>
    <w:rsid w:val="0077574E"/>
    <w:rsid w:val="00776022"/>
    <w:rsid w:val="00776CD7"/>
    <w:rsid w:val="00777580"/>
    <w:rsid w:val="00777956"/>
    <w:rsid w:val="00777B28"/>
    <w:rsid w:val="00777B35"/>
    <w:rsid w:val="00777BB6"/>
    <w:rsid w:val="00780643"/>
    <w:rsid w:val="0078083B"/>
    <w:rsid w:val="00782453"/>
    <w:rsid w:val="007825CF"/>
    <w:rsid w:val="007828CE"/>
    <w:rsid w:val="00782AF9"/>
    <w:rsid w:val="00782DFC"/>
    <w:rsid w:val="007832E7"/>
    <w:rsid w:val="00783323"/>
    <w:rsid w:val="007836BF"/>
    <w:rsid w:val="00783779"/>
    <w:rsid w:val="007837CC"/>
    <w:rsid w:val="00783A37"/>
    <w:rsid w:val="007844E4"/>
    <w:rsid w:val="0078461F"/>
    <w:rsid w:val="007846F9"/>
    <w:rsid w:val="00785203"/>
    <w:rsid w:val="007854AB"/>
    <w:rsid w:val="007854B2"/>
    <w:rsid w:val="007858CF"/>
    <w:rsid w:val="00785E3F"/>
    <w:rsid w:val="00787430"/>
    <w:rsid w:val="0078761F"/>
    <w:rsid w:val="007879E1"/>
    <w:rsid w:val="00787B8F"/>
    <w:rsid w:val="00787DCC"/>
    <w:rsid w:val="00787DEB"/>
    <w:rsid w:val="00790298"/>
    <w:rsid w:val="00790D38"/>
    <w:rsid w:val="0079125D"/>
    <w:rsid w:val="00791635"/>
    <w:rsid w:val="007918E2"/>
    <w:rsid w:val="00791CD9"/>
    <w:rsid w:val="00791DEB"/>
    <w:rsid w:val="00792246"/>
    <w:rsid w:val="007925FF"/>
    <w:rsid w:val="0079285D"/>
    <w:rsid w:val="007929B9"/>
    <w:rsid w:val="00792AC7"/>
    <w:rsid w:val="00792B57"/>
    <w:rsid w:val="00793BBE"/>
    <w:rsid w:val="00793E82"/>
    <w:rsid w:val="007941F9"/>
    <w:rsid w:val="0079494B"/>
    <w:rsid w:val="00794DA1"/>
    <w:rsid w:val="00794ED5"/>
    <w:rsid w:val="00795698"/>
    <w:rsid w:val="00795852"/>
    <w:rsid w:val="00795A7B"/>
    <w:rsid w:val="00795AC6"/>
    <w:rsid w:val="00795D2B"/>
    <w:rsid w:val="00796238"/>
    <w:rsid w:val="007978CE"/>
    <w:rsid w:val="007A10C7"/>
    <w:rsid w:val="007A205D"/>
    <w:rsid w:val="007A2119"/>
    <w:rsid w:val="007A2BBA"/>
    <w:rsid w:val="007A3493"/>
    <w:rsid w:val="007A3C6E"/>
    <w:rsid w:val="007A4267"/>
    <w:rsid w:val="007A4D1E"/>
    <w:rsid w:val="007A51D1"/>
    <w:rsid w:val="007A54F6"/>
    <w:rsid w:val="007A5985"/>
    <w:rsid w:val="007A5AED"/>
    <w:rsid w:val="007A66C6"/>
    <w:rsid w:val="007A6B49"/>
    <w:rsid w:val="007A6E1C"/>
    <w:rsid w:val="007A7AAE"/>
    <w:rsid w:val="007A7ACE"/>
    <w:rsid w:val="007B027D"/>
    <w:rsid w:val="007B1015"/>
    <w:rsid w:val="007B122B"/>
    <w:rsid w:val="007B1B77"/>
    <w:rsid w:val="007B28A8"/>
    <w:rsid w:val="007B2F50"/>
    <w:rsid w:val="007B368C"/>
    <w:rsid w:val="007B3B46"/>
    <w:rsid w:val="007B5844"/>
    <w:rsid w:val="007B5A5A"/>
    <w:rsid w:val="007B5EA2"/>
    <w:rsid w:val="007B680C"/>
    <w:rsid w:val="007B6D06"/>
    <w:rsid w:val="007C0657"/>
    <w:rsid w:val="007C065B"/>
    <w:rsid w:val="007C1698"/>
    <w:rsid w:val="007C19E6"/>
    <w:rsid w:val="007C1A8F"/>
    <w:rsid w:val="007C1C5E"/>
    <w:rsid w:val="007C1E56"/>
    <w:rsid w:val="007C1F67"/>
    <w:rsid w:val="007C21F9"/>
    <w:rsid w:val="007C2976"/>
    <w:rsid w:val="007C2B2A"/>
    <w:rsid w:val="007C2BEA"/>
    <w:rsid w:val="007C2CF3"/>
    <w:rsid w:val="007C2E4D"/>
    <w:rsid w:val="007C30AF"/>
    <w:rsid w:val="007C473F"/>
    <w:rsid w:val="007C4A87"/>
    <w:rsid w:val="007C50A8"/>
    <w:rsid w:val="007C50EE"/>
    <w:rsid w:val="007C517E"/>
    <w:rsid w:val="007C59C7"/>
    <w:rsid w:val="007C5A7D"/>
    <w:rsid w:val="007C5A9A"/>
    <w:rsid w:val="007C6C50"/>
    <w:rsid w:val="007C737E"/>
    <w:rsid w:val="007D024D"/>
    <w:rsid w:val="007D065E"/>
    <w:rsid w:val="007D0DF5"/>
    <w:rsid w:val="007D1A2B"/>
    <w:rsid w:val="007D1CA3"/>
    <w:rsid w:val="007D24E9"/>
    <w:rsid w:val="007D2683"/>
    <w:rsid w:val="007D26A6"/>
    <w:rsid w:val="007D3126"/>
    <w:rsid w:val="007D31EB"/>
    <w:rsid w:val="007D326F"/>
    <w:rsid w:val="007D3754"/>
    <w:rsid w:val="007D4451"/>
    <w:rsid w:val="007D49DD"/>
    <w:rsid w:val="007D4F4E"/>
    <w:rsid w:val="007D5252"/>
    <w:rsid w:val="007D546A"/>
    <w:rsid w:val="007D598A"/>
    <w:rsid w:val="007D5E61"/>
    <w:rsid w:val="007D6038"/>
    <w:rsid w:val="007D6050"/>
    <w:rsid w:val="007D63A4"/>
    <w:rsid w:val="007D68DC"/>
    <w:rsid w:val="007D6DD8"/>
    <w:rsid w:val="007D6E42"/>
    <w:rsid w:val="007D764D"/>
    <w:rsid w:val="007D777B"/>
    <w:rsid w:val="007D7C45"/>
    <w:rsid w:val="007D7E1D"/>
    <w:rsid w:val="007D7E8C"/>
    <w:rsid w:val="007E02F4"/>
    <w:rsid w:val="007E05EE"/>
    <w:rsid w:val="007E10E9"/>
    <w:rsid w:val="007E12E8"/>
    <w:rsid w:val="007E168C"/>
    <w:rsid w:val="007E17CF"/>
    <w:rsid w:val="007E2466"/>
    <w:rsid w:val="007E2E99"/>
    <w:rsid w:val="007E31B9"/>
    <w:rsid w:val="007E3296"/>
    <w:rsid w:val="007E336F"/>
    <w:rsid w:val="007E3B6A"/>
    <w:rsid w:val="007E3C60"/>
    <w:rsid w:val="007E4471"/>
    <w:rsid w:val="007E4EF5"/>
    <w:rsid w:val="007E4F7D"/>
    <w:rsid w:val="007E5874"/>
    <w:rsid w:val="007E5D7C"/>
    <w:rsid w:val="007E65F7"/>
    <w:rsid w:val="007E6A3C"/>
    <w:rsid w:val="007E6C31"/>
    <w:rsid w:val="007E6C9B"/>
    <w:rsid w:val="007E7980"/>
    <w:rsid w:val="007E7E1F"/>
    <w:rsid w:val="007F0B01"/>
    <w:rsid w:val="007F0BCE"/>
    <w:rsid w:val="007F0E02"/>
    <w:rsid w:val="007F0F37"/>
    <w:rsid w:val="007F113D"/>
    <w:rsid w:val="007F227F"/>
    <w:rsid w:val="007F2557"/>
    <w:rsid w:val="007F3606"/>
    <w:rsid w:val="007F3960"/>
    <w:rsid w:val="007F63F8"/>
    <w:rsid w:val="007F654A"/>
    <w:rsid w:val="007F6742"/>
    <w:rsid w:val="007F6F9A"/>
    <w:rsid w:val="007F72DC"/>
    <w:rsid w:val="007F7FB4"/>
    <w:rsid w:val="0080046B"/>
    <w:rsid w:val="0080252C"/>
    <w:rsid w:val="00802D2D"/>
    <w:rsid w:val="00803B96"/>
    <w:rsid w:val="00803D12"/>
    <w:rsid w:val="00804327"/>
    <w:rsid w:val="0080516A"/>
    <w:rsid w:val="00805FBA"/>
    <w:rsid w:val="008062D6"/>
    <w:rsid w:val="008064AF"/>
    <w:rsid w:val="00806EF9"/>
    <w:rsid w:val="008078A9"/>
    <w:rsid w:val="00807DB3"/>
    <w:rsid w:val="00810410"/>
    <w:rsid w:val="00811EB7"/>
    <w:rsid w:val="00812099"/>
    <w:rsid w:val="00812746"/>
    <w:rsid w:val="008127B9"/>
    <w:rsid w:val="00813251"/>
    <w:rsid w:val="00813E13"/>
    <w:rsid w:val="00815167"/>
    <w:rsid w:val="00815658"/>
    <w:rsid w:val="00815709"/>
    <w:rsid w:val="00815842"/>
    <w:rsid w:val="00816B86"/>
    <w:rsid w:val="00816DA5"/>
    <w:rsid w:val="008171DC"/>
    <w:rsid w:val="0081779F"/>
    <w:rsid w:val="0081783E"/>
    <w:rsid w:val="00817E37"/>
    <w:rsid w:val="008201CA"/>
    <w:rsid w:val="00820D31"/>
    <w:rsid w:val="0082182B"/>
    <w:rsid w:val="00822929"/>
    <w:rsid w:val="00823157"/>
    <w:rsid w:val="0082317B"/>
    <w:rsid w:val="00823214"/>
    <w:rsid w:val="00823794"/>
    <w:rsid w:val="00823CFE"/>
    <w:rsid w:val="00824382"/>
    <w:rsid w:val="008246DF"/>
    <w:rsid w:val="00824776"/>
    <w:rsid w:val="008253E5"/>
    <w:rsid w:val="008253ED"/>
    <w:rsid w:val="00825580"/>
    <w:rsid w:val="0082572E"/>
    <w:rsid w:val="008257B1"/>
    <w:rsid w:val="00825C30"/>
    <w:rsid w:val="00826F36"/>
    <w:rsid w:val="008272A2"/>
    <w:rsid w:val="00827390"/>
    <w:rsid w:val="00827719"/>
    <w:rsid w:val="008277FA"/>
    <w:rsid w:val="00827FAF"/>
    <w:rsid w:val="0083053D"/>
    <w:rsid w:val="008307C4"/>
    <w:rsid w:val="00830D26"/>
    <w:rsid w:val="00831F13"/>
    <w:rsid w:val="00832B88"/>
    <w:rsid w:val="0083331D"/>
    <w:rsid w:val="00833BDF"/>
    <w:rsid w:val="00834367"/>
    <w:rsid w:val="00834B34"/>
    <w:rsid w:val="00835D0A"/>
    <w:rsid w:val="00835E17"/>
    <w:rsid w:val="0083647A"/>
    <w:rsid w:val="0083665C"/>
    <w:rsid w:val="00836785"/>
    <w:rsid w:val="008367B5"/>
    <w:rsid w:val="00837307"/>
    <w:rsid w:val="00837BFF"/>
    <w:rsid w:val="00840095"/>
    <w:rsid w:val="008402C3"/>
    <w:rsid w:val="00840480"/>
    <w:rsid w:val="00840F6A"/>
    <w:rsid w:val="00841D63"/>
    <w:rsid w:val="00841FCF"/>
    <w:rsid w:val="0084279F"/>
    <w:rsid w:val="00842BFE"/>
    <w:rsid w:val="008435AF"/>
    <w:rsid w:val="00843671"/>
    <w:rsid w:val="0084381F"/>
    <w:rsid w:val="00843AC8"/>
    <w:rsid w:val="00843F31"/>
    <w:rsid w:val="0084472D"/>
    <w:rsid w:val="00844CB1"/>
    <w:rsid w:val="0084555B"/>
    <w:rsid w:val="008457CC"/>
    <w:rsid w:val="008459AE"/>
    <w:rsid w:val="00846017"/>
    <w:rsid w:val="0084623D"/>
    <w:rsid w:val="0084683C"/>
    <w:rsid w:val="00847218"/>
    <w:rsid w:val="008473C1"/>
    <w:rsid w:val="00847AF5"/>
    <w:rsid w:val="00847C9F"/>
    <w:rsid w:val="00850459"/>
    <w:rsid w:val="00850A52"/>
    <w:rsid w:val="00850C86"/>
    <w:rsid w:val="00851106"/>
    <w:rsid w:val="008511BA"/>
    <w:rsid w:val="00851626"/>
    <w:rsid w:val="00851B58"/>
    <w:rsid w:val="00853E6B"/>
    <w:rsid w:val="008540A7"/>
    <w:rsid w:val="00854608"/>
    <w:rsid w:val="00854EE5"/>
    <w:rsid w:val="00855CEF"/>
    <w:rsid w:val="00855E8A"/>
    <w:rsid w:val="0085675B"/>
    <w:rsid w:val="00856A3D"/>
    <w:rsid w:val="0085754E"/>
    <w:rsid w:val="008577E6"/>
    <w:rsid w:val="00857922"/>
    <w:rsid w:val="00857937"/>
    <w:rsid w:val="00857E34"/>
    <w:rsid w:val="0086044A"/>
    <w:rsid w:val="0086072C"/>
    <w:rsid w:val="0086084F"/>
    <w:rsid w:val="00861380"/>
    <w:rsid w:val="00861938"/>
    <w:rsid w:val="008619CF"/>
    <w:rsid w:val="00861D15"/>
    <w:rsid w:val="00862877"/>
    <w:rsid w:val="00862B88"/>
    <w:rsid w:val="008637B5"/>
    <w:rsid w:val="0086382C"/>
    <w:rsid w:val="00863B39"/>
    <w:rsid w:val="00864EF5"/>
    <w:rsid w:val="0086551E"/>
    <w:rsid w:val="00865550"/>
    <w:rsid w:val="008655D7"/>
    <w:rsid w:val="008657C8"/>
    <w:rsid w:val="00865C88"/>
    <w:rsid w:val="00865D81"/>
    <w:rsid w:val="00865F30"/>
    <w:rsid w:val="00866C45"/>
    <w:rsid w:val="00866E5F"/>
    <w:rsid w:val="0086702D"/>
    <w:rsid w:val="008674DF"/>
    <w:rsid w:val="00870066"/>
    <w:rsid w:val="00870EDB"/>
    <w:rsid w:val="00871BB2"/>
    <w:rsid w:val="00872774"/>
    <w:rsid w:val="00873982"/>
    <w:rsid w:val="00873B73"/>
    <w:rsid w:val="008741FB"/>
    <w:rsid w:val="00874671"/>
    <w:rsid w:val="00874F90"/>
    <w:rsid w:val="008755C8"/>
    <w:rsid w:val="00875C46"/>
    <w:rsid w:val="00876108"/>
    <w:rsid w:val="008761D5"/>
    <w:rsid w:val="0087667C"/>
    <w:rsid w:val="0087725A"/>
    <w:rsid w:val="00880353"/>
    <w:rsid w:val="00880461"/>
    <w:rsid w:val="008818C7"/>
    <w:rsid w:val="00881FD3"/>
    <w:rsid w:val="0088256C"/>
    <w:rsid w:val="00882DDA"/>
    <w:rsid w:val="00882FCE"/>
    <w:rsid w:val="008836A2"/>
    <w:rsid w:val="00883E82"/>
    <w:rsid w:val="008848C9"/>
    <w:rsid w:val="00884F71"/>
    <w:rsid w:val="00884FD9"/>
    <w:rsid w:val="0088552C"/>
    <w:rsid w:val="0088581B"/>
    <w:rsid w:val="00885947"/>
    <w:rsid w:val="00885A2A"/>
    <w:rsid w:val="0088652B"/>
    <w:rsid w:val="00886A92"/>
    <w:rsid w:val="00887447"/>
    <w:rsid w:val="00887559"/>
    <w:rsid w:val="008877A8"/>
    <w:rsid w:val="008907F6"/>
    <w:rsid w:val="00890E80"/>
    <w:rsid w:val="008910CF"/>
    <w:rsid w:val="00891544"/>
    <w:rsid w:val="00891B9E"/>
    <w:rsid w:val="008929D9"/>
    <w:rsid w:val="00892F93"/>
    <w:rsid w:val="008930D2"/>
    <w:rsid w:val="00893221"/>
    <w:rsid w:val="00893356"/>
    <w:rsid w:val="0089408C"/>
    <w:rsid w:val="008948F1"/>
    <w:rsid w:val="00894F60"/>
    <w:rsid w:val="008955D7"/>
    <w:rsid w:val="00895665"/>
    <w:rsid w:val="0089589C"/>
    <w:rsid w:val="008958A3"/>
    <w:rsid w:val="00895CA5"/>
    <w:rsid w:val="008963AA"/>
    <w:rsid w:val="00896451"/>
    <w:rsid w:val="00896577"/>
    <w:rsid w:val="008A0988"/>
    <w:rsid w:val="008A1503"/>
    <w:rsid w:val="008A2EAE"/>
    <w:rsid w:val="008A37D1"/>
    <w:rsid w:val="008A39FF"/>
    <w:rsid w:val="008A3C4F"/>
    <w:rsid w:val="008A3F45"/>
    <w:rsid w:val="008A45B3"/>
    <w:rsid w:val="008A4EC9"/>
    <w:rsid w:val="008A6669"/>
    <w:rsid w:val="008A77AA"/>
    <w:rsid w:val="008A7D9C"/>
    <w:rsid w:val="008B04C4"/>
    <w:rsid w:val="008B058E"/>
    <w:rsid w:val="008B094F"/>
    <w:rsid w:val="008B0C27"/>
    <w:rsid w:val="008B1102"/>
    <w:rsid w:val="008B132F"/>
    <w:rsid w:val="008B190D"/>
    <w:rsid w:val="008B1B1F"/>
    <w:rsid w:val="008B1FD6"/>
    <w:rsid w:val="008B28AD"/>
    <w:rsid w:val="008B299F"/>
    <w:rsid w:val="008B29FD"/>
    <w:rsid w:val="008B3305"/>
    <w:rsid w:val="008B3680"/>
    <w:rsid w:val="008B3B0C"/>
    <w:rsid w:val="008B480E"/>
    <w:rsid w:val="008B4A5F"/>
    <w:rsid w:val="008B5566"/>
    <w:rsid w:val="008B55AD"/>
    <w:rsid w:val="008B56FD"/>
    <w:rsid w:val="008B6196"/>
    <w:rsid w:val="008B6670"/>
    <w:rsid w:val="008B6774"/>
    <w:rsid w:val="008B6C93"/>
    <w:rsid w:val="008B7065"/>
    <w:rsid w:val="008B70B6"/>
    <w:rsid w:val="008B70E6"/>
    <w:rsid w:val="008C0489"/>
    <w:rsid w:val="008C0BEA"/>
    <w:rsid w:val="008C13E1"/>
    <w:rsid w:val="008C1605"/>
    <w:rsid w:val="008C1D1E"/>
    <w:rsid w:val="008C2A42"/>
    <w:rsid w:val="008C2AC8"/>
    <w:rsid w:val="008C3479"/>
    <w:rsid w:val="008C491A"/>
    <w:rsid w:val="008C4B92"/>
    <w:rsid w:val="008C4BE7"/>
    <w:rsid w:val="008C52A3"/>
    <w:rsid w:val="008C5872"/>
    <w:rsid w:val="008C58E0"/>
    <w:rsid w:val="008C5C8A"/>
    <w:rsid w:val="008C5CBB"/>
    <w:rsid w:val="008C5D48"/>
    <w:rsid w:val="008C6F26"/>
    <w:rsid w:val="008C7170"/>
    <w:rsid w:val="008C72CC"/>
    <w:rsid w:val="008C76E4"/>
    <w:rsid w:val="008C7BAE"/>
    <w:rsid w:val="008C7C60"/>
    <w:rsid w:val="008C7CE1"/>
    <w:rsid w:val="008D0344"/>
    <w:rsid w:val="008D038B"/>
    <w:rsid w:val="008D089A"/>
    <w:rsid w:val="008D0A35"/>
    <w:rsid w:val="008D1CD1"/>
    <w:rsid w:val="008D25F9"/>
    <w:rsid w:val="008D2DD8"/>
    <w:rsid w:val="008D3076"/>
    <w:rsid w:val="008D3259"/>
    <w:rsid w:val="008D336B"/>
    <w:rsid w:val="008D3BE1"/>
    <w:rsid w:val="008D46C9"/>
    <w:rsid w:val="008D48F0"/>
    <w:rsid w:val="008D4EBE"/>
    <w:rsid w:val="008D535F"/>
    <w:rsid w:val="008D5ED0"/>
    <w:rsid w:val="008D6630"/>
    <w:rsid w:val="008D6E81"/>
    <w:rsid w:val="008D74E2"/>
    <w:rsid w:val="008D78FD"/>
    <w:rsid w:val="008D7DC5"/>
    <w:rsid w:val="008D7E29"/>
    <w:rsid w:val="008E0155"/>
    <w:rsid w:val="008E02FF"/>
    <w:rsid w:val="008E0695"/>
    <w:rsid w:val="008E0734"/>
    <w:rsid w:val="008E088A"/>
    <w:rsid w:val="008E12B9"/>
    <w:rsid w:val="008E2027"/>
    <w:rsid w:val="008E203E"/>
    <w:rsid w:val="008E2A71"/>
    <w:rsid w:val="008E34D2"/>
    <w:rsid w:val="008E3737"/>
    <w:rsid w:val="008E420C"/>
    <w:rsid w:val="008E4472"/>
    <w:rsid w:val="008E5F7A"/>
    <w:rsid w:val="008E6289"/>
    <w:rsid w:val="008E72A3"/>
    <w:rsid w:val="008E7C75"/>
    <w:rsid w:val="008E7D83"/>
    <w:rsid w:val="008F00FD"/>
    <w:rsid w:val="008F0428"/>
    <w:rsid w:val="008F05F0"/>
    <w:rsid w:val="008F0813"/>
    <w:rsid w:val="008F14E4"/>
    <w:rsid w:val="008F187B"/>
    <w:rsid w:val="008F18AB"/>
    <w:rsid w:val="008F1F01"/>
    <w:rsid w:val="008F225D"/>
    <w:rsid w:val="008F24AB"/>
    <w:rsid w:val="008F2569"/>
    <w:rsid w:val="008F2584"/>
    <w:rsid w:val="008F268B"/>
    <w:rsid w:val="008F2C2D"/>
    <w:rsid w:val="008F30B6"/>
    <w:rsid w:val="008F341D"/>
    <w:rsid w:val="008F3B33"/>
    <w:rsid w:val="008F3C89"/>
    <w:rsid w:val="008F3D13"/>
    <w:rsid w:val="008F4224"/>
    <w:rsid w:val="008F42DF"/>
    <w:rsid w:val="008F4400"/>
    <w:rsid w:val="008F457D"/>
    <w:rsid w:val="008F4818"/>
    <w:rsid w:val="008F57B7"/>
    <w:rsid w:val="008F5D17"/>
    <w:rsid w:val="008F5E4B"/>
    <w:rsid w:val="008F61BA"/>
    <w:rsid w:val="008F6EEE"/>
    <w:rsid w:val="008F6F3D"/>
    <w:rsid w:val="008F7165"/>
    <w:rsid w:val="008F7167"/>
    <w:rsid w:val="008F7D68"/>
    <w:rsid w:val="00900DEB"/>
    <w:rsid w:val="00900EC2"/>
    <w:rsid w:val="00901A11"/>
    <w:rsid w:val="00901F8D"/>
    <w:rsid w:val="009020C4"/>
    <w:rsid w:val="00902657"/>
    <w:rsid w:val="00902E7A"/>
    <w:rsid w:val="00903738"/>
    <w:rsid w:val="009037A7"/>
    <w:rsid w:val="00903A03"/>
    <w:rsid w:val="00904046"/>
    <w:rsid w:val="0090503F"/>
    <w:rsid w:val="00905827"/>
    <w:rsid w:val="0090652B"/>
    <w:rsid w:val="00906666"/>
    <w:rsid w:val="00907BBB"/>
    <w:rsid w:val="00910350"/>
    <w:rsid w:val="009104B7"/>
    <w:rsid w:val="009113BC"/>
    <w:rsid w:val="00911689"/>
    <w:rsid w:val="00911D62"/>
    <w:rsid w:val="009122A8"/>
    <w:rsid w:val="00912434"/>
    <w:rsid w:val="00912539"/>
    <w:rsid w:val="009128BD"/>
    <w:rsid w:val="00912CAA"/>
    <w:rsid w:val="0091348B"/>
    <w:rsid w:val="00913A4C"/>
    <w:rsid w:val="00913BE6"/>
    <w:rsid w:val="00914958"/>
    <w:rsid w:val="00914D54"/>
    <w:rsid w:val="0091539C"/>
    <w:rsid w:val="009155C7"/>
    <w:rsid w:val="009165EC"/>
    <w:rsid w:val="00916A9C"/>
    <w:rsid w:val="009177CF"/>
    <w:rsid w:val="00917DEC"/>
    <w:rsid w:val="009201EA"/>
    <w:rsid w:val="00920457"/>
    <w:rsid w:val="00920610"/>
    <w:rsid w:val="00920CD3"/>
    <w:rsid w:val="00920DBC"/>
    <w:rsid w:val="0092100C"/>
    <w:rsid w:val="00921953"/>
    <w:rsid w:val="00921A0C"/>
    <w:rsid w:val="00921E3A"/>
    <w:rsid w:val="00921F44"/>
    <w:rsid w:val="00922907"/>
    <w:rsid w:val="00922955"/>
    <w:rsid w:val="00922C1A"/>
    <w:rsid w:val="00922F7E"/>
    <w:rsid w:val="00923245"/>
    <w:rsid w:val="00923CF4"/>
    <w:rsid w:val="00924106"/>
    <w:rsid w:val="009248F8"/>
    <w:rsid w:val="00925615"/>
    <w:rsid w:val="00925EAC"/>
    <w:rsid w:val="00926A33"/>
    <w:rsid w:val="00926A47"/>
    <w:rsid w:val="00926DAF"/>
    <w:rsid w:val="00927067"/>
    <w:rsid w:val="00927505"/>
    <w:rsid w:val="00927876"/>
    <w:rsid w:val="00927AAB"/>
    <w:rsid w:val="009308AE"/>
    <w:rsid w:val="0093151F"/>
    <w:rsid w:val="00931542"/>
    <w:rsid w:val="0093198C"/>
    <w:rsid w:val="00932F88"/>
    <w:rsid w:val="00934216"/>
    <w:rsid w:val="0093439C"/>
    <w:rsid w:val="0093456F"/>
    <w:rsid w:val="00934A37"/>
    <w:rsid w:val="00934B2B"/>
    <w:rsid w:val="00934E9E"/>
    <w:rsid w:val="00935624"/>
    <w:rsid w:val="0093570F"/>
    <w:rsid w:val="00937495"/>
    <w:rsid w:val="009378CC"/>
    <w:rsid w:val="00940033"/>
    <w:rsid w:val="0094011B"/>
    <w:rsid w:val="0094016F"/>
    <w:rsid w:val="00940778"/>
    <w:rsid w:val="00940CD2"/>
    <w:rsid w:val="009416CE"/>
    <w:rsid w:val="0094193A"/>
    <w:rsid w:val="00941C1F"/>
    <w:rsid w:val="009424A4"/>
    <w:rsid w:val="00943026"/>
    <w:rsid w:val="00943616"/>
    <w:rsid w:val="00943A23"/>
    <w:rsid w:val="0094412F"/>
    <w:rsid w:val="00944149"/>
    <w:rsid w:val="00944479"/>
    <w:rsid w:val="00944D4B"/>
    <w:rsid w:val="00944F07"/>
    <w:rsid w:val="00945130"/>
    <w:rsid w:val="009452CF"/>
    <w:rsid w:val="0094546C"/>
    <w:rsid w:val="00945706"/>
    <w:rsid w:val="00945792"/>
    <w:rsid w:val="00945E09"/>
    <w:rsid w:val="00945F8A"/>
    <w:rsid w:val="0094612C"/>
    <w:rsid w:val="009462FC"/>
    <w:rsid w:val="009463BB"/>
    <w:rsid w:val="009468B5"/>
    <w:rsid w:val="00946C9E"/>
    <w:rsid w:val="00947491"/>
    <w:rsid w:val="009479D0"/>
    <w:rsid w:val="00950475"/>
    <w:rsid w:val="00950CE8"/>
    <w:rsid w:val="009513D4"/>
    <w:rsid w:val="009517D2"/>
    <w:rsid w:val="009517DF"/>
    <w:rsid w:val="00951906"/>
    <w:rsid w:val="009519C8"/>
    <w:rsid w:val="00952932"/>
    <w:rsid w:val="00952D8A"/>
    <w:rsid w:val="00953764"/>
    <w:rsid w:val="00953832"/>
    <w:rsid w:val="0095447C"/>
    <w:rsid w:val="009547FD"/>
    <w:rsid w:val="00954AF2"/>
    <w:rsid w:val="00954CD8"/>
    <w:rsid w:val="00954D35"/>
    <w:rsid w:val="009558A5"/>
    <w:rsid w:val="009559F8"/>
    <w:rsid w:val="009561EC"/>
    <w:rsid w:val="0095625B"/>
    <w:rsid w:val="0095678C"/>
    <w:rsid w:val="00956ACF"/>
    <w:rsid w:val="009570FF"/>
    <w:rsid w:val="0095718B"/>
    <w:rsid w:val="0095CB81"/>
    <w:rsid w:val="009601A7"/>
    <w:rsid w:val="009605B7"/>
    <w:rsid w:val="0096108B"/>
    <w:rsid w:val="00961857"/>
    <w:rsid w:val="0096199A"/>
    <w:rsid w:val="0096280E"/>
    <w:rsid w:val="0096384C"/>
    <w:rsid w:val="00963950"/>
    <w:rsid w:val="00963A34"/>
    <w:rsid w:val="0096556E"/>
    <w:rsid w:val="0096594B"/>
    <w:rsid w:val="009663DD"/>
    <w:rsid w:val="00966878"/>
    <w:rsid w:val="00966A98"/>
    <w:rsid w:val="00966BE6"/>
    <w:rsid w:val="00966C4D"/>
    <w:rsid w:val="00967565"/>
    <w:rsid w:val="009677D6"/>
    <w:rsid w:val="00967C1F"/>
    <w:rsid w:val="00967C96"/>
    <w:rsid w:val="0097006F"/>
    <w:rsid w:val="009701B5"/>
    <w:rsid w:val="00970625"/>
    <w:rsid w:val="00970E1C"/>
    <w:rsid w:val="00971150"/>
    <w:rsid w:val="00971645"/>
    <w:rsid w:val="00972D1D"/>
    <w:rsid w:val="00972E07"/>
    <w:rsid w:val="009732D9"/>
    <w:rsid w:val="00973929"/>
    <w:rsid w:val="009747EA"/>
    <w:rsid w:val="00974B4D"/>
    <w:rsid w:val="00974BD0"/>
    <w:rsid w:val="009764E6"/>
    <w:rsid w:val="009766CB"/>
    <w:rsid w:val="00976A00"/>
    <w:rsid w:val="00976F41"/>
    <w:rsid w:val="00976F6F"/>
    <w:rsid w:val="00977DC2"/>
    <w:rsid w:val="00980171"/>
    <w:rsid w:val="00980B85"/>
    <w:rsid w:val="00980BEB"/>
    <w:rsid w:val="00981C56"/>
    <w:rsid w:val="0098212C"/>
    <w:rsid w:val="009824AC"/>
    <w:rsid w:val="00982ADE"/>
    <w:rsid w:val="00983102"/>
    <w:rsid w:val="00983103"/>
    <w:rsid w:val="0098317A"/>
    <w:rsid w:val="00983F11"/>
    <w:rsid w:val="00985E7B"/>
    <w:rsid w:val="009862FF"/>
    <w:rsid w:val="00986942"/>
    <w:rsid w:val="00986A61"/>
    <w:rsid w:val="00986AA4"/>
    <w:rsid w:val="00986F61"/>
    <w:rsid w:val="009874C2"/>
    <w:rsid w:val="00987C43"/>
    <w:rsid w:val="00987E53"/>
    <w:rsid w:val="00987EA4"/>
    <w:rsid w:val="00990120"/>
    <w:rsid w:val="00990D30"/>
    <w:rsid w:val="00990ED6"/>
    <w:rsid w:val="00991A4E"/>
    <w:rsid w:val="009921E3"/>
    <w:rsid w:val="0099257E"/>
    <w:rsid w:val="00992C1C"/>
    <w:rsid w:val="00993162"/>
    <w:rsid w:val="00993332"/>
    <w:rsid w:val="009938AA"/>
    <w:rsid w:val="0099400A"/>
    <w:rsid w:val="00994387"/>
    <w:rsid w:val="00994817"/>
    <w:rsid w:val="0099488F"/>
    <w:rsid w:val="00995619"/>
    <w:rsid w:val="00995739"/>
    <w:rsid w:val="009958D6"/>
    <w:rsid w:val="00996074"/>
    <w:rsid w:val="0099659D"/>
    <w:rsid w:val="009965DB"/>
    <w:rsid w:val="00997EEB"/>
    <w:rsid w:val="009A0123"/>
    <w:rsid w:val="009A0EE0"/>
    <w:rsid w:val="009A1482"/>
    <w:rsid w:val="009A2581"/>
    <w:rsid w:val="009A2C16"/>
    <w:rsid w:val="009A2FDF"/>
    <w:rsid w:val="009A3151"/>
    <w:rsid w:val="009A3236"/>
    <w:rsid w:val="009A38C2"/>
    <w:rsid w:val="009A48DA"/>
    <w:rsid w:val="009A4900"/>
    <w:rsid w:val="009A50EC"/>
    <w:rsid w:val="009A51AE"/>
    <w:rsid w:val="009A56D6"/>
    <w:rsid w:val="009A5A7B"/>
    <w:rsid w:val="009A5F83"/>
    <w:rsid w:val="009A636F"/>
    <w:rsid w:val="009A6B73"/>
    <w:rsid w:val="009A6C9D"/>
    <w:rsid w:val="009A6E8D"/>
    <w:rsid w:val="009A7EF7"/>
    <w:rsid w:val="009B070E"/>
    <w:rsid w:val="009B0FB2"/>
    <w:rsid w:val="009B114F"/>
    <w:rsid w:val="009B1246"/>
    <w:rsid w:val="009B14E1"/>
    <w:rsid w:val="009B167E"/>
    <w:rsid w:val="009B18CF"/>
    <w:rsid w:val="009B1CFC"/>
    <w:rsid w:val="009B2664"/>
    <w:rsid w:val="009B2AEF"/>
    <w:rsid w:val="009B3BD9"/>
    <w:rsid w:val="009B3D9E"/>
    <w:rsid w:val="009B4011"/>
    <w:rsid w:val="009B4B7B"/>
    <w:rsid w:val="009B5D7D"/>
    <w:rsid w:val="009B5EE8"/>
    <w:rsid w:val="009B6613"/>
    <w:rsid w:val="009B69E8"/>
    <w:rsid w:val="009B6F81"/>
    <w:rsid w:val="009B70C5"/>
    <w:rsid w:val="009B75B1"/>
    <w:rsid w:val="009B7A0C"/>
    <w:rsid w:val="009B7E77"/>
    <w:rsid w:val="009B7E9D"/>
    <w:rsid w:val="009C0072"/>
    <w:rsid w:val="009C07DA"/>
    <w:rsid w:val="009C1370"/>
    <w:rsid w:val="009C1698"/>
    <w:rsid w:val="009C1D1F"/>
    <w:rsid w:val="009C289A"/>
    <w:rsid w:val="009C33A3"/>
    <w:rsid w:val="009C382B"/>
    <w:rsid w:val="009C394E"/>
    <w:rsid w:val="009C437B"/>
    <w:rsid w:val="009C46D9"/>
    <w:rsid w:val="009C4A0F"/>
    <w:rsid w:val="009C5644"/>
    <w:rsid w:val="009C5720"/>
    <w:rsid w:val="009C5EFC"/>
    <w:rsid w:val="009C64E9"/>
    <w:rsid w:val="009C6516"/>
    <w:rsid w:val="009C65B5"/>
    <w:rsid w:val="009C67F8"/>
    <w:rsid w:val="009C6FB1"/>
    <w:rsid w:val="009C7B5E"/>
    <w:rsid w:val="009C7F1F"/>
    <w:rsid w:val="009D1070"/>
    <w:rsid w:val="009D1459"/>
    <w:rsid w:val="009D1C7B"/>
    <w:rsid w:val="009D2204"/>
    <w:rsid w:val="009D2F5B"/>
    <w:rsid w:val="009D3D4E"/>
    <w:rsid w:val="009D4EFC"/>
    <w:rsid w:val="009D53D9"/>
    <w:rsid w:val="009D5584"/>
    <w:rsid w:val="009D5820"/>
    <w:rsid w:val="009D5B39"/>
    <w:rsid w:val="009D69F9"/>
    <w:rsid w:val="009D6C3D"/>
    <w:rsid w:val="009E00F4"/>
    <w:rsid w:val="009E0642"/>
    <w:rsid w:val="009E126D"/>
    <w:rsid w:val="009E169D"/>
    <w:rsid w:val="009E1B9B"/>
    <w:rsid w:val="009E1D21"/>
    <w:rsid w:val="009E2567"/>
    <w:rsid w:val="009E2923"/>
    <w:rsid w:val="009E29C0"/>
    <w:rsid w:val="009E3728"/>
    <w:rsid w:val="009E37FF"/>
    <w:rsid w:val="009E4184"/>
    <w:rsid w:val="009E4E56"/>
    <w:rsid w:val="009E4EFD"/>
    <w:rsid w:val="009E5000"/>
    <w:rsid w:val="009E5750"/>
    <w:rsid w:val="009E6037"/>
    <w:rsid w:val="009E6370"/>
    <w:rsid w:val="009E6E8D"/>
    <w:rsid w:val="009E7F6B"/>
    <w:rsid w:val="009F025D"/>
    <w:rsid w:val="009F080B"/>
    <w:rsid w:val="009F0D89"/>
    <w:rsid w:val="009F0F93"/>
    <w:rsid w:val="009F259A"/>
    <w:rsid w:val="009F2A7B"/>
    <w:rsid w:val="009F2DEB"/>
    <w:rsid w:val="009F2E84"/>
    <w:rsid w:val="009F3278"/>
    <w:rsid w:val="009F36D4"/>
    <w:rsid w:val="009F3DB7"/>
    <w:rsid w:val="009F3FCF"/>
    <w:rsid w:val="009F4158"/>
    <w:rsid w:val="009F4E0A"/>
    <w:rsid w:val="009F53B3"/>
    <w:rsid w:val="009F5652"/>
    <w:rsid w:val="009F57EE"/>
    <w:rsid w:val="009F5812"/>
    <w:rsid w:val="009F5966"/>
    <w:rsid w:val="009F5DFF"/>
    <w:rsid w:val="009F6AA8"/>
    <w:rsid w:val="009F7348"/>
    <w:rsid w:val="009F79C8"/>
    <w:rsid w:val="009F79DE"/>
    <w:rsid w:val="00A001B3"/>
    <w:rsid w:val="00A00479"/>
    <w:rsid w:val="00A00F53"/>
    <w:rsid w:val="00A01018"/>
    <w:rsid w:val="00A0123A"/>
    <w:rsid w:val="00A01C8B"/>
    <w:rsid w:val="00A01D73"/>
    <w:rsid w:val="00A02289"/>
    <w:rsid w:val="00A02421"/>
    <w:rsid w:val="00A02672"/>
    <w:rsid w:val="00A02DFA"/>
    <w:rsid w:val="00A03629"/>
    <w:rsid w:val="00A037C9"/>
    <w:rsid w:val="00A04FB6"/>
    <w:rsid w:val="00A0506E"/>
    <w:rsid w:val="00A050F8"/>
    <w:rsid w:val="00A05321"/>
    <w:rsid w:val="00A05F20"/>
    <w:rsid w:val="00A0602E"/>
    <w:rsid w:val="00A07B3E"/>
    <w:rsid w:val="00A10156"/>
    <w:rsid w:val="00A10382"/>
    <w:rsid w:val="00A10509"/>
    <w:rsid w:val="00A106CA"/>
    <w:rsid w:val="00A113DA"/>
    <w:rsid w:val="00A116C8"/>
    <w:rsid w:val="00A11882"/>
    <w:rsid w:val="00A11D5B"/>
    <w:rsid w:val="00A11DDF"/>
    <w:rsid w:val="00A121F7"/>
    <w:rsid w:val="00A122FE"/>
    <w:rsid w:val="00A1242A"/>
    <w:rsid w:val="00A12758"/>
    <w:rsid w:val="00A12959"/>
    <w:rsid w:val="00A13487"/>
    <w:rsid w:val="00A140FB"/>
    <w:rsid w:val="00A14917"/>
    <w:rsid w:val="00A14C34"/>
    <w:rsid w:val="00A15182"/>
    <w:rsid w:val="00A152D2"/>
    <w:rsid w:val="00A15438"/>
    <w:rsid w:val="00A16DDC"/>
    <w:rsid w:val="00A1764F"/>
    <w:rsid w:val="00A178D1"/>
    <w:rsid w:val="00A18546"/>
    <w:rsid w:val="00A2023A"/>
    <w:rsid w:val="00A20317"/>
    <w:rsid w:val="00A2059F"/>
    <w:rsid w:val="00A209A4"/>
    <w:rsid w:val="00A209B2"/>
    <w:rsid w:val="00A21817"/>
    <w:rsid w:val="00A21B64"/>
    <w:rsid w:val="00A220BC"/>
    <w:rsid w:val="00A22211"/>
    <w:rsid w:val="00A2227E"/>
    <w:rsid w:val="00A2263E"/>
    <w:rsid w:val="00A2346F"/>
    <w:rsid w:val="00A23BC4"/>
    <w:rsid w:val="00A24519"/>
    <w:rsid w:val="00A25503"/>
    <w:rsid w:val="00A258C8"/>
    <w:rsid w:val="00A25E59"/>
    <w:rsid w:val="00A26C3B"/>
    <w:rsid w:val="00A2712E"/>
    <w:rsid w:val="00A27340"/>
    <w:rsid w:val="00A2758E"/>
    <w:rsid w:val="00A278AD"/>
    <w:rsid w:val="00A2A438"/>
    <w:rsid w:val="00A303F0"/>
    <w:rsid w:val="00A30B9F"/>
    <w:rsid w:val="00A30DCF"/>
    <w:rsid w:val="00A31313"/>
    <w:rsid w:val="00A31A8B"/>
    <w:rsid w:val="00A31E8F"/>
    <w:rsid w:val="00A324D5"/>
    <w:rsid w:val="00A326FD"/>
    <w:rsid w:val="00A32991"/>
    <w:rsid w:val="00A32AA6"/>
    <w:rsid w:val="00A32B90"/>
    <w:rsid w:val="00A32FD4"/>
    <w:rsid w:val="00A3322B"/>
    <w:rsid w:val="00A332B0"/>
    <w:rsid w:val="00A3334E"/>
    <w:rsid w:val="00A34016"/>
    <w:rsid w:val="00A342E3"/>
    <w:rsid w:val="00A34633"/>
    <w:rsid w:val="00A34CA4"/>
    <w:rsid w:val="00A3535F"/>
    <w:rsid w:val="00A3574D"/>
    <w:rsid w:val="00A3594E"/>
    <w:rsid w:val="00A359F1"/>
    <w:rsid w:val="00A35C41"/>
    <w:rsid w:val="00A35D07"/>
    <w:rsid w:val="00A3619E"/>
    <w:rsid w:val="00A3628E"/>
    <w:rsid w:val="00A36725"/>
    <w:rsid w:val="00A36EE8"/>
    <w:rsid w:val="00A370C2"/>
    <w:rsid w:val="00A375EB"/>
    <w:rsid w:val="00A3790E"/>
    <w:rsid w:val="00A37F9F"/>
    <w:rsid w:val="00A410F2"/>
    <w:rsid w:val="00A414C5"/>
    <w:rsid w:val="00A421B9"/>
    <w:rsid w:val="00A4265E"/>
    <w:rsid w:val="00A42EB5"/>
    <w:rsid w:val="00A4484E"/>
    <w:rsid w:val="00A44E14"/>
    <w:rsid w:val="00A45658"/>
    <w:rsid w:val="00A458A7"/>
    <w:rsid w:val="00A45BB3"/>
    <w:rsid w:val="00A45DC7"/>
    <w:rsid w:val="00A4609F"/>
    <w:rsid w:val="00A461CA"/>
    <w:rsid w:val="00A4632B"/>
    <w:rsid w:val="00A464FD"/>
    <w:rsid w:val="00A46BEE"/>
    <w:rsid w:val="00A46DC2"/>
    <w:rsid w:val="00A47350"/>
    <w:rsid w:val="00A473F7"/>
    <w:rsid w:val="00A474F2"/>
    <w:rsid w:val="00A47DED"/>
    <w:rsid w:val="00A50369"/>
    <w:rsid w:val="00A50BCC"/>
    <w:rsid w:val="00A539F5"/>
    <w:rsid w:val="00A5422E"/>
    <w:rsid w:val="00A5457D"/>
    <w:rsid w:val="00A54A20"/>
    <w:rsid w:val="00A551D5"/>
    <w:rsid w:val="00A55897"/>
    <w:rsid w:val="00A5667C"/>
    <w:rsid w:val="00A56EF6"/>
    <w:rsid w:val="00A573BB"/>
    <w:rsid w:val="00A57881"/>
    <w:rsid w:val="00A60CAD"/>
    <w:rsid w:val="00A612FC"/>
    <w:rsid w:val="00A6161B"/>
    <w:rsid w:val="00A61894"/>
    <w:rsid w:val="00A62D95"/>
    <w:rsid w:val="00A62E3C"/>
    <w:rsid w:val="00A64A7A"/>
    <w:rsid w:val="00A6537B"/>
    <w:rsid w:val="00A65719"/>
    <w:rsid w:val="00A6580D"/>
    <w:rsid w:val="00A65DDC"/>
    <w:rsid w:val="00A65E1F"/>
    <w:rsid w:val="00A6619E"/>
    <w:rsid w:val="00A66BCF"/>
    <w:rsid w:val="00A66C9D"/>
    <w:rsid w:val="00A6724A"/>
    <w:rsid w:val="00A6776E"/>
    <w:rsid w:val="00A678FB"/>
    <w:rsid w:val="00A70028"/>
    <w:rsid w:val="00A70064"/>
    <w:rsid w:val="00A700D1"/>
    <w:rsid w:val="00A70534"/>
    <w:rsid w:val="00A70683"/>
    <w:rsid w:val="00A70968"/>
    <w:rsid w:val="00A7104A"/>
    <w:rsid w:val="00A71054"/>
    <w:rsid w:val="00A71980"/>
    <w:rsid w:val="00A71BC3"/>
    <w:rsid w:val="00A7212B"/>
    <w:rsid w:val="00A724A2"/>
    <w:rsid w:val="00A72BE6"/>
    <w:rsid w:val="00A72D6F"/>
    <w:rsid w:val="00A74168"/>
    <w:rsid w:val="00A74948"/>
    <w:rsid w:val="00A74EF4"/>
    <w:rsid w:val="00A75F7F"/>
    <w:rsid w:val="00A767A4"/>
    <w:rsid w:val="00A76B0A"/>
    <w:rsid w:val="00A77069"/>
    <w:rsid w:val="00A77599"/>
    <w:rsid w:val="00A77C71"/>
    <w:rsid w:val="00A77F62"/>
    <w:rsid w:val="00A802A9"/>
    <w:rsid w:val="00A8043B"/>
    <w:rsid w:val="00A80FC1"/>
    <w:rsid w:val="00A80FD2"/>
    <w:rsid w:val="00A8114D"/>
    <w:rsid w:val="00A8254F"/>
    <w:rsid w:val="00A82B5D"/>
    <w:rsid w:val="00A82CA1"/>
    <w:rsid w:val="00A82D80"/>
    <w:rsid w:val="00A83066"/>
    <w:rsid w:val="00A83178"/>
    <w:rsid w:val="00A83305"/>
    <w:rsid w:val="00A83590"/>
    <w:rsid w:val="00A835A1"/>
    <w:rsid w:val="00A83C3C"/>
    <w:rsid w:val="00A84319"/>
    <w:rsid w:val="00A84B25"/>
    <w:rsid w:val="00A855F7"/>
    <w:rsid w:val="00A863A3"/>
    <w:rsid w:val="00A86963"/>
    <w:rsid w:val="00A869E9"/>
    <w:rsid w:val="00A86FC8"/>
    <w:rsid w:val="00A86FD1"/>
    <w:rsid w:val="00A87217"/>
    <w:rsid w:val="00A873DC"/>
    <w:rsid w:val="00A87AB3"/>
    <w:rsid w:val="00A90EC9"/>
    <w:rsid w:val="00A90F0F"/>
    <w:rsid w:val="00A9123B"/>
    <w:rsid w:val="00A916ED"/>
    <w:rsid w:val="00A91A42"/>
    <w:rsid w:val="00A93D39"/>
    <w:rsid w:val="00A93E3F"/>
    <w:rsid w:val="00A94271"/>
    <w:rsid w:val="00A944CC"/>
    <w:rsid w:val="00A95FFC"/>
    <w:rsid w:val="00A9631E"/>
    <w:rsid w:val="00A971AE"/>
    <w:rsid w:val="00A97568"/>
    <w:rsid w:val="00AA0267"/>
    <w:rsid w:val="00AA088F"/>
    <w:rsid w:val="00AA093E"/>
    <w:rsid w:val="00AA14C4"/>
    <w:rsid w:val="00AA1D5B"/>
    <w:rsid w:val="00AA1FCF"/>
    <w:rsid w:val="00AA2742"/>
    <w:rsid w:val="00AA283E"/>
    <w:rsid w:val="00AA2C0B"/>
    <w:rsid w:val="00AA37E3"/>
    <w:rsid w:val="00AA4B93"/>
    <w:rsid w:val="00AA56D1"/>
    <w:rsid w:val="00AA5CEF"/>
    <w:rsid w:val="00AA617E"/>
    <w:rsid w:val="00AA68EB"/>
    <w:rsid w:val="00AA6CCC"/>
    <w:rsid w:val="00AA6F3B"/>
    <w:rsid w:val="00AA714E"/>
    <w:rsid w:val="00AA7577"/>
    <w:rsid w:val="00AA7F35"/>
    <w:rsid w:val="00AB01F3"/>
    <w:rsid w:val="00AB0274"/>
    <w:rsid w:val="00AB07BC"/>
    <w:rsid w:val="00AB0B41"/>
    <w:rsid w:val="00AB16ED"/>
    <w:rsid w:val="00AB1EA9"/>
    <w:rsid w:val="00AB20D6"/>
    <w:rsid w:val="00AB23F5"/>
    <w:rsid w:val="00AB3277"/>
    <w:rsid w:val="00AB33B8"/>
    <w:rsid w:val="00AB36AA"/>
    <w:rsid w:val="00AB3898"/>
    <w:rsid w:val="00AB3D5E"/>
    <w:rsid w:val="00AB3EE5"/>
    <w:rsid w:val="00AB41D9"/>
    <w:rsid w:val="00AB4406"/>
    <w:rsid w:val="00AB4A1D"/>
    <w:rsid w:val="00AB52DE"/>
    <w:rsid w:val="00AB554B"/>
    <w:rsid w:val="00AB5D4A"/>
    <w:rsid w:val="00AB65FB"/>
    <w:rsid w:val="00AB6E4E"/>
    <w:rsid w:val="00AB7935"/>
    <w:rsid w:val="00AB7CF9"/>
    <w:rsid w:val="00AC0C4E"/>
    <w:rsid w:val="00AC0DC9"/>
    <w:rsid w:val="00AC1B57"/>
    <w:rsid w:val="00AC21CF"/>
    <w:rsid w:val="00AC2C19"/>
    <w:rsid w:val="00AC3000"/>
    <w:rsid w:val="00AC32E4"/>
    <w:rsid w:val="00AC339A"/>
    <w:rsid w:val="00AC41AC"/>
    <w:rsid w:val="00AC49BC"/>
    <w:rsid w:val="00AC49D6"/>
    <w:rsid w:val="00AC5AA0"/>
    <w:rsid w:val="00AC6153"/>
    <w:rsid w:val="00AC61C9"/>
    <w:rsid w:val="00AC6351"/>
    <w:rsid w:val="00AC6855"/>
    <w:rsid w:val="00AC6A4F"/>
    <w:rsid w:val="00AC6CD6"/>
    <w:rsid w:val="00AC788A"/>
    <w:rsid w:val="00AC7B08"/>
    <w:rsid w:val="00AD00E2"/>
    <w:rsid w:val="00AD09A6"/>
    <w:rsid w:val="00AD0F6F"/>
    <w:rsid w:val="00AD149F"/>
    <w:rsid w:val="00AD1896"/>
    <w:rsid w:val="00AD20FE"/>
    <w:rsid w:val="00AD2299"/>
    <w:rsid w:val="00AD262A"/>
    <w:rsid w:val="00AD2A16"/>
    <w:rsid w:val="00AD2BF7"/>
    <w:rsid w:val="00AD30B5"/>
    <w:rsid w:val="00AD37C8"/>
    <w:rsid w:val="00AD3AB2"/>
    <w:rsid w:val="00AD3CC2"/>
    <w:rsid w:val="00AD3DD7"/>
    <w:rsid w:val="00AD4040"/>
    <w:rsid w:val="00AD450C"/>
    <w:rsid w:val="00AD53D0"/>
    <w:rsid w:val="00AD55BA"/>
    <w:rsid w:val="00AD59A6"/>
    <w:rsid w:val="00AD5D70"/>
    <w:rsid w:val="00AD65EC"/>
    <w:rsid w:val="00AD6796"/>
    <w:rsid w:val="00AD67AA"/>
    <w:rsid w:val="00AD6CB4"/>
    <w:rsid w:val="00AD7228"/>
    <w:rsid w:val="00AD76A5"/>
    <w:rsid w:val="00AE023C"/>
    <w:rsid w:val="00AE08DE"/>
    <w:rsid w:val="00AE1475"/>
    <w:rsid w:val="00AE1584"/>
    <w:rsid w:val="00AE1764"/>
    <w:rsid w:val="00AE19DA"/>
    <w:rsid w:val="00AE1A18"/>
    <w:rsid w:val="00AE2CFA"/>
    <w:rsid w:val="00AE3879"/>
    <w:rsid w:val="00AE42EC"/>
    <w:rsid w:val="00AE45FC"/>
    <w:rsid w:val="00AE5708"/>
    <w:rsid w:val="00AE5C18"/>
    <w:rsid w:val="00AE5F45"/>
    <w:rsid w:val="00AE6280"/>
    <w:rsid w:val="00AE681C"/>
    <w:rsid w:val="00AE6BFA"/>
    <w:rsid w:val="00AE7353"/>
    <w:rsid w:val="00AE7498"/>
    <w:rsid w:val="00AE7718"/>
    <w:rsid w:val="00AEA121"/>
    <w:rsid w:val="00AF0AAE"/>
    <w:rsid w:val="00AF102E"/>
    <w:rsid w:val="00AF10AC"/>
    <w:rsid w:val="00AF176E"/>
    <w:rsid w:val="00AF1DC4"/>
    <w:rsid w:val="00AF28ED"/>
    <w:rsid w:val="00AF29FB"/>
    <w:rsid w:val="00AF2CFD"/>
    <w:rsid w:val="00AF2ED7"/>
    <w:rsid w:val="00AF2F1D"/>
    <w:rsid w:val="00AF3C70"/>
    <w:rsid w:val="00AF40DC"/>
    <w:rsid w:val="00AF4B44"/>
    <w:rsid w:val="00AF4D23"/>
    <w:rsid w:val="00AF4F67"/>
    <w:rsid w:val="00AF51F2"/>
    <w:rsid w:val="00AF57B9"/>
    <w:rsid w:val="00AF5EC7"/>
    <w:rsid w:val="00AF6111"/>
    <w:rsid w:val="00AF635F"/>
    <w:rsid w:val="00AF64DF"/>
    <w:rsid w:val="00AF65BD"/>
    <w:rsid w:val="00AF6908"/>
    <w:rsid w:val="00AF6922"/>
    <w:rsid w:val="00AF7CA9"/>
    <w:rsid w:val="00B018D2"/>
    <w:rsid w:val="00B01904"/>
    <w:rsid w:val="00B01D4D"/>
    <w:rsid w:val="00B026A8"/>
    <w:rsid w:val="00B02890"/>
    <w:rsid w:val="00B036D4"/>
    <w:rsid w:val="00B037CF"/>
    <w:rsid w:val="00B03E46"/>
    <w:rsid w:val="00B05B48"/>
    <w:rsid w:val="00B05BB6"/>
    <w:rsid w:val="00B063C4"/>
    <w:rsid w:val="00B0715E"/>
    <w:rsid w:val="00B075E3"/>
    <w:rsid w:val="00B105F7"/>
    <w:rsid w:val="00B10AE3"/>
    <w:rsid w:val="00B1134B"/>
    <w:rsid w:val="00B11650"/>
    <w:rsid w:val="00B1240F"/>
    <w:rsid w:val="00B1289F"/>
    <w:rsid w:val="00B13C90"/>
    <w:rsid w:val="00B13F30"/>
    <w:rsid w:val="00B14D62"/>
    <w:rsid w:val="00B15973"/>
    <w:rsid w:val="00B16E29"/>
    <w:rsid w:val="00B175EE"/>
    <w:rsid w:val="00B17BC7"/>
    <w:rsid w:val="00B17D9D"/>
    <w:rsid w:val="00B20810"/>
    <w:rsid w:val="00B20A5E"/>
    <w:rsid w:val="00B2126D"/>
    <w:rsid w:val="00B21C36"/>
    <w:rsid w:val="00B222BA"/>
    <w:rsid w:val="00B227A2"/>
    <w:rsid w:val="00B22C66"/>
    <w:rsid w:val="00B23168"/>
    <w:rsid w:val="00B233BD"/>
    <w:rsid w:val="00B2371E"/>
    <w:rsid w:val="00B23D85"/>
    <w:rsid w:val="00B240A0"/>
    <w:rsid w:val="00B24A71"/>
    <w:rsid w:val="00B2525E"/>
    <w:rsid w:val="00B2701B"/>
    <w:rsid w:val="00B272B1"/>
    <w:rsid w:val="00B2784F"/>
    <w:rsid w:val="00B3010E"/>
    <w:rsid w:val="00B303C4"/>
    <w:rsid w:val="00B304DA"/>
    <w:rsid w:val="00B30B8D"/>
    <w:rsid w:val="00B30C63"/>
    <w:rsid w:val="00B311E3"/>
    <w:rsid w:val="00B3150E"/>
    <w:rsid w:val="00B319B9"/>
    <w:rsid w:val="00B31D40"/>
    <w:rsid w:val="00B324A2"/>
    <w:rsid w:val="00B3288C"/>
    <w:rsid w:val="00B328D9"/>
    <w:rsid w:val="00B32DF4"/>
    <w:rsid w:val="00B336AB"/>
    <w:rsid w:val="00B34AE7"/>
    <w:rsid w:val="00B34D8F"/>
    <w:rsid w:val="00B35BD3"/>
    <w:rsid w:val="00B363BB"/>
    <w:rsid w:val="00B40655"/>
    <w:rsid w:val="00B407CA"/>
    <w:rsid w:val="00B40E93"/>
    <w:rsid w:val="00B41002"/>
    <w:rsid w:val="00B41BDF"/>
    <w:rsid w:val="00B41CC9"/>
    <w:rsid w:val="00B41DDE"/>
    <w:rsid w:val="00B42CF4"/>
    <w:rsid w:val="00B42F88"/>
    <w:rsid w:val="00B430AE"/>
    <w:rsid w:val="00B4316F"/>
    <w:rsid w:val="00B43775"/>
    <w:rsid w:val="00B437FB"/>
    <w:rsid w:val="00B43C8A"/>
    <w:rsid w:val="00B4465D"/>
    <w:rsid w:val="00B448AE"/>
    <w:rsid w:val="00B44B1B"/>
    <w:rsid w:val="00B44B8F"/>
    <w:rsid w:val="00B45D1E"/>
    <w:rsid w:val="00B45D31"/>
    <w:rsid w:val="00B461C1"/>
    <w:rsid w:val="00B468FD"/>
    <w:rsid w:val="00B46E7F"/>
    <w:rsid w:val="00B46F5E"/>
    <w:rsid w:val="00B4745C"/>
    <w:rsid w:val="00B47480"/>
    <w:rsid w:val="00B4780A"/>
    <w:rsid w:val="00B47A43"/>
    <w:rsid w:val="00B47AEA"/>
    <w:rsid w:val="00B47BFE"/>
    <w:rsid w:val="00B50748"/>
    <w:rsid w:val="00B50FE5"/>
    <w:rsid w:val="00B51314"/>
    <w:rsid w:val="00B51541"/>
    <w:rsid w:val="00B51A93"/>
    <w:rsid w:val="00B51D94"/>
    <w:rsid w:val="00B5201D"/>
    <w:rsid w:val="00B527A9"/>
    <w:rsid w:val="00B52F8C"/>
    <w:rsid w:val="00B52FB9"/>
    <w:rsid w:val="00B53475"/>
    <w:rsid w:val="00B53E28"/>
    <w:rsid w:val="00B53E3E"/>
    <w:rsid w:val="00B53F93"/>
    <w:rsid w:val="00B54240"/>
    <w:rsid w:val="00B54349"/>
    <w:rsid w:val="00B545B9"/>
    <w:rsid w:val="00B54662"/>
    <w:rsid w:val="00B54742"/>
    <w:rsid w:val="00B54B2C"/>
    <w:rsid w:val="00B55567"/>
    <w:rsid w:val="00B55574"/>
    <w:rsid w:val="00B5580C"/>
    <w:rsid w:val="00B55BD8"/>
    <w:rsid w:val="00B5745F"/>
    <w:rsid w:val="00B5760C"/>
    <w:rsid w:val="00B577A0"/>
    <w:rsid w:val="00B5D6F6"/>
    <w:rsid w:val="00B60821"/>
    <w:rsid w:val="00B60C5E"/>
    <w:rsid w:val="00B60CA9"/>
    <w:rsid w:val="00B6134D"/>
    <w:rsid w:val="00B61372"/>
    <w:rsid w:val="00B615FF"/>
    <w:rsid w:val="00B61CBD"/>
    <w:rsid w:val="00B6223D"/>
    <w:rsid w:val="00B6240A"/>
    <w:rsid w:val="00B62521"/>
    <w:rsid w:val="00B638B8"/>
    <w:rsid w:val="00B63AE5"/>
    <w:rsid w:val="00B65896"/>
    <w:rsid w:val="00B659CC"/>
    <w:rsid w:val="00B660E5"/>
    <w:rsid w:val="00B66EA0"/>
    <w:rsid w:val="00B6729E"/>
    <w:rsid w:val="00B67475"/>
    <w:rsid w:val="00B67787"/>
    <w:rsid w:val="00B702B5"/>
    <w:rsid w:val="00B70503"/>
    <w:rsid w:val="00B70670"/>
    <w:rsid w:val="00B70808"/>
    <w:rsid w:val="00B70A7B"/>
    <w:rsid w:val="00B71009"/>
    <w:rsid w:val="00B71116"/>
    <w:rsid w:val="00B713A3"/>
    <w:rsid w:val="00B718D3"/>
    <w:rsid w:val="00B7194F"/>
    <w:rsid w:val="00B71DEA"/>
    <w:rsid w:val="00B71FDF"/>
    <w:rsid w:val="00B72198"/>
    <w:rsid w:val="00B7220E"/>
    <w:rsid w:val="00B732FC"/>
    <w:rsid w:val="00B734F1"/>
    <w:rsid w:val="00B73EF4"/>
    <w:rsid w:val="00B7416E"/>
    <w:rsid w:val="00B75546"/>
    <w:rsid w:val="00B75551"/>
    <w:rsid w:val="00B755C7"/>
    <w:rsid w:val="00B756F7"/>
    <w:rsid w:val="00B759CD"/>
    <w:rsid w:val="00B75C94"/>
    <w:rsid w:val="00B75FB4"/>
    <w:rsid w:val="00B800F4"/>
    <w:rsid w:val="00B81146"/>
    <w:rsid w:val="00B8169D"/>
    <w:rsid w:val="00B81AD8"/>
    <w:rsid w:val="00B81B7C"/>
    <w:rsid w:val="00B81EDC"/>
    <w:rsid w:val="00B83C3E"/>
    <w:rsid w:val="00B83CFA"/>
    <w:rsid w:val="00B84145"/>
    <w:rsid w:val="00B841B2"/>
    <w:rsid w:val="00B84F4A"/>
    <w:rsid w:val="00B855BD"/>
    <w:rsid w:val="00B85A90"/>
    <w:rsid w:val="00B85D84"/>
    <w:rsid w:val="00B86E2A"/>
    <w:rsid w:val="00B87325"/>
    <w:rsid w:val="00B87CB6"/>
    <w:rsid w:val="00B9208F"/>
    <w:rsid w:val="00B923BF"/>
    <w:rsid w:val="00B92A00"/>
    <w:rsid w:val="00B92B92"/>
    <w:rsid w:val="00B93085"/>
    <w:rsid w:val="00B930CE"/>
    <w:rsid w:val="00B93AA7"/>
    <w:rsid w:val="00B93B38"/>
    <w:rsid w:val="00B9413F"/>
    <w:rsid w:val="00B94BC2"/>
    <w:rsid w:val="00B95053"/>
    <w:rsid w:val="00B955A4"/>
    <w:rsid w:val="00B9577A"/>
    <w:rsid w:val="00B95E6C"/>
    <w:rsid w:val="00B95F3B"/>
    <w:rsid w:val="00B9643D"/>
    <w:rsid w:val="00B96511"/>
    <w:rsid w:val="00B96598"/>
    <w:rsid w:val="00B96FE0"/>
    <w:rsid w:val="00B97580"/>
    <w:rsid w:val="00B97E60"/>
    <w:rsid w:val="00BA0CD1"/>
    <w:rsid w:val="00BA1B34"/>
    <w:rsid w:val="00BA1E8B"/>
    <w:rsid w:val="00BA1F65"/>
    <w:rsid w:val="00BA3A5A"/>
    <w:rsid w:val="00BA3E3E"/>
    <w:rsid w:val="00BA467A"/>
    <w:rsid w:val="00BA4CFE"/>
    <w:rsid w:val="00BA4F08"/>
    <w:rsid w:val="00BA5903"/>
    <w:rsid w:val="00BA66DE"/>
    <w:rsid w:val="00BA6ABE"/>
    <w:rsid w:val="00BA6CE4"/>
    <w:rsid w:val="00BA6D3D"/>
    <w:rsid w:val="00BA6D77"/>
    <w:rsid w:val="00BA75A6"/>
    <w:rsid w:val="00BA7B3A"/>
    <w:rsid w:val="00BA7E04"/>
    <w:rsid w:val="00BB0215"/>
    <w:rsid w:val="00BB031A"/>
    <w:rsid w:val="00BB0B5D"/>
    <w:rsid w:val="00BB0FD7"/>
    <w:rsid w:val="00BB1803"/>
    <w:rsid w:val="00BB2179"/>
    <w:rsid w:val="00BB2C3B"/>
    <w:rsid w:val="00BB3053"/>
    <w:rsid w:val="00BB3C6E"/>
    <w:rsid w:val="00BB47F6"/>
    <w:rsid w:val="00BB4D84"/>
    <w:rsid w:val="00BB5038"/>
    <w:rsid w:val="00BB5945"/>
    <w:rsid w:val="00BB607A"/>
    <w:rsid w:val="00BB60A5"/>
    <w:rsid w:val="00BB62C8"/>
    <w:rsid w:val="00BB635D"/>
    <w:rsid w:val="00BB6B0D"/>
    <w:rsid w:val="00BB7CC7"/>
    <w:rsid w:val="00BB7EEA"/>
    <w:rsid w:val="00BC0313"/>
    <w:rsid w:val="00BC074A"/>
    <w:rsid w:val="00BC0E07"/>
    <w:rsid w:val="00BC146A"/>
    <w:rsid w:val="00BC14DC"/>
    <w:rsid w:val="00BC30FF"/>
    <w:rsid w:val="00BC36A5"/>
    <w:rsid w:val="00BC39C7"/>
    <w:rsid w:val="00BC3B81"/>
    <w:rsid w:val="00BC3C43"/>
    <w:rsid w:val="00BC403D"/>
    <w:rsid w:val="00BC5654"/>
    <w:rsid w:val="00BC6332"/>
    <w:rsid w:val="00BC74C4"/>
    <w:rsid w:val="00BC7DD6"/>
    <w:rsid w:val="00BD133B"/>
    <w:rsid w:val="00BD16A5"/>
    <w:rsid w:val="00BD1B52"/>
    <w:rsid w:val="00BD1DA3"/>
    <w:rsid w:val="00BD24BD"/>
    <w:rsid w:val="00BD2975"/>
    <w:rsid w:val="00BD2DAA"/>
    <w:rsid w:val="00BD309C"/>
    <w:rsid w:val="00BD3367"/>
    <w:rsid w:val="00BD39EB"/>
    <w:rsid w:val="00BD444F"/>
    <w:rsid w:val="00BD5438"/>
    <w:rsid w:val="00BD55FD"/>
    <w:rsid w:val="00BD5CB4"/>
    <w:rsid w:val="00BD6C1C"/>
    <w:rsid w:val="00BE0737"/>
    <w:rsid w:val="00BE07F3"/>
    <w:rsid w:val="00BE1424"/>
    <w:rsid w:val="00BE1455"/>
    <w:rsid w:val="00BE2044"/>
    <w:rsid w:val="00BE2CEE"/>
    <w:rsid w:val="00BE2E4D"/>
    <w:rsid w:val="00BE2FA1"/>
    <w:rsid w:val="00BE3B3E"/>
    <w:rsid w:val="00BE4264"/>
    <w:rsid w:val="00BE58D0"/>
    <w:rsid w:val="00BE63BC"/>
    <w:rsid w:val="00BE6443"/>
    <w:rsid w:val="00BE6871"/>
    <w:rsid w:val="00BE6A4C"/>
    <w:rsid w:val="00BE7527"/>
    <w:rsid w:val="00BE7607"/>
    <w:rsid w:val="00BE763B"/>
    <w:rsid w:val="00BE781A"/>
    <w:rsid w:val="00BE7F18"/>
    <w:rsid w:val="00BF08B7"/>
    <w:rsid w:val="00BF0BF4"/>
    <w:rsid w:val="00BF1B96"/>
    <w:rsid w:val="00BF1C39"/>
    <w:rsid w:val="00BF1D84"/>
    <w:rsid w:val="00BF2431"/>
    <w:rsid w:val="00BF2470"/>
    <w:rsid w:val="00BF310F"/>
    <w:rsid w:val="00BF3D89"/>
    <w:rsid w:val="00BF463B"/>
    <w:rsid w:val="00BF4AF9"/>
    <w:rsid w:val="00BF511B"/>
    <w:rsid w:val="00BF528C"/>
    <w:rsid w:val="00BF5915"/>
    <w:rsid w:val="00BF5E1F"/>
    <w:rsid w:val="00BF6E85"/>
    <w:rsid w:val="00C0030F"/>
    <w:rsid w:val="00C01171"/>
    <w:rsid w:val="00C01A62"/>
    <w:rsid w:val="00C02D6B"/>
    <w:rsid w:val="00C0311E"/>
    <w:rsid w:val="00C034BC"/>
    <w:rsid w:val="00C03840"/>
    <w:rsid w:val="00C0438B"/>
    <w:rsid w:val="00C04466"/>
    <w:rsid w:val="00C0458E"/>
    <w:rsid w:val="00C0477C"/>
    <w:rsid w:val="00C047BC"/>
    <w:rsid w:val="00C050A8"/>
    <w:rsid w:val="00C05A8D"/>
    <w:rsid w:val="00C05DCB"/>
    <w:rsid w:val="00C06445"/>
    <w:rsid w:val="00C0646B"/>
    <w:rsid w:val="00C067FD"/>
    <w:rsid w:val="00C073A1"/>
    <w:rsid w:val="00C0795E"/>
    <w:rsid w:val="00C07B2D"/>
    <w:rsid w:val="00C07C5B"/>
    <w:rsid w:val="00C1020A"/>
    <w:rsid w:val="00C102A0"/>
    <w:rsid w:val="00C10F85"/>
    <w:rsid w:val="00C111A6"/>
    <w:rsid w:val="00C11AA2"/>
    <w:rsid w:val="00C12093"/>
    <w:rsid w:val="00C12717"/>
    <w:rsid w:val="00C13D05"/>
    <w:rsid w:val="00C143D3"/>
    <w:rsid w:val="00C15153"/>
    <w:rsid w:val="00C1574E"/>
    <w:rsid w:val="00C15A7D"/>
    <w:rsid w:val="00C160E4"/>
    <w:rsid w:val="00C163E2"/>
    <w:rsid w:val="00C164A3"/>
    <w:rsid w:val="00C1762F"/>
    <w:rsid w:val="00C1767A"/>
    <w:rsid w:val="00C177CE"/>
    <w:rsid w:val="00C17A60"/>
    <w:rsid w:val="00C17CCA"/>
    <w:rsid w:val="00C209E7"/>
    <w:rsid w:val="00C20AED"/>
    <w:rsid w:val="00C211C1"/>
    <w:rsid w:val="00C21571"/>
    <w:rsid w:val="00C2196E"/>
    <w:rsid w:val="00C21984"/>
    <w:rsid w:val="00C21B94"/>
    <w:rsid w:val="00C21D29"/>
    <w:rsid w:val="00C21E26"/>
    <w:rsid w:val="00C22687"/>
    <w:rsid w:val="00C2329D"/>
    <w:rsid w:val="00C23BB2"/>
    <w:rsid w:val="00C245BC"/>
    <w:rsid w:val="00C24973"/>
    <w:rsid w:val="00C25422"/>
    <w:rsid w:val="00C2735F"/>
    <w:rsid w:val="00C2773B"/>
    <w:rsid w:val="00C27AB6"/>
    <w:rsid w:val="00C3160A"/>
    <w:rsid w:val="00C31A4A"/>
    <w:rsid w:val="00C31B0B"/>
    <w:rsid w:val="00C31F92"/>
    <w:rsid w:val="00C31F99"/>
    <w:rsid w:val="00C32018"/>
    <w:rsid w:val="00C3375F"/>
    <w:rsid w:val="00C33F6A"/>
    <w:rsid w:val="00C34473"/>
    <w:rsid w:val="00C347B9"/>
    <w:rsid w:val="00C34820"/>
    <w:rsid w:val="00C3495D"/>
    <w:rsid w:val="00C356B1"/>
    <w:rsid w:val="00C35B58"/>
    <w:rsid w:val="00C36D3F"/>
    <w:rsid w:val="00C37079"/>
    <w:rsid w:val="00C370C0"/>
    <w:rsid w:val="00C37524"/>
    <w:rsid w:val="00C37A9E"/>
    <w:rsid w:val="00C400D9"/>
    <w:rsid w:val="00C402DA"/>
    <w:rsid w:val="00C4191B"/>
    <w:rsid w:val="00C41DF4"/>
    <w:rsid w:val="00C427D5"/>
    <w:rsid w:val="00C42879"/>
    <w:rsid w:val="00C42BA1"/>
    <w:rsid w:val="00C42C4D"/>
    <w:rsid w:val="00C42C8D"/>
    <w:rsid w:val="00C43406"/>
    <w:rsid w:val="00C43936"/>
    <w:rsid w:val="00C43F03"/>
    <w:rsid w:val="00C43FA9"/>
    <w:rsid w:val="00C4446E"/>
    <w:rsid w:val="00C44819"/>
    <w:rsid w:val="00C44827"/>
    <w:rsid w:val="00C44FBE"/>
    <w:rsid w:val="00C4513E"/>
    <w:rsid w:val="00C4571B"/>
    <w:rsid w:val="00C46595"/>
    <w:rsid w:val="00C469AF"/>
    <w:rsid w:val="00C46D9F"/>
    <w:rsid w:val="00C46EBB"/>
    <w:rsid w:val="00C50F36"/>
    <w:rsid w:val="00C511A7"/>
    <w:rsid w:val="00C51324"/>
    <w:rsid w:val="00C51AF4"/>
    <w:rsid w:val="00C51D85"/>
    <w:rsid w:val="00C521EC"/>
    <w:rsid w:val="00C52DEA"/>
    <w:rsid w:val="00C5311E"/>
    <w:rsid w:val="00C5332B"/>
    <w:rsid w:val="00C53473"/>
    <w:rsid w:val="00C535D8"/>
    <w:rsid w:val="00C5421B"/>
    <w:rsid w:val="00C54AF3"/>
    <w:rsid w:val="00C54DCE"/>
    <w:rsid w:val="00C5507D"/>
    <w:rsid w:val="00C550E4"/>
    <w:rsid w:val="00C55401"/>
    <w:rsid w:val="00C554E0"/>
    <w:rsid w:val="00C55B8A"/>
    <w:rsid w:val="00C55C4A"/>
    <w:rsid w:val="00C56610"/>
    <w:rsid w:val="00C5666E"/>
    <w:rsid w:val="00C572BC"/>
    <w:rsid w:val="00C57533"/>
    <w:rsid w:val="00C57C7A"/>
    <w:rsid w:val="00C57DC6"/>
    <w:rsid w:val="00C57EEA"/>
    <w:rsid w:val="00C60689"/>
    <w:rsid w:val="00C60FF5"/>
    <w:rsid w:val="00C611A7"/>
    <w:rsid w:val="00C613DF"/>
    <w:rsid w:val="00C614A6"/>
    <w:rsid w:val="00C61BF9"/>
    <w:rsid w:val="00C61F31"/>
    <w:rsid w:val="00C621B4"/>
    <w:rsid w:val="00C62273"/>
    <w:rsid w:val="00C62665"/>
    <w:rsid w:val="00C62696"/>
    <w:rsid w:val="00C63873"/>
    <w:rsid w:val="00C63DB1"/>
    <w:rsid w:val="00C63DEB"/>
    <w:rsid w:val="00C63FDA"/>
    <w:rsid w:val="00C641D6"/>
    <w:rsid w:val="00C64A4D"/>
    <w:rsid w:val="00C64D02"/>
    <w:rsid w:val="00C65167"/>
    <w:rsid w:val="00C653B4"/>
    <w:rsid w:val="00C6581C"/>
    <w:rsid w:val="00C659A7"/>
    <w:rsid w:val="00C659B0"/>
    <w:rsid w:val="00C65A46"/>
    <w:rsid w:val="00C65C75"/>
    <w:rsid w:val="00C660E6"/>
    <w:rsid w:val="00C662C8"/>
    <w:rsid w:val="00C67169"/>
    <w:rsid w:val="00C67299"/>
    <w:rsid w:val="00C67635"/>
    <w:rsid w:val="00C6798D"/>
    <w:rsid w:val="00C709C5"/>
    <w:rsid w:val="00C70B1D"/>
    <w:rsid w:val="00C71041"/>
    <w:rsid w:val="00C71128"/>
    <w:rsid w:val="00C7134E"/>
    <w:rsid w:val="00C71C4D"/>
    <w:rsid w:val="00C72298"/>
    <w:rsid w:val="00C72A09"/>
    <w:rsid w:val="00C738D2"/>
    <w:rsid w:val="00C73A58"/>
    <w:rsid w:val="00C7426C"/>
    <w:rsid w:val="00C7485A"/>
    <w:rsid w:val="00C750B7"/>
    <w:rsid w:val="00C75573"/>
    <w:rsid w:val="00C75DEA"/>
    <w:rsid w:val="00C75FF0"/>
    <w:rsid w:val="00C7632E"/>
    <w:rsid w:val="00C76349"/>
    <w:rsid w:val="00C76BD5"/>
    <w:rsid w:val="00C76E4F"/>
    <w:rsid w:val="00C7700A"/>
    <w:rsid w:val="00C77C47"/>
    <w:rsid w:val="00C8014A"/>
    <w:rsid w:val="00C807E0"/>
    <w:rsid w:val="00C80B97"/>
    <w:rsid w:val="00C813F6"/>
    <w:rsid w:val="00C81EC8"/>
    <w:rsid w:val="00C82439"/>
    <w:rsid w:val="00C82662"/>
    <w:rsid w:val="00C83A01"/>
    <w:rsid w:val="00C83CA8"/>
    <w:rsid w:val="00C83E87"/>
    <w:rsid w:val="00C83F67"/>
    <w:rsid w:val="00C84127"/>
    <w:rsid w:val="00C84474"/>
    <w:rsid w:val="00C8491C"/>
    <w:rsid w:val="00C85806"/>
    <w:rsid w:val="00C85995"/>
    <w:rsid w:val="00C85C16"/>
    <w:rsid w:val="00C863E2"/>
    <w:rsid w:val="00C8660B"/>
    <w:rsid w:val="00C86A8F"/>
    <w:rsid w:val="00C86D41"/>
    <w:rsid w:val="00C87532"/>
    <w:rsid w:val="00C87DA6"/>
    <w:rsid w:val="00C903B3"/>
    <w:rsid w:val="00C90533"/>
    <w:rsid w:val="00C90D2F"/>
    <w:rsid w:val="00C90ED0"/>
    <w:rsid w:val="00C90F6A"/>
    <w:rsid w:val="00C91043"/>
    <w:rsid w:val="00C913B2"/>
    <w:rsid w:val="00C91D5F"/>
    <w:rsid w:val="00C92148"/>
    <w:rsid w:val="00C924AF"/>
    <w:rsid w:val="00C93436"/>
    <w:rsid w:val="00C93D5D"/>
    <w:rsid w:val="00C95C9E"/>
    <w:rsid w:val="00C95D9C"/>
    <w:rsid w:val="00C95F1E"/>
    <w:rsid w:val="00C96612"/>
    <w:rsid w:val="00C96A70"/>
    <w:rsid w:val="00C9705B"/>
    <w:rsid w:val="00C9719A"/>
    <w:rsid w:val="00C97C11"/>
    <w:rsid w:val="00C97D87"/>
    <w:rsid w:val="00CA0721"/>
    <w:rsid w:val="00CA12A9"/>
    <w:rsid w:val="00CA2214"/>
    <w:rsid w:val="00CA36A5"/>
    <w:rsid w:val="00CA40E4"/>
    <w:rsid w:val="00CA4101"/>
    <w:rsid w:val="00CA420E"/>
    <w:rsid w:val="00CA4A52"/>
    <w:rsid w:val="00CA51EE"/>
    <w:rsid w:val="00CA5772"/>
    <w:rsid w:val="00CA5A5C"/>
    <w:rsid w:val="00CA5E24"/>
    <w:rsid w:val="00CA6018"/>
    <w:rsid w:val="00CA6C97"/>
    <w:rsid w:val="00CA705A"/>
    <w:rsid w:val="00CA7695"/>
    <w:rsid w:val="00CB043A"/>
    <w:rsid w:val="00CB08A0"/>
    <w:rsid w:val="00CB08DF"/>
    <w:rsid w:val="00CB0EAA"/>
    <w:rsid w:val="00CB0EBD"/>
    <w:rsid w:val="00CB101A"/>
    <w:rsid w:val="00CB110D"/>
    <w:rsid w:val="00CB1581"/>
    <w:rsid w:val="00CB1810"/>
    <w:rsid w:val="00CB199B"/>
    <w:rsid w:val="00CB1A64"/>
    <w:rsid w:val="00CB2EF2"/>
    <w:rsid w:val="00CB2F95"/>
    <w:rsid w:val="00CB3B6C"/>
    <w:rsid w:val="00CB4010"/>
    <w:rsid w:val="00CB47AE"/>
    <w:rsid w:val="00CB4A80"/>
    <w:rsid w:val="00CB560C"/>
    <w:rsid w:val="00CB5A41"/>
    <w:rsid w:val="00CB64FF"/>
    <w:rsid w:val="00CB7466"/>
    <w:rsid w:val="00CB781F"/>
    <w:rsid w:val="00CB7A45"/>
    <w:rsid w:val="00CB7FAC"/>
    <w:rsid w:val="00CB7FC8"/>
    <w:rsid w:val="00CC163E"/>
    <w:rsid w:val="00CC1765"/>
    <w:rsid w:val="00CC1836"/>
    <w:rsid w:val="00CC1B21"/>
    <w:rsid w:val="00CC1C1C"/>
    <w:rsid w:val="00CC1FDE"/>
    <w:rsid w:val="00CC202A"/>
    <w:rsid w:val="00CC219A"/>
    <w:rsid w:val="00CC2923"/>
    <w:rsid w:val="00CC2B39"/>
    <w:rsid w:val="00CC31F6"/>
    <w:rsid w:val="00CC39D9"/>
    <w:rsid w:val="00CC3B8C"/>
    <w:rsid w:val="00CC4E1B"/>
    <w:rsid w:val="00CC5356"/>
    <w:rsid w:val="00CC535E"/>
    <w:rsid w:val="00CC544E"/>
    <w:rsid w:val="00CC56F1"/>
    <w:rsid w:val="00CC5925"/>
    <w:rsid w:val="00CC5C3A"/>
    <w:rsid w:val="00CC6BE9"/>
    <w:rsid w:val="00CC6FE8"/>
    <w:rsid w:val="00CC71DC"/>
    <w:rsid w:val="00CC759C"/>
    <w:rsid w:val="00CC7E79"/>
    <w:rsid w:val="00CD001C"/>
    <w:rsid w:val="00CD0281"/>
    <w:rsid w:val="00CD0AAB"/>
    <w:rsid w:val="00CD1172"/>
    <w:rsid w:val="00CD1203"/>
    <w:rsid w:val="00CD1398"/>
    <w:rsid w:val="00CD14A1"/>
    <w:rsid w:val="00CD17D1"/>
    <w:rsid w:val="00CD1AC0"/>
    <w:rsid w:val="00CD1EC5"/>
    <w:rsid w:val="00CD1F02"/>
    <w:rsid w:val="00CD22E7"/>
    <w:rsid w:val="00CD2A67"/>
    <w:rsid w:val="00CD2D38"/>
    <w:rsid w:val="00CD36FC"/>
    <w:rsid w:val="00CD3C14"/>
    <w:rsid w:val="00CD4088"/>
    <w:rsid w:val="00CD40D3"/>
    <w:rsid w:val="00CD4231"/>
    <w:rsid w:val="00CD493C"/>
    <w:rsid w:val="00CD4FFE"/>
    <w:rsid w:val="00CD5274"/>
    <w:rsid w:val="00CD536B"/>
    <w:rsid w:val="00CD557B"/>
    <w:rsid w:val="00CD5707"/>
    <w:rsid w:val="00CD58E1"/>
    <w:rsid w:val="00CD6635"/>
    <w:rsid w:val="00CD6683"/>
    <w:rsid w:val="00CD6F73"/>
    <w:rsid w:val="00CD79CA"/>
    <w:rsid w:val="00CE00E2"/>
    <w:rsid w:val="00CE0736"/>
    <w:rsid w:val="00CE07C6"/>
    <w:rsid w:val="00CE2273"/>
    <w:rsid w:val="00CE2457"/>
    <w:rsid w:val="00CE25CC"/>
    <w:rsid w:val="00CE2C8C"/>
    <w:rsid w:val="00CE2F2D"/>
    <w:rsid w:val="00CE332C"/>
    <w:rsid w:val="00CE3663"/>
    <w:rsid w:val="00CE3B3C"/>
    <w:rsid w:val="00CE4AE4"/>
    <w:rsid w:val="00CE4E68"/>
    <w:rsid w:val="00CE50E1"/>
    <w:rsid w:val="00CE51A2"/>
    <w:rsid w:val="00CE525C"/>
    <w:rsid w:val="00CE5C67"/>
    <w:rsid w:val="00CE5DC1"/>
    <w:rsid w:val="00CE63BE"/>
    <w:rsid w:val="00CE6827"/>
    <w:rsid w:val="00CE6F5D"/>
    <w:rsid w:val="00CE710A"/>
    <w:rsid w:val="00CE781A"/>
    <w:rsid w:val="00CE7E2F"/>
    <w:rsid w:val="00CF0093"/>
    <w:rsid w:val="00CF02A6"/>
    <w:rsid w:val="00CF171E"/>
    <w:rsid w:val="00CF18CD"/>
    <w:rsid w:val="00CF1FB9"/>
    <w:rsid w:val="00CF1FEB"/>
    <w:rsid w:val="00CF318F"/>
    <w:rsid w:val="00CF37B1"/>
    <w:rsid w:val="00CF3BB0"/>
    <w:rsid w:val="00CF4537"/>
    <w:rsid w:val="00CF4ACB"/>
    <w:rsid w:val="00CF4E5D"/>
    <w:rsid w:val="00CF4E6A"/>
    <w:rsid w:val="00CF6244"/>
    <w:rsid w:val="00CF641F"/>
    <w:rsid w:val="00CF68C5"/>
    <w:rsid w:val="00CF6D0E"/>
    <w:rsid w:val="00CF6E64"/>
    <w:rsid w:val="00CF7CCE"/>
    <w:rsid w:val="00CF7D60"/>
    <w:rsid w:val="00D00746"/>
    <w:rsid w:val="00D00994"/>
    <w:rsid w:val="00D00A56"/>
    <w:rsid w:val="00D00B3A"/>
    <w:rsid w:val="00D00D90"/>
    <w:rsid w:val="00D0101D"/>
    <w:rsid w:val="00D01121"/>
    <w:rsid w:val="00D01921"/>
    <w:rsid w:val="00D01B2D"/>
    <w:rsid w:val="00D0206D"/>
    <w:rsid w:val="00D0209D"/>
    <w:rsid w:val="00D02F2D"/>
    <w:rsid w:val="00D0325D"/>
    <w:rsid w:val="00D03B1F"/>
    <w:rsid w:val="00D03C9D"/>
    <w:rsid w:val="00D03CE8"/>
    <w:rsid w:val="00D041A2"/>
    <w:rsid w:val="00D0453F"/>
    <w:rsid w:val="00D04965"/>
    <w:rsid w:val="00D04C47"/>
    <w:rsid w:val="00D0550D"/>
    <w:rsid w:val="00D055C5"/>
    <w:rsid w:val="00D05CA1"/>
    <w:rsid w:val="00D05DAE"/>
    <w:rsid w:val="00D05F76"/>
    <w:rsid w:val="00D0655B"/>
    <w:rsid w:val="00D07B0D"/>
    <w:rsid w:val="00D07F4C"/>
    <w:rsid w:val="00D1006E"/>
    <w:rsid w:val="00D10CE6"/>
    <w:rsid w:val="00D11210"/>
    <w:rsid w:val="00D11345"/>
    <w:rsid w:val="00D11B92"/>
    <w:rsid w:val="00D1240B"/>
    <w:rsid w:val="00D1367C"/>
    <w:rsid w:val="00D13D25"/>
    <w:rsid w:val="00D1435E"/>
    <w:rsid w:val="00D14606"/>
    <w:rsid w:val="00D15414"/>
    <w:rsid w:val="00D154D9"/>
    <w:rsid w:val="00D1578F"/>
    <w:rsid w:val="00D161FA"/>
    <w:rsid w:val="00D169A3"/>
    <w:rsid w:val="00D169DF"/>
    <w:rsid w:val="00D17584"/>
    <w:rsid w:val="00D2056D"/>
    <w:rsid w:val="00D20E91"/>
    <w:rsid w:val="00D20EA3"/>
    <w:rsid w:val="00D20F4E"/>
    <w:rsid w:val="00D21A0B"/>
    <w:rsid w:val="00D2239C"/>
    <w:rsid w:val="00D231F6"/>
    <w:rsid w:val="00D23382"/>
    <w:rsid w:val="00D23641"/>
    <w:rsid w:val="00D23791"/>
    <w:rsid w:val="00D23CD0"/>
    <w:rsid w:val="00D23EB8"/>
    <w:rsid w:val="00D2406C"/>
    <w:rsid w:val="00D24602"/>
    <w:rsid w:val="00D24CDE"/>
    <w:rsid w:val="00D25D6F"/>
    <w:rsid w:val="00D25EBD"/>
    <w:rsid w:val="00D26581"/>
    <w:rsid w:val="00D26B67"/>
    <w:rsid w:val="00D27776"/>
    <w:rsid w:val="00D27DE6"/>
    <w:rsid w:val="00D30199"/>
    <w:rsid w:val="00D30623"/>
    <w:rsid w:val="00D309CF"/>
    <w:rsid w:val="00D30C67"/>
    <w:rsid w:val="00D3133D"/>
    <w:rsid w:val="00D316F7"/>
    <w:rsid w:val="00D3194D"/>
    <w:rsid w:val="00D321DF"/>
    <w:rsid w:val="00D32933"/>
    <w:rsid w:val="00D32B0D"/>
    <w:rsid w:val="00D32DE1"/>
    <w:rsid w:val="00D33178"/>
    <w:rsid w:val="00D33B6C"/>
    <w:rsid w:val="00D33E2A"/>
    <w:rsid w:val="00D33E5D"/>
    <w:rsid w:val="00D34205"/>
    <w:rsid w:val="00D34358"/>
    <w:rsid w:val="00D3504A"/>
    <w:rsid w:val="00D352B8"/>
    <w:rsid w:val="00D35CC2"/>
    <w:rsid w:val="00D3601C"/>
    <w:rsid w:val="00D3651E"/>
    <w:rsid w:val="00D36815"/>
    <w:rsid w:val="00D36B4A"/>
    <w:rsid w:val="00D3725F"/>
    <w:rsid w:val="00D37A7D"/>
    <w:rsid w:val="00D406D0"/>
    <w:rsid w:val="00D40F53"/>
    <w:rsid w:val="00D41425"/>
    <w:rsid w:val="00D41FA2"/>
    <w:rsid w:val="00D426F2"/>
    <w:rsid w:val="00D42EFC"/>
    <w:rsid w:val="00D4313B"/>
    <w:rsid w:val="00D43314"/>
    <w:rsid w:val="00D43746"/>
    <w:rsid w:val="00D4469B"/>
    <w:rsid w:val="00D4470B"/>
    <w:rsid w:val="00D449CF"/>
    <w:rsid w:val="00D450EB"/>
    <w:rsid w:val="00D45204"/>
    <w:rsid w:val="00D45748"/>
    <w:rsid w:val="00D45E0C"/>
    <w:rsid w:val="00D45F51"/>
    <w:rsid w:val="00D46DF5"/>
    <w:rsid w:val="00D46F31"/>
    <w:rsid w:val="00D47C4F"/>
    <w:rsid w:val="00D50685"/>
    <w:rsid w:val="00D506D2"/>
    <w:rsid w:val="00D5088F"/>
    <w:rsid w:val="00D508F5"/>
    <w:rsid w:val="00D50B9E"/>
    <w:rsid w:val="00D50D57"/>
    <w:rsid w:val="00D51159"/>
    <w:rsid w:val="00D513A5"/>
    <w:rsid w:val="00D513E5"/>
    <w:rsid w:val="00D5141C"/>
    <w:rsid w:val="00D516A9"/>
    <w:rsid w:val="00D51781"/>
    <w:rsid w:val="00D51A97"/>
    <w:rsid w:val="00D51B4E"/>
    <w:rsid w:val="00D51D35"/>
    <w:rsid w:val="00D51D88"/>
    <w:rsid w:val="00D5287C"/>
    <w:rsid w:val="00D52BC9"/>
    <w:rsid w:val="00D5356E"/>
    <w:rsid w:val="00D536D0"/>
    <w:rsid w:val="00D537D2"/>
    <w:rsid w:val="00D5401E"/>
    <w:rsid w:val="00D54027"/>
    <w:rsid w:val="00D54A6D"/>
    <w:rsid w:val="00D54C5F"/>
    <w:rsid w:val="00D552D6"/>
    <w:rsid w:val="00D55690"/>
    <w:rsid w:val="00D558DD"/>
    <w:rsid w:val="00D55A61"/>
    <w:rsid w:val="00D55E92"/>
    <w:rsid w:val="00D56D18"/>
    <w:rsid w:val="00D570A6"/>
    <w:rsid w:val="00D57534"/>
    <w:rsid w:val="00D57A78"/>
    <w:rsid w:val="00D600E5"/>
    <w:rsid w:val="00D60121"/>
    <w:rsid w:val="00D604FB"/>
    <w:rsid w:val="00D605AD"/>
    <w:rsid w:val="00D60C84"/>
    <w:rsid w:val="00D61903"/>
    <w:rsid w:val="00D62041"/>
    <w:rsid w:val="00D620EA"/>
    <w:rsid w:val="00D625E8"/>
    <w:rsid w:val="00D629F6"/>
    <w:rsid w:val="00D62C60"/>
    <w:rsid w:val="00D635C6"/>
    <w:rsid w:val="00D63C35"/>
    <w:rsid w:val="00D64E07"/>
    <w:rsid w:val="00D65529"/>
    <w:rsid w:val="00D659B2"/>
    <w:rsid w:val="00D65C19"/>
    <w:rsid w:val="00D65EE4"/>
    <w:rsid w:val="00D65F4F"/>
    <w:rsid w:val="00D65FC8"/>
    <w:rsid w:val="00D67522"/>
    <w:rsid w:val="00D6754C"/>
    <w:rsid w:val="00D675E3"/>
    <w:rsid w:val="00D67737"/>
    <w:rsid w:val="00D67BA0"/>
    <w:rsid w:val="00D67FAE"/>
    <w:rsid w:val="00D67FB8"/>
    <w:rsid w:val="00D7040C"/>
    <w:rsid w:val="00D70A0B"/>
    <w:rsid w:val="00D70CA7"/>
    <w:rsid w:val="00D70E7D"/>
    <w:rsid w:val="00D715C0"/>
    <w:rsid w:val="00D7172A"/>
    <w:rsid w:val="00D71C0A"/>
    <w:rsid w:val="00D71CD7"/>
    <w:rsid w:val="00D71F50"/>
    <w:rsid w:val="00D72221"/>
    <w:rsid w:val="00D728AD"/>
    <w:rsid w:val="00D729DF"/>
    <w:rsid w:val="00D72A57"/>
    <w:rsid w:val="00D72F46"/>
    <w:rsid w:val="00D73405"/>
    <w:rsid w:val="00D73E74"/>
    <w:rsid w:val="00D74AE4"/>
    <w:rsid w:val="00D75354"/>
    <w:rsid w:val="00D75C6A"/>
    <w:rsid w:val="00D75E66"/>
    <w:rsid w:val="00D763A3"/>
    <w:rsid w:val="00D76506"/>
    <w:rsid w:val="00D76525"/>
    <w:rsid w:val="00D77AA2"/>
    <w:rsid w:val="00D77CEF"/>
    <w:rsid w:val="00D80395"/>
    <w:rsid w:val="00D8074D"/>
    <w:rsid w:val="00D80873"/>
    <w:rsid w:val="00D8096D"/>
    <w:rsid w:val="00D81A6F"/>
    <w:rsid w:val="00D81AF9"/>
    <w:rsid w:val="00D81C89"/>
    <w:rsid w:val="00D8235A"/>
    <w:rsid w:val="00D8256C"/>
    <w:rsid w:val="00D82B47"/>
    <w:rsid w:val="00D83361"/>
    <w:rsid w:val="00D83367"/>
    <w:rsid w:val="00D83396"/>
    <w:rsid w:val="00D8383C"/>
    <w:rsid w:val="00D83857"/>
    <w:rsid w:val="00D848A1"/>
    <w:rsid w:val="00D84D22"/>
    <w:rsid w:val="00D85C2E"/>
    <w:rsid w:val="00D86737"/>
    <w:rsid w:val="00D868E2"/>
    <w:rsid w:val="00D86D92"/>
    <w:rsid w:val="00D86DBF"/>
    <w:rsid w:val="00D8715D"/>
    <w:rsid w:val="00D87258"/>
    <w:rsid w:val="00D87874"/>
    <w:rsid w:val="00D9019D"/>
    <w:rsid w:val="00D902A3"/>
    <w:rsid w:val="00D90BF9"/>
    <w:rsid w:val="00D9183A"/>
    <w:rsid w:val="00D91C1F"/>
    <w:rsid w:val="00D921B1"/>
    <w:rsid w:val="00D92CB8"/>
    <w:rsid w:val="00D93480"/>
    <w:rsid w:val="00D9366C"/>
    <w:rsid w:val="00D94086"/>
    <w:rsid w:val="00D944E3"/>
    <w:rsid w:val="00D94CBF"/>
    <w:rsid w:val="00D953E5"/>
    <w:rsid w:val="00D956A0"/>
    <w:rsid w:val="00D95787"/>
    <w:rsid w:val="00D95F8D"/>
    <w:rsid w:val="00D9683C"/>
    <w:rsid w:val="00D97420"/>
    <w:rsid w:val="00D976A2"/>
    <w:rsid w:val="00D97A54"/>
    <w:rsid w:val="00D97B82"/>
    <w:rsid w:val="00D97BDC"/>
    <w:rsid w:val="00D97E72"/>
    <w:rsid w:val="00DA0712"/>
    <w:rsid w:val="00DA0C6E"/>
    <w:rsid w:val="00DA1399"/>
    <w:rsid w:val="00DA1B9E"/>
    <w:rsid w:val="00DA29F7"/>
    <w:rsid w:val="00DA29F9"/>
    <w:rsid w:val="00DA2E2F"/>
    <w:rsid w:val="00DA34C3"/>
    <w:rsid w:val="00DA47EC"/>
    <w:rsid w:val="00DA601D"/>
    <w:rsid w:val="00DA60B2"/>
    <w:rsid w:val="00DA6AD4"/>
    <w:rsid w:val="00DA7129"/>
    <w:rsid w:val="00DA73DC"/>
    <w:rsid w:val="00DB01D0"/>
    <w:rsid w:val="00DB04B0"/>
    <w:rsid w:val="00DB05B9"/>
    <w:rsid w:val="00DB0631"/>
    <w:rsid w:val="00DB09A9"/>
    <w:rsid w:val="00DB0A84"/>
    <w:rsid w:val="00DB13FF"/>
    <w:rsid w:val="00DB1C19"/>
    <w:rsid w:val="00DB1DC6"/>
    <w:rsid w:val="00DB20C5"/>
    <w:rsid w:val="00DB2D3E"/>
    <w:rsid w:val="00DB2E45"/>
    <w:rsid w:val="00DB412A"/>
    <w:rsid w:val="00DB4452"/>
    <w:rsid w:val="00DB490D"/>
    <w:rsid w:val="00DB5090"/>
    <w:rsid w:val="00DB50D0"/>
    <w:rsid w:val="00DB5747"/>
    <w:rsid w:val="00DB5784"/>
    <w:rsid w:val="00DB73AD"/>
    <w:rsid w:val="00DB746B"/>
    <w:rsid w:val="00DC0184"/>
    <w:rsid w:val="00DC0F55"/>
    <w:rsid w:val="00DC1C02"/>
    <w:rsid w:val="00DC25EC"/>
    <w:rsid w:val="00DC274A"/>
    <w:rsid w:val="00DC301B"/>
    <w:rsid w:val="00DC40A9"/>
    <w:rsid w:val="00DC4405"/>
    <w:rsid w:val="00DC4CC0"/>
    <w:rsid w:val="00DC4D0A"/>
    <w:rsid w:val="00DC5208"/>
    <w:rsid w:val="00DC538A"/>
    <w:rsid w:val="00DC53BE"/>
    <w:rsid w:val="00DC53C9"/>
    <w:rsid w:val="00DC5ABA"/>
    <w:rsid w:val="00DC647E"/>
    <w:rsid w:val="00DC6FE2"/>
    <w:rsid w:val="00DC70F8"/>
    <w:rsid w:val="00DD0488"/>
    <w:rsid w:val="00DD12DC"/>
    <w:rsid w:val="00DD181F"/>
    <w:rsid w:val="00DD1CFC"/>
    <w:rsid w:val="00DD1D4E"/>
    <w:rsid w:val="00DD300B"/>
    <w:rsid w:val="00DD311B"/>
    <w:rsid w:val="00DD386A"/>
    <w:rsid w:val="00DD3B52"/>
    <w:rsid w:val="00DD3F5D"/>
    <w:rsid w:val="00DD43AF"/>
    <w:rsid w:val="00DD4737"/>
    <w:rsid w:val="00DD48BD"/>
    <w:rsid w:val="00DD4C73"/>
    <w:rsid w:val="00DD51BC"/>
    <w:rsid w:val="00DD59A7"/>
    <w:rsid w:val="00DD5A77"/>
    <w:rsid w:val="00DD5CBD"/>
    <w:rsid w:val="00DD63C7"/>
    <w:rsid w:val="00DD6D87"/>
    <w:rsid w:val="00DD6E4F"/>
    <w:rsid w:val="00DD7A80"/>
    <w:rsid w:val="00DE027D"/>
    <w:rsid w:val="00DE0577"/>
    <w:rsid w:val="00DE06C2"/>
    <w:rsid w:val="00DE0A5C"/>
    <w:rsid w:val="00DE13BC"/>
    <w:rsid w:val="00DE13DE"/>
    <w:rsid w:val="00DE170F"/>
    <w:rsid w:val="00DE2026"/>
    <w:rsid w:val="00DE24F0"/>
    <w:rsid w:val="00DE298F"/>
    <w:rsid w:val="00DE2F55"/>
    <w:rsid w:val="00DE348D"/>
    <w:rsid w:val="00DE3525"/>
    <w:rsid w:val="00DE3B6C"/>
    <w:rsid w:val="00DE4A35"/>
    <w:rsid w:val="00DE4E79"/>
    <w:rsid w:val="00DE52D3"/>
    <w:rsid w:val="00DE573E"/>
    <w:rsid w:val="00DE68CD"/>
    <w:rsid w:val="00DE6B24"/>
    <w:rsid w:val="00DE6CC2"/>
    <w:rsid w:val="00DE7254"/>
    <w:rsid w:val="00DE7640"/>
    <w:rsid w:val="00DE7E99"/>
    <w:rsid w:val="00DE99F1"/>
    <w:rsid w:val="00DF00E0"/>
    <w:rsid w:val="00DF0254"/>
    <w:rsid w:val="00DF02EC"/>
    <w:rsid w:val="00DF09FA"/>
    <w:rsid w:val="00DF3037"/>
    <w:rsid w:val="00DF3B9E"/>
    <w:rsid w:val="00DF3D2D"/>
    <w:rsid w:val="00DF4595"/>
    <w:rsid w:val="00DF46E5"/>
    <w:rsid w:val="00DF58A1"/>
    <w:rsid w:val="00DF5C77"/>
    <w:rsid w:val="00DF5D93"/>
    <w:rsid w:val="00DF66A8"/>
    <w:rsid w:val="00DF6760"/>
    <w:rsid w:val="00DF6874"/>
    <w:rsid w:val="00DF729B"/>
    <w:rsid w:val="00DF764D"/>
    <w:rsid w:val="00DF7657"/>
    <w:rsid w:val="00DF770C"/>
    <w:rsid w:val="00E002D4"/>
    <w:rsid w:val="00E0076E"/>
    <w:rsid w:val="00E00840"/>
    <w:rsid w:val="00E00F70"/>
    <w:rsid w:val="00E00FBA"/>
    <w:rsid w:val="00E01507"/>
    <w:rsid w:val="00E01A1F"/>
    <w:rsid w:val="00E01B97"/>
    <w:rsid w:val="00E01E77"/>
    <w:rsid w:val="00E01ECF"/>
    <w:rsid w:val="00E021FE"/>
    <w:rsid w:val="00E0244A"/>
    <w:rsid w:val="00E024E5"/>
    <w:rsid w:val="00E025FC"/>
    <w:rsid w:val="00E031AA"/>
    <w:rsid w:val="00E04316"/>
    <w:rsid w:val="00E0696B"/>
    <w:rsid w:val="00E06AD7"/>
    <w:rsid w:val="00E06CC5"/>
    <w:rsid w:val="00E0782C"/>
    <w:rsid w:val="00E07F16"/>
    <w:rsid w:val="00E10A01"/>
    <w:rsid w:val="00E10A12"/>
    <w:rsid w:val="00E10AE7"/>
    <w:rsid w:val="00E10D2F"/>
    <w:rsid w:val="00E11533"/>
    <w:rsid w:val="00E11D49"/>
    <w:rsid w:val="00E11E77"/>
    <w:rsid w:val="00E123AB"/>
    <w:rsid w:val="00E12450"/>
    <w:rsid w:val="00E12B96"/>
    <w:rsid w:val="00E12E0D"/>
    <w:rsid w:val="00E1342B"/>
    <w:rsid w:val="00E138F4"/>
    <w:rsid w:val="00E13F08"/>
    <w:rsid w:val="00E141C2"/>
    <w:rsid w:val="00E146EA"/>
    <w:rsid w:val="00E1484F"/>
    <w:rsid w:val="00E15DC0"/>
    <w:rsid w:val="00E15F0D"/>
    <w:rsid w:val="00E16256"/>
    <w:rsid w:val="00E1680C"/>
    <w:rsid w:val="00E16933"/>
    <w:rsid w:val="00E16A79"/>
    <w:rsid w:val="00E16B0B"/>
    <w:rsid w:val="00E16F9E"/>
    <w:rsid w:val="00E170A8"/>
    <w:rsid w:val="00E1742A"/>
    <w:rsid w:val="00E1790B"/>
    <w:rsid w:val="00E17D2A"/>
    <w:rsid w:val="00E20589"/>
    <w:rsid w:val="00E20A5B"/>
    <w:rsid w:val="00E20A62"/>
    <w:rsid w:val="00E215B3"/>
    <w:rsid w:val="00E218AC"/>
    <w:rsid w:val="00E22DF1"/>
    <w:rsid w:val="00E22DF5"/>
    <w:rsid w:val="00E22F91"/>
    <w:rsid w:val="00E234BA"/>
    <w:rsid w:val="00E241D8"/>
    <w:rsid w:val="00E2451D"/>
    <w:rsid w:val="00E24B16"/>
    <w:rsid w:val="00E24E4D"/>
    <w:rsid w:val="00E24E6E"/>
    <w:rsid w:val="00E25BAB"/>
    <w:rsid w:val="00E25E8D"/>
    <w:rsid w:val="00E264B6"/>
    <w:rsid w:val="00E26D9C"/>
    <w:rsid w:val="00E26E3C"/>
    <w:rsid w:val="00E276A8"/>
    <w:rsid w:val="00E2783D"/>
    <w:rsid w:val="00E27E43"/>
    <w:rsid w:val="00E30932"/>
    <w:rsid w:val="00E31251"/>
    <w:rsid w:val="00E3176B"/>
    <w:rsid w:val="00E323D9"/>
    <w:rsid w:val="00E32E95"/>
    <w:rsid w:val="00E33340"/>
    <w:rsid w:val="00E33A12"/>
    <w:rsid w:val="00E33ED3"/>
    <w:rsid w:val="00E34004"/>
    <w:rsid w:val="00E34350"/>
    <w:rsid w:val="00E34414"/>
    <w:rsid w:val="00E3459B"/>
    <w:rsid w:val="00E346E3"/>
    <w:rsid w:val="00E35E7A"/>
    <w:rsid w:val="00E36190"/>
    <w:rsid w:val="00E36593"/>
    <w:rsid w:val="00E400D7"/>
    <w:rsid w:val="00E402DB"/>
    <w:rsid w:val="00E407CF"/>
    <w:rsid w:val="00E428B6"/>
    <w:rsid w:val="00E42EF6"/>
    <w:rsid w:val="00E431D0"/>
    <w:rsid w:val="00E43D5B"/>
    <w:rsid w:val="00E443D7"/>
    <w:rsid w:val="00E4473B"/>
    <w:rsid w:val="00E447AA"/>
    <w:rsid w:val="00E449D3"/>
    <w:rsid w:val="00E44F30"/>
    <w:rsid w:val="00E45938"/>
    <w:rsid w:val="00E45BE0"/>
    <w:rsid w:val="00E45CE3"/>
    <w:rsid w:val="00E46002"/>
    <w:rsid w:val="00E47441"/>
    <w:rsid w:val="00E478E4"/>
    <w:rsid w:val="00E47FCD"/>
    <w:rsid w:val="00E500AC"/>
    <w:rsid w:val="00E51118"/>
    <w:rsid w:val="00E51EC3"/>
    <w:rsid w:val="00E51F0E"/>
    <w:rsid w:val="00E5215F"/>
    <w:rsid w:val="00E526AD"/>
    <w:rsid w:val="00E527DA"/>
    <w:rsid w:val="00E52EF1"/>
    <w:rsid w:val="00E53826"/>
    <w:rsid w:val="00E5399D"/>
    <w:rsid w:val="00E547A1"/>
    <w:rsid w:val="00E54DFF"/>
    <w:rsid w:val="00E5502D"/>
    <w:rsid w:val="00E553D5"/>
    <w:rsid w:val="00E56256"/>
    <w:rsid w:val="00E56474"/>
    <w:rsid w:val="00E56C28"/>
    <w:rsid w:val="00E5700C"/>
    <w:rsid w:val="00E5729D"/>
    <w:rsid w:val="00E57329"/>
    <w:rsid w:val="00E57F7C"/>
    <w:rsid w:val="00E57F86"/>
    <w:rsid w:val="00E600D3"/>
    <w:rsid w:val="00E60336"/>
    <w:rsid w:val="00E60462"/>
    <w:rsid w:val="00E607CF"/>
    <w:rsid w:val="00E60ADD"/>
    <w:rsid w:val="00E60B50"/>
    <w:rsid w:val="00E60B9B"/>
    <w:rsid w:val="00E60F61"/>
    <w:rsid w:val="00E619BC"/>
    <w:rsid w:val="00E61E5C"/>
    <w:rsid w:val="00E622D9"/>
    <w:rsid w:val="00E62808"/>
    <w:rsid w:val="00E6297A"/>
    <w:rsid w:val="00E629B6"/>
    <w:rsid w:val="00E647D8"/>
    <w:rsid w:val="00E64899"/>
    <w:rsid w:val="00E64D38"/>
    <w:rsid w:val="00E652E9"/>
    <w:rsid w:val="00E655B5"/>
    <w:rsid w:val="00E659B4"/>
    <w:rsid w:val="00E662FB"/>
    <w:rsid w:val="00E6645E"/>
    <w:rsid w:val="00E666B3"/>
    <w:rsid w:val="00E666E1"/>
    <w:rsid w:val="00E66FC7"/>
    <w:rsid w:val="00E67781"/>
    <w:rsid w:val="00E70F22"/>
    <w:rsid w:val="00E7251F"/>
    <w:rsid w:val="00E729B7"/>
    <w:rsid w:val="00E72A05"/>
    <w:rsid w:val="00E73444"/>
    <w:rsid w:val="00E73756"/>
    <w:rsid w:val="00E73A75"/>
    <w:rsid w:val="00E745F9"/>
    <w:rsid w:val="00E74968"/>
    <w:rsid w:val="00E74A47"/>
    <w:rsid w:val="00E74CA6"/>
    <w:rsid w:val="00E7503F"/>
    <w:rsid w:val="00E75197"/>
    <w:rsid w:val="00E75B6C"/>
    <w:rsid w:val="00E76013"/>
    <w:rsid w:val="00E76580"/>
    <w:rsid w:val="00E767FA"/>
    <w:rsid w:val="00E769A9"/>
    <w:rsid w:val="00E76DB4"/>
    <w:rsid w:val="00E76DE7"/>
    <w:rsid w:val="00E77E1A"/>
    <w:rsid w:val="00E7FCC0"/>
    <w:rsid w:val="00E80D8D"/>
    <w:rsid w:val="00E80F36"/>
    <w:rsid w:val="00E81663"/>
    <w:rsid w:val="00E81F92"/>
    <w:rsid w:val="00E81FEF"/>
    <w:rsid w:val="00E8214A"/>
    <w:rsid w:val="00E8229A"/>
    <w:rsid w:val="00E828F1"/>
    <w:rsid w:val="00E82A3E"/>
    <w:rsid w:val="00E8318A"/>
    <w:rsid w:val="00E83489"/>
    <w:rsid w:val="00E83C94"/>
    <w:rsid w:val="00E84013"/>
    <w:rsid w:val="00E84424"/>
    <w:rsid w:val="00E844BF"/>
    <w:rsid w:val="00E84512"/>
    <w:rsid w:val="00E8466B"/>
    <w:rsid w:val="00E85209"/>
    <w:rsid w:val="00E86560"/>
    <w:rsid w:val="00E865AD"/>
    <w:rsid w:val="00E868A6"/>
    <w:rsid w:val="00E87023"/>
    <w:rsid w:val="00E87072"/>
    <w:rsid w:val="00E878AC"/>
    <w:rsid w:val="00E908BF"/>
    <w:rsid w:val="00E909F8"/>
    <w:rsid w:val="00E91262"/>
    <w:rsid w:val="00E91336"/>
    <w:rsid w:val="00E91877"/>
    <w:rsid w:val="00E91BE4"/>
    <w:rsid w:val="00E91C3A"/>
    <w:rsid w:val="00E91FF8"/>
    <w:rsid w:val="00E92175"/>
    <w:rsid w:val="00E924FA"/>
    <w:rsid w:val="00E92DCF"/>
    <w:rsid w:val="00E92E5A"/>
    <w:rsid w:val="00E94267"/>
    <w:rsid w:val="00E9497F"/>
    <w:rsid w:val="00E957C5"/>
    <w:rsid w:val="00E968C0"/>
    <w:rsid w:val="00E977B2"/>
    <w:rsid w:val="00E97801"/>
    <w:rsid w:val="00E97B78"/>
    <w:rsid w:val="00E9F4FE"/>
    <w:rsid w:val="00EA0E61"/>
    <w:rsid w:val="00EA0F74"/>
    <w:rsid w:val="00EA11D8"/>
    <w:rsid w:val="00EA18D2"/>
    <w:rsid w:val="00EA271C"/>
    <w:rsid w:val="00EA287F"/>
    <w:rsid w:val="00EA28F5"/>
    <w:rsid w:val="00EA3103"/>
    <w:rsid w:val="00EA4742"/>
    <w:rsid w:val="00EA48F8"/>
    <w:rsid w:val="00EA5A65"/>
    <w:rsid w:val="00EA637F"/>
    <w:rsid w:val="00EA6824"/>
    <w:rsid w:val="00EA6A42"/>
    <w:rsid w:val="00EA7D91"/>
    <w:rsid w:val="00EB03EF"/>
    <w:rsid w:val="00EB049C"/>
    <w:rsid w:val="00EB0B29"/>
    <w:rsid w:val="00EB0F53"/>
    <w:rsid w:val="00EB1A71"/>
    <w:rsid w:val="00EB1EEF"/>
    <w:rsid w:val="00EB1F4E"/>
    <w:rsid w:val="00EB2250"/>
    <w:rsid w:val="00EB289D"/>
    <w:rsid w:val="00EB2F49"/>
    <w:rsid w:val="00EB2FC1"/>
    <w:rsid w:val="00EB2FF3"/>
    <w:rsid w:val="00EB3362"/>
    <w:rsid w:val="00EB3F2A"/>
    <w:rsid w:val="00EB3F86"/>
    <w:rsid w:val="00EB48C9"/>
    <w:rsid w:val="00EB4A89"/>
    <w:rsid w:val="00EB544F"/>
    <w:rsid w:val="00EB5F94"/>
    <w:rsid w:val="00EB6DCC"/>
    <w:rsid w:val="00EB713E"/>
    <w:rsid w:val="00EB7928"/>
    <w:rsid w:val="00EBDD4E"/>
    <w:rsid w:val="00EC04FD"/>
    <w:rsid w:val="00EC0E8B"/>
    <w:rsid w:val="00EC1039"/>
    <w:rsid w:val="00EC117F"/>
    <w:rsid w:val="00EC1261"/>
    <w:rsid w:val="00EC15C1"/>
    <w:rsid w:val="00EC15EE"/>
    <w:rsid w:val="00EC177E"/>
    <w:rsid w:val="00EC2734"/>
    <w:rsid w:val="00EC30DB"/>
    <w:rsid w:val="00EC3187"/>
    <w:rsid w:val="00EC51D7"/>
    <w:rsid w:val="00EC5B73"/>
    <w:rsid w:val="00EC6027"/>
    <w:rsid w:val="00EC63C3"/>
    <w:rsid w:val="00EC65C9"/>
    <w:rsid w:val="00EC7C02"/>
    <w:rsid w:val="00EC7C5B"/>
    <w:rsid w:val="00ED03CF"/>
    <w:rsid w:val="00ED098B"/>
    <w:rsid w:val="00ED09FA"/>
    <w:rsid w:val="00ED0B92"/>
    <w:rsid w:val="00ED0E92"/>
    <w:rsid w:val="00ED12E8"/>
    <w:rsid w:val="00ED1C4F"/>
    <w:rsid w:val="00ED2A33"/>
    <w:rsid w:val="00ED2A5B"/>
    <w:rsid w:val="00ED2C11"/>
    <w:rsid w:val="00ED2E98"/>
    <w:rsid w:val="00ED332F"/>
    <w:rsid w:val="00ED3333"/>
    <w:rsid w:val="00ED38DD"/>
    <w:rsid w:val="00ED49E7"/>
    <w:rsid w:val="00ED4A2C"/>
    <w:rsid w:val="00ED5561"/>
    <w:rsid w:val="00ED562F"/>
    <w:rsid w:val="00ED5FD6"/>
    <w:rsid w:val="00ED6B52"/>
    <w:rsid w:val="00ED788A"/>
    <w:rsid w:val="00ED79A4"/>
    <w:rsid w:val="00ED7CD0"/>
    <w:rsid w:val="00EE096F"/>
    <w:rsid w:val="00EE0A8A"/>
    <w:rsid w:val="00EE0AB3"/>
    <w:rsid w:val="00EE0F77"/>
    <w:rsid w:val="00EE198F"/>
    <w:rsid w:val="00EE1C8F"/>
    <w:rsid w:val="00EE1E74"/>
    <w:rsid w:val="00EE2072"/>
    <w:rsid w:val="00EE24A2"/>
    <w:rsid w:val="00EE2556"/>
    <w:rsid w:val="00EE2D1A"/>
    <w:rsid w:val="00EE33EE"/>
    <w:rsid w:val="00EE344B"/>
    <w:rsid w:val="00EE383F"/>
    <w:rsid w:val="00EE3924"/>
    <w:rsid w:val="00EE393F"/>
    <w:rsid w:val="00EE4696"/>
    <w:rsid w:val="00EE47E1"/>
    <w:rsid w:val="00EE4A0C"/>
    <w:rsid w:val="00EE4AF2"/>
    <w:rsid w:val="00EE4F11"/>
    <w:rsid w:val="00EE5007"/>
    <w:rsid w:val="00EE5781"/>
    <w:rsid w:val="00EE6B8A"/>
    <w:rsid w:val="00EE6EBE"/>
    <w:rsid w:val="00EE793F"/>
    <w:rsid w:val="00EE7957"/>
    <w:rsid w:val="00EE7AC5"/>
    <w:rsid w:val="00EF008B"/>
    <w:rsid w:val="00EF10FA"/>
    <w:rsid w:val="00EF1463"/>
    <w:rsid w:val="00EF2113"/>
    <w:rsid w:val="00EF2759"/>
    <w:rsid w:val="00EF2D5D"/>
    <w:rsid w:val="00EF30B0"/>
    <w:rsid w:val="00EF3578"/>
    <w:rsid w:val="00EF35A6"/>
    <w:rsid w:val="00EF3D8E"/>
    <w:rsid w:val="00EF431F"/>
    <w:rsid w:val="00EF4EDD"/>
    <w:rsid w:val="00EF521B"/>
    <w:rsid w:val="00EF54FF"/>
    <w:rsid w:val="00EF5680"/>
    <w:rsid w:val="00EF580D"/>
    <w:rsid w:val="00EF636E"/>
    <w:rsid w:val="00EF6517"/>
    <w:rsid w:val="00EF6E90"/>
    <w:rsid w:val="00EF737D"/>
    <w:rsid w:val="00EF7A85"/>
    <w:rsid w:val="00EF7E53"/>
    <w:rsid w:val="00EF7EB8"/>
    <w:rsid w:val="00F005C3"/>
    <w:rsid w:val="00F00C4C"/>
    <w:rsid w:val="00F00CB0"/>
    <w:rsid w:val="00F010B7"/>
    <w:rsid w:val="00F013B9"/>
    <w:rsid w:val="00F01FB1"/>
    <w:rsid w:val="00F0285D"/>
    <w:rsid w:val="00F03756"/>
    <w:rsid w:val="00F03DED"/>
    <w:rsid w:val="00F03DF2"/>
    <w:rsid w:val="00F04313"/>
    <w:rsid w:val="00F04349"/>
    <w:rsid w:val="00F0476F"/>
    <w:rsid w:val="00F0488F"/>
    <w:rsid w:val="00F04A9D"/>
    <w:rsid w:val="00F04ED3"/>
    <w:rsid w:val="00F04F98"/>
    <w:rsid w:val="00F050D6"/>
    <w:rsid w:val="00F06150"/>
    <w:rsid w:val="00F06D27"/>
    <w:rsid w:val="00F06E05"/>
    <w:rsid w:val="00F0768B"/>
    <w:rsid w:val="00F07794"/>
    <w:rsid w:val="00F07DCD"/>
    <w:rsid w:val="00F105EC"/>
    <w:rsid w:val="00F108F9"/>
    <w:rsid w:val="00F109BD"/>
    <w:rsid w:val="00F11076"/>
    <w:rsid w:val="00F11325"/>
    <w:rsid w:val="00F1179E"/>
    <w:rsid w:val="00F11979"/>
    <w:rsid w:val="00F121E7"/>
    <w:rsid w:val="00F12358"/>
    <w:rsid w:val="00F12445"/>
    <w:rsid w:val="00F1285B"/>
    <w:rsid w:val="00F1298F"/>
    <w:rsid w:val="00F12A94"/>
    <w:rsid w:val="00F12F92"/>
    <w:rsid w:val="00F13563"/>
    <w:rsid w:val="00F14EB9"/>
    <w:rsid w:val="00F15541"/>
    <w:rsid w:val="00F15D5F"/>
    <w:rsid w:val="00F17B24"/>
    <w:rsid w:val="00F21123"/>
    <w:rsid w:val="00F2128B"/>
    <w:rsid w:val="00F21379"/>
    <w:rsid w:val="00F21487"/>
    <w:rsid w:val="00F21B3C"/>
    <w:rsid w:val="00F22739"/>
    <w:rsid w:val="00F229B1"/>
    <w:rsid w:val="00F22ACB"/>
    <w:rsid w:val="00F22BB5"/>
    <w:rsid w:val="00F233F9"/>
    <w:rsid w:val="00F23425"/>
    <w:rsid w:val="00F23D3A"/>
    <w:rsid w:val="00F24172"/>
    <w:rsid w:val="00F24BBC"/>
    <w:rsid w:val="00F24BE3"/>
    <w:rsid w:val="00F2559C"/>
    <w:rsid w:val="00F25E9E"/>
    <w:rsid w:val="00F26EE3"/>
    <w:rsid w:val="00F27811"/>
    <w:rsid w:val="00F27AE5"/>
    <w:rsid w:val="00F27D98"/>
    <w:rsid w:val="00F30924"/>
    <w:rsid w:val="00F31129"/>
    <w:rsid w:val="00F31212"/>
    <w:rsid w:val="00F313E8"/>
    <w:rsid w:val="00F3152C"/>
    <w:rsid w:val="00F31C26"/>
    <w:rsid w:val="00F32026"/>
    <w:rsid w:val="00F3363F"/>
    <w:rsid w:val="00F339BF"/>
    <w:rsid w:val="00F339C6"/>
    <w:rsid w:val="00F34091"/>
    <w:rsid w:val="00F34108"/>
    <w:rsid w:val="00F34254"/>
    <w:rsid w:val="00F3598C"/>
    <w:rsid w:val="00F366AA"/>
    <w:rsid w:val="00F3789A"/>
    <w:rsid w:val="00F37DD9"/>
    <w:rsid w:val="00F40267"/>
    <w:rsid w:val="00F40388"/>
    <w:rsid w:val="00F40671"/>
    <w:rsid w:val="00F4144E"/>
    <w:rsid w:val="00F420A3"/>
    <w:rsid w:val="00F42135"/>
    <w:rsid w:val="00F422A4"/>
    <w:rsid w:val="00F42314"/>
    <w:rsid w:val="00F423BE"/>
    <w:rsid w:val="00F42809"/>
    <w:rsid w:val="00F429DF"/>
    <w:rsid w:val="00F4307F"/>
    <w:rsid w:val="00F4351C"/>
    <w:rsid w:val="00F43608"/>
    <w:rsid w:val="00F437AC"/>
    <w:rsid w:val="00F4451B"/>
    <w:rsid w:val="00F44539"/>
    <w:rsid w:val="00F448B6"/>
    <w:rsid w:val="00F449D9"/>
    <w:rsid w:val="00F44A07"/>
    <w:rsid w:val="00F45411"/>
    <w:rsid w:val="00F4569A"/>
    <w:rsid w:val="00F45995"/>
    <w:rsid w:val="00F45B1B"/>
    <w:rsid w:val="00F45E8C"/>
    <w:rsid w:val="00F464EC"/>
    <w:rsid w:val="00F46EF4"/>
    <w:rsid w:val="00F474B4"/>
    <w:rsid w:val="00F47A22"/>
    <w:rsid w:val="00F47A26"/>
    <w:rsid w:val="00F47A86"/>
    <w:rsid w:val="00F47B0A"/>
    <w:rsid w:val="00F47FCC"/>
    <w:rsid w:val="00F502FE"/>
    <w:rsid w:val="00F508DA"/>
    <w:rsid w:val="00F51720"/>
    <w:rsid w:val="00F517AB"/>
    <w:rsid w:val="00F51D17"/>
    <w:rsid w:val="00F52163"/>
    <w:rsid w:val="00F5282E"/>
    <w:rsid w:val="00F528EB"/>
    <w:rsid w:val="00F529D1"/>
    <w:rsid w:val="00F52CA7"/>
    <w:rsid w:val="00F52E9A"/>
    <w:rsid w:val="00F52EB2"/>
    <w:rsid w:val="00F53353"/>
    <w:rsid w:val="00F538B2"/>
    <w:rsid w:val="00F5398B"/>
    <w:rsid w:val="00F543D3"/>
    <w:rsid w:val="00F54F39"/>
    <w:rsid w:val="00F551F6"/>
    <w:rsid w:val="00F559EC"/>
    <w:rsid w:val="00F55BAA"/>
    <w:rsid w:val="00F55E6B"/>
    <w:rsid w:val="00F5605D"/>
    <w:rsid w:val="00F57B7A"/>
    <w:rsid w:val="00F57BCD"/>
    <w:rsid w:val="00F57E5B"/>
    <w:rsid w:val="00F59891"/>
    <w:rsid w:val="00F60404"/>
    <w:rsid w:val="00F60AA3"/>
    <w:rsid w:val="00F60C23"/>
    <w:rsid w:val="00F612C7"/>
    <w:rsid w:val="00F6234D"/>
    <w:rsid w:val="00F62D51"/>
    <w:rsid w:val="00F6307B"/>
    <w:rsid w:val="00F63641"/>
    <w:rsid w:val="00F63C95"/>
    <w:rsid w:val="00F6441B"/>
    <w:rsid w:val="00F6444F"/>
    <w:rsid w:val="00F644FF"/>
    <w:rsid w:val="00F64663"/>
    <w:rsid w:val="00F64779"/>
    <w:rsid w:val="00F64DA9"/>
    <w:rsid w:val="00F6501B"/>
    <w:rsid w:val="00F65078"/>
    <w:rsid w:val="00F65458"/>
    <w:rsid w:val="00F654C7"/>
    <w:rsid w:val="00F65861"/>
    <w:rsid w:val="00F65E69"/>
    <w:rsid w:val="00F662C4"/>
    <w:rsid w:val="00F66BA6"/>
    <w:rsid w:val="00F66FF0"/>
    <w:rsid w:val="00F672F2"/>
    <w:rsid w:val="00F67574"/>
    <w:rsid w:val="00F70140"/>
    <w:rsid w:val="00F70229"/>
    <w:rsid w:val="00F703C7"/>
    <w:rsid w:val="00F70915"/>
    <w:rsid w:val="00F70AE5"/>
    <w:rsid w:val="00F712D3"/>
    <w:rsid w:val="00F71DB1"/>
    <w:rsid w:val="00F71F64"/>
    <w:rsid w:val="00F720EE"/>
    <w:rsid w:val="00F72BAC"/>
    <w:rsid w:val="00F72C78"/>
    <w:rsid w:val="00F73186"/>
    <w:rsid w:val="00F7327D"/>
    <w:rsid w:val="00F742FC"/>
    <w:rsid w:val="00F7442A"/>
    <w:rsid w:val="00F74A18"/>
    <w:rsid w:val="00F75F45"/>
    <w:rsid w:val="00F75F6A"/>
    <w:rsid w:val="00F760A9"/>
    <w:rsid w:val="00F76640"/>
    <w:rsid w:val="00F76DCF"/>
    <w:rsid w:val="00F77178"/>
    <w:rsid w:val="00F772E4"/>
    <w:rsid w:val="00F775B8"/>
    <w:rsid w:val="00F80280"/>
    <w:rsid w:val="00F80E00"/>
    <w:rsid w:val="00F80E43"/>
    <w:rsid w:val="00F80F13"/>
    <w:rsid w:val="00F8176F"/>
    <w:rsid w:val="00F81905"/>
    <w:rsid w:val="00F8199E"/>
    <w:rsid w:val="00F81D74"/>
    <w:rsid w:val="00F81EA2"/>
    <w:rsid w:val="00F821F0"/>
    <w:rsid w:val="00F82346"/>
    <w:rsid w:val="00F8241E"/>
    <w:rsid w:val="00F825B9"/>
    <w:rsid w:val="00F826EF"/>
    <w:rsid w:val="00F82E1D"/>
    <w:rsid w:val="00F8325E"/>
    <w:rsid w:val="00F834D2"/>
    <w:rsid w:val="00F83E33"/>
    <w:rsid w:val="00F84D18"/>
    <w:rsid w:val="00F84F41"/>
    <w:rsid w:val="00F85985"/>
    <w:rsid w:val="00F8603C"/>
    <w:rsid w:val="00F86D89"/>
    <w:rsid w:val="00F877E5"/>
    <w:rsid w:val="00F87FDB"/>
    <w:rsid w:val="00F8ECA6"/>
    <w:rsid w:val="00F905C7"/>
    <w:rsid w:val="00F90BD7"/>
    <w:rsid w:val="00F917AE"/>
    <w:rsid w:val="00F91B97"/>
    <w:rsid w:val="00F91BE0"/>
    <w:rsid w:val="00F92280"/>
    <w:rsid w:val="00F92E4C"/>
    <w:rsid w:val="00F93D12"/>
    <w:rsid w:val="00F93DEE"/>
    <w:rsid w:val="00F9528D"/>
    <w:rsid w:val="00F956FC"/>
    <w:rsid w:val="00F957AF"/>
    <w:rsid w:val="00F9596A"/>
    <w:rsid w:val="00F95BC0"/>
    <w:rsid w:val="00F95CE0"/>
    <w:rsid w:val="00F95E30"/>
    <w:rsid w:val="00F96DB7"/>
    <w:rsid w:val="00F96EEA"/>
    <w:rsid w:val="00F970FA"/>
    <w:rsid w:val="00F97605"/>
    <w:rsid w:val="00F976DD"/>
    <w:rsid w:val="00F97BBF"/>
    <w:rsid w:val="00F97F25"/>
    <w:rsid w:val="00FA0691"/>
    <w:rsid w:val="00FA09ED"/>
    <w:rsid w:val="00FA16C4"/>
    <w:rsid w:val="00FA18A2"/>
    <w:rsid w:val="00FA1BA7"/>
    <w:rsid w:val="00FA1CA3"/>
    <w:rsid w:val="00FA1D08"/>
    <w:rsid w:val="00FA21CB"/>
    <w:rsid w:val="00FA233D"/>
    <w:rsid w:val="00FA476E"/>
    <w:rsid w:val="00FA4BB8"/>
    <w:rsid w:val="00FA4D2D"/>
    <w:rsid w:val="00FA5830"/>
    <w:rsid w:val="00FA6DDA"/>
    <w:rsid w:val="00FA6F61"/>
    <w:rsid w:val="00FA718A"/>
    <w:rsid w:val="00FA75CF"/>
    <w:rsid w:val="00FB0318"/>
    <w:rsid w:val="00FB16FB"/>
    <w:rsid w:val="00FB1931"/>
    <w:rsid w:val="00FB2069"/>
    <w:rsid w:val="00FB2455"/>
    <w:rsid w:val="00FB2469"/>
    <w:rsid w:val="00FB30F7"/>
    <w:rsid w:val="00FB3BBF"/>
    <w:rsid w:val="00FB41DD"/>
    <w:rsid w:val="00FB4701"/>
    <w:rsid w:val="00FB479C"/>
    <w:rsid w:val="00FB4C25"/>
    <w:rsid w:val="00FB5250"/>
    <w:rsid w:val="00FB5558"/>
    <w:rsid w:val="00FB5A92"/>
    <w:rsid w:val="00FB5FB6"/>
    <w:rsid w:val="00FB63BE"/>
    <w:rsid w:val="00FB79A9"/>
    <w:rsid w:val="00FB7AD1"/>
    <w:rsid w:val="00FB7BBE"/>
    <w:rsid w:val="00FC0374"/>
    <w:rsid w:val="00FC0449"/>
    <w:rsid w:val="00FC05AF"/>
    <w:rsid w:val="00FC0682"/>
    <w:rsid w:val="00FC117B"/>
    <w:rsid w:val="00FC1690"/>
    <w:rsid w:val="00FC1A96"/>
    <w:rsid w:val="00FC1BB7"/>
    <w:rsid w:val="00FC2410"/>
    <w:rsid w:val="00FC271D"/>
    <w:rsid w:val="00FC2804"/>
    <w:rsid w:val="00FC35AB"/>
    <w:rsid w:val="00FC3BA3"/>
    <w:rsid w:val="00FC4939"/>
    <w:rsid w:val="00FC4B70"/>
    <w:rsid w:val="00FC4C57"/>
    <w:rsid w:val="00FC4CCE"/>
    <w:rsid w:val="00FC4D89"/>
    <w:rsid w:val="00FC520D"/>
    <w:rsid w:val="00FC5BAA"/>
    <w:rsid w:val="00FC6747"/>
    <w:rsid w:val="00FC731C"/>
    <w:rsid w:val="00FD0149"/>
    <w:rsid w:val="00FD0246"/>
    <w:rsid w:val="00FD031A"/>
    <w:rsid w:val="00FD033B"/>
    <w:rsid w:val="00FD0FED"/>
    <w:rsid w:val="00FD10FB"/>
    <w:rsid w:val="00FD14AC"/>
    <w:rsid w:val="00FD157E"/>
    <w:rsid w:val="00FD18F4"/>
    <w:rsid w:val="00FD197E"/>
    <w:rsid w:val="00FD1A45"/>
    <w:rsid w:val="00FD1AC5"/>
    <w:rsid w:val="00FD227A"/>
    <w:rsid w:val="00FD2FFD"/>
    <w:rsid w:val="00FD38BA"/>
    <w:rsid w:val="00FD425E"/>
    <w:rsid w:val="00FD573E"/>
    <w:rsid w:val="00FD5BC1"/>
    <w:rsid w:val="00FD7417"/>
    <w:rsid w:val="00FD7DAC"/>
    <w:rsid w:val="00FE0082"/>
    <w:rsid w:val="00FE0690"/>
    <w:rsid w:val="00FE0BD7"/>
    <w:rsid w:val="00FE0C65"/>
    <w:rsid w:val="00FE1F95"/>
    <w:rsid w:val="00FE25E5"/>
    <w:rsid w:val="00FE2B6F"/>
    <w:rsid w:val="00FE33C2"/>
    <w:rsid w:val="00FE3F38"/>
    <w:rsid w:val="00FE4A0B"/>
    <w:rsid w:val="00FE4AEC"/>
    <w:rsid w:val="00FE4D85"/>
    <w:rsid w:val="00FE5303"/>
    <w:rsid w:val="00FE5467"/>
    <w:rsid w:val="00FE58A0"/>
    <w:rsid w:val="00FE637F"/>
    <w:rsid w:val="00FE6B75"/>
    <w:rsid w:val="00FE6C98"/>
    <w:rsid w:val="00FE72C3"/>
    <w:rsid w:val="00FE751D"/>
    <w:rsid w:val="00FF05D3"/>
    <w:rsid w:val="00FF065D"/>
    <w:rsid w:val="00FF209F"/>
    <w:rsid w:val="00FF211E"/>
    <w:rsid w:val="00FF26E2"/>
    <w:rsid w:val="00FF2933"/>
    <w:rsid w:val="00FF2EFC"/>
    <w:rsid w:val="00FF2FB1"/>
    <w:rsid w:val="00FF33CA"/>
    <w:rsid w:val="00FF368F"/>
    <w:rsid w:val="00FF371A"/>
    <w:rsid w:val="00FF416E"/>
    <w:rsid w:val="00FF4258"/>
    <w:rsid w:val="00FF4325"/>
    <w:rsid w:val="00FF4A86"/>
    <w:rsid w:val="00FF4C3B"/>
    <w:rsid w:val="00FF4FF0"/>
    <w:rsid w:val="00FF51F6"/>
    <w:rsid w:val="00FF5BBC"/>
    <w:rsid w:val="011DB4F0"/>
    <w:rsid w:val="012562AF"/>
    <w:rsid w:val="012A3234"/>
    <w:rsid w:val="012B2401"/>
    <w:rsid w:val="012E7131"/>
    <w:rsid w:val="012F8051"/>
    <w:rsid w:val="0130AD97"/>
    <w:rsid w:val="0135798A"/>
    <w:rsid w:val="013DAE11"/>
    <w:rsid w:val="0140E717"/>
    <w:rsid w:val="01433C45"/>
    <w:rsid w:val="0147ACBC"/>
    <w:rsid w:val="014D1739"/>
    <w:rsid w:val="014F3D5E"/>
    <w:rsid w:val="01500251"/>
    <w:rsid w:val="015263C8"/>
    <w:rsid w:val="01556411"/>
    <w:rsid w:val="01586D8A"/>
    <w:rsid w:val="0158C7B0"/>
    <w:rsid w:val="015C8BD8"/>
    <w:rsid w:val="0164286B"/>
    <w:rsid w:val="0165860A"/>
    <w:rsid w:val="016B9528"/>
    <w:rsid w:val="01711714"/>
    <w:rsid w:val="0176E69B"/>
    <w:rsid w:val="017EEE5B"/>
    <w:rsid w:val="017F4715"/>
    <w:rsid w:val="01856557"/>
    <w:rsid w:val="0186AAA2"/>
    <w:rsid w:val="01904688"/>
    <w:rsid w:val="019FBFCC"/>
    <w:rsid w:val="01A329BB"/>
    <w:rsid w:val="01A5277E"/>
    <w:rsid w:val="01B9EE97"/>
    <w:rsid w:val="01BB49C7"/>
    <w:rsid w:val="01C07BCA"/>
    <w:rsid w:val="01C07E52"/>
    <w:rsid w:val="01C13557"/>
    <w:rsid w:val="01C3E43E"/>
    <w:rsid w:val="01C90FDD"/>
    <w:rsid w:val="01CC7D1A"/>
    <w:rsid w:val="01CF9845"/>
    <w:rsid w:val="01CFDEE6"/>
    <w:rsid w:val="01D47224"/>
    <w:rsid w:val="01E21CB0"/>
    <w:rsid w:val="01E2204B"/>
    <w:rsid w:val="01E67AAF"/>
    <w:rsid w:val="01E8C502"/>
    <w:rsid w:val="01F37FD1"/>
    <w:rsid w:val="01FB6207"/>
    <w:rsid w:val="02001463"/>
    <w:rsid w:val="020302C0"/>
    <w:rsid w:val="02139D06"/>
    <w:rsid w:val="021753D3"/>
    <w:rsid w:val="021806FC"/>
    <w:rsid w:val="0224C4D0"/>
    <w:rsid w:val="022A0FC6"/>
    <w:rsid w:val="022D33E6"/>
    <w:rsid w:val="023012B7"/>
    <w:rsid w:val="02304357"/>
    <w:rsid w:val="0234435F"/>
    <w:rsid w:val="02387AF6"/>
    <w:rsid w:val="0238CCB2"/>
    <w:rsid w:val="023AEAC9"/>
    <w:rsid w:val="023B3CBA"/>
    <w:rsid w:val="0243EB03"/>
    <w:rsid w:val="0248FAA0"/>
    <w:rsid w:val="02500EC1"/>
    <w:rsid w:val="0250FC67"/>
    <w:rsid w:val="025E1AF7"/>
    <w:rsid w:val="025E7F2B"/>
    <w:rsid w:val="0262EE96"/>
    <w:rsid w:val="026C903B"/>
    <w:rsid w:val="02715029"/>
    <w:rsid w:val="027C32E3"/>
    <w:rsid w:val="027F4ACE"/>
    <w:rsid w:val="02845776"/>
    <w:rsid w:val="0296C3D9"/>
    <w:rsid w:val="02977744"/>
    <w:rsid w:val="0298A25B"/>
    <w:rsid w:val="02A101EB"/>
    <w:rsid w:val="02A2128C"/>
    <w:rsid w:val="02A21FC5"/>
    <w:rsid w:val="02A57E3D"/>
    <w:rsid w:val="02A82B32"/>
    <w:rsid w:val="02AD9E1F"/>
    <w:rsid w:val="02AFEC36"/>
    <w:rsid w:val="02B0A673"/>
    <w:rsid w:val="02B7C039"/>
    <w:rsid w:val="02BA6AD5"/>
    <w:rsid w:val="02BCCED4"/>
    <w:rsid w:val="02C6977E"/>
    <w:rsid w:val="02CD78A0"/>
    <w:rsid w:val="02CE6671"/>
    <w:rsid w:val="02D6CE14"/>
    <w:rsid w:val="02D93274"/>
    <w:rsid w:val="02DDB3A2"/>
    <w:rsid w:val="02E14638"/>
    <w:rsid w:val="02E53A93"/>
    <w:rsid w:val="02E56CAC"/>
    <w:rsid w:val="02E8D1EF"/>
    <w:rsid w:val="02E933BE"/>
    <w:rsid w:val="02EADA83"/>
    <w:rsid w:val="02F0AB4A"/>
    <w:rsid w:val="02F10E9A"/>
    <w:rsid w:val="02F8E56C"/>
    <w:rsid w:val="03070D0F"/>
    <w:rsid w:val="031221C3"/>
    <w:rsid w:val="031702B9"/>
    <w:rsid w:val="03186287"/>
    <w:rsid w:val="031A6701"/>
    <w:rsid w:val="031FB67B"/>
    <w:rsid w:val="0320B1FD"/>
    <w:rsid w:val="0327932B"/>
    <w:rsid w:val="03294B75"/>
    <w:rsid w:val="03313EDA"/>
    <w:rsid w:val="033246E3"/>
    <w:rsid w:val="033358E4"/>
    <w:rsid w:val="0333F7C7"/>
    <w:rsid w:val="03362D4A"/>
    <w:rsid w:val="033B466A"/>
    <w:rsid w:val="033DFBC9"/>
    <w:rsid w:val="0340FF3A"/>
    <w:rsid w:val="034CC56E"/>
    <w:rsid w:val="034D8DEC"/>
    <w:rsid w:val="034FC132"/>
    <w:rsid w:val="0350E240"/>
    <w:rsid w:val="0351388F"/>
    <w:rsid w:val="0351A354"/>
    <w:rsid w:val="036DE6AA"/>
    <w:rsid w:val="037A7B55"/>
    <w:rsid w:val="037DDD1E"/>
    <w:rsid w:val="037E9FA2"/>
    <w:rsid w:val="037EECF1"/>
    <w:rsid w:val="038882E7"/>
    <w:rsid w:val="038C2947"/>
    <w:rsid w:val="0393F03A"/>
    <w:rsid w:val="039FE536"/>
    <w:rsid w:val="03B163DD"/>
    <w:rsid w:val="03B44FA4"/>
    <w:rsid w:val="03B8A890"/>
    <w:rsid w:val="03BF816E"/>
    <w:rsid w:val="03C8FAE8"/>
    <w:rsid w:val="03CBA1A6"/>
    <w:rsid w:val="03D5092B"/>
    <w:rsid w:val="03D843AF"/>
    <w:rsid w:val="03DA3EFF"/>
    <w:rsid w:val="03DDAE23"/>
    <w:rsid w:val="03DF9DC4"/>
    <w:rsid w:val="03E39D9B"/>
    <w:rsid w:val="03E47735"/>
    <w:rsid w:val="03EF383F"/>
    <w:rsid w:val="03F48EAF"/>
    <w:rsid w:val="03F64310"/>
    <w:rsid w:val="03F74EDB"/>
    <w:rsid w:val="03F7A144"/>
    <w:rsid w:val="03FA40EB"/>
    <w:rsid w:val="040565AB"/>
    <w:rsid w:val="040A1FC4"/>
    <w:rsid w:val="040F144D"/>
    <w:rsid w:val="04105AE9"/>
    <w:rsid w:val="0411A72C"/>
    <w:rsid w:val="04195AD1"/>
    <w:rsid w:val="041B639A"/>
    <w:rsid w:val="041DE19E"/>
    <w:rsid w:val="04289D2F"/>
    <w:rsid w:val="04298346"/>
    <w:rsid w:val="042D08E0"/>
    <w:rsid w:val="04331DF0"/>
    <w:rsid w:val="04357162"/>
    <w:rsid w:val="043903CE"/>
    <w:rsid w:val="043B909D"/>
    <w:rsid w:val="0444CC58"/>
    <w:rsid w:val="04461924"/>
    <w:rsid w:val="0446E2E7"/>
    <w:rsid w:val="0448603A"/>
    <w:rsid w:val="044A579B"/>
    <w:rsid w:val="044A9005"/>
    <w:rsid w:val="044EE415"/>
    <w:rsid w:val="0455A44E"/>
    <w:rsid w:val="04572337"/>
    <w:rsid w:val="045A6382"/>
    <w:rsid w:val="045F5B5B"/>
    <w:rsid w:val="04909B86"/>
    <w:rsid w:val="0491F210"/>
    <w:rsid w:val="04A7EB59"/>
    <w:rsid w:val="04A8EF2E"/>
    <w:rsid w:val="04A9D9F2"/>
    <w:rsid w:val="04AEBE37"/>
    <w:rsid w:val="04AEC448"/>
    <w:rsid w:val="04B0032B"/>
    <w:rsid w:val="04B0FDCD"/>
    <w:rsid w:val="04B331C7"/>
    <w:rsid w:val="04B4C578"/>
    <w:rsid w:val="04BB9B58"/>
    <w:rsid w:val="04BDEE6E"/>
    <w:rsid w:val="04CBA111"/>
    <w:rsid w:val="04D15180"/>
    <w:rsid w:val="04DBC590"/>
    <w:rsid w:val="04DE0DE2"/>
    <w:rsid w:val="04E22518"/>
    <w:rsid w:val="04E2AAC3"/>
    <w:rsid w:val="04E7C8FB"/>
    <w:rsid w:val="04FC81FE"/>
    <w:rsid w:val="05051EE7"/>
    <w:rsid w:val="05091663"/>
    <w:rsid w:val="05129C93"/>
    <w:rsid w:val="05168B7D"/>
    <w:rsid w:val="0519AD7F"/>
    <w:rsid w:val="051A9617"/>
    <w:rsid w:val="051DFCB6"/>
    <w:rsid w:val="051E4308"/>
    <w:rsid w:val="0520F901"/>
    <w:rsid w:val="052E44B3"/>
    <w:rsid w:val="053B77D4"/>
    <w:rsid w:val="05450434"/>
    <w:rsid w:val="05536449"/>
    <w:rsid w:val="05592902"/>
    <w:rsid w:val="055A6C73"/>
    <w:rsid w:val="055DB439"/>
    <w:rsid w:val="055F6647"/>
    <w:rsid w:val="055FB906"/>
    <w:rsid w:val="0564F2F4"/>
    <w:rsid w:val="056778F4"/>
    <w:rsid w:val="056E3325"/>
    <w:rsid w:val="056F6CC6"/>
    <w:rsid w:val="0570D98C"/>
    <w:rsid w:val="0575D58B"/>
    <w:rsid w:val="057B4E5C"/>
    <w:rsid w:val="058E25BF"/>
    <w:rsid w:val="0591826D"/>
    <w:rsid w:val="05A1B8AB"/>
    <w:rsid w:val="05A430FD"/>
    <w:rsid w:val="05A8A283"/>
    <w:rsid w:val="05A91B99"/>
    <w:rsid w:val="05AC2B4A"/>
    <w:rsid w:val="05AEFFE9"/>
    <w:rsid w:val="05AF8F9B"/>
    <w:rsid w:val="05B54E92"/>
    <w:rsid w:val="05B733FB"/>
    <w:rsid w:val="05BD6621"/>
    <w:rsid w:val="05BDD7AD"/>
    <w:rsid w:val="05C69FEA"/>
    <w:rsid w:val="05E0B9FB"/>
    <w:rsid w:val="05E57881"/>
    <w:rsid w:val="05E84735"/>
    <w:rsid w:val="05EA085B"/>
    <w:rsid w:val="05F633E3"/>
    <w:rsid w:val="05FAFBFA"/>
    <w:rsid w:val="05FD7801"/>
    <w:rsid w:val="0600F1C3"/>
    <w:rsid w:val="0602943E"/>
    <w:rsid w:val="060F723C"/>
    <w:rsid w:val="06233CF8"/>
    <w:rsid w:val="062813DD"/>
    <w:rsid w:val="062C7F6E"/>
    <w:rsid w:val="062CC718"/>
    <w:rsid w:val="062D82EA"/>
    <w:rsid w:val="064B5FFE"/>
    <w:rsid w:val="064CEBF5"/>
    <w:rsid w:val="064E556A"/>
    <w:rsid w:val="06525A7C"/>
    <w:rsid w:val="06549098"/>
    <w:rsid w:val="0661407E"/>
    <w:rsid w:val="06649C7F"/>
    <w:rsid w:val="0668FB78"/>
    <w:rsid w:val="0673DF4E"/>
    <w:rsid w:val="06821D3F"/>
    <w:rsid w:val="0684FA0D"/>
    <w:rsid w:val="068532BE"/>
    <w:rsid w:val="0689C0A7"/>
    <w:rsid w:val="0694F79E"/>
    <w:rsid w:val="069EBE73"/>
    <w:rsid w:val="06A29BA5"/>
    <w:rsid w:val="06B57DE0"/>
    <w:rsid w:val="06B8FE51"/>
    <w:rsid w:val="06BAF583"/>
    <w:rsid w:val="06BD767C"/>
    <w:rsid w:val="06BDAC4D"/>
    <w:rsid w:val="06BE8EC3"/>
    <w:rsid w:val="06BF5C8A"/>
    <w:rsid w:val="06C6C676"/>
    <w:rsid w:val="06C8BCB5"/>
    <w:rsid w:val="06C9AFB8"/>
    <w:rsid w:val="06CAF8F0"/>
    <w:rsid w:val="06CC3A37"/>
    <w:rsid w:val="06CCF3E8"/>
    <w:rsid w:val="06CEBC92"/>
    <w:rsid w:val="06DC1061"/>
    <w:rsid w:val="06E91CAA"/>
    <w:rsid w:val="06F0C0DF"/>
    <w:rsid w:val="06F65770"/>
    <w:rsid w:val="07020B89"/>
    <w:rsid w:val="0706522F"/>
    <w:rsid w:val="07091C21"/>
    <w:rsid w:val="070D6D75"/>
    <w:rsid w:val="0710A626"/>
    <w:rsid w:val="0717F302"/>
    <w:rsid w:val="07194867"/>
    <w:rsid w:val="071997DE"/>
    <w:rsid w:val="071EA879"/>
    <w:rsid w:val="0720E5F1"/>
    <w:rsid w:val="0724661B"/>
    <w:rsid w:val="072DE871"/>
    <w:rsid w:val="0733777B"/>
    <w:rsid w:val="07342561"/>
    <w:rsid w:val="07354054"/>
    <w:rsid w:val="07376A8C"/>
    <w:rsid w:val="07430D1C"/>
    <w:rsid w:val="074D4C53"/>
    <w:rsid w:val="07550371"/>
    <w:rsid w:val="075A7145"/>
    <w:rsid w:val="075EB274"/>
    <w:rsid w:val="0760C0E6"/>
    <w:rsid w:val="0777F2CC"/>
    <w:rsid w:val="0779065B"/>
    <w:rsid w:val="077BDB57"/>
    <w:rsid w:val="077C90B1"/>
    <w:rsid w:val="0781E88B"/>
    <w:rsid w:val="078B8910"/>
    <w:rsid w:val="078CB6AD"/>
    <w:rsid w:val="07959032"/>
    <w:rsid w:val="079CC224"/>
    <w:rsid w:val="07A70FBF"/>
    <w:rsid w:val="07AB5C82"/>
    <w:rsid w:val="07AF0576"/>
    <w:rsid w:val="07B0F4B1"/>
    <w:rsid w:val="07B170FF"/>
    <w:rsid w:val="07B364D6"/>
    <w:rsid w:val="07B8295D"/>
    <w:rsid w:val="07C14936"/>
    <w:rsid w:val="07C6392C"/>
    <w:rsid w:val="07C7F2D2"/>
    <w:rsid w:val="07D4F814"/>
    <w:rsid w:val="07D6183E"/>
    <w:rsid w:val="07DA35A2"/>
    <w:rsid w:val="07E07536"/>
    <w:rsid w:val="07E88902"/>
    <w:rsid w:val="07ED653C"/>
    <w:rsid w:val="07ED8ED1"/>
    <w:rsid w:val="07F1CE5A"/>
    <w:rsid w:val="07F5E6CB"/>
    <w:rsid w:val="07FA1C49"/>
    <w:rsid w:val="07FAB577"/>
    <w:rsid w:val="07FDD504"/>
    <w:rsid w:val="07FDE8A4"/>
    <w:rsid w:val="07FEA2BD"/>
    <w:rsid w:val="080450CC"/>
    <w:rsid w:val="080D0B5A"/>
    <w:rsid w:val="080DC821"/>
    <w:rsid w:val="080EB78D"/>
    <w:rsid w:val="0813A471"/>
    <w:rsid w:val="081761C2"/>
    <w:rsid w:val="081943C4"/>
    <w:rsid w:val="081A6C4D"/>
    <w:rsid w:val="0828CC6D"/>
    <w:rsid w:val="082DE4E5"/>
    <w:rsid w:val="08339AD1"/>
    <w:rsid w:val="0834B563"/>
    <w:rsid w:val="08394D0A"/>
    <w:rsid w:val="083AA76E"/>
    <w:rsid w:val="0841EACF"/>
    <w:rsid w:val="08456022"/>
    <w:rsid w:val="08470EE7"/>
    <w:rsid w:val="08493CA4"/>
    <w:rsid w:val="084DA0F4"/>
    <w:rsid w:val="0850FD51"/>
    <w:rsid w:val="0851D288"/>
    <w:rsid w:val="08550347"/>
    <w:rsid w:val="0856C5FD"/>
    <w:rsid w:val="08584D35"/>
    <w:rsid w:val="085D2205"/>
    <w:rsid w:val="0861D516"/>
    <w:rsid w:val="0868D5B5"/>
    <w:rsid w:val="08712F4B"/>
    <w:rsid w:val="0871EAF8"/>
    <w:rsid w:val="0877204C"/>
    <w:rsid w:val="087768E1"/>
    <w:rsid w:val="0881B0CA"/>
    <w:rsid w:val="08828BA0"/>
    <w:rsid w:val="0883A0A4"/>
    <w:rsid w:val="08840A8C"/>
    <w:rsid w:val="08880765"/>
    <w:rsid w:val="0888454C"/>
    <w:rsid w:val="089556A5"/>
    <w:rsid w:val="0897BF38"/>
    <w:rsid w:val="08987985"/>
    <w:rsid w:val="08999B75"/>
    <w:rsid w:val="089ED1C9"/>
    <w:rsid w:val="08A22290"/>
    <w:rsid w:val="08A41846"/>
    <w:rsid w:val="08A72089"/>
    <w:rsid w:val="08A7FDA4"/>
    <w:rsid w:val="08B8ACBD"/>
    <w:rsid w:val="08B8D3AD"/>
    <w:rsid w:val="08C2A962"/>
    <w:rsid w:val="08C31441"/>
    <w:rsid w:val="08C391DF"/>
    <w:rsid w:val="08CB02A5"/>
    <w:rsid w:val="08D0C19A"/>
    <w:rsid w:val="08E1D35E"/>
    <w:rsid w:val="08E2C94B"/>
    <w:rsid w:val="08E3CC0C"/>
    <w:rsid w:val="08E42A0E"/>
    <w:rsid w:val="08E7069A"/>
    <w:rsid w:val="08E9A9BE"/>
    <w:rsid w:val="08EBE588"/>
    <w:rsid w:val="08EC610E"/>
    <w:rsid w:val="08F5703D"/>
    <w:rsid w:val="08F823D2"/>
    <w:rsid w:val="08F91652"/>
    <w:rsid w:val="090AC427"/>
    <w:rsid w:val="09164FEE"/>
    <w:rsid w:val="092161E5"/>
    <w:rsid w:val="0929AC59"/>
    <w:rsid w:val="093CF421"/>
    <w:rsid w:val="093E828B"/>
    <w:rsid w:val="09474D99"/>
    <w:rsid w:val="09518044"/>
    <w:rsid w:val="0951BAE2"/>
    <w:rsid w:val="0956994E"/>
    <w:rsid w:val="09619144"/>
    <w:rsid w:val="0964EA71"/>
    <w:rsid w:val="0965AE84"/>
    <w:rsid w:val="0978942A"/>
    <w:rsid w:val="097BE52B"/>
    <w:rsid w:val="097F5DDE"/>
    <w:rsid w:val="09811200"/>
    <w:rsid w:val="0986A58B"/>
    <w:rsid w:val="098E0B60"/>
    <w:rsid w:val="0992405F"/>
    <w:rsid w:val="0993031E"/>
    <w:rsid w:val="0999B905"/>
    <w:rsid w:val="099A7074"/>
    <w:rsid w:val="099B07EF"/>
    <w:rsid w:val="099B93D1"/>
    <w:rsid w:val="09A56ECE"/>
    <w:rsid w:val="09A6A74A"/>
    <w:rsid w:val="09C5FD6A"/>
    <w:rsid w:val="09C8EEB6"/>
    <w:rsid w:val="09CB2462"/>
    <w:rsid w:val="09CEB85E"/>
    <w:rsid w:val="09CEEC8E"/>
    <w:rsid w:val="09D0A1D3"/>
    <w:rsid w:val="09D9F614"/>
    <w:rsid w:val="09DDCF99"/>
    <w:rsid w:val="09E4E91B"/>
    <w:rsid w:val="09F0B4B6"/>
    <w:rsid w:val="09F3D287"/>
    <w:rsid w:val="09FE33F7"/>
    <w:rsid w:val="0A081FD5"/>
    <w:rsid w:val="0A0DD8C7"/>
    <w:rsid w:val="0A0E772B"/>
    <w:rsid w:val="0A18379D"/>
    <w:rsid w:val="0A1CE0E0"/>
    <w:rsid w:val="0A200114"/>
    <w:rsid w:val="0A26F201"/>
    <w:rsid w:val="0A2A647E"/>
    <w:rsid w:val="0A3049D3"/>
    <w:rsid w:val="0A308B10"/>
    <w:rsid w:val="0A3B81FF"/>
    <w:rsid w:val="0A46ECFC"/>
    <w:rsid w:val="0A49867E"/>
    <w:rsid w:val="0A4FB2A5"/>
    <w:rsid w:val="0A51C2DC"/>
    <w:rsid w:val="0A5493D5"/>
    <w:rsid w:val="0A5867D2"/>
    <w:rsid w:val="0A5CF02A"/>
    <w:rsid w:val="0A5FE943"/>
    <w:rsid w:val="0A6DBD3E"/>
    <w:rsid w:val="0A77CB36"/>
    <w:rsid w:val="0A78777E"/>
    <w:rsid w:val="0A7AA2C3"/>
    <w:rsid w:val="0A8118B6"/>
    <w:rsid w:val="0A841A09"/>
    <w:rsid w:val="0A845156"/>
    <w:rsid w:val="0A879177"/>
    <w:rsid w:val="0A8D07CB"/>
    <w:rsid w:val="0A913001"/>
    <w:rsid w:val="0A9327C0"/>
    <w:rsid w:val="0A97A0CB"/>
    <w:rsid w:val="0A9A8925"/>
    <w:rsid w:val="0A9EAED6"/>
    <w:rsid w:val="0A9FEFD4"/>
    <w:rsid w:val="0AA676DA"/>
    <w:rsid w:val="0AA69B4D"/>
    <w:rsid w:val="0AAA7D81"/>
    <w:rsid w:val="0AAB69C6"/>
    <w:rsid w:val="0AB23119"/>
    <w:rsid w:val="0AB8FF12"/>
    <w:rsid w:val="0AB9FE4C"/>
    <w:rsid w:val="0ABF5762"/>
    <w:rsid w:val="0AC0F2D8"/>
    <w:rsid w:val="0AC6A3DD"/>
    <w:rsid w:val="0AC7832F"/>
    <w:rsid w:val="0AC80E32"/>
    <w:rsid w:val="0ACA0CED"/>
    <w:rsid w:val="0AD0C388"/>
    <w:rsid w:val="0AD61A00"/>
    <w:rsid w:val="0ADFB2C1"/>
    <w:rsid w:val="0AE584D2"/>
    <w:rsid w:val="0AE622E9"/>
    <w:rsid w:val="0AED4C8D"/>
    <w:rsid w:val="0AEE7BBB"/>
    <w:rsid w:val="0AF3266D"/>
    <w:rsid w:val="0AF81F5A"/>
    <w:rsid w:val="0AFB4E55"/>
    <w:rsid w:val="0AFD1974"/>
    <w:rsid w:val="0B059F3E"/>
    <w:rsid w:val="0B07E2BA"/>
    <w:rsid w:val="0B0DBA64"/>
    <w:rsid w:val="0B1A5165"/>
    <w:rsid w:val="0B1B5BDC"/>
    <w:rsid w:val="0B1DE320"/>
    <w:rsid w:val="0B1E648B"/>
    <w:rsid w:val="0B34DCFC"/>
    <w:rsid w:val="0B39A19A"/>
    <w:rsid w:val="0B40115D"/>
    <w:rsid w:val="0B45F0AB"/>
    <w:rsid w:val="0B461D3F"/>
    <w:rsid w:val="0B4ED0BF"/>
    <w:rsid w:val="0B53A58C"/>
    <w:rsid w:val="0B5E9F59"/>
    <w:rsid w:val="0B64D494"/>
    <w:rsid w:val="0B6D7F0A"/>
    <w:rsid w:val="0B6F5897"/>
    <w:rsid w:val="0B6FF961"/>
    <w:rsid w:val="0B87B363"/>
    <w:rsid w:val="0B88693E"/>
    <w:rsid w:val="0B896F5F"/>
    <w:rsid w:val="0B8A3C42"/>
    <w:rsid w:val="0B99416F"/>
    <w:rsid w:val="0B9E6A13"/>
    <w:rsid w:val="0BA11FD0"/>
    <w:rsid w:val="0BA9CB3E"/>
    <w:rsid w:val="0BB2D507"/>
    <w:rsid w:val="0BB63C26"/>
    <w:rsid w:val="0BC8B8BC"/>
    <w:rsid w:val="0BCC3439"/>
    <w:rsid w:val="0BCFF240"/>
    <w:rsid w:val="0BD3AFA9"/>
    <w:rsid w:val="0BD75CCB"/>
    <w:rsid w:val="0BDBB908"/>
    <w:rsid w:val="0BE01B10"/>
    <w:rsid w:val="0BE41352"/>
    <w:rsid w:val="0BF66A5D"/>
    <w:rsid w:val="0C060988"/>
    <w:rsid w:val="0C175B8C"/>
    <w:rsid w:val="0C1A631E"/>
    <w:rsid w:val="0C2156B5"/>
    <w:rsid w:val="0C226DE0"/>
    <w:rsid w:val="0C2DA5C2"/>
    <w:rsid w:val="0C2F4870"/>
    <w:rsid w:val="0C301406"/>
    <w:rsid w:val="0C32CDA4"/>
    <w:rsid w:val="0C3AC15C"/>
    <w:rsid w:val="0C3E15B5"/>
    <w:rsid w:val="0C3E9E21"/>
    <w:rsid w:val="0C42690D"/>
    <w:rsid w:val="0C44BA5C"/>
    <w:rsid w:val="0C48E1BA"/>
    <w:rsid w:val="0C4C8EB0"/>
    <w:rsid w:val="0C557C49"/>
    <w:rsid w:val="0C5BBB03"/>
    <w:rsid w:val="0C5F763F"/>
    <w:rsid w:val="0C63E8B3"/>
    <w:rsid w:val="0C7812AB"/>
    <w:rsid w:val="0C7A4A2E"/>
    <w:rsid w:val="0C7CE032"/>
    <w:rsid w:val="0C7EE7B2"/>
    <w:rsid w:val="0C85994E"/>
    <w:rsid w:val="0C8C81C0"/>
    <w:rsid w:val="0C8D0462"/>
    <w:rsid w:val="0C9F9649"/>
    <w:rsid w:val="0CA002BD"/>
    <w:rsid w:val="0CA4BBAA"/>
    <w:rsid w:val="0CA4BC5A"/>
    <w:rsid w:val="0CA4DA27"/>
    <w:rsid w:val="0CB3810A"/>
    <w:rsid w:val="0CB4FA09"/>
    <w:rsid w:val="0CB6267C"/>
    <w:rsid w:val="0CB668C0"/>
    <w:rsid w:val="0CB7055E"/>
    <w:rsid w:val="0CB7D519"/>
    <w:rsid w:val="0CB86AC9"/>
    <w:rsid w:val="0CCE9472"/>
    <w:rsid w:val="0CD02DBB"/>
    <w:rsid w:val="0CD0AD5D"/>
    <w:rsid w:val="0CD17F43"/>
    <w:rsid w:val="0CD18CED"/>
    <w:rsid w:val="0CD24BE3"/>
    <w:rsid w:val="0CD8DE6E"/>
    <w:rsid w:val="0CE0CBF4"/>
    <w:rsid w:val="0CE13A89"/>
    <w:rsid w:val="0CEBCCEC"/>
    <w:rsid w:val="0CEE9915"/>
    <w:rsid w:val="0CF831C6"/>
    <w:rsid w:val="0D07BC57"/>
    <w:rsid w:val="0D150D73"/>
    <w:rsid w:val="0D1CA66D"/>
    <w:rsid w:val="0D1E6230"/>
    <w:rsid w:val="0D2076F5"/>
    <w:rsid w:val="0D215D9B"/>
    <w:rsid w:val="0D2C99D0"/>
    <w:rsid w:val="0D2D2318"/>
    <w:rsid w:val="0D306C40"/>
    <w:rsid w:val="0D4387F4"/>
    <w:rsid w:val="0D4DD7F5"/>
    <w:rsid w:val="0D52CD04"/>
    <w:rsid w:val="0D59C9BE"/>
    <w:rsid w:val="0D6663B4"/>
    <w:rsid w:val="0D6FB105"/>
    <w:rsid w:val="0D7117EC"/>
    <w:rsid w:val="0D733C3D"/>
    <w:rsid w:val="0D741658"/>
    <w:rsid w:val="0D77EC3B"/>
    <w:rsid w:val="0D7D6344"/>
    <w:rsid w:val="0D84F61A"/>
    <w:rsid w:val="0D8914C6"/>
    <w:rsid w:val="0D8BB119"/>
    <w:rsid w:val="0D8BC351"/>
    <w:rsid w:val="0D94FD70"/>
    <w:rsid w:val="0D9EC77C"/>
    <w:rsid w:val="0DA2214A"/>
    <w:rsid w:val="0DA4DB00"/>
    <w:rsid w:val="0DA62090"/>
    <w:rsid w:val="0DAB51D6"/>
    <w:rsid w:val="0DAFF94A"/>
    <w:rsid w:val="0DB486D7"/>
    <w:rsid w:val="0DB73CDD"/>
    <w:rsid w:val="0DB88972"/>
    <w:rsid w:val="0DB9F7D3"/>
    <w:rsid w:val="0DBCC346"/>
    <w:rsid w:val="0DBDD77C"/>
    <w:rsid w:val="0DC17EC1"/>
    <w:rsid w:val="0DC494F4"/>
    <w:rsid w:val="0DC6E8A8"/>
    <w:rsid w:val="0DD44A48"/>
    <w:rsid w:val="0DD9E759"/>
    <w:rsid w:val="0DE401C2"/>
    <w:rsid w:val="0DE86ACA"/>
    <w:rsid w:val="0DEAFB2E"/>
    <w:rsid w:val="0DECE582"/>
    <w:rsid w:val="0DF3591A"/>
    <w:rsid w:val="0DFBF3D4"/>
    <w:rsid w:val="0E01A3BC"/>
    <w:rsid w:val="0E01E5AC"/>
    <w:rsid w:val="0E04A6B2"/>
    <w:rsid w:val="0E0A6664"/>
    <w:rsid w:val="0E1FF6B1"/>
    <w:rsid w:val="0E203027"/>
    <w:rsid w:val="0E203635"/>
    <w:rsid w:val="0E2E607E"/>
    <w:rsid w:val="0E3BEB78"/>
    <w:rsid w:val="0E426C62"/>
    <w:rsid w:val="0E4C2451"/>
    <w:rsid w:val="0E4C8F46"/>
    <w:rsid w:val="0E4D0223"/>
    <w:rsid w:val="0E68063D"/>
    <w:rsid w:val="0E6956B5"/>
    <w:rsid w:val="0E701942"/>
    <w:rsid w:val="0E99C01F"/>
    <w:rsid w:val="0E99CCCF"/>
    <w:rsid w:val="0E9BC5D9"/>
    <w:rsid w:val="0E9FB0FF"/>
    <w:rsid w:val="0EA09D1A"/>
    <w:rsid w:val="0EAE42D1"/>
    <w:rsid w:val="0EC53703"/>
    <w:rsid w:val="0EC659AD"/>
    <w:rsid w:val="0ECD3973"/>
    <w:rsid w:val="0ED15A0B"/>
    <w:rsid w:val="0EE13038"/>
    <w:rsid w:val="0EE27DF9"/>
    <w:rsid w:val="0EE32014"/>
    <w:rsid w:val="0EE754B7"/>
    <w:rsid w:val="0EE96DBB"/>
    <w:rsid w:val="0EF4DCEE"/>
    <w:rsid w:val="0EF7C2D6"/>
    <w:rsid w:val="0EFF1795"/>
    <w:rsid w:val="0F06E1B9"/>
    <w:rsid w:val="0F15D698"/>
    <w:rsid w:val="0F245A4C"/>
    <w:rsid w:val="0F307FD8"/>
    <w:rsid w:val="0F31AF34"/>
    <w:rsid w:val="0F3AB018"/>
    <w:rsid w:val="0F470FD7"/>
    <w:rsid w:val="0F48C9F9"/>
    <w:rsid w:val="0F5CD3FE"/>
    <w:rsid w:val="0F5E7295"/>
    <w:rsid w:val="0F5F8719"/>
    <w:rsid w:val="0F6204C5"/>
    <w:rsid w:val="0F6449B9"/>
    <w:rsid w:val="0F68C1A6"/>
    <w:rsid w:val="0F7546E1"/>
    <w:rsid w:val="0F7BC536"/>
    <w:rsid w:val="0F7E2C69"/>
    <w:rsid w:val="0F8875A3"/>
    <w:rsid w:val="0F8F3C3C"/>
    <w:rsid w:val="0F906D7B"/>
    <w:rsid w:val="0F9146CB"/>
    <w:rsid w:val="0FA1BEF8"/>
    <w:rsid w:val="0FA4F648"/>
    <w:rsid w:val="0FB2FE01"/>
    <w:rsid w:val="0FB3E7AA"/>
    <w:rsid w:val="0FB40743"/>
    <w:rsid w:val="0FB5A794"/>
    <w:rsid w:val="0FBC6C8F"/>
    <w:rsid w:val="0FBCE341"/>
    <w:rsid w:val="0FC4236F"/>
    <w:rsid w:val="0FCB6440"/>
    <w:rsid w:val="0FD7A031"/>
    <w:rsid w:val="0FDC0F53"/>
    <w:rsid w:val="0FE62630"/>
    <w:rsid w:val="0FEC94EC"/>
    <w:rsid w:val="0FECEBA8"/>
    <w:rsid w:val="0FEFC9B2"/>
    <w:rsid w:val="0FF72DEC"/>
    <w:rsid w:val="0FFDCFC3"/>
    <w:rsid w:val="1009B1F8"/>
    <w:rsid w:val="100B15E8"/>
    <w:rsid w:val="100C52DD"/>
    <w:rsid w:val="1014D2AA"/>
    <w:rsid w:val="1019C972"/>
    <w:rsid w:val="1028FF85"/>
    <w:rsid w:val="10316E96"/>
    <w:rsid w:val="1037C2F7"/>
    <w:rsid w:val="1038D82E"/>
    <w:rsid w:val="104D1D8D"/>
    <w:rsid w:val="1051246D"/>
    <w:rsid w:val="10585A72"/>
    <w:rsid w:val="1058F3C2"/>
    <w:rsid w:val="105C1825"/>
    <w:rsid w:val="105E378B"/>
    <w:rsid w:val="106047F8"/>
    <w:rsid w:val="10779FAF"/>
    <w:rsid w:val="10791AE3"/>
    <w:rsid w:val="109732A5"/>
    <w:rsid w:val="109DB54C"/>
    <w:rsid w:val="10A2557A"/>
    <w:rsid w:val="10A751C7"/>
    <w:rsid w:val="10A8D6BC"/>
    <w:rsid w:val="10AA5210"/>
    <w:rsid w:val="10ADCAB7"/>
    <w:rsid w:val="10AE35C3"/>
    <w:rsid w:val="10AE3662"/>
    <w:rsid w:val="10B21704"/>
    <w:rsid w:val="10C5D094"/>
    <w:rsid w:val="10C8A418"/>
    <w:rsid w:val="10CAC29E"/>
    <w:rsid w:val="10D311B7"/>
    <w:rsid w:val="10E2EBF8"/>
    <w:rsid w:val="10E302F8"/>
    <w:rsid w:val="10E98363"/>
    <w:rsid w:val="10F4BF85"/>
    <w:rsid w:val="10FD410E"/>
    <w:rsid w:val="10FE969D"/>
    <w:rsid w:val="1102066B"/>
    <w:rsid w:val="110640E1"/>
    <w:rsid w:val="1115A86B"/>
    <w:rsid w:val="111AD0A9"/>
    <w:rsid w:val="111DE847"/>
    <w:rsid w:val="1122CE3D"/>
    <w:rsid w:val="1125F1ED"/>
    <w:rsid w:val="112E4643"/>
    <w:rsid w:val="112F95A7"/>
    <w:rsid w:val="11315388"/>
    <w:rsid w:val="1134BE3E"/>
    <w:rsid w:val="1136FABC"/>
    <w:rsid w:val="11371A06"/>
    <w:rsid w:val="1140FF6E"/>
    <w:rsid w:val="1141CE6D"/>
    <w:rsid w:val="1145E346"/>
    <w:rsid w:val="114C4869"/>
    <w:rsid w:val="1152D36F"/>
    <w:rsid w:val="11546EDE"/>
    <w:rsid w:val="1157D6F7"/>
    <w:rsid w:val="115A9766"/>
    <w:rsid w:val="115D4043"/>
    <w:rsid w:val="11615124"/>
    <w:rsid w:val="116768E8"/>
    <w:rsid w:val="1180FFDC"/>
    <w:rsid w:val="11902AAD"/>
    <w:rsid w:val="1191B8B2"/>
    <w:rsid w:val="1198F6FD"/>
    <w:rsid w:val="1199D309"/>
    <w:rsid w:val="119D715A"/>
    <w:rsid w:val="119EEC7D"/>
    <w:rsid w:val="11A94405"/>
    <w:rsid w:val="11B3801D"/>
    <w:rsid w:val="11B60A0C"/>
    <w:rsid w:val="11BBDCE2"/>
    <w:rsid w:val="11C5FCB0"/>
    <w:rsid w:val="11C97887"/>
    <w:rsid w:val="11CA5F9B"/>
    <w:rsid w:val="11CDD0BD"/>
    <w:rsid w:val="11D4E33D"/>
    <w:rsid w:val="11E19204"/>
    <w:rsid w:val="11E237EE"/>
    <w:rsid w:val="11E71E3D"/>
    <w:rsid w:val="11EDE018"/>
    <w:rsid w:val="11FD0EB3"/>
    <w:rsid w:val="12119552"/>
    <w:rsid w:val="1215607E"/>
    <w:rsid w:val="12159E9D"/>
    <w:rsid w:val="1216210F"/>
    <w:rsid w:val="12203EB1"/>
    <w:rsid w:val="1227A525"/>
    <w:rsid w:val="1229985A"/>
    <w:rsid w:val="122BA6E6"/>
    <w:rsid w:val="1230B180"/>
    <w:rsid w:val="1236EB51"/>
    <w:rsid w:val="123A7175"/>
    <w:rsid w:val="1241A98E"/>
    <w:rsid w:val="12486C27"/>
    <w:rsid w:val="124D6113"/>
    <w:rsid w:val="12511B2F"/>
    <w:rsid w:val="1252FBDD"/>
    <w:rsid w:val="125BFB0E"/>
    <w:rsid w:val="12607BA7"/>
    <w:rsid w:val="12616710"/>
    <w:rsid w:val="12698BA8"/>
    <w:rsid w:val="126C4B35"/>
    <w:rsid w:val="126CE655"/>
    <w:rsid w:val="1278AC59"/>
    <w:rsid w:val="127A9FEB"/>
    <w:rsid w:val="1281F8C9"/>
    <w:rsid w:val="12948EB5"/>
    <w:rsid w:val="1295B703"/>
    <w:rsid w:val="12969695"/>
    <w:rsid w:val="1298C809"/>
    <w:rsid w:val="129C3D5C"/>
    <w:rsid w:val="12A02CF3"/>
    <w:rsid w:val="12A33576"/>
    <w:rsid w:val="12A43089"/>
    <w:rsid w:val="12A80530"/>
    <w:rsid w:val="12AC4CF0"/>
    <w:rsid w:val="12B1B360"/>
    <w:rsid w:val="12B51186"/>
    <w:rsid w:val="12B6C06C"/>
    <w:rsid w:val="12C8442B"/>
    <w:rsid w:val="12D38C2E"/>
    <w:rsid w:val="12D39091"/>
    <w:rsid w:val="12DF74CB"/>
    <w:rsid w:val="12F21431"/>
    <w:rsid w:val="12F3A758"/>
    <w:rsid w:val="12F76931"/>
    <w:rsid w:val="12FA2C77"/>
    <w:rsid w:val="12FC876F"/>
    <w:rsid w:val="1309B8F2"/>
    <w:rsid w:val="130D3AD0"/>
    <w:rsid w:val="1310769B"/>
    <w:rsid w:val="1316ADA3"/>
    <w:rsid w:val="131C5792"/>
    <w:rsid w:val="131D30D9"/>
    <w:rsid w:val="131F1642"/>
    <w:rsid w:val="13221D24"/>
    <w:rsid w:val="132CB418"/>
    <w:rsid w:val="13313B40"/>
    <w:rsid w:val="1333BF99"/>
    <w:rsid w:val="13351C9C"/>
    <w:rsid w:val="133BF389"/>
    <w:rsid w:val="13501F3D"/>
    <w:rsid w:val="135368AD"/>
    <w:rsid w:val="1354EE71"/>
    <w:rsid w:val="13574291"/>
    <w:rsid w:val="136548E8"/>
    <w:rsid w:val="136C50E9"/>
    <w:rsid w:val="136EA342"/>
    <w:rsid w:val="136FD0FC"/>
    <w:rsid w:val="13703D1C"/>
    <w:rsid w:val="1374CD36"/>
    <w:rsid w:val="1378A14F"/>
    <w:rsid w:val="13794E97"/>
    <w:rsid w:val="137F128E"/>
    <w:rsid w:val="138BA965"/>
    <w:rsid w:val="1396A5BA"/>
    <w:rsid w:val="1397D0E4"/>
    <w:rsid w:val="139B1F3C"/>
    <w:rsid w:val="13A64063"/>
    <w:rsid w:val="13AB5B6D"/>
    <w:rsid w:val="13ADCCFB"/>
    <w:rsid w:val="13B2EA51"/>
    <w:rsid w:val="13B6902B"/>
    <w:rsid w:val="13BCC333"/>
    <w:rsid w:val="13BCCB86"/>
    <w:rsid w:val="13C00D4C"/>
    <w:rsid w:val="13C97078"/>
    <w:rsid w:val="13CCE487"/>
    <w:rsid w:val="13CF5706"/>
    <w:rsid w:val="13D0B7FB"/>
    <w:rsid w:val="13D9F21E"/>
    <w:rsid w:val="13E5C801"/>
    <w:rsid w:val="13E9CAF0"/>
    <w:rsid w:val="13ECA4C8"/>
    <w:rsid w:val="13F4876E"/>
    <w:rsid w:val="13F8564A"/>
    <w:rsid w:val="13FD6E73"/>
    <w:rsid w:val="1413C35C"/>
    <w:rsid w:val="141565DB"/>
    <w:rsid w:val="142115F4"/>
    <w:rsid w:val="1429B65A"/>
    <w:rsid w:val="142B8F39"/>
    <w:rsid w:val="142F9885"/>
    <w:rsid w:val="1432824A"/>
    <w:rsid w:val="1434E729"/>
    <w:rsid w:val="14432CAA"/>
    <w:rsid w:val="1446FF7F"/>
    <w:rsid w:val="144CF859"/>
    <w:rsid w:val="144E2FBD"/>
    <w:rsid w:val="14500D06"/>
    <w:rsid w:val="14504335"/>
    <w:rsid w:val="14553899"/>
    <w:rsid w:val="145978AC"/>
    <w:rsid w:val="145E1B0F"/>
    <w:rsid w:val="1460AAEB"/>
    <w:rsid w:val="1461E41B"/>
    <w:rsid w:val="146591B5"/>
    <w:rsid w:val="146B39B5"/>
    <w:rsid w:val="146C5F00"/>
    <w:rsid w:val="14721BEF"/>
    <w:rsid w:val="147433A4"/>
    <w:rsid w:val="1488673A"/>
    <w:rsid w:val="1497E18D"/>
    <w:rsid w:val="149B30EC"/>
    <w:rsid w:val="149EEEEA"/>
    <w:rsid w:val="14A276BA"/>
    <w:rsid w:val="14A9AF04"/>
    <w:rsid w:val="14B45208"/>
    <w:rsid w:val="14BFD665"/>
    <w:rsid w:val="14C1A93D"/>
    <w:rsid w:val="14C92852"/>
    <w:rsid w:val="14C9F99B"/>
    <w:rsid w:val="14CA04C9"/>
    <w:rsid w:val="14D7D127"/>
    <w:rsid w:val="14E39DA3"/>
    <w:rsid w:val="14E4394F"/>
    <w:rsid w:val="14E648E4"/>
    <w:rsid w:val="14EBB3B4"/>
    <w:rsid w:val="14ED9B79"/>
    <w:rsid w:val="14FFA3BD"/>
    <w:rsid w:val="15000DCA"/>
    <w:rsid w:val="150ABACD"/>
    <w:rsid w:val="151A41A6"/>
    <w:rsid w:val="151B2393"/>
    <w:rsid w:val="15240E2E"/>
    <w:rsid w:val="1524FA4A"/>
    <w:rsid w:val="15279BC2"/>
    <w:rsid w:val="152F33D1"/>
    <w:rsid w:val="15305EA7"/>
    <w:rsid w:val="153B9575"/>
    <w:rsid w:val="153CF8C6"/>
    <w:rsid w:val="1544FD97"/>
    <w:rsid w:val="1551486E"/>
    <w:rsid w:val="15594511"/>
    <w:rsid w:val="1559C9CD"/>
    <w:rsid w:val="155D9311"/>
    <w:rsid w:val="156021F3"/>
    <w:rsid w:val="1562E652"/>
    <w:rsid w:val="156F6AC1"/>
    <w:rsid w:val="157156D2"/>
    <w:rsid w:val="15760F95"/>
    <w:rsid w:val="15794A50"/>
    <w:rsid w:val="157E59E2"/>
    <w:rsid w:val="157EA091"/>
    <w:rsid w:val="1580858B"/>
    <w:rsid w:val="158F7D05"/>
    <w:rsid w:val="15AA9432"/>
    <w:rsid w:val="15AE1A2E"/>
    <w:rsid w:val="15B76147"/>
    <w:rsid w:val="15B97EDA"/>
    <w:rsid w:val="15BB5F58"/>
    <w:rsid w:val="15BE3EE1"/>
    <w:rsid w:val="15C08B7C"/>
    <w:rsid w:val="15C0E490"/>
    <w:rsid w:val="15C7271B"/>
    <w:rsid w:val="15CB88DD"/>
    <w:rsid w:val="15D3CB5D"/>
    <w:rsid w:val="15D9CDD9"/>
    <w:rsid w:val="15DD5673"/>
    <w:rsid w:val="15E7F891"/>
    <w:rsid w:val="15EE87F9"/>
    <w:rsid w:val="15F3CD9E"/>
    <w:rsid w:val="15F90DD1"/>
    <w:rsid w:val="15FB013D"/>
    <w:rsid w:val="15FD991E"/>
    <w:rsid w:val="15FF4D2F"/>
    <w:rsid w:val="16070A16"/>
    <w:rsid w:val="160A35D6"/>
    <w:rsid w:val="160B34DA"/>
    <w:rsid w:val="160EF79C"/>
    <w:rsid w:val="16128952"/>
    <w:rsid w:val="1614BC08"/>
    <w:rsid w:val="161F0574"/>
    <w:rsid w:val="162619AE"/>
    <w:rsid w:val="16294F27"/>
    <w:rsid w:val="162E2B8A"/>
    <w:rsid w:val="16304CF3"/>
    <w:rsid w:val="16320523"/>
    <w:rsid w:val="16349C42"/>
    <w:rsid w:val="16382728"/>
    <w:rsid w:val="163CFD18"/>
    <w:rsid w:val="163DCD9F"/>
    <w:rsid w:val="163DD707"/>
    <w:rsid w:val="163E00FC"/>
    <w:rsid w:val="164CB44F"/>
    <w:rsid w:val="16585DC9"/>
    <w:rsid w:val="16595F2A"/>
    <w:rsid w:val="16623776"/>
    <w:rsid w:val="166E0D26"/>
    <w:rsid w:val="167AC049"/>
    <w:rsid w:val="167C6DFA"/>
    <w:rsid w:val="167F7D29"/>
    <w:rsid w:val="16811D70"/>
    <w:rsid w:val="1690EBF1"/>
    <w:rsid w:val="16935E2A"/>
    <w:rsid w:val="1699D526"/>
    <w:rsid w:val="169A3453"/>
    <w:rsid w:val="169B5ED8"/>
    <w:rsid w:val="16A184FE"/>
    <w:rsid w:val="16A4AE6C"/>
    <w:rsid w:val="16A4DEB4"/>
    <w:rsid w:val="16A5E07D"/>
    <w:rsid w:val="16A99EA5"/>
    <w:rsid w:val="16B3A073"/>
    <w:rsid w:val="16B45A83"/>
    <w:rsid w:val="16BBAB36"/>
    <w:rsid w:val="16C09A1B"/>
    <w:rsid w:val="16C683E7"/>
    <w:rsid w:val="16C9B6A8"/>
    <w:rsid w:val="16D19C97"/>
    <w:rsid w:val="16D79C4C"/>
    <w:rsid w:val="16D9EDD3"/>
    <w:rsid w:val="16DCE883"/>
    <w:rsid w:val="16E1855A"/>
    <w:rsid w:val="16ECD055"/>
    <w:rsid w:val="16F3AFD4"/>
    <w:rsid w:val="16FE8B85"/>
    <w:rsid w:val="170858BD"/>
    <w:rsid w:val="1708C2D3"/>
    <w:rsid w:val="170EA2B6"/>
    <w:rsid w:val="17136772"/>
    <w:rsid w:val="1716E71F"/>
    <w:rsid w:val="17173D06"/>
    <w:rsid w:val="172310AC"/>
    <w:rsid w:val="17241CCE"/>
    <w:rsid w:val="172643A8"/>
    <w:rsid w:val="172ABB3D"/>
    <w:rsid w:val="172BACD6"/>
    <w:rsid w:val="172F9276"/>
    <w:rsid w:val="172FF70C"/>
    <w:rsid w:val="1736EC34"/>
    <w:rsid w:val="1737D632"/>
    <w:rsid w:val="1737E59C"/>
    <w:rsid w:val="17394FAD"/>
    <w:rsid w:val="173C3449"/>
    <w:rsid w:val="173E3EEC"/>
    <w:rsid w:val="1743A5F8"/>
    <w:rsid w:val="17547B66"/>
    <w:rsid w:val="17567676"/>
    <w:rsid w:val="17567D16"/>
    <w:rsid w:val="1759C49D"/>
    <w:rsid w:val="176483E3"/>
    <w:rsid w:val="1764B9C2"/>
    <w:rsid w:val="1770F9E8"/>
    <w:rsid w:val="1779D7CB"/>
    <w:rsid w:val="177A014E"/>
    <w:rsid w:val="177D369A"/>
    <w:rsid w:val="17828CF1"/>
    <w:rsid w:val="1793BD80"/>
    <w:rsid w:val="179425EB"/>
    <w:rsid w:val="17949912"/>
    <w:rsid w:val="1794A773"/>
    <w:rsid w:val="1795A200"/>
    <w:rsid w:val="1799394C"/>
    <w:rsid w:val="17A2DA77"/>
    <w:rsid w:val="17A2E9FD"/>
    <w:rsid w:val="17A63C40"/>
    <w:rsid w:val="17A63D3B"/>
    <w:rsid w:val="17B3D666"/>
    <w:rsid w:val="17BB999F"/>
    <w:rsid w:val="17C050C6"/>
    <w:rsid w:val="17C46B3D"/>
    <w:rsid w:val="17C814E0"/>
    <w:rsid w:val="17CCC6CC"/>
    <w:rsid w:val="17CE4D27"/>
    <w:rsid w:val="17D31D35"/>
    <w:rsid w:val="17D863CB"/>
    <w:rsid w:val="17E3988C"/>
    <w:rsid w:val="17E40A16"/>
    <w:rsid w:val="17E66BFA"/>
    <w:rsid w:val="17F7CE88"/>
    <w:rsid w:val="17F9CA13"/>
    <w:rsid w:val="17FAE411"/>
    <w:rsid w:val="17FD684D"/>
    <w:rsid w:val="17FEE020"/>
    <w:rsid w:val="18021CB0"/>
    <w:rsid w:val="181C979F"/>
    <w:rsid w:val="18257690"/>
    <w:rsid w:val="182E1D04"/>
    <w:rsid w:val="18380E99"/>
    <w:rsid w:val="18432D26"/>
    <w:rsid w:val="184E3A30"/>
    <w:rsid w:val="18575674"/>
    <w:rsid w:val="185916B8"/>
    <w:rsid w:val="1859B7A5"/>
    <w:rsid w:val="185BAED7"/>
    <w:rsid w:val="18665864"/>
    <w:rsid w:val="186E905F"/>
    <w:rsid w:val="187067DD"/>
    <w:rsid w:val="188078C3"/>
    <w:rsid w:val="18838999"/>
    <w:rsid w:val="1884FB05"/>
    <w:rsid w:val="188A502C"/>
    <w:rsid w:val="188EA413"/>
    <w:rsid w:val="188FC14C"/>
    <w:rsid w:val="18937082"/>
    <w:rsid w:val="18952955"/>
    <w:rsid w:val="189893D5"/>
    <w:rsid w:val="18A8415E"/>
    <w:rsid w:val="18A9F58E"/>
    <w:rsid w:val="18B440E2"/>
    <w:rsid w:val="18B794F2"/>
    <w:rsid w:val="18C81E53"/>
    <w:rsid w:val="18CC781E"/>
    <w:rsid w:val="18CFDDC1"/>
    <w:rsid w:val="18D41886"/>
    <w:rsid w:val="18D71D05"/>
    <w:rsid w:val="18D8A0E8"/>
    <w:rsid w:val="18E33506"/>
    <w:rsid w:val="18E3C09E"/>
    <w:rsid w:val="18EE7D31"/>
    <w:rsid w:val="18F9EFD6"/>
    <w:rsid w:val="1903DBFC"/>
    <w:rsid w:val="19057B96"/>
    <w:rsid w:val="1905DC15"/>
    <w:rsid w:val="190D150A"/>
    <w:rsid w:val="1912F138"/>
    <w:rsid w:val="1913749A"/>
    <w:rsid w:val="1914C86D"/>
    <w:rsid w:val="1915D2D7"/>
    <w:rsid w:val="192DE81E"/>
    <w:rsid w:val="192F7AA4"/>
    <w:rsid w:val="19338028"/>
    <w:rsid w:val="193785AF"/>
    <w:rsid w:val="1939307D"/>
    <w:rsid w:val="193C0EAF"/>
    <w:rsid w:val="1946985E"/>
    <w:rsid w:val="1947BDA9"/>
    <w:rsid w:val="195F11F3"/>
    <w:rsid w:val="196717AF"/>
    <w:rsid w:val="198E1E90"/>
    <w:rsid w:val="1991E030"/>
    <w:rsid w:val="1995DCAD"/>
    <w:rsid w:val="1997F2FC"/>
    <w:rsid w:val="199C9601"/>
    <w:rsid w:val="19A333D4"/>
    <w:rsid w:val="19A67A73"/>
    <w:rsid w:val="19AB50D2"/>
    <w:rsid w:val="19AE1425"/>
    <w:rsid w:val="19AED688"/>
    <w:rsid w:val="19AFC634"/>
    <w:rsid w:val="19B76149"/>
    <w:rsid w:val="19B79CDA"/>
    <w:rsid w:val="19C8047E"/>
    <w:rsid w:val="19D1D7D8"/>
    <w:rsid w:val="19DF931D"/>
    <w:rsid w:val="19EE0BCF"/>
    <w:rsid w:val="19EF91CB"/>
    <w:rsid w:val="19F58F4A"/>
    <w:rsid w:val="19F98084"/>
    <w:rsid w:val="19FA816D"/>
    <w:rsid w:val="19FBA10E"/>
    <w:rsid w:val="1A07CE29"/>
    <w:rsid w:val="1A0CDBAD"/>
    <w:rsid w:val="1A207263"/>
    <w:rsid w:val="1A253AEA"/>
    <w:rsid w:val="1A25868D"/>
    <w:rsid w:val="1A2659A4"/>
    <w:rsid w:val="1A289016"/>
    <w:rsid w:val="1A2AF360"/>
    <w:rsid w:val="1A2C720A"/>
    <w:rsid w:val="1A32B70A"/>
    <w:rsid w:val="1A37419F"/>
    <w:rsid w:val="1A40FACC"/>
    <w:rsid w:val="1A49869A"/>
    <w:rsid w:val="1A4D4537"/>
    <w:rsid w:val="1A556499"/>
    <w:rsid w:val="1A55DE19"/>
    <w:rsid w:val="1A568973"/>
    <w:rsid w:val="1A5B9D74"/>
    <w:rsid w:val="1A5EA4A9"/>
    <w:rsid w:val="1A5EDCAE"/>
    <w:rsid w:val="1A8210E8"/>
    <w:rsid w:val="1A8B8672"/>
    <w:rsid w:val="1A8D1E23"/>
    <w:rsid w:val="1A9B464E"/>
    <w:rsid w:val="1A9CC149"/>
    <w:rsid w:val="1A9F9B60"/>
    <w:rsid w:val="1AAAA6F3"/>
    <w:rsid w:val="1AAE440A"/>
    <w:rsid w:val="1AB03A75"/>
    <w:rsid w:val="1AB22227"/>
    <w:rsid w:val="1AB5B749"/>
    <w:rsid w:val="1AB66D24"/>
    <w:rsid w:val="1ABA194C"/>
    <w:rsid w:val="1AC057E9"/>
    <w:rsid w:val="1AD41427"/>
    <w:rsid w:val="1AD7DF10"/>
    <w:rsid w:val="1AD8D61C"/>
    <w:rsid w:val="1ADDFC49"/>
    <w:rsid w:val="1ADE9300"/>
    <w:rsid w:val="1ADE9C69"/>
    <w:rsid w:val="1ADF0428"/>
    <w:rsid w:val="1ADF4E14"/>
    <w:rsid w:val="1AE316F9"/>
    <w:rsid w:val="1AE622BF"/>
    <w:rsid w:val="1AF5C9BF"/>
    <w:rsid w:val="1AF8304E"/>
    <w:rsid w:val="1AFE81A7"/>
    <w:rsid w:val="1AFEB46E"/>
    <w:rsid w:val="1AFF238A"/>
    <w:rsid w:val="1AFFF753"/>
    <w:rsid w:val="1AFFFF75"/>
    <w:rsid w:val="1B005554"/>
    <w:rsid w:val="1B117385"/>
    <w:rsid w:val="1B13FDB8"/>
    <w:rsid w:val="1B1C64D2"/>
    <w:rsid w:val="1B2EBFB2"/>
    <w:rsid w:val="1B2EE9E5"/>
    <w:rsid w:val="1B2FB928"/>
    <w:rsid w:val="1B33A5E7"/>
    <w:rsid w:val="1B35C8D0"/>
    <w:rsid w:val="1B3A5E06"/>
    <w:rsid w:val="1B3F02A3"/>
    <w:rsid w:val="1B40B68D"/>
    <w:rsid w:val="1B428D2D"/>
    <w:rsid w:val="1B4CBC3D"/>
    <w:rsid w:val="1B4F0699"/>
    <w:rsid w:val="1B502FDF"/>
    <w:rsid w:val="1B523BDD"/>
    <w:rsid w:val="1B557582"/>
    <w:rsid w:val="1B559BCB"/>
    <w:rsid w:val="1B5CF61B"/>
    <w:rsid w:val="1B6518BB"/>
    <w:rsid w:val="1B68AEB9"/>
    <w:rsid w:val="1B6E0DDB"/>
    <w:rsid w:val="1B75E497"/>
    <w:rsid w:val="1B8D08C4"/>
    <w:rsid w:val="1BA83E38"/>
    <w:rsid w:val="1BAE4E03"/>
    <w:rsid w:val="1BAF3B8A"/>
    <w:rsid w:val="1BB2848B"/>
    <w:rsid w:val="1BB7E188"/>
    <w:rsid w:val="1BC9C7D0"/>
    <w:rsid w:val="1BCAB2DA"/>
    <w:rsid w:val="1BCC3502"/>
    <w:rsid w:val="1BD26133"/>
    <w:rsid w:val="1BD45838"/>
    <w:rsid w:val="1BD4BA75"/>
    <w:rsid w:val="1BD61CA5"/>
    <w:rsid w:val="1BD79FCA"/>
    <w:rsid w:val="1BEA65F7"/>
    <w:rsid w:val="1BF3BE38"/>
    <w:rsid w:val="1BF94C5F"/>
    <w:rsid w:val="1C02A60C"/>
    <w:rsid w:val="1C09E229"/>
    <w:rsid w:val="1C15C45E"/>
    <w:rsid w:val="1C16E7BB"/>
    <w:rsid w:val="1C1B2C6A"/>
    <w:rsid w:val="1C1E6C5B"/>
    <w:rsid w:val="1C2020A8"/>
    <w:rsid w:val="1C23BA6E"/>
    <w:rsid w:val="1C25EF22"/>
    <w:rsid w:val="1C2E534F"/>
    <w:rsid w:val="1C3542AA"/>
    <w:rsid w:val="1C391528"/>
    <w:rsid w:val="1C3FAC0E"/>
    <w:rsid w:val="1C48E1BA"/>
    <w:rsid w:val="1C4D17E0"/>
    <w:rsid w:val="1C5DE562"/>
    <w:rsid w:val="1C68C17D"/>
    <w:rsid w:val="1C6BF172"/>
    <w:rsid w:val="1C775516"/>
    <w:rsid w:val="1C8A6B0A"/>
    <w:rsid w:val="1C9B2841"/>
    <w:rsid w:val="1CA30835"/>
    <w:rsid w:val="1CADB946"/>
    <w:rsid w:val="1CB1CD1C"/>
    <w:rsid w:val="1CB2EE70"/>
    <w:rsid w:val="1CB42E46"/>
    <w:rsid w:val="1CBEB8BB"/>
    <w:rsid w:val="1CC700A7"/>
    <w:rsid w:val="1CCC61AA"/>
    <w:rsid w:val="1CCC7768"/>
    <w:rsid w:val="1CD4B6AE"/>
    <w:rsid w:val="1CD599B6"/>
    <w:rsid w:val="1CDFF591"/>
    <w:rsid w:val="1CEB79A0"/>
    <w:rsid w:val="1CEEBEAD"/>
    <w:rsid w:val="1CF4AB0F"/>
    <w:rsid w:val="1CF5FD55"/>
    <w:rsid w:val="1D01B4FB"/>
    <w:rsid w:val="1D03AD39"/>
    <w:rsid w:val="1D05EBE2"/>
    <w:rsid w:val="1D119F3A"/>
    <w:rsid w:val="1D11B145"/>
    <w:rsid w:val="1D1E71D1"/>
    <w:rsid w:val="1D1EA0C8"/>
    <w:rsid w:val="1D2B713B"/>
    <w:rsid w:val="1D2D98D3"/>
    <w:rsid w:val="1D31C668"/>
    <w:rsid w:val="1D4B63C8"/>
    <w:rsid w:val="1D4DC429"/>
    <w:rsid w:val="1D4F7A62"/>
    <w:rsid w:val="1D523963"/>
    <w:rsid w:val="1D525EC9"/>
    <w:rsid w:val="1D52C0E8"/>
    <w:rsid w:val="1D544525"/>
    <w:rsid w:val="1D61EC25"/>
    <w:rsid w:val="1D629422"/>
    <w:rsid w:val="1D6CA124"/>
    <w:rsid w:val="1D75F6B4"/>
    <w:rsid w:val="1D795DEF"/>
    <w:rsid w:val="1D799200"/>
    <w:rsid w:val="1D7F94DE"/>
    <w:rsid w:val="1D8AE3DD"/>
    <w:rsid w:val="1D8ECF4E"/>
    <w:rsid w:val="1D947A3A"/>
    <w:rsid w:val="1D95A0F4"/>
    <w:rsid w:val="1D97CF57"/>
    <w:rsid w:val="1DA4A4B9"/>
    <w:rsid w:val="1DA81A52"/>
    <w:rsid w:val="1DAABBE1"/>
    <w:rsid w:val="1DB37182"/>
    <w:rsid w:val="1DB7D612"/>
    <w:rsid w:val="1DC53BBC"/>
    <w:rsid w:val="1DC6CE4C"/>
    <w:rsid w:val="1DD0DED3"/>
    <w:rsid w:val="1DD90D7C"/>
    <w:rsid w:val="1DDCDFA6"/>
    <w:rsid w:val="1E00E124"/>
    <w:rsid w:val="1E011279"/>
    <w:rsid w:val="1E04B64E"/>
    <w:rsid w:val="1E05664A"/>
    <w:rsid w:val="1E0BC039"/>
    <w:rsid w:val="1E0D483D"/>
    <w:rsid w:val="1E1128F8"/>
    <w:rsid w:val="1E18FE35"/>
    <w:rsid w:val="1E1F39DB"/>
    <w:rsid w:val="1E38BFD3"/>
    <w:rsid w:val="1E3F667F"/>
    <w:rsid w:val="1E4D09AE"/>
    <w:rsid w:val="1E4E1C43"/>
    <w:rsid w:val="1E4F6E53"/>
    <w:rsid w:val="1E572165"/>
    <w:rsid w:val="1E58ED0F"/>
    <w:rsid w:val="1E5F4A19"/>
    <w:rsid w:val="1E604BDF"/>
    <w:rsid w:val="1E62FB24"/>
    <w:rsid w:val="1E732228"/>
    <w:rsid w:val="1E7A86A5"/>
    <w:rsid w:val="1E7CAF9C"/>
    <w:rsid w:val="1E979529"/>
    <w:rsid w:val="1E9E025A"/>
    <w:rsid w:val="1EA31A6A"/>
    <w:rsid w:val="1EA5AE9D"/>
    <w:rsid w:val="1EA64601"/>
    <w:rsid w:val="1EB15D8F"/>
    <w:rsid w:val="1EBB4396"/>
    <w:rsid w:val="1EC804E2"/>
    <w:rsid w:val="1ECAF05B"/>
    <w:rsid w:val="1ECC4798"/>
    <w:rsid w:val="1ED40651"/>
    <w:rsid w:val="1ED43FF9"/>
    <w:rsid w:val="1EDD8C6D"/>
    <w:rsid w:val="1EE18564"/>
    <w:rsid w:val="1EEEEAA2"/>
    <w:rsid w:val="1EF0185A"/>
    <w:rsid w:val="1EF6AE19"/>
    <w:rsid w:val="1EFC9B10"/>
    <w:rsid w:val="1EFD3FD7"/>
    <w:rsid w:val="1F061EB5"/>
    <w:rsid w:val="1F09A5A4"/>
    <w:rsid w:val="1F0D3133"/>
    <w:rsid w:val="1F15EA65"/>
    <w:rsid w:val="1F16E349"/>
    <w:rsid w:val="1F18E566"/>
    <w:rsid w:val="1F198045"/>
    <w:rsid w:val="1F1BFB55"/>
    <w:rsid w:val="1F1BFFFB"/>
    <w:rsid w:val="1F1C6732"/>
    <w:rsid w:val="1F1D23C7"/>
    <w:rsid w:val="1F201E05"/>
    <w:rsid w:val="1F2397ED"/>
    <w:rsid w:val="1F24C748"/>
    <w:rsid w:val="1F263910"/>
    <w:rsid w:val="1F26E62B"/>
    <w:rsid w:val="1F28A18B"/>
    <w:rsid w:val="1F2AF99D"/>
    <w:rsid w:val="1F2E4727"/>
    <w:rsid w:val="1F3457F3"/>
    <w:rsid w:val="1F49D585"/>
    <w:rsid w:val="1F51E15E"/>
    <w:rsid w:val="1F5BB394"/>
    <w:rsid w:val="1F5D7C9A"/>
    <w:rsid w:val="1F5DB061"/>
    <w:rsid w:val="1F66564C"/>
    <w:rsid w:val="1F6718F9"/>
    <w:rsid w:val="1F6D9619"/>
    <w:rsid w:val="1F76FC92"/>
    <w:rsid w:val="1F7BA6F4"/>
    <w:rsid w:val="1F7E2EEF"/>
    <w:rsid w:val="1F7EDDE6"/>
    <w:rsid w:val="1F80827C"/>
    <w:rsid w:val="1F80DF64"/>
    <w:rsid w:val="1F839F41"/>
    <w:rsid w:val="1F8932A3"/>
    <w:rsid w:val="1F8B76AE"/>
    <w:rsid w:val="1F8D6898"/>
    <w:rsid w:val="1F9EE973"/>
    <w:rsid w:val="1FA92259"/>
    <w:rsid w:val="1FB1C707"/>
    <w:rsid w:val="1FB29869"/>
    <w:rsid w:val="1FB4D206"/>
    <w:rsid w:val="1FB82F75"/>
    <w:rsid w:val="1FBAA32F"/>
    <w:rsid w:val="1FBB09AB"/>
    <w:rsid w:val="1FBBAA88"/>
    <w:rsid w:val="1FC51857"/>
    <w:rsid w:val="1FCA0B8A"/>
    <w:rsid w:val="1FCA4D53"/>
    <w:rsid w:val="1FD1895C"/>
    <w:rsid w:val="1FE19ECF"/>
    <w:rsid w:val="1FEE460D"/>
    <w:rsid w:val="1FEE8BFF"/>
    <w:rsid w:val="1FEF2A16"/>
    <w:rsid w:val="1FF4FBC9"/>
    <w:rsid w:val="2002B8B6"/>
    <w:rsid w:val="20087BB1"/>
    <w:rsid w:val="200A3C7D"/>
    <w:rsid w:val="200CD952"/>
    <w:rsid w:val="200D0BB7"/>
    <w:rsid w:val="200E4125"/>
    <w:rsid w:val="2015BBF7"/>
    <w:rsid w:val="201E11E5"/>
    <w:rsid w:val="20202D60"/>
    <w:rsid w:val="202853E7"/>
    <w:rsid w:val="202E3AD7"/>
    <w:rsid w:val="2032A41D"/>
    <w:rsid w:val="2033394D"/>
    <w:rsid w:val="20358294"/>
    <w:rsid w:val="203B4DFB"/>
    <w:rsid w:val="20456F44"/>
    <w:rsid w:val="2046283B"/>
    <w:rsid w:val="204A5D37"/>
    <w:rsid w:val="204AB030"/>
    <w:rsid w:val="204BB976"/>
    <w:rsid w:val="204F1C01"/>
    <w:rsid w:val="20510A10"/>
    <w:rsid w:val="2053B2E1"/>
    <w:rsid w:val="2060D08B"/>
    <w:rsid w:val="20617606"/>
    <w:rsid w:val="2066C0BC"/>
    <w:rsid w:val="207C32C3"/>
    <w:rsid w:val="2083BEC7"/>
    <w:rsid w:val="208D407B"/>
    <w:rsid w:val="20901504"/>
    <w:rsid w:val="20934777"/>
    <w:rsid w:val="2093C204"/>
    <w:rsid w:val="20A796E6"/>
    <w:rsid w:val="20A7F746"/>
    <w:rsid w:val="20AB9B32"/>
    <w:rsid w:val="20AF1475"/>
    <w:rsid w:val="20B2463B"/>
    <w:rsid w:val="20B2AB3E"/>
    <w:rsid w:val="20B51087"/>
    <w:rsid w:val="20B56254"/>
    <w:rsid w:val="20B68002"/>
    <w:rsid w:val="20B988F8"/>
    <w:rsid w:val="20CB783D"/>
    <w:rsid w:val="20CF8188"/>
    <w:rsid w:val="20E12386"/>
    <w:rsid w:val="20EC895B"/>
    <w:rsid w:val="20EE451C"/>
    <w:rsid w:val="20EF1F39"/>
    <w:rsid w:val="20F115B8"/>
    <w:rsid w:val="20FA968A"/>
    <w:rsid w:val="21011586"/>
    <w:rsid w:val="210178F4"/>
    <w:rsid w:val="2102E95C"/>
    <w:rsid w:val="2110CAE1"/>
    <w:rsid w:val="21121EB4"/>
    <w:rsid w:val="21142C0E"/>
    <w:rsid w:val="211E82D5"/>
    <w:rsid w:val="21265B90"/>
    <w:rsid w:val="21396DE5"/>
    <w:rsid w:val="2142A120"/>
    <w:rsid w:val="21469C63"/>
    <w:rsid w:val="2147BA33"/>
    <w:rsid w:val="21488D5D"/>
    <w:rsid w:val="215565E5"/>
    <w:rsid w:val="2158424B"/>
    <w:rsid w:val="215B78B4"/>
    <w:rsid w:val="215C0710"/>
    <w:rsid w:val="216BEF66"/>
    <w:rsid w:val="216F2069"/>
    <w:rsid w:val="2170E44F"/>
    <w:rsid w:val="217E3344"/>
    <w:rsid w:val="217F4611"/>
    <w:rsid w:val="2182D61B"/>
    <w:rsid w:val="2184C576"/>
    <w:rsid w:val="2184DD4A"/>
    <w:rsid w:val="21874481"/>
    <w:rsid w:val="219063BC"/>
    <w:rsid w:val="21906E0E"/>
    <w:rsid w:val="2192407C"/>
    <w:rsid w:val="219C402F"/>
    <w:rsid w:val="21A50EAE"/>
    <w:rsid w:val="21B173E8"/>
    <w:rsid w:val="21B5A3FB"/>
    <w:rsid w:val="21BB208A"/>
    <w:rsid w:val="21BF85C5"/>
    <w:rsid w:val="21C4D2A6"/>
    <w:rsid w:val="21CCE0FA"/>
    <w:rsid w:val="21D195FA"/>
    <w:rsid w:val="21D2DEA9"/>
    <w:rsid w:val="21D5261E"/>
    <w:rsid w:val="21DB4C41"/>
    <w:rsid w:val="21E76E74"/>
    <w:rsid w:val="21E8F290"/>
    <w:rsid w:val="21FCABE4"/>
    <w:rsid w:val="2201FB7D"/>
    <w:rsid w:val="2205F7CF"/>
    <w:rsid w:val="22072C2B"/>
    <w:rsid w:val="22248E90"/>
    <w:rsid w:val="2230C9FF"/>
    <w:rsid w:val="22456D36"/>
    <w:rsid w:val="224E08F6"/>
    <w:rsid w:val="2256A80D"/>
    <w:rsid w:val="226152BF"/>
    <w:rsid w:val="22640B2F"/>
    <w:rsid w:val="22690416"/>
    <w:rsid w:val="226AB942"/>
    <w:rsid w:val="226E749B"/>
    <w:rsid w:val="2273CB0B"/>
    <w:rsid w:val="227923AD"/>
    <w:rsid w:val="22799EDB"/>
    <w:rsid w:val="227CDB3C"/>
    <w:rsid w:val="227FF8B1"/>
    <w:rsid w:val="2284BEC1"/>
    <w:rsid w:val="228C0E7E"/>
    <w:rsid w:val="22988545"/>
    <w:rsid w:val="229CFE43"/>
    <w:rsid w:val="22C17F09"/>
    <w:rsid w:val="22C87177"/>
    <w:rsid w:val="22CC7837"/>
    <w:rsid w:val="22D1D483"/>
    <w:rsid w:val="22D46977"/>
    <w:rsid w:val="22D67BD7"/>
    <w:rsid w:val="22D9820E"/>
    <w:rsid w:val="22E0E13E"/>
    <w:rsid w:val="22E4E933"/>
    <w:rsid w:val="22EAD920"/>
    <w:rsid w:val="22F65410"/>
    <w:rsid w:val="22F853D5"/>
    <w:rsid w:val="22FB1097"/>
    <w:rsid w:val="22FE1190"/>
    <w:rsid w:val="2300006F"/>
    <w:rsid w:val="23002804"/>
    <w:rsid w:val="230108A7"/>
    <w:rsid w:val="2301390D"/>
    <w:rsid w:val="230F69A2"/>
    <w:rsid w:val="2312D4EB"/>
    <w:rsid w:val="231E7C3C"/>
    <w:rsid w:val="232409B4"/>
    <w:rsid w:val="232558E4"/>
    <w:rsid w:val="232810D0"/>
    <w:rsid w:val="232A9337"/>
    <w:rsid w:val="232B2FD5"/>
    <w:rsid w:val="232E5E97"/>
    <w:rsid w:val="2333B5BF"/>
    <w:rsid w:val="23352C2A"/>
    <w:rsid w:val="2336E0D1"/>
    <w:rsid w:val="2344AC79"/>
    <w:rsid w:val="2362788E"/>
    <w:rsid w:val="236C9040"/>
    <w:rsid w:val="2371E34A"/>
    <w:rsid w:val="2373FE63"/>
    <w:rsid w:val="23753A8C"/>
    <w:rsid w:val="237F7EBF"/>
    <w:rsid w:val="23815EB7"/>
    <w:rsid w:val="238314E3"/>
    <w:rsid w:val="23850E36"/>
    <w:rsid w:val="23852462"/>
    <w:rsid w:val="238AB771"/>
    <w:rsid w:val="2392EBE9"/>
    <w:rsid w:val="2394E427"/>
    <w:rsid w:val="23953C59"/>
    <w:rsid w:val="23AE319C"/>
    <w:rsid w:val="23B0CFA5"/>
    <w:rsid w:val="23BB2C32"/>
    <w:rsid w:val="23BFD2E0"/>
    <w:rsid w:val="23C0D95F"/>
    <w:rsid w:val="23C27C85"/>
    <w:rsid w:val="23C4115E"/>
    <w:rsid w:val="23DCDEC7"/>
    <w:rsid w:val="23E61A6E"/>
    <w:rsid w:val="23E6600F"/>
    <w:rsid w:val="23EFC9CE"/>
    <w:rsid w:val="23F82F6D"/>
    <w:rsid w:val="23FD03D9"/>
    <w:rsid w:val="2407DC41"/>
    <w:rsid w:val="240C942C"/>
    <w:rsid w:val="2413796F"/>
    <w:rsid w:val="2413F5DB"/>
    <w:rsid w:val="24141829"/>
    <w:rsid w:val="2418AC4F"/>
    <w:rsid w:val="241F20DD"/>
    <w:rsid w:val="2427DEDF"/>
    <w:rsid w:val="24304737"/>
    <w:rsid w:val="243174C2"/>
    <w:rsid w:val="243268B8"/>
    <w:rsid w:val="243739E8"/>
    <w:rsid w:val="243FCEBF"/>
    <w:rsid w:val="24419900"/>
    <w:rsid w:val="244A05F8"/>
    <w:rsid w:val="245762C0"/>
    <w:rsid w:val="245FD3D0"/>
    <w:rsid w:val="24678391"/>
    <w:rsid w:val="2467A62C"/>
    <w:rsid w:val="2475FF4B"/>
    <w:rsid w:val="247666D9"/>
    <w:rsid w:val="2481DAF8"/>
    <w:rsid w:val="24855964"/>
    <w:rsid w:val="24869F31"/>
    <w:rsid w:val="24894B05"/>
    <w:rsid w:val="248EDC75"/>
    <w:rsid w:val="24A15893"/>
    <w:rsid w:val="24A60218"/>
    <w:rsid w:val="24A8A6B5"/>
    <w:rsid w:val="24AA9153"/>
    <w:rsid w:val="24AC64FA"/>
    <w:rsid w:val="24AE34BF"/>
    <w:rsid w:val="24B62B84"/>
    <w:rsid w:val="24C905E3"/>
    <w:rsid w:val="24CF508C"/>
    <w:rsid w:val="24D1621C"/>
    <w:rsid w:val="24E32F6B"/>
    <w:rsid w:val="24E789FD"/>
    <w:rsid w:val="24EC347B"/>
    <w:rsid w:val="24F0632B"/>
    <w:rsid w:val="24F0D4B5"/>
    <w:rsid w:val="24F21015"/>
    <w:rsid w:val="24F4A84D"/>
    <w:rsid w:val="2500FD15"/>
    <w:rsid w:val="25071734"/>
    <w:rsid w:val="252C8E70"/>
    <w:rsid w:val="2530812E"/>
    <w:rsid w:val="253572ED"/>
    <w:rsid w:val="253704C0"/>
    <w:rsid w:val="25395EC0"/>
    <w:rsid w:val="25454994"/>
    <w:rsid w:val="2545AD12"/>
    <w:rsid w:val="2547FE39"/>
    <w:rsid w:val="255044A4"/>
    <w:rsid w:val="255809CD"/>
    <w:rsid w:val="2568B050"/>
    <w:rsid w:val="256BA981"/>
    <w:rsid w:val="256C941C"/>
    <w:rsid w:val="257944A1"/>
    <w:rsid w:val="25803619"/>
    <w:rsid w:val="2582EA9B"/>
    <w:rsid w:val="2585AA52"/>
    <w:rsid w:val="2586B406"/>
    <w:rsid w:val="2588DAF2"/>
    <w:rsid w:val="258D7C11"/>
    <w:rsid w:val="258E48CF"/>
    <w:rsid w:val="25AB1E8F"/>
    <w:rsid w:val="25ABEDAA"/>
    <w:rsid w:val="25AC7D65"/>
    <w:rsid w:val="25B401AF"/>
    <w:rsid w:val="25B54C83"/>
    <w:rsid w:val="25B6CFDD"/>
    <w:rsid w:val="25C23AF0"/>
    <w:rsid w:val="25CAF518"/>
    <w:rsid w:val="25D336A2"/>
    <w:rsid w:val="25D82E8D"/>
    <w:rsid w:val="25DD14FA"/>
    <w:rsid w:val="25DE97DE"/>
    <w:rsid w:val="25DF96B9"/>
    <w:rsid w:val="25E2D9EC"/>
    <w:rsid w:val="25F4841B"/>
    <w:rsid w:val="25FCF745"/>
    <w:rsid w:val="25FE5CC9"/>
    <w:rsid w:val="25FF71AF"/>
    <w:rsid w:val="260AE3C6"/>
    <w:rsid w:val="26137DC2"/>
    <w:rsid w:val="2616BFBE"/>
    <w:rsid w:val="261C89F5"/>
    <w:rsid w:val="26251B66"/>
    <w:rsid w:val="26261E9F"/>
    <w:rsid w:val="262AB994"/>
    <w:rsid w:val="2630AD5B"/>
    <w:rsid w:val="2638C189"/>
    <w:rsid w:val="2642C804"/>
    <w:rsid w:val="26481234"/>
    <w:rsid w:val="264FA23E"/>
    <w:rsid w:val="2656B05F"/>
    <w:rsid w:val="2658D1DD"/>
    <w:rsid w:val="2659B4D1"/>
    <w:rsid w:val="265A299B"/>
    <w:rsid w:val="265B2B62"/>
    <w:rsid w:val="2664E2B0"/>
    <w:rsid w:val="2670017F"/>
    <w:rsid w:val="2675FC97"/>
    <w:rsid w:val="2676C3BD"/>
    <w:rsid w:val="267ABB91"/>
    <w:rsid w:val="267D80D2"/>
    <w:rsid w:val="267EDAAC"/>
    <w:rsid w:val="26818A59"/>
    <w:rsid w:val="2684019F"/>
    <w:rsid w:val="2689ACAD"/>
    <w:rsid w:val="268EF4E7"/>
    <w:rsid w:val="269D08E6"/>
    <w:rsid w:val="269E37E1"/>
    <w:rsid w:val="26A1CC62"/>
    <w:rsid w:val="26A6F2A2"/>
    <w:rsid w:val="26B53FE0"/>
    <w:rsid w:val="26B71F81"/>
    <w:rsid w:val="26BCF7F4"/>
    <w:rsid w:val="26C0510C"/>
    <w:rsid w:val="26C1CC4B"/>
    <w:rsid w:val="26C76F65"/>
    <w:rsid w:val="26D1FA74"/>
    <w:rsid w:val="26D22499"/>
    <w:rsid w:val="26DB8BF1"/>
    <w:rsid w:val="26DE2C4D"/>
    <w:rsid w:val="26E54690"/>
    <w:rsid w:val="26EB3007"/>
    <w:rsid w:val="26F203A1"/>
    <w:rsid w:val="26F397A6"/>
    <w:rsid w:val="27012D30"/>
    <w:rsid w:val="27047B0F"/>
    <w:rsid w:val="270823AA"/>
    <w:rsid w:val="271C82C8"/>
    <w:rsid w:val="271F2820"/>
    <w:rsid w:val="27251E1B"/>
    <w:rsid w:val="2726502A"/>
    <w:rsid w:val="2726E39E"/>
    <w:rsid w:val="27301A03"/>
    <w:rsid w:val="273222CE"/>
    <w:rsid w:val="273DEE2B"/>
    <w:rsid w:val="275D13F8"/>
    <w:rsid w:val="275DCBA3"/>
    <w:rsid w:val="2764F60B"/>
    <w:rsid w:val="27691759"/>
    <w:rsid w:val="2772C2BF"/>
    <w:rsid w:val="2777E083"/>
    <w:rsid w:val="27855C1C"/>
    <w:rsid w:val="2785AD41"/>
    <w:rsid w:val="2798D812"/>
    <w:rsid w:val="27A09E41"/>
    <w:rsid w:val="27A0F011"/>
    <w:rsid w:val="27A1EE1F"/>
    <w:rsid w:val="27A45ED3"/>
    <w:rsid w:val="27A50EF3"/>
    <w:rsid w:val="27AF98F0"/>
    <w:rsid w:val="27C31A54"/>
    <w:rsid w:val="27C4E6B0"/>
    <w:rsid w:val="27C9C533"/>
    <w:rsid w:val="27DB2B7E"/>
    <w:rsid w:val="27E4DBFD"/>
    <w:rsid w:val="27F0530D"/>
    <w:rsid w:val="27F0E8FB"/>
    <w:rsid w:val="27F4477F"/>
    <w:rsid w:val="27F6CD0A"/>
    <w:rsid w:val="27FF0AE4"/>
    <w:rsid w:val="28039497"/>
    <w:rsid w:val="28068E7E"/>
    <w:rsid w:val="280BB207"/>
    <w:rsid w:val="280E02CA"/>
    <w:rsid w:val="280F9305"/>
    <w:rsid w:val="281309BE"/>
    <w:rsid w:val="28178231"/>
    <w:rsid w:val="282A4DB0"/>
    <w:rsid w:val="282A7A94"/>
    <w:rsid w:val="282D0ECE"/>
    <w:rsid w:val="282DBB2B"/>
    <w:rsid w:val="282FE011"/>
    <w:rsid w:val="283D60E8"/>
    <w:rsid w:val="28409E08"/>
    <w:rsid w:val="28432915"/>
    <w:rsid w:val="2847F565"/>
    <w:rsid w:val="28488280"/>
    <w:rsid w:val="287AA1CF"/>
    <w:rsid w:val="287D95D5"/>
    <w:rsid w:val="287E77F2"/>
    <w:rsid w:val="28811F92"/>
    <w:rsid w:val="288A63F6"/>
    <w:rsid w:val="28931B54"/>
    <w:rsid w:val="289B47F4"/>
    <w:rsid w:val="28A7ED76"/>
    <w:rsid w:val="28AC9487"/>
    <w:rsid w:val="28B022FD"/>
    <w:rsid w:val="28BD61C5"/>
    <w:rsid w:val="28C0E0A4"/>
    <w:rsid w:val="28C50B13"/>
    <w:rsid w:val="28C6ECF4"/>
    <w:rsid w:val="28C983CD"/>
    <w:rsid w:val="28D12D42"/>
    <w:rsid w:val="28D7AA15"/>
    <w:rsid w:val="28D7FA3C"/>
    <w:rsid w:val="28D8BF16"/>
    <w:rsid w:val="28DBC280"/>
    <w:rsid w:val="28DBCB3C"/>
    <w:rsid w:val="28DDFDF6"/>
    <w:rsid w:val="28E37599"/>
    <w:rsid w:val="28E6E808"/>
    <w:rsid w:val="28F0921F"/>
    <w:rsid w:val="28F7BC04"/>
    <w:rsid w:val="28FABB52"/>
    <w:rsid w:val="28FB4654"/>
    <w:rsid w:val="29020BCA"/>
    <w:rsid w:val="2910B52C"/>
    <w:rsid w:val="2918933C"/>
    <w:rsid w:val="291CE6A3"/>
    <w:rsid w:val="2929B9DD"/>
    <w:rsid w:val="292CA537"/>
    <w:rsid w:val="29316D75"/>
    <w:rsid w:val="2934738A"/>
    <w:rsid w:val="294818F1"/>
    <w:rsid w:val="294819DF"/>
    <w:rsid w:val="294C6D37"/>
    <w:rsid w:val="2950277D"/>
    <w:rsid w:val="2953DB9F"/>
    <w:rsid w:val="29558BD9"/>
    <w:rsid w:val="2955FB07"/>
    <w:rsid w:val="29595791"/>
    <w:rsid w:val="295EBC99"/>
    <w:rsid w:val="295FE449"/>
    <w:rsid w:val="29639E76"/>
    <w:rsid w:val="2967D1CF"/>
    <w:rsid w:val="29684E1D"/>
    <w:rsid w:val="29759901"/>
    <w:rsid w:val="2979733B"/>
    <w:rsid w:val="297EDF4E"/>
    <w:rsid w:val="2986B355"/>
    <w:rsid w:val="2987A509"/>
    <w:rsid w:val="298885EA"/>
    <w:rsid w:val="2998489D"/>
    <w:rsid w:val="299A13B6"/>
    <w:rsid w:val="29A4425A"/>
    <w:rsid w:val="29A7048E"/>
    <w:rsid w:val="29A9AF24"/>
    <w:rsid w:val="29B4A397"/>
    <w:rsid w:val="29C0DE49"/>
    <w:rsid w:val="29C4C831"/>
    <w:rsid w:val="29CA3D2D"/>
    <w:rsid w:val="29D1522B"/>
    <w:rsid w:val="29D4B8DA"/>
    <w:rsid w:val="29D90638"/>
    <w:rsid w:val="29DAA6AF"/>
    <w:rsid w:val="29E635B1"/>
    <w:rsid w:val="29EDDB33"/>
    <w:rsid w:val="29EF2249"/>
    <w:rsid w:val="29FF3529"/>
    <w:rsid w:val="2A03D693"/>
    <w:rsid w:val="2A05AF60"/>
    <w:rsid w:val="2A061DC2"/>
    <w:rsid w:val="2A0D8E1C"/>
    <w:rsid w:val="2A36E27D"/>
    <w:rsid w:val="2A3756BE"/>
    <w:rsid w:val="2A395009"/>
    <w:rsid w:val="2A3F2778"/>
    <w:rsid w:val="2A403043"/>
    <w:rsid w:val="2A50714E"/>
    <w:rsid w:val="2A578CE5"/>
    <w:rsid w:val="2A73A452"/>
    <w:rsid w:val="2A74E81E"/>
    <w:rsid w:val="2A7D97F1"/>
    <w:rsid w:val="2A805C4A"/>
    <w:rsid w:val="2A86D2E0"/>
    <w:rsid w:val="2A8C2318"/>
    <w:rsid w:val="2A8E6E21"/>
    <w:rsid w:val="2A8EEB77"/>
    <w:rsid w:val="2A920B8F"/>
    <w:rsid w:val="2A9300AD"/>
    <w:rsid w:val="2A9841BB"/>
    <w:rsid w:val="2A9EDB59"/>
    <w:rsid w:val="2AA02F41"/>
    <w:rsid w:val="2AA1AA3C"/>
    <w:rsid w:val="2AA1C8A9"/>
    <w:rsid w:val="2AA38A7C"/>
    <w:rsid w:val="2AB89E6B"/>
    <w:rsid w:val="2ABB6575"/>
    <w:rsid w:val="2AD1D87A"/>
    <w:rsid w:val="2ADA4E35"/>
    <w:rsid w:val="2ADB6009"/>
    <w:rsid w:val="2AE08977"/>
    <w:rsid w:val="2AE1377B"/>
    <w:rsid w:val="2AE3DDEE"/>
    <w:rsid w:val="2AE8F93D"/>
    <w:rsid w:val="2AE9EF67"/>
    <w:rsid w:val="2AF8EE0B"/>
    <w:rsid w:val="2AFBEE52"/>
    <w:rsid w:val="2AFECF25"/>
    <w:rsid w:val="2B0008AD"/>
    <w:rsid w:val="2B003355"/>
    <w:rsid w:val="2B093AAF"/>
    <w:rsid w:val="2B095A1D"/>
    <w:rsid w:val="2B0BCC4F"/>
    <w:rsid w:val="2B0D6540"/>
    <w:rsid w:val="2B1345FF"/>
    <w:rsid w:val="2B135576"/>
    <w:rsid w:val="2B18B2A1"/>
    <w:rsid w:val="2B2328AB"/>
    <w:rsid w:val="2B28F910"/>
    <w:rsid w:val="2B2BF9B7"/>
    <w:rsid w:val="2B2F47EF"/>
    <w:rsid w:val="2B350630"/>
    <w:rsid w:val="2B3A2C8C"/>
    <w:rsid w:val="2B3F1E96"/>
    <w:rsid w:val="2B449543"/>
    <w:rsid w:val="2B4922E9"/>
    <w:rsid w:val="2B513093"/>
    <w:rsid w:val="2B5270EF"/>
    <w:rsid w:val="2B622310"/>
    <w:rsid w:val="2B718A32"/>
    <w:rsid w:val="2B7AB25D"/>
    <w:rsid w:val="2B822F4D"/>
    <w:rsid w:val="2B88425B"/>
    <w:rsid w:val="2B8E8404"/>
    <w:rsid w:val="2B94286D"/>
    <w:rsid w:val="2B98DCE1"/>
    <w:rsid w:val="2B9C68F3"/>
    <w:rsid w:val="2BA09729"/>
    <w:rsid w:val="2BA185F6"/>
    <w:rsid w:val="2BB103B3"/>
    <w:rsid w:val="2BB4B08B"/>
    <w:rsid w:val="2BBBB927"/>
    <w:rsid w:val="2BC347C7"/>
    <w:rsid w:val="2BC710A9"/>
    <w:rsid w:val="2BD1C152"/>
    <w:rsid w:val="2BD24A01"/>
    <w:rsid w:val="2BD73C3D"/>
    <w:rsid w:val="2BD9F499"/>
    <w:rsid w:val="2BE6F48D"/>
    <w:rsid w:val="2BF6402A"/>
    <w:rsid w:val="2BF85267"/>
    <w:rsid w:val="2BF8D08D"/>
    <w:rsid w:val="2BF91FBB"/>
    <w:rsid w:val="2C0B2CF3"/>
    <w:rsid w:val="2C0ECB1C"/>
    <w:rsid w:val="2C149C8E"/>
    <w:rsid w:val="2C17564A"/>
    <w:rsid w:val="2C1D9146"/>
    <w:rsid w:val="2C321E9F"/>
    <w:rsid w:val="2C33A1D1"/>
    <w:rsid w:val="2C3BFFA2"/>
    <w:rsid w:val="2C3F9A3A"/>
    <w:rsid w:val="2C43211A"/>
    <w:rsid w:val="2C45DD27"/>
    <w:rsid w:val="2C475423"/>
    <w:rsid w:val="2C4D1B2F"/>
    <w:rsid w:val="2C56D787"/>
    <w:rsid w:val="2C5E209A"/>
    <w:rsid w:val="2C645D38"/>
    <w:rsid w:val="2C6CEF00"/>
    <w:rsid w:val="2C6E7EDC"/>
    <w:rsid w:val="2C6E9C1E"/>
    <w:rsid w:val="2C72D33B"/>
    <w:rsid w:val="2C7DA961"/>
    <w:rsid w:val="2C87A739"/>
    <w:rsid w:val="2C8B4004"/>
    <w:rsid w:val="2C8C0BF5"/>
    <w:rsid w:val="2C964BBF"/>
    <w:rsid w:val="2C9B3F24"/>
    <w:rsid w:val="2C9E1D56"/>
    <w:rsid w:val="2C9F708F"/>
    <w:rsid w:val="2CA035BC"/>
    <w:rsid w:val="2CA33109"/>
    <w:rsid w:val="2CA921D4"/>
    <w:rsid w:val="2CA962DB"/>
    <w:rsid w:val="2CAC1C1D"/>
    <w:rsid w:val="2CB22B73"/>
    <w:rsid w:val="2CB2919B"/>
    <w:rsid w:val="2CBA69C6"/>
    <w:rsid w:val="2CDA76C6"/>
    <w:rsid w:val="2CDF5294"/>
    <w:rsid w:val="2CE2F25D"/>
    <w:rsid w:val="2CE7CBE3"/>
    <w:rsid w:val="2CEB7FCC"/>
    <w:rsid w:val="2CF78C32"/>
    <w:rsid w:val="2CFEF092"/>
    <w:rsid w:val="2D012C4E"/>
    <w:rsid w:val="2D07DFC6"/>
    <w:rsid w:val="2D09D465"/>
    <w:rsid w:val="2D0B5881"/>
    <w:rsid w:val="2D0F6794"/>
    <w:rsid w:val="2D11CC68"/>
    <w:rsid w:val="2D1C042A"/>
    <w:rsid w:val="2D256DD3"/>
    <w:rsid w:val="2D29F8E0"/>
    <w:rsid w:val="2D2BF07C"/>
    <w:rsid w:val="2D2F525B"/>
    <w:rsid w:val="2D313D90"/>
    <w:rsid w:val="2D3245C5"/>
    <w:rsid w:val="2D39083E"/>
    <w:rsid w:val="2D4020F7"/>
    <w:rsid w:val="2D41A386"/>
    <w:rsid w:val="2D4451FA"/>
    <w:rsid w:val="2D4EEDD3"/>
    <w:rsid w:val="2D581133"/>
    <w:rsid w:val="2D662D5A"/>
    <w:rsid w:val="2D798F32"/>
    <w:rsid w:val="2D7AECFC"/>
    <w:rsid w:val="2D7BEF24"/>
    <w:rsid w:val="2D84E477"/>
    <w:rsid w:val="2D852256"/>
    <w:rsid w:val="2D85445D"/>
    <w:rsid w:val="2D881FDD"/>
    <w:rsid w:val="2D8C7781"/>
    <w:rsid w:val="2D995AB4"/>
    <w:rsid w:val="2DAD7A24"/>
    <w:rsid w:val="2DB18BE9"/>
    <w:rsid w:val="2DB5241A"/>
    <w:rsid w:val="2DBCBF05"/>
    <w:rsid w:val="2DC44B46"/>
    <w:rsid w:val="2DC79ADA"/>
    <w:rsid w:val="2DC8DBE6"/>
    <w:rsid w:val="2DDDBDD0"/>
    <w:rsid w:val="2DE3932F"/>
    <w:rsid w:val="2DF18118"/>
    <w:rsid w:val="2DF2A7E8"/>
    <w:rsid w:val="2DFA2ACA"/>
    <w:rsid w:val="2DFACD5B"/>
    <w:rsid w:val="2DFAD554"/>
    <w:rsid w:val="2DFE1289"/>
    <w:rsid w:val="2E005905"/>
    <w:rsid w:val="2E13717A"/>
    <w:rsid w:val="2E14132E"/>
    <w:rsid w:val="2E1B687A"/>
    <w:rsid w:val="2E1DBA65"/>
    <w:rsid w:val="2E27A0F5"/>
    <w:rsid w:val="2E29BF38"/>
    <w:rsid w:val="2E2B598D"/>
    <w:rsid w:val="2E2ED152"/>
    <w:rsid w:val="2E34DE6B"/>
    <w:rsid w:val="2E38F5B7"/>
    <w:rsid w:val="2E442C6C"/>
    <w:rsid w:val="2E458E56"/>
    <w:rsid w:val="2E587BB2"/>
    <w:rsid w:val="2E5D0F09"/>
    <w:rsid w:val="2E6CD994"/>
    <w:rsid w:val="2E6DBAFE"/>
    <w:rsid w:val="2E75B5FE"/>
    <w:rsid w:val="2E81BB03"/>
    <w:rsid w:val="2E82CD9B"/>
    <w:rsid w:val="2E845B16"/>
    <w:rsid w:val="2E96B1DB"/>
    <w:rsid w:val="2E96CB57"/>
    <w:rsid w:val="2E9CFCAF"/>
    <w:rsid w:val="2E9ECB8C"/>
    <w:rsid w:val="2E9FAE61"/>
    <w:rsid w:val="2ECAA66A"/>
    <w:rsid w:val="2ED366FB"/>
    <w:rsid w:val="2EDD1D4B"/>
    <w:rsid w:val="2EDF3AE3"/>
    <w:rsid w:val="2EE2FD3A"/>
    <w:rsid w:val="2EE5616D"/>
    <w:rsid w:val="2EE90B1E"/>
    <w:rsid w:val="2EF12E67"/>
    <w:rsid w:val="2EF98D0A"/>
    <w:rsid w:val="2EFA0338"/>
    <w:rsid w:val="2F02F8EF"/>
    <w:rsid w:val="2F0356EE"/>
    <w:rsid w:val="2F063337"/>
    <w:rsid w:val="2F0CDA93"/>
    <w:rsid w:val="2F2507F9"/>
    <w:rsid w:val="2F29442D"/>
    <w:rsid w:val="2F3656C7"/>
    <w:rsid w:val="2F38B50F"/>
    <w:rsid w:val="2F38B9CB"/>
    <w:rsid w:val="2F48B053"/>
    <w:rsid w:val="2F4D0E87"/>
    <w:rsid w:val="2F4D5C4A"/>
    <w:rsid w:val="2F527A29"/>
    <w:rsid w:val="2F535A98"/>
    <w:rsid w:val="2F537170"/>
    <w:rsid w:val="2F58F572"/>
    <w:rsid w:val="2F5C3B66"/>
    <w:rsid w:val="2F61A56F"/>
    <w:rsid w:val="2F64AC47"/>
    <w:rsid w:val="2F6C48C2"/>
    <w:rsid w:val="2F6D5B90"/>
    <w:rsid w:val="2F70CF12"/>
    <w:rsid w:val="2F775416"/>
    <w:rsid w:val="2F7AED40"/>
    <w:rsid w:val="2F7BA7EA"/>
    <w:rsid w:val="2F7D3F81"/>
    <w:rsid w:val="2F8C25FF"/>
    <w:rsid w:val="2F914BA0"/>
    <w:rsid w:val="2F9287C9"/>
    <w:rsid w:val="2F9995A4"/>
    <w:rsid w:val="2FA0A775"/>
    <w:rsid w:val="2FA8AC70"/>
    <w:rsid w:val="2FAA58D3"/>
    <w:rsid w:val="2FAA73FD"/>
    <w:rsid w:val="2FACA78C"/>
    <w:rsid w:val="2FB966ED"/>
    <w:rsid w:val="2FBAE8C1"/>
    <w:rsid w:val="2FBC28F6"/>
    <w:rsid w:val="2FC771EF"/>
    <w:rsid w:val="2FCE9043"/>
    <w:rsid w:val="2FDA4D99"/>
    <w:rsid w:val="2FDA8623"/>
    <w:rsid w:val="2FDC0923"/>
    <w:rsid w:val="2FDF84F1"/>
    <w:rsid w:val="2FE0711D"/>
    <w:rsid w:val="2FE0867F"/>
    <w:rsid w:val="2FE4A1E6"/>
    <w:rsid w:val="2FEE20D2"/>
    <w:rsid w:val="2FF06B6E"/>
    <w:rsid w:val="2FF2B42C"/>
    <w:rsid w:val="2FF3F836"/>
    <w:rsid w:val="2FFDC3EA"/>
    <w:rsid w:val="30017371"/>
    <w:rsid w:val="30032DC8"/>
    <w:rsid w:val="300EDAF8"/>
    <w:rsid w:val="3012E0C4"/>
    <w:rsid w:val="3012EFC1"/>
    <w:rsid w:val="3019941C"/>
    <w:rsid w:val="301DD55D"/>
    <w:rsid w:val="3020947B"/>
    <w:rsid w:val="3022DB3A"/>
    <w:rsid w:val="303172CE"/>
    <w:rsid w:val="303D6569"/>
    <w:rsid w:val="30417909"/>
    <w:rsid w:val="3041E8BD"/>
    <w:rsid w:val="3042F943"/>
    <w:rsid w:val="30436A94"/>
    <w:rsid w:val="304C5B65"/>
    <w:rsid w:val="3055C757"/>
    <w:rsid w:val="305D748E"/>
    <w:rsid w:val="30611E53"/>
    <w:rsid w:val="3067FBC5"/>
    <w:rsid w:val="306E5EA4"/>
    <w:rsid w:val="30744AE1"/>
    <w:rsid w:val="3076533C"/>
    <w:rsid w:val="307F5835"/>
    <w:rsid w:val="30864EF9"/>
    <w:rsid w:val="308782FE"/>
    <w:rsid w:val="3089DF40"/>
    <w:rsid w:val="30921507"/>
    <w:rsid w:val="30927150"/>
    <w:rsid w:val="30A69842"/>
    <w:rsid w:val="30B2092A"/>
    <w:rsid w:val="30B4B2BF"/>
    <w:rsid w:val="30B8A36A"/>
    <w:rsid w:val="30BB5C75"/>
    <w:rsid w:val="30C98F10"/>
    <w:rsid w:val="30D84220"/>
    <w:rsid w:val="30DAAB0A"/>
    <w:rsid w:val="30E1DDBA"/>
    <w:rsid w:val="30E2E5D8"/>
    <w:rsid w:val="30E64747"/>
    <w:rsid w:val="30E757D4"/>
    <w:rsid w:val="30E7A089"/>
    <w:rsid w:val="30E92CAB"/>
    <w:rsid w:val="30ED7B58"/>
    <w:rsid w:val="30F6C690"/>
    <w:rsid w:val="30FB2BC0"/>
    <w:rsid w:val="3101A173"/>
    <w:rsid w:val="31084AA7"/>
    <w:rsid w:val="310BC516"/>
    <w:rsid w:val="311F8A44"/>
    <w:rsid w:val="3121D143"/>
    <w:rsid w:val="3122E2CB"/>
    <w:rsid w:val="312B3559"/>
    <w:rsid w:val="312DF7A3"/>
    <w:rsid w:val="31330C8A"/>
    <w:rsid w:val="3135CCA0"/>
    <w:rsid w:val="3137AF72"/>
    <w:rsid w:val="31384E94"/>
    <w:rsid w:val="31386676"/>
    <w:rsid w:val="313C7F5A"/>
    <w:rsid w:val="313E35DA"/>
    <w:rsid w:val="313FA8DC"/>
    <w:rsid w:val="3142F649"/>
    <w:rsid w:val="31487063"/>
    <w:rsid w:val="315218C6"/>
    <w:rsid w:val="31578094"/>
    <w:rsid w:val="315BCC64"/>
    <w:rsid w:val="316164E0"/>
    <w:rsid w:val="3163758E"/>
    <w:rsid w:val="3169B8D0"/>
    <w:rsid w:val="317017DB"/>
    <w:rsid w:val="31798E91"/>
    <w:rsid w:val="3187500E"/>
    <w:rsid w:val="3191885A"/>
    <w:rsid w:val="3192134D"/>
    <w:rsid w:val="3199D225"/>
    <w:rsid w:val="319A35AB"/>
    <w:rsid w:val="319F4113"/>
    <w:rsid w:val="319FCD55"/>
    <w:rsid w:val="31A5833E"/>
    <w:rsid w:val="31A5E1F3"/>
    <w:rsid w:val="31AD70C4"/>
    <w:rsid w:val="31BB7F19"/>
    <w:rsid w:val="31BDCBC4"/>
    <w:rsid w:val="31D0E2FE"/>
    <w:rsid w:val="31E03534"/>
    <w:rsid w:val="31E4C6F9"/>
    <w:rsid w:val="31ECA71D"/>
    <w:rsid w:val="31F45692"/>
    <w:rsid w:val="31FBA328"/>
    <w:rsid w:val="31FEEC14"/>
    <w:rsid w:val="31FF8CA3"/>
    <w:rsid w:val="3203BB6A"/>
    <w:rsid w:val="320723DD"/>
    <w:rsid w:val="3212904F"/>
    <w:rsid w:val="321C5ABE"/>
    <w:rsid w:val="3220A12F"/>
    <w:rsid w:val="322147FE"/>
    <w:rsid w:val="32235841"/>
    <w:rsid w:val="32340BE5"/>
    <w:rsid w:val="323A0236"/>
    <w:rsid w:val="323A3FC7"/>
    <w:rsid w:val="323EAA29"/>
    <w:rsid w:val="32426BC1"/>
    <w:rsid w:val="3243100B"/>
    <w:rsid w:val="32561387"/>
    <w:rsid w:val="325849A6"/>
    <w:rsid w:val="3263F186"/>
    <w:rsid w:val="3266316C"/>
    <w:rsid w:val="3270C678"/>
    <w:rsid w:val="3270D946"/>
    <w:rsid w:val="3273C2F7"/>
    <w:rsid w:val="327FC1DC"/>
    <w:rsid w:val="3284FD0C"/>
    <w:rsid w:val="328F3D65"/>
    <w:rsid w:val="32920BC0"/>
    <w:rsid w:val="329284B7"/>
    <w:rsid w:val="3292FFB8"/>
    <w:rsid w:val="3293D3A1"/>
    <w:rsid w:val="3295D8BA"/>
    <w:rsid w:val="329680C6"/>
    <w:rsid w:val="3299558C"/>
    <w:rsid w:val="329E6E4C"/>
    <w:rsid w:val="32B25A77"/>
    <w:rsid w:val="32BF0083"/>
    <w:rsid w:val="32BF79A5"/>
    <w:rsid w:val="32C3C202"/>
    <w:rsid w:val="32CB3200"/>
    <w:rsid w:val="32CD4E23"/>
    <w:rsid w:val="32CE0DBF"/>
    <w:rsid w:val="32D86BB1"/>
    <w:rsid w:val="32E03D41"/>
    <w:rsid w:val="32E1747A"/>
    <w:rsid w:val="32E7117A"/>
    <w:rsid w:val="32EAB5D8"/>
    <w:rsid w:val="32EB4D69"/>
    <w:rsid w:val="32ED9128"/>
    <w:rsid w:val="32F41DFC"/>
    <w:rsid w:val="32FD112A"/>
    <w:rsid w:val="32FEE479"/>
    <w:rsid w:val="3303BACE"/>
    <w:rsid w:val="33044054"/>
    <w:rsid w:val="33077B69"/>
    <w:rsid w:val="330D1EB4"/>
    <w:rsid w:val="33155EF2"/>
    <w:rsid w:val="331E11BF"/>
    <w:rsid w:val="332AA638"/>
    <w:rsid w:val="33315215"/>
    <w:rsid w:val="3336EC91"/>
    <w:rsid w:val="333BC9C4"/>
    <w:rsid w:val="33401ACD"/>
    <w:rsid w:val="33494125"/>
    <w:rsid w:val="3349F306"/>
    <w:rsid w:val="33507D42"/>
    <w:rsid w:val="335150F4"/>
    <w:rsid w:val="335471F1"/>
    <w:rsid w:val="335753CD"/>
    <w:rsid w:val="3359CA3C"/>
    <w:rsid w:val="335BA808"/>
    <w:rsid w:val="3369E20D"/>
    <w:rsid w:val="3373E0C7"/>
    <w:rsid w:val="337699DE"/>
    <w:rsid w:val="33782345"/>
    <w:rsid w:val="337CCCDE"/>
    <w:rsid w:val="3380F15F"/>
    <w:rsid w:val="3385F135"/>
    <w:rsid w:val="338D4B92"/>
    <w:rsid w:val="338FE1B9"/>
    <w:rsid w:val="33970C6E"/>
    <w:rsid w:val="339801FF"/>
    <w:rsid w:val="33A016A7"/>
    <w:rsid w:val="33A13804"/>
    <w:rsid w:val="33AF78E0"/>
    <w:rsid w:val="33B2E60D"/>
    <w:rsid w:val="33B7402F"/>
    <w:rsid w:val="33BB5FE1"/>
    <w:rsid w:val="33BE4E14"/>
    <w:rsid w:val="33CC4617"/>
    <w:rsid w:val="33CDBF28"/>
    <w:rsid w:val="33D9FED7"/>
    <w:rsid w:val="33E3304B"/>
    <w:rsid w:val="33E53087"/>
    <w:rsid w:val="33E69A7F"/>
    <w:rsid w:val="33EAA01D"/>
    <w:rsid w:val="33F18ADA"/>
    <w:rsid w:val="33F42769"/>
    <w:rsid w:val="33F6E56A"/>
    <w:rsid w:val="33F8C099"/>
    <w:rsid w:val="33F94441"/>
    <w:rsid w:val="340618D4"/>
    <w:rsid w:val="340C96D9"/>
    <w:rsid w:val="34143CF6"/>
    <w:rsid w:val="34191259"/>
    <w:rsid w:val="3419DD01"/>
    <w:rsid w:val="341A78AF"/>
    <w:rsid w:val="3426EB9E"/>
    <w:rsid w:val="342CD14C"/>
    <w:rsid w:val="343E14D6"/>
    <w:rsid w:val="344BB746"/>
    <w:rsid w:val="3452C647"/>
    <w:rsid w:val="3456358A"/>
    <w:rsid w:val="34581530"/>
    <w:rsid w:val="345B20C4"/>
    <w:rsid w:val="345F9263"/>
    <w:rsid w:val="3464BCC3"/>
    <w:rsid w:val="3472CB59"/>
    <w:rsid w:val="34737FCE"/>
    <w:rsid w:val="34759028"/>
    <w:rsid w:val="34768461"/>
    <w:rsid w:val="347F2149"/>
    <w:rsid w:val="3499FAA7"/>
    <w:rsid w:val="349D3A4E"/>
    <w:rsid w:val="34A36D23"/>
    <w:rsid w:val="34A6CAEB"/>
    <w:rsid w:val="34AA8476"/>
    <w:rsid w:val="34B7C462"/>
    <w:rsid w:val="34C1B3E0"/>
    <w:rsid w:val="34C45397"/>
    <w:rsid w:val="34C74CDB"/>
    <w:rsid w:val="34C923BE"/>
    <w:rsid w:val="34CA885A"/>
    <w:rsid w:val="34CAF01E"/>
    <w:rsid w:val="34D52418"/>
    <w:rsid w:val="34D955DB"/>
    <w:rsid w:val="34DE7021"/>
    <w:rsid w:val="34EB0276"/>
    <w:rsid w:val="34EC14EE"/>
    <w:rsid w:val="34EDC239"/>
    <w:rsid w:val="34F4A6D4"/>
    <w:rsid w:val="3500EA00"/>
    <w:rsid w:val="3506846C"/>
    <w:rsid w:val="350FB128"/>
    <w:rsid w:val="35136287"/>
    <w:rsid w:val="35151D1A"/>
    <w:rsid w:val="351EDACB"/>
    <w:rsid w:val="3521AC1D"/>
    <w:rsid w:val="35278A15"/>
    <w:rsid w:val="3527FD9E"/>
    <w:rsid w:val="352BFB1A"/>
    <w:rsid w:val="352F2DFC"/>
    <w:rsid w:val="3532DCCF"/>
    <w:rsid w:val="35332A28"/>
    <w:rsid w:val="353C0EC0"/>
    <w:rsid w:val="353CBCF2"/>
    <w:rsid w:val="35525260"/>
    <w:rsid w:val="3553D4A9"/>
    <w:rsid w:val="3558F946"/>
    <w:rsid w:val="3560A1FE"/>
    <w:rsid w:val="3563F997"/>
    <w:rsid w:val="35726344"/>
    <w:rsid w:val="35789C40"/>
    <w:rsid w:val="3579029D"/>
    <w:rsid w:val="35804D96"/>
    <w:rsid w:val="3580AFCC"/>
    <w:rsid w:val="35847D82"/>
    <w:rsid w:val="35899CC5"/>
    <w:rsid w:val="358ED2F2"/>
    <w:rsid w:val="358F026F"/>
    <w:rsid w:val="359076EB"/>
    <w:rsid w:val="3591E9A9"/>
    <w:rsid w:val="35A506F2"/>
    <w:rsid w:val="35A7A533"/>
    <w:rsid w:val="35AA5285"/>
    <w:rsid w:val="35B5A287"/>
    <w:rsid w:val="35B809B6"/>
    <w:rsid w:val="35C5A8FC"/>
    <w:rsid w:val="35C956FF"/>
    <w:rsid w:val="35CB7463"/>
    <w:rsid w:val="35D827E2"/>
    <w:rsid w:val="35E01096"/>
    <w:rsid w:val="35E1700A"/>
    <w:rsid w:val="35E1C090"/>
    <w:rsid w:val="35E40545"/>
    <w:rsid w:val="35E5D212"/>
    <w:rsid w:val="35E6980C"/>
    <w:rsid w:val="35ED2EC8"/>
    <w:rsid w:val="35F427A0"/>
    <w:rsid w:val="35F4FB52"/>
    <w:rsid w:val="3602B6A8"/>
    <w:rsid w:val="361533D6"/>
    <w:rsid w:val="361C70D8"/>
    <w:rsid w:val="36227359"/>
    <w:rsid w:val="362597E3"/>
    <w:rsid w:val="36280FD9"/>
    <w:rsid w:val="362E897F"/>
    <w:rsid w:val="362E9451"/>
    <w:rsid w:val="36357965"/>
    <w:rsid w:val="363B3F30"/>
    <w:rsid w:val="3642B52D"/>
    <w:rsid w:val="3649F56C"/>
    <w:rsid w:val="364F59EB"/>
    <w:rsid w:val="365D36AE"/>
    <w:rsid w:val="366EB83E"/>
    <w:rsid w:val="36704563"/>
    <w:rsid w:val="3676E32D"/>
    <w:rsid w:val="368A1CD6"/>
    <w:rsid w:val="368AA443"/>
    <w:rsid w:val="368B4B11"/>
    <w:rsid w:val="368F6B58"/>
    <w:rsid w:val="3695C010"/>
    <w:rsid w:val="36966729"/>
    <w:rsid w:val="369A2468"/>
    <w:rsid w:val="369C88A2"/>
    <w:rsid w:val="36A09DAA"/>
    <w:rsid w:val="36A33AF3"/>
    <w:rsid w:val="36AAE0AF"/>
    <w:rsid w:val="36AD94EF"/>
    <w:rsid w:val="36B52E8A"/>
    <w:rsid w:val="36B604FD"/>
    <w:rsid w:val="36C38510"/>
    <w:rsid w:val="36C3E483"/>
    <w:rsid w:val="36C72D67"/>
    <w:rsid w:val="36C7E2B0"/>
    <w:rsid w:val="36C7FD5E"/>
    <w:rsid w:val="36CA6408"/>
    <w:rsid w:val="36D6285E"/>
    <w:rsid w:val="36F18C84"/>
    <w:rsid w:val="36F7C85B"/>
    <w:rsid w:val="36FA4FB3"/>
    <w:rsid w:val="3708A6E5"/>
    <w:rsid w:val="370D3359"/>
    <w:rsid w:val="3712D598"/>
    <w:rsid w:val="3714CCFB"/>
    <w:rsid w:val="3715404C"/>
    <w:rsid w:val="37167A17"/>
    <w:rsid w:val="37312BBF"/>
    <w:rsid w:val="37355C23"/>
    <w:rsid w:val="373662A8"/>
    <w:rsid w:val="3737ED12"/>
    <w:rsid w:val="373B2E78"/>
    <w:rsid w:val="374A78EE"/>
    <w:rsid w:val="3761D662"/>
    <w:rsid w:val="376C1AB6"/>
    <w:rsid w:val="376CFAF8"/>
    <w:rsid w:val="377011C0"/>
    <w:rsid w:val="377C58C9"/>
    <w:rsid w:val="377F29FE"/>
    <w:rsid w:val="37865F53"/>
    <w:rsid w:val="378D8709"/>
    <w:rsid w:val="37957999"/>
    <w:rsid w:val="37981714"/>
    <w:rsid w:val="379ABB43"/>
    <w:rsid w:val="379B0178"/>
    <w:rsid w:val="37A724C7"/>
    <w:rsid w:val="37B40CD9"/>
    <w:rsid w:val="37BE1238"/>
    <w:rsid w:val="37C11D8C"/>
    <w:rsid w:val="37CD067F"/>
    <w:rsid w:val="37CE2F08"/>
    <w:rsid w:val="37EB8302"/>
    <w:rsid w:val="37EC972A"/>
    <w:rsid w:val="3808AE59"/>
    <w:rsid w:val="381772DA"/>
    <w:rsid w:val="38182A82"/>
    <w:rsid w:val="381CF372"/>
    <w:rsid w:val="381F5722"/>
    <w:rsid w:val="38218348"/>
    <w:rsid w:val="382229D5"/>
    <w:rsid w:val="38241D93"/>
    <w:rsid w:val="38245E86"/>
    <w:rsid w:val="382D3B5F"/>
    <w:rsid w:val="382EFC02"/>
    <w:rsid w:val="3830414F"/>
    <w:rsid w:val="3837FA8E"/>
    <w:rsid w:val="383A7E6D"/>
    <w:rsid w:val="383B6953"/>
    <w:rsid w:val="383CD051"/>
    <w:rsid w:val="384B1228"/>
    <w:rsid w:val="38525B4E"/>
    <w:rsid w:val="3855F8AE"/>
    <w:rsid w:val="38574957"/>
    <w:rsid w:val="386555D2"/>
    <w:rsid w:val="3869D9A6"/>
    <w:rsid w:val="386E3B68"/>
    <w:rsid w:val="3870CDE0"/>
    <w:rsid w:val="387485ED"/>
    <w:rsid w:val="387AE921"/>
    <w:rsid w:val="38867FA4"/>
    <w:rsid w:val="388757C4"/>
    <w:rsid w:val="388FB22C"/>
    <w:rsid w:val="3893B99F"/>
    <w:rsid w:val="3896163D"/>
    <w:rsid w:val="389C3FFD"/>
    <w:rsid w:val="38A4F676"/>
    <w:rsid w:val="38A78E7E"/>
    <w:rsid w:val="38ABFF62"/>
    <w:rsid w:val="38AE119C"/>
    <w:rsid w:val="38BB6A93"/>
    <w:rsid w:val="38BE1140"/>
    <w:rsid w:val="38BE1CD3"/>
    <w:rsid w:val="38C1B465"/>
    <w:rsid w:val="38C7DE61"/>
    <w:rsid w:val="38C85F34"/>
    <w:rsid w:val="38CC9C6A"/>
    <w:rsid w:val="38D3ABF0"/>
    <w:rsid w:val="38D44918"/>
    <w:rsid w:val="38D66479"/>
    <w:rsid w:val="38D71E38"/>
    <w:rsid w:val="38D98EC6"/>
    <w:rsid w:val="38DB6970"/>
    <w:rsid w:val="38DBC1A4"/>
    <w:rsid w:val="38E87AEE"/>
    <w:rsid w:val="38EBE67E"/>
    <w:rsid w:val="38EDF7BB"/>
    <w:rsid w:val="38EEC2BA"/>
    <w:rsid w:val="38F13C0D"/>
    <w:rsid w:val="38F6A473"/>
    <w:rsid w:val="390340AD"/>
    <w:rsid w:val="3905364C"/>
    <w:rsid w:val="3908D660"/>
    <w:rsid w:val="390E8FCF"/>
    <w:rsid w:val="391979C2"/>
    <w:rsid w:val="3922AC9E"/>
    <w:rsid w:val="39497A2F"/>
    <w:rsid w:val="394C0714"/>
    <w:rsid w:val="394C24DE"/>
    <w:rsid w:val="3951B112"/>
    <w:rsid w:val="3951B5DB"/>
    <w:rsid w:val="395354B9"/>
    <w:rsid w:val="39609AEF"/>
    <w:rsid w:val="3962AEB4"/>
    <w:rsid w:val="39664B47"/>
    <w:rsid w:val="39671E10"/>
    <w:rsid w:val="3967F4B0"/>
    <w:rsid w:val="39742AE6"/>
    <w:rsid w:val="397D66A1"/>
    <w:rsid w:val="3982EB69"/>
    <w:rsid w:val="3983A5A6"/>
    <w:rsid w:val="3989688D"/>
    <w:rsid w:val="39952503"/>
    <w:rsid w:val="399568B0"/>
    <w:rsid w:val="399DC8D3"/>
    <w:rsid w:val="39A20DEA"/>
    <w:rsid w:val="39AA622F"/>
    <w:rsid w:val="39B09523"/>
    <w:rsid w:val="39B4456B"/>
    <w:rsid w:val="39B57891"/>
    <w:rsid w:val="39BF4F98"/>
    <w:rsid w:val="39C3F359"/>
    <w:rsid w:val="39CB6C98"/>
    <w:rsid w:val="39D22B58"/>
    <w:rsid w:val="39D3BD92"/>
    <w:rsid w:val="39DCDBD2"/>
    <w:rsid w:val="39ECF34C"/>
    <w:rsid w:val="39F27296"/>
    <w:rsid w:val="39FE5EED"/>
    <w:rsid w:val="3A04302C"/>
    <w:rsid w:val="3A076EAE"/>
    <w:rsid w:val="3A163632"/>
    <w:rsid w:val="3A1B6737"/>
    <w:rsid w:val="3A20AA09"/>
    <w:rsid w:val="3A20FB6F"/>
    <w:rsid w:val="3A25C383"/>
    <w:rsid w:val="3A2A5C8F"/>
    <w:rsid w:val="3A2D2803"/>
    <w:rsid w:val="3A304A8B"/>
    <w:rsid w:val="3A328B42"/>
    <w:rsid w:val="3A3738A0"/>
    <w:rsid w:val="3A3BD1E4"/>
    <w:rsid w:val="3A4B1802"/>
    <w:rsid w:val="3A4DBA4F"/>
    <w:rsid w:val="3A51FFAE"/>
    <w:rsid w:val="3A57926F"/>
    <w:rsid w:val="3A5B5121"/>
    <w:rsid w:val="3A67E13A"/>
    <w:rsid w:val="3A6A319B"/>
    <w:rsid w:val="3A72D100"/>
    <w:rsid w:val="3A72D4CF"/>
    <w:rsid w:val="3A733A5C"/>
    <w:rsid w:val="3A7AF484"/>
    <w:rsid w:val="3A7B3AB3"/>
    <w:rsid w:val="3A8219B0"/>
    <w:rsid w:val="3A85A445"/>
    <w:rsid w:val="3A88B49C"/>
    <w:rsid w:val="3A9824C1"/>
    <w:rsid w:val="3A997CEB"/>
    <w:rsid w:val="3A9A68C6"/>
    <w:rsid w:val="3A9FE449"/>
    <w:rsid w:val="3AA7AA5C"/>
    <w:rsid w:val="3AB1E8D5"/>
    <w:rsid w:val="3AB2CB6A"/>
    <w:rsid w:val="3ABC1DE9"/>
    <w:rsid w:val="3ABFBDCE"/>
    <w:rsid w:val="3ACA3C5C"/>
    <w:rsid w:val="3ACAD795"/>
    <w:rsid w:val="3AD7D220"/>
    <w:rsid w:val="3AE0AA26"/>
    <w:rsid w:val="3AE21FCF"/>
    <w:rsid w:val="3AE234F3"/>
    <w:rsid w:val="3AE2AD85"/>
    <w:rsid w:val="3AE920F0"/>
    <w:rsid w:val="3AEC68FA"/>
    <w:rsid w:val="3AFE4E7C"/>
    <w:rsid w:val="3B06BDE4"/>
    <w:rsid w:val="3B0D1A9E"/>
    <w:rsid w:val="3B0EEC97"/>
    <w:rsid w:val="3B1151D1"/>
    <w:rsid w:val="3B1F7D24"/>
    <w:rsid w:val="3B1FF598"/>
    <w:rsid w:val="3B22C26E"/>
    <w:rsid w:val="3B2923A4"/>
    <w:rsid w:val="3B30FD87"/>
    <w:rsid w:val="3B38EACE"/>
    <w:rsid w:val="3B3A3A21"/>
    <w:rsid w:val="3B4262C6"/>
    <w:rsid w:val="3B60B5AE"/>
    <w:rsid w:val="3B693E29"/>
    <w:rsid w:val="3B70BEAD"/>
    <w:rsid w:val="3B7850B7"/>
    <w:rsid w:val="3B7D6133"/>
    <w:rsid w:val="3B7EF2AC"/>
    <w:rsid w:val="3B7F69D1"/>
    <w:rsid w:val="3B8427BD"/>
    <w:rsid w:val="3B8CE662"/>
    <w:rsid w:val="3B9C07CC"/>
    <w:rsid w:val="3B9D8D6B"/>
    <w:rsid w:val="3B9FFACB"/>
    <w:rsid w:val="3BA331A9"/>
    <w:rsid w:val="3BA42E64"/>
    <w:rsid w:val="3BA90302"/>
    <w:rsid w:val="3BAC4496"/>
    <w:rsid w:val="3BAE98DD"/>
    <w:rsid w:val="3BB39825"/>
    <w:rsid w:val="3BB5CC10"/>
    <w:rsid w:val="3BB6237B"/>
    <w:rsid w:val="3BD06253"/>
    <w:rsid w:val="3BD353CD"/>
    <w:rsid w:val="3BD63718"/>
    <w:rsid w:val="3BDB3828"/>
    <w:rsid w:val="3BDC9538"/>
    <w:rsid w:val="3BE0CE6D"/>
    <w:rsid w:val="3BE5EACB"/>
    <w:rsid w:val="3BE6E863"/>
    <w:rsid w:val="3BE98AB0"/>
    <w:rsid w:val="3BEBE3E4"/>
    <w:rsid w:val="3BEFFD7C"/>
    <w:rsid w:val="3BF02D23"/>
    <w:rsid w:val="3BF16F33"/>
    <w:rsid w:val="3BF6299B"/>
    <w:rsid w:val="3C0549AB"/>
    <w:rsid w:val="3C059B67"/>
    <w:rsid w:val="3C0C08D4"/>
    <w:rsid w:val="3C1D68D4"/>
    <w:rsid w:val="3C20D647"/>
    <w:rsid w:val="3C21BC5F"/>
    <w:rsid w:val="3C226E5A"/>
    <w:rsid w:val="3C2482E2"/>
    <w:rsid w:val="3C29BAB9"/>
    <w:rsid w:val="3C2D8603"/>
    <w:rsid w:val="3C368957"/>
    <w:rsid w:val="3C4AF1EA"/>
    <w:rsid w:val="3C51B593"/>
    <w:rsid w:val="3C525CF8"/>
    <w:rsid w:val="3C530736"/>
    <w:rsid w:val="3C6632A9"/>
    <w:rsid w:val="3C6A694F"/>
    <w:rsid w:val="3C6C3777"/>
    <w:rsid w:val="3C800635"/>
    <w:rsid w:val="3C88D250"/>
    <w:rsid w:val="3C8A332E"/>
    <w:rsid w:val="3C9E2FF3"/>
    <w:rsid w:val="3CA9FAA8"/>
    <w:rsid w:val="3CB9FC1B"/>
    <w:rsid w:val="3CBCE46A"/>
    <w:rsid w:val="3CC4F405"/>
    <w:rsid w:val="3CCB435D"/>
    <w:rsid w:val="3CDBD171"/>
    <w:rsid w:val="3CDCA978"/>
    <w:rsid w:val="3CE2DE82"/>
    <w:rsid w:val="3CE624B1"/>
    <w:rsid w:val="3CE72CFD"/>
    <w:rsid w:val="3CF0236B"/>
    <w:rsid w:val="3CFDBA97"/>
    <w:rsid w:val="3D02E599"/>
    <w:rsid w:val="3D033296"/>
    <w:rsid w:val="3D096C8D"/>
    <w:rsid w:val="3D0A93AC"/>
    <w:rsid w:val="3D0EDB29"/>
    <w:rsid w:val="3D104174"/>
    <w:rsid w:val="3D1A605A"/>
    <w:rsid w:val="3D23DE17"/>
    <w:rsid w:val="3D38C6F5"/>
    <w:rsid w:val="3D3D3107"/>
    <w:rsid w:val="3D48B954"/>
    <w:rsid w:val="3D54CF4D"/>
    <w:rsid w:val="3D5A946F"/>
    <w:rsid w:val="3D5C2862"/>
    <w:rsid w:val="3D64C78C"/>
    <w:rsid w:val="3D6C49F1"/>
    <w:rsid w:val="3D6EBCFB"/>
    <w:rsid w:val="3D6FAB2D"/>
    <w:rsid w:val="3D6FACED"/>
    <w:rsid w:val="3D776AC9"/>
    <w:rsid w:val="3D7DFE15"/>
    <w:rsid w:val="3D89A070"/>
    <w:rsid w:val="3D8E357E"/>
    <w:rsid w:val="3D8E765F"/>
    <w:rsid w:val="3D8F3A4B"/>
    <w:rsid w:val="3D97A115"/>
    <w:rsid w:val="3DA487D8"/>
    <w:rsid w:val="3DA65360"/>
    <w:rsid w:val="3DAA4ED4"/>
    <w:rsid w:val="3DAB8BF4"/>
    <w:rsid w:val="3DAEA252"/>
    <w:rsid w:val="3DB240C9"/>
    <w:rsid w:val="3DB8342D"/>
    <w:rsid w:val="3DC3E834"/>
    <w:rsid w:val="3DC50EA4"/>
    <w:rsid w:val="3DCDC4D9"/>
    <w:rsid w:val="3DD52866"/>
    <w:rsid w:val="3DD5B25F"/>
    <w:rsid w:val="3DD87F22"/>
    <w:rsid w:val="3DDD24E4"/>
    <w:rsid w:val="3DE60647"/>
    <w:rsid w:val="3DEBE7D9"/>
    <w:rsid w:val="3DEFF246"/>
    <w:rsid w:val="3DF1995C"/>
    <w:rsid w:val="3DF75C4E"/>
    <w:rsid w:val="3E075898"/>
    <w:rsid w:val="3E08974D"/>
    <w:rsid w:val="3E0C700F"/>
    <w:rsid w:val="3E0E68FB"/>
    <w:rsid w:val="3E13C5EF"/>
    <w:rsid w:val="3E143884"/>
    <w:rsid w:val="3E21270F"/>
    <w:rsid w:val="3E26BF8B"/>
    <w:rsid w:val="3E2CA4BD"/>
    <w:rsid w:val="3E305918"/>
    <w:rsid w:val="3E3963C3"/>
    <w:rsid w:val="3E39BC6A"/>
    <w:rsid w:val="3E3A0305"/>
    <w:rsid w:val="3E44FA88"/>
    <w:rsid w:val="3E49B2DE"/>
    <w:rsid w:val="3E4F6DC9"/>
    <w:rsid w:val="3E50CE85"/>
    <w:rsid w:val="3E50EB64"/>
    <w:rsid w:val="3E5AEDB5"/>
    <w:rsid w:val="3E68CCB5"/>
    <w:rsid w:val="3E780357"/>
    <w:rsid w:val="3E78ECDB"/>
    <w:rsid w:val="3E7B0AC5"/>
    <w:rsid w:val="3E7D2F40"/>
    <w:rsid w:val="3E7EAEE3"/>
    <w:rsid w:val="3E820445"/>
    <w:rsid w:val="3E850A3D"/>
    <w:rsid w:val="3E89BBD0"/>
    <w:rsid w:val="3E8EF8AB"/>
    <w:rsid w:val="3E91DBCE"/>
    <w:rsid w:val="3E9E3884"/>
    <w:rsid w:val="3EA28A99"/>
    <w:rsid w:val="3EB6936E"/>
    <w:rsid w:val="3EB81C38"/>
    <w:rsid w:val="3EBC0832"/>
    <w:rsid w:val="3EBDE6CF"/>
    <w:rsid w:val="3EBEB83C"/>
    <w:rsid w:val="3EBEE158"/>
    <w:rsid w:val="3EC94F14"/>
    <w:rsid w:val="3ECE8A7A"/>
    <w:rsid w:val="3ED5F35D"/>
    <w:rsid w:val="3ED81ABF"/>
    <w:rsid w:val="3EDC1E2E"/>
    <w:rsid w:val="3EE17B49"/>
    <w:rsid w:val="3EE25CDA"/>
    <w:rsid w:val="3EE8FF4D"/>
    <w:rsid w:val="3EEA4A60"/>
    <w:rsid w:val="3EEC186A"/>
    <w:rsid w:val="3EF251E4"/>
    <w:rsid w:val="3EF4E378"/>
    <w:rsid w:val="3EF70D04"/>
    <w:rsid w:val="3EFBEAA7"/>
    <w:rsid w:val="3F03E6EA"/>
    <w:rsid w:val="3F04CEC7"/>
    <w:rsid w:val="3F0678DD"/>
    <w:rsid w:val="3F0B8534"/>
    <w:rsid w:val="3F0DD7DA"/>
    <w:rsid w:val="3F11B948"/>
    <w:rsid w:val="3F125CC6"/>
    <w:rsid w:val="3F131D59"/>
    <w:rsid w:val="3F174A80"/>
    <w:rsid w:val="3F186F2F"/>
    <w:rsid w:val="3F1C9D43"/>
    <w:rsid w:val="3F2030E5"/>
    <w:rsid w:val="3F20EFE9"/>
    <w:rsid w:val="3F2512E8"/>
    <w:rsid w:val="3F32999D"/>
    <w:rsid w:val="3F42AFC8"/>
    <w:rsid w:val="3F4548C7"/>
    <w:rsid w:val="3F470FE3"/>
    <w:rsid w:val="3F4B0745"/>
    <w:rsid w:val="3F4EA664"/>
    <w:rsid w:val="3F577039"/>
    <w:rsid w:val="3F588392"/>
    <w:rsid w:val="3F591701"/>
    <w:rsid w:val="3F68F56C"/>
    <w:rsid w:val="3F706147"/>
    <w:rsid w:val="3F787C4E"/>
    <w:rsid w:val="3F7B201C"/>
    <w:rsid w:val="3F7C9C2E"/>
    <w:rsid w:val="3F7CF154"/>
    <w:rsid w:val="3F7FF848"/>
    <w:rsid w:val="3F88BB46"/>
    <w:rsid w:val="3F8B3F29"/>
    <w:rsid w:val="3F8B871B"/>
    <w:rsid w:val="3F955A1B"/>
    <w:rsid w:val="3F981E1E"/>
    <w:rsid w:val="3F9BA2E1"/>
    <w:rsid w:val="3F9BED7C"/>
    <w:rsid w:val="3FA3E3B5"/>
    <w:rsid w:val="3FAB96C0"/>
    <w:rsid w:val="3FAFE432"/>
    <w:rsid w:val="3FB6A9E3"/>
    <w:rsid w:val="3FDB5CA5"/>
    <w:rsid w:val="3FDD56BD"/>
    <w:rsid w:val="3FE1BDC2"/>
    <w:rsid w:val="3FE7C014"/>
    <w:rsid w:val="3FEAEA3F"/>
    <w:rsid w:val="3FECF339"/>
    <w:rsid w:val="3FFEBCF2"/>
    <w:rsid w:val="3FFF2F93"/>
    <w:rsid w:val="4000D412"/>
    <w:rsid w:val="4004449C"/>
    <w:rsid w:val="400B48C1"/>
    <w:rsid w:val="400FCA24"/>
    <w:rsid w:val="401F7E49"/>
    <w:rsid w:val="4024A0B0"/>
    <w:rsid w:val="4026C28C"/>
    <w:rsid w:val="402E4336"/>
    <w:rsid w:val="4039F63F"/>
    <w:rsid w:val="403C6A43"/>
    <w:rsid w:val="403DB603"/>
    <w:rsid w:val="403F60C8"/>
    <w:rsid w:val="40426957"/>
    <w:rsid w:val="4044EBD4"/>
    <w:rsid w:val="40499D3D"/>
    <w:rsid w:val="4050529B"/>
    <w:rsid w:val="4053EAB1"/>
    <w:rsid w:val="4058A849"/>
    <w:rsid w:val="40605FBE"/>
    <w:rsid w:val="406B1CF4"/>
    <w:rsid w:val="4071E6A9"/>
    <w:rsid w:val="40728061"/>
    <w:rsid w:val="407717EF"/>
    <w:rsid w:val="407996E1"/>
    <w:rsid w:val="4081A28E"/>
    <w:rsid w:val="40843118"/>
    <w:rsid w:val="408A9CA7"/>
    <w:rsid w:val="409572E3"/>
    <w:rsid w:val="4095EE65"/>
    <w:rsid w:val="40AC93AA"/>
    <w:rsid w:val="40B88142"/>
    <w:rsid w:val="40B92778"/>
    <w:rsid w:val="40C06BFE"/>
    <w:rsid w:val="40C16238"/>
    <w:rsid w:val="40C1B0E6"/>
    <w:rsid w:val="40C25A3A"/>
    <w:rsid w:val="40CBB305"/>
    <w:rsid w:val="40CE1A85"/>
    <w:rsid w:val="40CF5354"/>
    <w:rsid w:val="40D023E0"/>
    <w:rsid w:val="40D09485"/>
    <w:rsid w:val="40D38731"/>
    <w:rsid w:val="40D528A8"/>
    <w:rsid w:val="40D54BD8"/>
    <w:rsid w:val="40D89F7F"/>
    <w:rsid w:val="40D9731F"/>
    <w:rsid w:val="40E21653"/>
    <w:rsid w:val="40E245CD"/>
    <w:rsid w:val="40E6C51F"/>
    <w:rsid w:val="40F28055"/>
    <w:rsid w:val="40F86009"/>
    <w:rsid w:val="40FB88F6"/>
    <w:rsid w:val="40FC1F35"/>
    <w:rsid w:val="41000EA2"/>
    <w:rsid w:val="4105D552"/>
    <w:rsid w:val="411459B8"/>
    <w:rsid w:val="4116DCE8"/>
    <w:rsid w:val="411706C9"/>
    <w:rsid w:val="4117A67D"/>
    <w:rsid w:val="411D9703"/>
    <w:rsid w:val="41209ACF"/>
    <w:rsid w:val="412D1341"/>
    <w:rsid w:val="412F0241"/>
    <w:rsid w:val="4132243E"/>
    <w:rsid w:val="41331F47"/>
    <w:rsid w:val="4135727D"/>
    <w:rsid w:val="4137803E"/>
    <w:rsid w:val="4138A330"/>
    <w:rsid w:val="413BF4C1"/>
    <w:rsid w:val="413C4FCC"/>
    <w:rsid w:val="41464259"/>
    <w:rsid w:val="414D6417"/>
    <w:rsid w:val="4153F0C2"/>
    <w:rsid w:val="4154B3EE"/>
    <w:rsid w:val="4154BA23"/>
    <w:rsid w:val="4163D677"/>
    <w:rsid w:val="4164258F"/>
    <w:rsid w:val="4167C6A4"/>
    <w:rsid w:val="416C588E"/>
    <w:rsid w:val="416CB895"/>
    <w:rsid w:val="416DDC4B"/>
    <w:rsid w:val="41715D2C"/>
    <w:rsid w:val="41728421"/>
    <w:rsid w:val="41743879"/>
    <w:rsid w:val="417D8E23"/>
    <w:rsid w:val="417F226A"/>
    <w:rsid w:val="41835C25"/>
    <w:rsid w:val="4185FA7E"/>
    <w:rsid w:val="418BF51D"/>
    <w:rsid w:val="418C491E"/>
    <w:rsid w:val="41997727"/>
    <w:rsid w:val="41A30E58"/>
    <w:rsid w:val="41ABF50B"/>
    <w:rsid w:val="41B2B8AC"/>
    <w:rsid w:val="41BABECA"/>
    <w:rsid w:val="41C3CE90"/>
    <w:rsid w:val="41C3F05C"/>
    <w:rsid w:val="41C69731"/>
    <w:rsid w:val="41CEBAA0"/>
    <w:rsid w:val="41D3B868"/>
    <w:rsid w:val="41E804D8"/>
    <w:rsid w:val="41EB8873"/>
    <w:rsid w:val="41EF03A2"/>
    <w:rsid w:val="41F1E6CF"/>
    <w:rsid w:val="41F2EFB7"/>
    <w:rsid w:val="41F8954F"/>
    <w:rsid w:val="41FEC881"/>
    <w:rsid w:val="42000F2A"/>
    <w:rsid w:val="42001D1A"/>
    <w:rsid w:val="420506D9"/>
    <w:rsid w:val="42055138"/>
    <w:rsid w:val="4205D879"/>
    <w:rsid w:val="4205DC3D"/>
    <w:rsid w:val="420A2D5C"/>
    <w:rsid w:val="4213A072"/>
    <w:rsid w:val="421B6663"/>
    <w:rsid w:val="421FCC0F"/>
    <w:rsid w:val="4221EB22"/>
    <w:rsid w:val="42225D4F"/>
    <w:rsid w:val="4225A741"/>
    <w:rsid w:val="42281E97"/>
    <w:rsid w:val="422EB5A9"/>
    <w:rsid w:val="42308258"/>
    <w:rsid w:val="423505A8"/>
    <w:rsid w:val="423B586D"/>
    <w:rsid w:val="423D9C18"/>
    <w:rsid w:val="423FCBFC"/>
    <w:rsid w:val="424052DA"/>
    <w:rsid w:val="4243D2E0"/>
    <w:rsid w:val="424A4D50"/>
    <w:rsid w:val="425009FB"/>
    <w:rsid w:val="42500FF1"/>
    <w:rsid w:val="42511202"/>
    <w:rsid w:val="425483EB"/>
    <w:rsid w:val="4258AA0F"/>
    <w:rsid w:val="426232D9"/>
    <w:rsid w:val="426746B4"/>
    <w:rsid w:val="4268FA86"/>
    <w:rsid w:val="426CE10C"/>
    <w:rsid w:val="426CE14F"/>
    <w:rsid w:val="42769AA4"/>
    <w:rsid w:val="4283BFEB"/>
    <w:rsid w:val="4284F0F8"/>
    <w:rsid w:val="4285D43A"/>
    <w:rsid w:val="42942817"/>
    <w:rsid w:val="429D9286"/>
    <w:rsid w:val="429F8892"/>
    <w:rsid w:val="42A5BE39"/>
    <w:rsid w:val="42AD57BE"/>
    <w:rsid w:val="42B081B4"/>
    <w:rsid w:val="42BF3135"/>
    <w:rsid w:val="42BF4B3A"/>
    <w:rsid w:val="42C60719"/>
    <w:rsid w:val="42DCABAD"/>
    <w:rsid w:val="42E1C26B"/>
    <w:rsid w:val="42E29161"/>
    <w:rsid w:val="42E5A3CF"/>
    <w:rsid w:val="42EC9F73"/>
    <w:rsid w:val="42EFB844"/>
    <w:rsid w:val="42F1872C"/>
    <w:rsid w:val="42F5D7D9"/>
    <w:rsid w:val="43012459"/>
    <w:rsid w:val="43012793"/>
    <w:rsid w:val="43025B9D"/>
    <w:rsid w:val="43040B97"/>
    <w:rsid w:val="43073642"/>
    <w:rsid w:val="430B5764"/>
    <w:rsid w:val="4310E1AF"/>
    <w:rsid w:val="4320F088"/>
    <w:rsid w:val="4328CF19"/>
    <w:rsid w:val="432A0BE7"/>
    <w:rsid w:val="432A5765"/>
    <w:rsid w:val="432D16D7"/>
    <w:rsid w:val="432F3734"/>
    <w:rsid w:val="43343315"/>
    <w:rsid w:val="4336B159"/>
    <w:rsid w:val="434973E0"/>
    <w:rsid w:val="4357A380"/>
    <w:rsid w:val="43631537"/>
    <w:rsid w:val="436815A2"/>
    <w:rsid w:val="4369B0D6"/>
    <w:rsid w:val="436BFEFC"/>
    <w:rsid w:val="436EFC42"/>
    <w:rsid w:val="437556C5"/>
    <w:rsid w:val="437CBE6C"/>
    <w:rsid w:val="43812DC5"/>
    <w:rsid w:val="4383BE18"/>
    <w:rsid w:val="4384E0DC"/>
    <w:rsid w:val="4385DFF9"/>
    <w:rsid w:val="438C5BE0"/>
    <w:rsid w:val="4393857F"/>
    <w:rsid w:val="4396D4D0"/>
    <w:rsid w:val="439C6E71"/>
    <w:rsid w:val="43A7B446"/>
    <w:rsid w:val="43AB0CB0"/>
    <w:rsid w:val="43B4A24A"/>
    <w:rsid w:val="43BB52EB"/>
    <w:rsid w:val="43CEF65A"/>
    <w:rsid w:val="43D355E5"/>
    <w:rsid w:val="43E23D52"/>
    <w:rsid w:val="43EBFC6F"/>
    <w:rsid w:val="43F20DFA"/>
    <w:rsid w:val="43F5126F"/>
    <w:rsid w:val="43F548CD"/>
    <w:rsid w:val="43FE5798"/>
    <w:rsid w:val="440A53FF"/>
    <w:rsid w:val="441AFCDB"/>
    <w:rsid w:val="441E53FB"/>
    <w:rsid w:val="441EC5F4"/>
    <w:rsid w:val="441F43EB"/>
    <w:rsid w:val="4422401A"/>
    <w:rsid w:val="4422A2E9"/>
    <w:rsid w:val="4425AB3D"/>
    <w:rsid w:val="4427429C"/>
    <w:rsid w:val="442B418D"/>
    <w:rsid w:val="442FCA3C"/>
    <w:rsid w:val="443000CB"/>
    <w:rsid w:val="4431C935"/>
    <w:rsid w:val="443A1D4E"/>
    <w:rsid w:val="443CDBF5"/>
    <w:rsid w:val="443DD5FF"/>
    <w:rsid w:val="44542673"/>
    <w:rsid w:val="446D7AB2"/>
    <w:rsid w:val="4487CACE"/>
    <w:rsid w:val="448E4E99"/>
    <w:rsid w:val="4494C476"/>
    <w:rsid w:val="4497C317"/>
    <w:rsid w:val="4498789B"/>
    <w:rsid w:val="449BB8AB"/>
    <w:rsid w:val="44A5E872"/>
    <w:rsid w:val="44A87A9C"/>
    <w:rsid w:val="44B0DB6B"/>
    <w:rsid w:val="44B6472B"/>
    <w:rsid w:val="44BC2426"/>
    <w:rsid w:val="44C1658B"/>
    <w:rsid w:val="44C5191F"/>
    <w:rsid w:val="44C5FFEC"/>
    <w:rsid w:val="44C627C6"/>
    <w:rsid w:val="44CB92CD"/>
    <w:rsid w:val="44CD2085"/>
    <w:rsid w:val="44CF6BD4"/>
    <w:rsid w:val="44D59779"/>
    <w:rsid w:val="44E6E26E"/>
    <w:rsid w:val="44EDBDEF"/>
    <w:rsid w:val="44FB8997"/>
    <w:rsid w:val="44FDF710"/>
    <w:rsid w:val="44FDF77B"/>
    <w:rsid w:val="44FF3897"/>
    <w:rsid w:val="4504D430"/>
    <w:rsid w:val="450C88DE"/>
    <w:rsid w:val="450D7A08"/>
    <w:rsid w:val="45112726"/>
    <w:rsid w:val="4513B497"/>
    <w:rsid w:val="4517F0F7"/>
    <w:rsid w:val="45186299"/>
    <w:rsid w:val="451B8E3A"/>
    <w:rsid w:val="452418CE"/>
    <w:rsid w:val="452ADB81"/>
    <w:rsid w:val="452CE13B"/>
    <w:rsid w:val="452D0786"/>
    <w:rsid w:val="452F2AF2"/>
    <w:rsid w:val="452FA5F3"/>
    <w:rsid w:val="4531904A"/>
    <w:rsid w:val="4534B0FE"/>
    <w:rsid w:val="453882C0"/>
    <w:rsid w:val="453D6F11"/>
    <w:rsid w:val="4546A004"/>
    <w:rsid w:val="455FE4AB"/>
    <w:rsid w:val="4560F504"/>
    <w:rsid w:val="4566798C"/>
    <w:rsid w:val="456A33B9"/>
    <w:rsid w:val="456D93DA"/>
    <w:rsid w:val="45703AD9"/>
    <w:rsid w:val="4571659B"/>
    <w:rsid w:val="4571FE05"/>
    <w:rsid w:val="45745F8E"/>
    <w:rsid w:val="45776DDE"/>
    <w:rsid w:val="457BEF81"/>
    <w:rsid w:val="457CBA50"/>
    <w:rsid w:val="457D0F29"/>
    <w:rsid w:val="458114EF"/>
    <w:rsid w:val="45819221"/>
    <w:rsid w:val="4584794C"/>
    <w:rsid w:val="458668D1"/>
    <w:rsid w:val="45888EF6"/>
    <w:rsid w:val="45894DBF"/>
    <w:rsid w:val="45948942"/>
    <w:rsid w:val="4599FAAD"/>
    <w:rsid w:val="45A03ADE"/>
    <w:rsid w:val="45A211B9"/>
    <w:rsid w:val="45AA45EB"/>
    <w:rsid w:val="45B0E0B4"/>
    <w:rsid w:val="45B9B2A9"/>
    <w:rsid w:val="45BA62FA"/>
    <w:rsid w:val="45BB5E46"/>
    <w:rsid w:val="45C51485"/>
    <w:rsid w:val="45CC1E2C"/>
    <w:rsid w:val="45D46849"/>
    <w:rsid w:val="45DC3D56"/>
    <w:rsid w:val="45E10FD5"/>
    <w:rsid w:val="45E180E2"/>
    <w:rsid w:val="45E18F01"/>
    <w:rsid w:val="45EE6773"/>
    <w:rsid w:val="45FBCCF3"/>
    <w:rsid w:val="45FF175E"/>
    <w:rsid w:val="46063DD7"/>
    <w:rsid w:val="4610EFF8"/>
    <w:rsid w:val="4627EBC5"/>
    <w:rsid w:val="462BFEC8"/>
    <w:rsid w:val="462CDC69"/>
    <w:rsid w:val="462FAE47"/>
    <w:rsid w:val="46306251"/>
    <w:rsid w:val="4636DC81"/>
    <w:rsid w:val="463B3389"/>
    <w:rsid w:val="4644CE4F"/>
    <w:rsid w:val="464B5AB0"/>
    <w:rsid w:val="464CA530"/>
    <w:rsid w:val="465D692A"/>
    <w:rsid w:val="466463D1"/>
    <w:rsid w:val="4665826A"/>
    <w:rsid w:val="466B6B6A"/>
    <w:rsid w:val="4671A9FF"/>
    <w:rsid w:val="46753BE2"/>
    <w:rsid w:val="467C1EFC"/>
    <w:rsid w:val="46846D4E"/>
    <w:rsid w:val="4694870E"/>
    <w:rsid w:val="4696685B"/>
    <w:rsid w:val="46A040A0"/>
    <w:rsid w:val="46AF90BF"/>
    <w:rsid w:val="46B24DF7"/>
    <w:rsid w:val="46B5260D"/>
    <w:rsid w:val="46B99025"/>
    <w:rsid w:val="46BFE236"/>
    <w:rsid w:val="46C5CFD3"/>
    <w:rsid w:val="46C6CD6E"/>
    <w:rsid w:val="46CE9CCD"/>
    <w:rsid w:val="46CF98EF"/>
    <w:rsid w:val="46D3BDE4"/>
    <w:rsid w:val="46E142AB"/>
    <w:rsid w:val="46E3B284"/>
    <w:rsid w:val="46ED6EBF"/>
    <w:rsid w:val="46F287AD"/>
    <w:rsid w:val="46F446C6"/>
    <w:rsid w:val="46F55C45"/>
    <w:rsid w:val="46F87D65"/>
    <w:rsid w:val="46FC32FA"/>
    <w:rsid w:val="46FCF235"/>
    <w:rsid w:val="470FC0D9"/>
    <w:rsid w:val="4713FA7E"/>
    <w:rsid w:val="471FEBCE"/>
    <w:rsid w:val="47238356"/>
    <w:rsid w:val="47344A09"/>
    <w:rsid w:val="473777DE"/>
    <w:rsid w:val="4739BBBC"/>
    <w:rsid w:val="473CC14D"/>
    <w:rsid w:val="47401D00"/>
    <w:rsid w:val="475D270B"/>
    <w:rsid w:val="47662464"/>
    <w:rsid w:val="47672215"/>
    <w:rsid w:val="476B1D35"/>
    <w:rsid w:val="4770541C"/>
    <w:rsid w:val="47812457"/>
    <w:rsid w:val="4783F2D7"/>
    <w:rsid w:val="4785AC73"/>
    <w:rsid w:val="4785E1F6"/>
    <w:rsid w:val="47908BDF"/>
    <w:rsid w:val="4799B70A"/>
    <w:rsid w:val="47A610EA"/>
    <w:rsid w:val="47ACC2EF"/>
    <w:rsid w:val="47B31199"/>
    <w:rsid w:val="47BA3110"/>
    <w:rsid w:val="47BB096E"/>
    <w:rsid w:val="47BC2DE0"/>
    <w:rsid w:val="47C4396F"/>
    <w:rsid w:val="47C76EAF"/>
    <w:rsid w:val="47C97243"/>
    <w:rsid w:val="47CC854E"/>
    <w:rsid w:val="47D18F63"/>
    <w:rsid w:val="47DE8B1B"/>
    <w:rsid w:val="47E4F620"/>
    <w:rsid w:val="47EB08CC"/>
    <w:rsid w:val="47F72798"/>
    <w:rsid w:val="47F8C550"/>
    <w:rsid w:val="47FD3ED2"/>
    <w:rsid w:val="48099FF9"/>
    <w:rsid w:val="480B3FFD"/>
    <w:rsid w:val="480C53A3"/>
    <w:rsid w:val="4829D081"/>
    <w:rsid w:val="4832464E"/>
    <w:rsid w:val="48334986"/>
    <w:rsid w:val="4835DCEA"/>
    <w:rsid w:val="4836A15A"/>
    <w:rsid w:val="483827B2"/>
    <w:rsid w:val="483C8D4F"/>
    <w:rsid w:val="483F22C0"/>
    <w:rsid w:val="4840EAB9"/>
    <w:rsid w:val="4846AB11"/>
    <w:rsid w:val="4849BFEE"/>
    <w:rsid w:val="484E06D4"/>
    <w:rsid w:val="484F16CA"/>
    <w:rsid w:val="4851AE66"/>
    <w:rsid w:val="4855B5AC"/>
    <w:rsid w:val="485CD916"/>
    <w:rsid w:val="486600BB"/>
    <w:rsid w:val="486746B5"/>
    <w:rsid w:val="4869B92D"/>
    <w:rsid w:val="4869EBE4"/>
    <w:rsid w:val="486C1C78"/>
    <w:rsid w:val="486CD050"/>
    <w:rsid w:val="486E839B"/>
    <w:rsid w:val="486EBBC6"/>
    <w:rsid w:val="48700F06"/>
    <w:rsid w:val="48711CA4"/>
    <w:rsid w:val="48749B4C"/>
    <w:rsid w:val="4876D1B4"/>
    <w:rsid w:val="48784410"/>
    <w:rsid w:val="487B2569"/>
    <w:rsid w:val="4884F651"/>
    <w:rsid w:val="488908ED"/>
    <w:rsid w:val="488C62CD"/>
    <w:rsid w:val="489827AA"/>
    <w:rsid w:val="489FE3F1"/>
    <w:rsid w:val="48A2CCED"/>
    <w:rsid w:val="48AB4D19"/>
    <w:rsid w:val="48B01133"/>
    <w:rsid w:val="48B2075D"/>
    <w:rsid w:val="48BB62AB"/>
    <w:rsid w:val="48D0A75D"/>
    <w:rsid w:val="48D40306"/>
    <w:rsid w:val="48DC6A91"/>
    <w:rsid w:val="48E49ABD"/>
    <w:rsid w:val="48E5D7DE"/>
    <w:rsid w:val="48EA87EE"/>
    <w:rsid w:val="48F080BE"/>
    <w:rsid w:val="490877F4"/>
    <w:rsid w:val="490939C4"/>
    <w:rsid w:val="490CD40A"/>
    <w:rsid w:val="49107780"/>
    <w:rsid w:val="49238D9B"/>
    <w:rsid w:val="492C2350"/>
    <w:rsid w:val="4940A9AF"/>
    <w:rsid w:val="4940CAA2"/>
    <w:rsid w:val="49429FA5"/>
    <w:rsid w:val="494F8DD9"/>
    <w:rsid w:val="494FE506"/>
    <w:rsid w:val="4963D9B6"/>
    <w:rsid w:val="49676B26"/>
    <w:rsid w:val="497307CC"/>
    <w:rsid w:val="4984096F"/>
    <w:rsid w:val="498BADDC"/>
    <w:rsid w:val="499A0DF6"/>
    <w:rsid w:val="499DA6C1"/>
    <w:rsid w:val="49A3B2F8"/>
    <w:rsid w:val="49A51423"/>
    <w:rsid w:val="49AA560D"/>
    <w:rsid w:val="49AA95D4"/>
    <w:rsid w:val="49B7DCAC"/>
    <w:rsid w:val="49BB90E4"/>
    <w:rsid w:val="49BC70A0"/>
    <w:rsid w:val="49C05A31"/>
    <w:rsid w:val="49C2BE8F"/>
    <w:rsid w:val="49C5AAF2"/>
    <w:rsid w:val="49C722D9"/>
    <w:rsid w:val="49CBADB4"/>
    <w:rsid w:val="49CDDD1B"/>
    <w:rsid w:val="49CEE312"/>
    <w:rsid w:val="49D283AF"/>
    <w:rsid w:val="49D28A23"/>
    <w:rsid w:val="49DDD5F5"/>
    <w:rsid w:val="49E03627"/>
    <w:rsid w:val="49E96737"/>
    <w:rsid w:val="49F10B68"/>
    <w:rsid w:val="49F4EE0E"/>
    <w:rsid w:val="49F5193C"/>
    <w:rsid w:val="49FBC60C"/>
    <w:rsid w:val="4A002D7F"/>
    <w:rsid w:val="4A0411CD"/>
    <w:rsid w:val="4A0B1A2F"/>
    <w:rsid w:val="4A0D22DA"/>
    <w:rsid w:val="4A10EF8A"/>
    <w:rsid w:val="4A13862B"/>
    <w:rsid w:val="4A151EB1"/>
    <w:rsid w:val="4A15754A"/>
    <w:rsid w:val="4A220FD4"/>
    <w:rsid w:val="4A2CFD07"/>
    <w:rsid w:val="4A2F4946"/>
    <w:rsid w:val="4A389AFC"/>
    <w:rsid w:val="4A3AEF39"/>
    <w:rsid w:val="4A3D8A0B"/>
    <w:rsid w:val="4A417187"/>
    <w:rsid w:val="4A444832"/>
    <w:rsid w:val="4A4571B0"/>
    <w:rsid w:val="4A46D764"/>
    <w:rsid w:val="4A56E8A1"/>
    <w:rsid w:val="4A643614"/>
    <w:rsid w:val="4A677D02"/>
    <w:rsid w:val="4A703204"/>
    <w:rsid w:val="4A75CDD5"/>
    <w:rsid w:val="4A7C1232"/>
    <w:rsid w:val="4A7CE7B5"/>
    <w:rsid w:val="4A8A694F"/>
    <w:rsid w:val="4A8C0B2A"/>
    <w:rsid w:val="4A8C80FB"/>
    <w:rsid w:val="4A8E8733"/>
    <w:rsid w:val="4A8F0D66"/>
    <w:rsid w:val="4A9A31B1"/>
    <w:rsid w:val="4A9B5944"/>
    <w:rsid w:val="4A9FBD7D"/>
    <w:rsid w:val="4A9FDCDA"/>
    <w:rsid w:val="4AA2E224"/>
    <w:rsid w:val="4AA52046"/>
    <w:rsid w:val="4AA9B82E"/>
    <w:rsid w:val="4AABF43E"/>
    <w:rsid w:val="4AAC9313"/>
    <w:rsid w:val="4AAE88BF"/>
    <w:rsid w:val="4AC0C2F8"/>
    <w:rsid w:val="4AC5943F"/>
    <w:rsid w:val="4ACE9D41"/>
    <w:rsid w:val="4AD04C95"/>
    <w:rsid w:val="4AD9677B"/>
    <w:rsid w:val="4ADCD9FE"/>
    <w:rsid w:val="4AEE0F79"/>
    <w:rsid w:val="4AF1D1D2"/>
    <w:rsid w:val="4AF2D333"/>
    <w:rsid w:val="4AF7FDDC"/>
    <w:rsid w:val="4AF94E2F"/>
    <w:rsid w:val="4B09F659"/>
    <w:rsid w:val="4B1034AF"/>
    <w:rsid w:val="4B13F286"/>
    <w:rsid w:val="4B1CAF39"/>
    <w:rsid w:val="4B218E2B"/>
    <w:rsid w:val="4B274E34"/>
    <w:rsid w:val="4B28185E"/>
    <w:rsid w:val="4B299950"/>
    <w:rsid w:val="4B3474B1"/>
    <w:rsid w:val="4B397722"/>
    <w:rsid w:val="4B39BD1E"/>
    <w:rsid w:val="4B410B62"/>
    <w:rsid w:val="4B438316"/>
    <w:rsid w:val="4B444BFD"/>
    <w:rsid w:val="4B47126D"/>
    <w:rsid w:val="4B47980B"/>
    <w:rsid w:val="4B484FA2"/>
    <w:rsid w:val="4B4AA001"/>
    <w:rsid w:val="4B4F73BF"/>
    <w:rsid w:val="4B50458F"/>
    <w:rsid w:val="4B51B863"/>
    <w:rsid w:val="4B5A8966"/>
    <w:rsid w:val="4B5CFF73"/>
    <w:rsid w:val="4B5DDCD1"/>
    <w:rsid w:val="4B6276EC"/>
    <w:rsid w:val="4B690F37"/>
    <w:rsid w:val="4B6B80B5"/>
    <w:rsid w:val="4B78268C"/>
    <w:rsid w:val="4B7B1BE2"/>
    <w:rsid w:val="4B7DECC4"/>
    <w:rsid w:val="4B90A2E6"/>
    <w:rsid w:val="4B947DBD"/>
    <w:rsid w:val="4B9E9FDC"/>
    <w:rsid w:val="4BA44F83"/>
    <w:rsid w:val="4BAEFFA7"/>
    <w:rsid w:val="4BB217CF"/>
    <w:rsid w:val="4BB8A635"/>
    <w:rsid w:val="4BCCDC46"/>
    <w:rsid w:val="4BDDBA00"/>
    <w:rsid w:val="4BDDC9DA"/>
    <w:rsid w:val="4BE491E9"/>
    <w:rsid w:val="4BEDFD16"/>
    <w:rsid w:val="4BF1BE32"/>
    <w:rsid w:val="4BF6A18A"/>
    <w:rsid w:val="4BFC5BD9"/>
    <w:rsid w:val="4C052445"/>
    <w:rsid w:val="4C08481F"/>
    <w:rsid w:val="4C0F862D"/>
    <w:rsid w:val="4C138E23"/>
    <w:rsid w:val="4C1D18C7"/>
    <w:rsid w:val="4C2660FA"/>
    <w:rsid w:val="4C30EF9C"/>
    <w:rsid w:val="4C32F626"/>
    <w:rsid w:val="4C3A9F9A"/>
    <w:rsid w:val="4C3E7C46"/>
    <w:rsid w:val="4C51D0F2"/>
    <w:rsid w:val="4C5763FA"/>
    <w:rsid w:val="4C5A2DC8"/>
    <w:rsid w:val="4C5EF1A6"/>
    <w:rsid w:val="4C64FBF0"/>
    <w:rsid w:val="4C684736"/>
    <w:rsid w:val="4C6EC2DE"/>
    <w:rsid w:val="4C6FAF23"/>
    <w:rsid w:val="4C773B0E"/>
    <w:rsid w:val="4C7860B5"/>
    <w:rsid w:val="4C7E9186"/>
    <w:rsid w:val="4C825574"/>
    <w:rsid w:val="4C860C0A"/>
    <w:rsid w:val="4C88C5B4"/>
    <w:rsid w:val="4C8989C1"/>
    <w:rsid w:val="4C8A68A3"/>
    <w:rsid w:val="4C96EFB6"/>
    <w:rsid w:val="4C9B7A78"/>
    <w:rsid w:val="4C9FD65B"/>
    <w:rsid w:val="4CA3D8CF"/>
    <w:rsid w:val="4CAF0338"/>
    <w:rsid w:val="4CB8B20F"/>
    <w:rsid w:val="4CB9CE3E"/>
    <w:rsid w:val="4CBAF88B"/>
    <w:rsid w:val="4CC0D468"/>
    <w:rsid w:val="4CC332E6"/>
    <w:rsid w:val="4CC6ADD1"/>
    <w:rsid w:val="4CD154E9"/>
    <w:rsid w:val="4CEEE7C8"/>
    <w:rsid w:val="4CF81336"/>
    <w:rsid w:val="4D123DA6"/>
    <w:rsid w:val="4D14A286"/>
    <w:rsid w:val="4D16E6EB"/>
    <w:rsid w:val="4D1B8058"/>
    <w:rsid w:val="4D1BD32B"/>
    <w:rsid w:val="4D22BBF7"/>
    <w:rsid w:val="4D2DCE90"/>
    <w:rsid w:val="4D3C97D3"/>
    <w:rsid w:val="4D583810"/>
    <w:rsid w:val="4D5E08A2"/>
    <w:rsid w:val="4D5EB2E8"/>
    <w:rsid w:val="4D6B6ACE"/>
    <w:rsid w:val="4D6E17B3"/>
    <w:rsid w:val="4D6EE9D7"/>
    <w:rsid w:val="4D72954F"/>
    <w:rsid w:val="4D72A381"/>
    <w:rsid w:val="4D7337A2"/>
    <w:rsid w:val="4D77DDE7"/>
    <w:rsid w:val="4D8157CF"/>
    <w:rsid w:val="4D85A2BB"/>
    <w:rsid w:val="4D8F4C84"/>
    <w:rsid w:val="4D924A49"/>
    <w:rsid w:val="4D92B2BE"/>
    <w:rsid w:val="4D943F86"/>
    <w:rsid w:val="4DA70B0F"/>
    <w:rsid w:val="4DAB651A"/>
    <w:rsid w:val="4DAEA6E8"/>
    <w:rsid w:val="4DB7EB2E"/>
    <w:rsid w:val="4DBB5877"/>
    <w:rsid w:val="4DBDFAB6"/>
    <w:rsid w:val="4DC85A81"/>
    <w:rsid w:val="4DC90A76"/>
    <w:rsid w:val="4DD276AE"/>
    <w:rsid w:val="4DD52501"/>
    <w:rsid w:val="4DD6E311"/>
    <w:rsid w:val="4DDB2946"/>
    <w:rsid w:val="4DDD3BDB"/>
    <w:rsid w:val="4DE49C25"/>
    <w:rsid w:val="4DE6DB47"/>
    <w:rsid w:val="4DE81DE8"/>
    <w:rsid w:val="4DF18004"/>
    <w:rsid w:val="4DF69B7D"/>
    <w:rsid w:val="4E0141C7"/>
    <w:rsid w:val="4E08D2A8"/>
    <w:rsid w:val="4E09EB67"/>
    <w:rsid w:val="4E1FF831"/>
    <w:rsid w:val="4E261194"/>
    <w:rsid w:val="4E28E1C8"/>
    <w:rsid w:val="4E298555"/>
    <w:rsid w:val="4E32FDAA"/>
    <w:rsid w:val="4E3583FF"/>
    <w:rsid w:val="4E363C12"/>
    <w:rsid w:val="4E3CBEE3"/>
    <w:rsid w:val="4E4409B9"/>
    <w:rsid w:val="4E458363"/>
    <w:rsid w:val="4E4C2607"/>
    <w:rsid w:val="4E4C8EE4"/>
    <w:rsid w:val="4E4DCC9F"/>
    <w:rsid w:val="4E507336"/>
    <w:rsid w:val="4E5B81DC"/>
    <w:rsid w:val="4E5FFC81"/>
    <w:rsid w:val="4E63DE42"/>
    <w:rsid w:val="4E7030C8"/>
    <w:rsid w:val="4E70BEAB"/>
    <w:rsid w:val="4E72BEFF"/>
    <w:rsid w:val="4E82CF0C"/>
    <w:rsid w:val="4E847858"/>
    <w:rsid w:val="4E86E3E4"/>
    <w:rsid w:val="4E87879C"/>
    <w:rsid w:val="4E896AE0"/>
    <w:rsid w:val="4EAAC849"/>
    <w:rsid w:val="4EAF1A01"/>
    <w:rsid w:val="4EB63200"/>
    <w:rsid w:val="4EB8B6F6"/>
    <w:rsid w:val="4EC23D69"/>
    <w:rsid w:val="4EC670BF"/>
    <w:rsid w:val="4EDEB22D"/>
    <w:rsid w:val="4EE3C428"/>
    <w:rsid w:val="4EEA66ED"/>
    <w:rsid w:val="4EEB57D4"/>
    <w:rsid w:val="4EEF1A84"/>
    <w:rsid w:val="4EF40871"/>
    <w:rsid w:val="4EFC5D69"/>
    <w:rsid w:val="4EFD9992"/>
    <w:rsid w:val="4F00047E"/>
    <w:rsid w:val="4F02F6C3"/>
    <w:rsid w:val="4F03FFF1"/>
    <w:rsid w:val="4F044AEF"/>
    <w:rsid w:val="4F074D60"/>
    <w:rsid w:val="4F083C77"/>
    <w:rsid w:val="4F0BB93E"/>
    <w:rsid w:val="4F0F3B9B"/>
    <w:rsid w:val="4F103697"/>
    <w:rsid w:val="4F1259F8"/>
    <w:rsid w:val="4F2E8589"/>
    <w:rsid w:val="4F31BD60"/>
    <w:rsid w:val="4F3D4495"/>
    <w:rsid w:val="4F47082B"/>
    <w:rsid w:val="4F49CE92"/>
    <w:rsid w:val="4F4A0E53"/>
    <w:rsid w:val="4F4ADFE0"/>
    <w:rsid w:val="4F4B82E6"/>
    <w:rsid w:val="4F50B407"/>
    <w:rsid w:val="4F58A18D"/>
    <w:rsid w:val="4F65DB5E"/>
    <w:rsid w:val="4F6D75E4"/>
    <w:rsid w:val="4F6EF61E"/>
    <w:rsid w:val="4F7624FF"/>
    <w:rsid w:val="4F77B71A"/>
    <w:rsid w:val="4F7ADD66"/>
    <w:rsid w:val="4F7AEEAB"/>
    <w:rsid w:val="4F7E225F"/>
    <w:rsid w:val="4F7F82FB"/>
    <w:rsid w:val="4F80F2D5"/>
    <w:rsid w:val="4F874A20"/>
    <w:rsid w:val="4F93B2B5"/>
    <w:rsid w:val="4F978D09"/>
    <w:rsid w:val="4F9A5527"/>
    <w:rsid w:val="4F9E8B3C"/>
    <w:rsid w:val="4F9F1578"/>
    <w:rsid w:val="4FA10B55"/>
    <w:rsid w:val="4FA1E671"/>
    <w:rsid w:val="4FA81665"/>
    <w:rsid w:val="4FAAC5A8"/>
    <w:rsid w:val="4FAB48B7"/>
    <w:rsid w:val="4FAD5EAF"/>
    <w:rsid w:val="4FADABE6"/>
    <w:rsid w:val="4FB4D87C"/>
    <w:rsid w:val="4FB6F35C"/>
    <w:rsid w:val="4FC02CE8"/>
    <w:rsid w:val="4FC2DC12"/>
    <w:rsid w:val="4FC2FD18"/>
    <w:rsid w:val="4FC96642"/>
    <w:rsid w:val="4FCECE0B"/>
    <w:rsid w:val="4FD32E9B"/>
    <w:rsid w:val="4FD7D7F5"/>
    <w:rsid w:val="4FE174F8"/>
    <w:rsid w:val="4FE8A2FE"/>
    <w:rsid w:val="4FEE5CAE"/>
    <w:rsid w:val="4FF3B983"/>
    <w:rsid w:val="4FF99C55"/>
    <w:rsid w:val="4FFAF698"/>
    <w:rsid w:val="4FFD5582"/>
    <w:rsid w:val="4FFE2816"/>
    <w:rsid w:val="500FA719"/>
    <w:rsid w:val="501CFF92"/>
    <w:rsid w:val="501E9987"/>
    <w:rsid w:val="502CADD6"/>
    <w:rsid w:val="5031042E"/>
    <w:rsid w:val="5037CC79"/>
    <w:rsid w:val="503C805A"/>
    <w:rsid w:val="503D842D"/>
    <w:rsid w:val="5047E8F8"/>
    <w:rsid w:val="504B2C25"/>
    <w:rsid w:val="504CF32A"/>
    <w:rsid w:val="504EE6C4"/>
    <w:rsid w:val="5058DC52"/>
    <w:rsid w:val="505FB043"/>
    <w:rsid w:val="5060B95D"/>
    <w:rsid w:val="506435F2"/>
    <w:rsid w:val="50691FCB"/>
    <w:rsid w:val="506BC360"/>
    <w:rsid w:val="506F0D82"/>
    <w:rsid w:val="507A828E"/>
    <w:rsid w:val="5080E106"/>
    <w:rsid w:val="50819406"/>
    <w:rsid w:val="5082A64D"/>
    <w:rsid w:val="50947482"/>
    <w:rsid w:val="50A322D8"/>
    <w:rsid w:val="50A7D3ED"/>
    <w:rsid w:val="50AC7259"/>
    <w:rsid w:val="50B34966"/>
    <w:rsid w:val="50B4EF4E"/>
    <w:rsid w:val="50B93E92"/>
    <w:rsid w:val="50BAF65C"/>
    <w:rsid w:val="50C4ACB9"/>
    <w:rsid w:val="50C62A25"/>
    <w:rsid w:val="50CC76A9"/>
    <w:rsid w:val="50CCE6A0"/>
    <w:rsid w:val="50D1F503"/>
    <w:rsid w:val="50DDF57D"/>
    <w:rsid w:val="50E560DC"/>
    <w:rsid w:val="50E69937"/>
    <w:rsid w:val="50E9AD1E"/>
    <w:rsid w:val="50EBE781"/>
    <w:rsid w:val="50F168F8"/>
    <w:rsid w:val="50FDC8B7"/>
    <w:rsid w:val="510326C2"/>
    <w:rsid w:val="51060122"/>
    <w:rsid w:val="510AF278"/>
    <w:rsid w:val="510D221F"/>
    <w:rsid w:val="51177826"/>
    <w:rsid w:val="511B7A94"/>
    <w:rsid w:val="511CB386"/>
    <w:rsid w:val="512AFE30"/>
    <w:rsid w:val="512D6DAC"/>
    <w:rsid w:val="512DC841"/>
    <w:rsid w:val="51322A8C"/>
    <w:rsid w:val="5133E603"/>
    <w:rsid w:val="51357007"/>
    <w:rsid w:val="514034D6"/>
    <w:rsid w:val="5142570C"/>
    <w:rsid w:val="5152E023"/>
    <w:rsid w:val="5154769E"/>
    <w:rsid w:val="515E498B"/>
    <w:rsid w:val="516517FD"/>
    <w:rsid w:val="51685DE7"/>
    <w:rsid w:val="516BDA95"/>
    <w:rsid w:val="516EA545"/>
    <w:rsid w:val="51782504"/>
    <w:rsid w:val="51807A75"/>
    <w:rsid w:val="5183C6C9"/>
    <w:rsid w:val="51875192"/>
    <w:rsid w:val="518AF8BB"/>
    <w:rsid w:val="518D2CE6"/>
    <w:rsid w:val="51985543"/>
    <w:rsid w:val="519DA5C5"/>
    <w:rsid w:val="51A72565"/>
    <w:rsid w:val="51AE6A1D"/>
    <w:rsid w:val="51AFD5D5"/>
    <w:rsid w:val="51B68D3D"/>
    <w:rsid w:val="51BD6CA7"/>
    <w:rsid w:val="51BFC4BF"/>
    <w:rsid w:val="51D0713A"/>
    <w:rsid w:val="51D6540A"/>
    <w:rsid w:val="51D77199"/>
    <w:rsid w:val="51DB163A"/>
    <w:rsid w:val="51E91E69"/>
    <w:rsid w:val="51F1B1AF"/>
    <w:rsid w:val="51F415D8"/>
    <w:rsid w:val="51FCE64A"/>
    <w:rsid w:val="52063928"/>
    <w:rsid w:val="52194534"/>
    <w:rsid w:val="521BE70E"/>
    <w:rsid w:val="521C3A95"/>
    <w:rsid w:val="521FB401"/>
    <w:rsid w:val="522B3241"/>
    <w:rsid w:val="52302E2F"/>
    <w:rsid w:val="52424FF5"/>
    <w:rsid w:val="524B4F0A"/>
    <w:rsid w:val="5256C6BD"/>
    <w:rsid w:val="525E615F"/>
    <w:rsid w:val="526AC6FF"/>
    <w:rsid w:val="5272264A"/>
    <w:rsid w:val="527C047A"/>
    <w:rsid w:val="528103A9"/>
    <w:rsid w:val="52822FB2"/>
    <w:rsid w:val="529CF7FD"/>
    <w:rsid w:val="52A369E7"/>
    <w:rsid w:val="52A79285"/>
    <w:rsid w:val="52A8022A"/>
    <w:rsid w:val="52AC1841"/>
    <w:rsid w:val="52B00F38"/>
    <w:rsid w:val="52B7DEC3"/>
    <w:rsid w:val="52BD03A1"/>
    <w:rsid w:val="52BDF284"/>
    <w:rsid w:val="52C42628"/>
    <w:rsid w:val="52CC5111"/>
    <w:rsid w:val="52D3AFE4"/>
    <w:rsid w:val="52E80875"/>
    <w:rsid w:val="52EF4FB0"/>
    <w:rsid w:val="52F14192"/>
    <w:rsid w:val="52F1CDAC"/>
    <w:rsid w:val="530383B6"/>
    <w:rsid w:val="530DB079"/>
    <w:rsid w:val="530F17DF"/>
    <w:rsid w:val="5312403B"/>
    <w:rsid w:val="53275642"/>
    <w:rsid w:val="532ECC6D"/>
    <w:rsid w:val="533089B8"/>
    <w:rsid w:val="5330D201"/>
    <w:rsid w:val="5336A58B"/>
    <w:rsid w:val="534094D2"/>
    <w:rsid w:val="5347893A"/>
    <w:rsid w:val="5348D8B4"/>
    <w:rsid w:val="5349110E"/>
    <w:rsid w:val="534E22C3"/>
    <w:rsid w:val="534E5F03"/>
    <w:rsid w:val="535576DC"/>
    <w:rsid w:val="53571100"/>
    <w:rsid w:val="535A50C7"/>
    <w:rsid w:val="535B9520"/>
    <w:rsid w:val="536011D3"/>
    <w:rsid w:val="53708865"/>
    <w:rsid w:val="53729560"/>
    <w:rsid w:val="5374211C"/>
    <w:rsid w:val="537F9628"/>
    <w:rsid w:val="539F225A"/>
    <w:rsid w:val="53A02293"/>
    <w:rsid w:val="53A20BD6"/>
    <w:rsid w:val="53A2B238"/>
    <w:rsid w:val="53A84922"/>
    <w:rsid w:val="53AA79F7"/>
    <w:rsid w:val="53AAA257"/>
    <w:rsid w:val="53B199B3"/>
    <w:rsid w:val="53B346AD"/>
    <w:rsid w:val="53BCEEF5"/>
    <w:rsid w:val="53BDD810"/>
    <w:rsid w:val="53C0C37D"/>
    <w:rsid w:val="53CF7D79"/>
    <w:rsid w:val="53D78E83"/>
    <w:rsid w:val="53DF21FD"/>
    <w:rsid w:val="53DF22F8"/>
    <w:rsid w:val="53EBBF14"/>
    <w:rsid w:val="53F319FD"/>
    <w:rsid w:val="53F56D61"/>
    <w:rsid w:val="53F78EDC"/>
    <w:rsid w:val="53F95634"/>
    <w:rsid w:val="53FA6B0C"/>
    <w:rsid w:val="54011DFF"/>
    <w:rsid w:val="5411F6CA"/>
    <w:rsid w:val="5418E9AA"/>
    <w:rsid w:val="541CCAEB"/>
    <w:rsid w:val="541EB8D7"/>
    <w:rsid w:val="541F239D"/>
    <w:rsid w:val="5424252A"/>
    <w:rsid w:val="54250AAE"/>
    <w:rsid w:val="542CD976"/>
    <w:rsid w:val="543F3EF1"/>
    <w:rsid w:val="5440F76A"/>
    <w:rsid w:val="54418EB0"/>
    <w:rsid w:val="5442ABEE"/>
    <w:rsid w:val="544465B3"/>
    <w:rsid w:val="5445CC1B"/>
    <w:rsid w:val="544977D3"/>
    <w:rsid w:val="544F81DB"/>
    <w:rsid w:val="5452623F"/>
    <w:rsid w:val="545AD89C"/>
    <w:rsid w:val="54673A0B"/>
    <w:rsid w:val="54701BA4"/>
    <w:rsid w:val="5474E28A"/>
    <w:rsid w:val="5478D7A8"/>
    <w:rsid w:val="5480FBAC"/>
    <w:rsid w:val="54850378"/>
    <w:rsid w:val="5487EB80"/>
    <w:rsid w:val="5488DEC3"/>
    <w:rsid w:val="548B1F5B"/>
    <w:rsid w:val="5491E38D"/>
    <w:rsid w:val="5497F51F"/>
    <w:rsid w:val="5499AD69"/>
    <w:rsid w:val="54A53FBD"/>
    <w:rsid w:val="54A57A6C"/>
    <w:rsid w:val="54AD2ED0"/>
    <w:rsid w:val="54AF4EC4"/>
    <w:rsid w:val="54B00079"/>
    <w:rsid w:val="54BD0E23"/>
    <w:rsid w:val="54BE400A"/>
    <w:rsid w:val="54BECF65"/>
    <w:rsid w:val="54C0AE8E"/>
    <w:rsid w:val="54C72AA6"/>
    <w:rsid w:val="54CD6AA4"/>
    <w:rsid w:val="54CE2B7D"/>
    <w:rsid w:val="54D3932A"/>
    <w:rsid w:val="54D7E84D"/>
    <w:rsid w:val="54D869F6"/>
    <w:rsid w:val="54DE781B"/>
    <w:rsid w:val="54E6D2AF"/>
    <w:rsid w:val="54F2073E"/>
    <w:rsid w:val="54F4473F"/>
    <w:rsid w:val="54F7DD0C"/>
    <w:rsid w:val="54FDA30C"/>
    <w:rsid w:val="5507F056"/>
    <w:rsid w:val="550BF98E"/>
    <w:rsid w:val="55148D3C"/>
    <w:rsid w:val="551A99E5"/>
    <w:rsid w:val="5522B365"/>
    <w:rsid w:val="5524438F"/>
    <w:rsid w:val="55292C6C"/>
    <w:rsid w:val="5533A9FC"/>
    <w:rsid w:val="5535056D"/>
    <w:rsid w:val="55388ACB"/>
    <w:rsid w:val="55406B83"/>
    <w:rsid w:val="554120D7"/>
    <w:rsid w:val="554B00FA"/>
    <w:rsid w:val="554D269D"/>
    <w:rsid w:val="55570494"/>
    <w:rsid w:val="5559E936"/>
    <w:rsid w:val="555D7D81"/>
    <w:rsid w:val="555E1C87"/>
    <w:rsid w:val="55689709"/>
    <w:rsid w:val="55693BE4"/>
    <w:rsid w:val="5569B0CD"/>
    <w:rsid w:val="556A8F47"/>
    <w:rsid w:val="55735EE4"/>
    <w:rsid w:val="55738C73"/>
    <w:rsid w:val="5575A048"/>
    <w:rsid w:val="55771B56"/>
    <w:rsid w:val="557D61F8"/>
    <w:rsid w:val="557E41B6"/>
    <w:rsid w:val="55964D09"/>
    <w:rsid w:val="55999B48"/>
    <w:rsid w:val="559B375A"/>
    <w:rsid w:val="55A4AF01"/>
    <w:rsid w:val="55A77EC6"/>
    <w:rsid w:val="55A9953A"/>
    <w:rsid w:val="55AAF725"/>
    <w:rsid w:val="55ACE286"/>
    <w:rsid w:val="55AFBC03"/>
    <w:rsid w:val="55B80CF0"/>
    <w:rsid w:val="55B9A852"/>
    <w:rsid w:val="55B9E82E"/>
    <w:rsid w:val="55C0E754"/>
    <w:rsid w:val="55CCD35D"/>
    <w:rsid w:val="55D6EC6D"/>
    <w:rsid w:val="55DA2026"/>
    <w:rsid w:val="55DE7C4F"/>
    <w:rsid w:val="55E46095"/>
    <w:rsid w:val="55E8A247"/>
    <w:rsid w:val="55E92E45"/>
    <w:rsid w:val="55EEDB3E"/>
    <w:rsid w:val="55F6011F"/>
    <w:rsid w:val="5606CBAB"/>
    <w:rsid w:val="560AB10C"/>
    <w:rsid w:val="560DD48A"/>
    <w:rsid w:val="5617E457"/>
    <w:rsid w:val="56206453"/>
    <w:rsid w:val="56296586"/>
    <w:rsid w:val="56321B92"/>
    <w:rsid w:val="56383F61"/>
    <w:rsid w:val="563F04DB"/>
    <w:rsid w:val="56490095"/>
    <w:rsid w:val="564C7A63"/>
    <w:rsid w:val="564D16F3"/>
    <w:rsid w:val="56553203"/>
    <w:rsid w:val="565A2AD9"/>
    <w:rsid w:val="565B22B4"/>
    <w:rsid w:val="56626062"/>
    <w:rsid w:val="566855DA"/>
    <w:rsid w:val="5673B8AE"/>
    <w:rsid w:val="567668BC"/>
    <w:rsid w:val="567B27B2"/>
    <w:rsid w:val="567BDC13"/>
    <w:rsid w:val="5687166C"/>
    <w:rsid w:val="56875D22"/>
    <w:rsid w:val="569CFC89"/>
    <w:rsid w:val="56A2D26D"/>
    <w:rsid w:val="56A66B6E"/>
    <w:rsid w:val="56AEA648"/>
    <w:rsid w:val="56B15237"/>
    <w:rsid w:val="56B25BAB"/>
    <w:rsid w:val="56BE0422"/>
    <w:rsid w:val="56C5F1A8"/>
    <w:rsid w:val="56C8387C"/>
    <w:rsid w:val="56CB17EB"/>
    <w:rsid w:val="56D0212C"/>
    <w:rsid w:val="56D80607"/>
    <w:rsid w:val="56D9AC98"/>
    <w:rsid w:val="56E27407"/>
    <w:rsid w:val="56EB7C06"/>
    <w:rsid w:val="56EED7DA"/>
    <w:rsid w:val="56F8B628"/>
    <w:rsid w:val="56F8FA25"/>
    <w:rsid w:val="56F924B7"/>
    <w:rsid w:val="56FBD19C"/>
    <w:rsid w:val="56FD409C"/>
    <w:rsid w:val="56FF1692"/>
    <w:rsid w:val="57061450"/>
    <w:rsid w:val="570E4B21"/>
    <w:rsid w:val="570FA368"/>
    <w:rsid w:val="571011A2"/>
    <w:rsid w:val="571098FD"/>
    <w:rsid w:val="5711C563"/>
    <w:rsid w:val="571CECF2"/>
    <w:rsid w:val="571D62A5"/>
    <w:rsid w:val="571E289B"/>
    <w:rsid w:val="57228AEA"/>
    <w:rsid w:val="5722CCCE"/>
    <w:rsid w:val="57252392"/>
    <w:rsid w:val="57270EAC"/>
    <w:rsid w:val="57295365"/>
    <w:rsid w:val="572DD284"/>
    <w:rsid w:val="57362C7A"/>
    <w:rsid w:val="5742215A"/>
    <w:rsid w:val="5742B78D"/>
    <w:rsid w:val="5745B010"/>
    <w:rsid w:val="574A85E3"/>
    <w:rsid w:val="574C6226"/>
    <w:rsid w:val="574EB50C"/>
    <w:rsid w:val="57526F66"/>
    <w:rsid w:val="575AECEB"/>
    <w:rsid w:val="57661B57"/>
    <w:rsid w:val="5767D37A"/>
    <w:rsid w:val="576FA5D1"/>
    <w:rsid w:val="57700545"/>
    <w:rsid w:val="57709C1E"/>
    <w:rsid w:val="57716C83"/>
    <w:rsid w:val="577E8CF0"/>
    <w:rsid w:val="577F84A5"/>
    <w:rsid w:val="578472A8"/>
    <w:rsid w:val="5784B9F9"/>
    <w:rsid w:val="57916622"/>
    <w:rsid w:val="579788AD"/>
    <w:rsid w:val="5798624A"/>
    <w:rsid w:val="57A61DE3"/>
    <w:rsid w:val="57A7CE9D"/>
    <w:rsid w:val="57A88B73"/>
    <w:rsid w:val="57A8F519"/>
    <w:rsid w:val="57A99D21"/>
    <w:rsid w:val="57B97D21"/>
    <w:rsid w:val="57C49984"/>
    <w:rsid w:val="57CB46E6"/>
    <w:rsid w:val="57CBA831"/>
    <w:rsid w:val="57CBF7BB"/>
    <w:rsid w:val="57CC9058"/>
    <w:rsid w:val="57CED708"/>
    <w:rsid w:val="57ED15A9"/>
    <w:rsid w:val="57F07FC2"/>
    <w:rsid w:val="57FB46B8"/>
    <w:rsid w:val="57FBD632"/>
    <w:rsid w:val="5804BD7C"/>
    <w:rsid w:val="580F2A9D"/>
    <w:rsid w:val="581591C8"/>
    <w:rsid w:val="582308CD"/>
    <w:rsid w:val="582338B8"/>
    <w:rsid w:val="582FDAAA"/>
    <w:rsid w:val="583E3F32"/>
    <w:rsid w:val="583F0101"/>
    <w:rsid w:val="584F9D58"/>
    <w:rsid w:val="5850B775"/>
    <w:rsid w:val="585CD3A7"/>
    <w:rsid w:val="585FD57F"/>
    <w:rsid w:val="5860B3D9"/>
    <w:rsid w:val="587ABEBD"/>
    <w:rsid w:val="587CF420"/>
    <w:rsid w:val="587D9B49"/>
    <w:rsid w:val="588198C1"/>
    <w:rsid w:val="58863F71"/>
    <w:rsid w:val="5889DAE4"/>
    <w:rsid w:val="588CF3E8"/>
    <w:rsid w:val="5892DA9B"/>
    <w:rsid w:val="5896F732"/>
    <w:rsid w:val="58A06EC8"/>
    <w:rsid w:val="58A34078"/>
    <w:rsid w:val="58B06007"/>
    <w:rsid w:val="58C00133"/>
    <w:rsid w:val="58C07558"/>
    <w:rsid w:val="58C5613D"/>
    <w:rsid w:val="58C88DCC"/>
    <w:rsid w:val="58C8B195"/>
    <w:rsid w:val="58CB8A56"/>
    <w:rsid w:val="58D1B5E6"/>
    <w:rsid w:val="58D965FE"/>
    <w:rsid w:val="58DF3CAF"/>
    <w:rsid w:val="58E771A9"/>
    <w:rsid w:val="58EB7AB8"/>
    <w:rsid w:val="58EE3FC7"/>
    <w:rsid w:val="58F90329"/>
    <w:rsid w:val="59015E22"/>
    <w:rsid w:val="590F4C0E"/>
    <w:rsid w:val="591BCCBA"/>
    <w:rsid w:val="591D4D3F"/>
    <w:rsid w:val="5920F3A8"/>
    <w:rsid w:val="592191AD"/>
    <w:rsid w:val="59232F59"/>
    <w:rsid w:val="592744BA"/>
    <w:rsid w:val="5928BC8D"/>
    <w:rsid w:val="593432AB"/>
    <w:rsid w:val="594D54A2"/>
    <w:rsid w:val="5954D049"/>
    <w:rsid w:val="5959E510"/>
    <w:rsid w:val="595A58AB"/>
    <w:rsid w:val="5964B7C9"/>
    <w:rsid w:val="596FD28A"/>
    <w:rsid w:val="59881E21"/>
    <w:rsid w:val="598F3F43"/>
    <w:rsid w:val="59917705"/>
    <w:rsid w:val="59938B4D"/>
    <w:rsid w:val="59A0190D"/>
    <w:rsid w:val="59A71E7F"/>
    <w:rsid w:val="59ADC0C8"/>
    <w:rsid w:val="59AE668D"/>
    <w:rsid w:val="59B1D1DC"/>
    <w:rsid w:val="59B3C426"/>
    <w:rsid w:val="59BDF628"/>
    <w:rsid w:val="59BF6E8B"/>
    <w:rsid w:val="59C15306"/>
    <w:rsid w:val="59C5FC0F"/>
    <w:rsid w:val="59C819FE"/>
    <w:rsid w:val="59DB4C0A"/>
    <w:rsid w:val="59E31CB5"/>
    <w:rsid w:val="59E67B66"/>
    <w:rsid w:val="59EA3BAB"/>
    <w:rsid w:val="59F1FDCE"/>
    <w:rsid w:val="59F93790"/>
    <w:rsid w:val="59FCD312"/>
    <w:rsid w:val="5A025013"/>
    <w:rsid w:val="5A092366"/>
    <w:rsid w:val="5A0F58CF"/>
    <w:rsid w:val="5A108198"/>
    <w:rsid w:val="5A16FEBB"/>
    <w:rsid w:val="5A1BFFDC"/>
    <w:rsid w:val="5A1F7C33"/>
    <w:rsid w:val="5A26AEA3"/>
    <w:rsid w:val="5A32AE0C"/>
    <w:rsid w:val="5A334E01"/>
    <w:rsid w:val="5A498C40"/>
    <w:rsid w:val="5A51E713"/>
    <w:rsid w:val="5A5FE82E"/>
    <w:rsid w:val="5A62121D"/>
    <w:rsid w:val="5A6A7CD2"/>
    <w:rsid w:val="5A79DC7B"/>
    <w:rsid w:val="5A8655CE"/>
    <w:rsid w:val="5A979981"/>
    <w:rsid w:val="5A998E44"/>
    <w:rsid w:val="5A9CBBF8"/>
    <w:rsid w:val="5AA28358"/>
    <w:rsid w:val="5AB790E5"/>
    <w:rsid w:val="5ABE9997"/>
    <w:rsid w:val="5AC16BF3"/>
    <w:rsid w:val="5AC46C55"/>
    <w:rsid w:val="5AC48CEE"/>
    <w:rsid w:val="5ACAC58F"/>
    <w:rsid w:val="5ACF4612"/>
    <w:rsid w:val="5AD1A27D"/>
    <w:rsid w:val="5AE122A2"/>
    <w:rsid w:val="5AE14643"/>
    <w:rsid w:val="5AE56F05"/>
    <w:rsid w:val="5AE58F9B"/>
    <w:rsid w:val="5AEAC493"/>
    <w:rsid w:val="5AEFDBE1"/>
    <w:rsid w:val="5AF1D680"/>
    <w:rsid w:val="5AFE6E5D"/>
    <w:rsid w:val="5B01D98B"/>
    <w:rsid w:val="5B04D2D1"/>
    <w:rsid w:val="5B05017F"/>
    <w:rsid w:val="5B0FA1B0"/>
    <w:rsid w:val="5B11AEE0"/>
    <w:rsid w:val="5B159078"/>
    <w:rsid w:val="5B18DB79"/>
    <w:rsid w:val="5B1AAA61"/>
    <w:rsid w:val="5B1C0C8F"/>
    <w:rsid w:val="5B2B617C"/>
    <w:rsid w:val="5B2EB8D5"/>
    <w:rsid w:val="5B303370"/>
    <w:rsid w:val="5B3176F6"/>
    <w:rsid w:val="5B39C887"/>
    <w:rsid w:val="5B3C1601"/>
    <w:rsid w:val="5B3CBBAE"/>
    <w:rsid w:val="5B4BBD9B"/>
    <w:rsid w:val="5B5692B2"/>
    <w:rsid w:val="5B578872"/>
    <w:rsid w:val="5B5D243C"/>
    <w:rsid w:val="5B5DA45E"/>
    <w:rsid w:val="5B688E5D"/>
    <w:rsid w:val="5B6D8B01"/>
    <w:rsid w:val="5B78644E"/>
    <w:rsid w:val="5B794FD2"/>
    <w:rsid w:val="5B8123F4"/>
    <w:rsid w:val="5B889371"/>
    <w:rsid w:val="5B8C8808"/>
    <w:rsid w:val="5B91C919"/>
    <w:rsid w:val="5BA22437"/>
    <w:rsid w:val="5BA483E3"/>
    <w:rsid w:val="5BAC27C8"/>
    <w:rsid w:val="5BAE0A00"/>
    <w:rsid w:val="5BB6FF09"/>
    <w:rsid w:val="5BC0BC2A"/>
    <w:rsid w:val="5BC69DB6"/>
    <w:rsid w:val="5BC7CE1C"/>
    <w:rsid w:val="5BCC5B98"/>
    <w:rsid w:val="5BD16ECE"/>
    <w:rsid w:val="5BD2D15B"/>
    <w:rsid w:val="5BE070F9"/>
    <w:rsid w:val="5BE2CDF7"/>
    <w:rsid w:val="5BE7CAB2"/>
    <w:rsid w:val="5BEF1BD7"/>
    <w:rsid w:val="5BF23150"/>
    <w:rsid w:val="5BF99B82"/>
    <w:rsid w:val="5C070C6E"/>
    <w:rsid w:val="5C0C5704"/>
    <w:rsid w:val="5C16F1BF"/>
    <w:rsid w:val="5C2346C1"/>
    <w:rsid w:val="5C2E4ED3"/>
    <w:rsid w:val="5C2E53C4"/>
    <w:rsid w:val="5C3038B6"/>
    <w:rsid w:val="5C42611E"/>
    <w:rsid w:val="5C481EA6"/>
    <w:rsid w:val="5C51367A"/>
    <w:rsid w:val="5C584805"/>
    <w:rsid w:val="5C5A9896"/>
    <w:rsid w:val="5C60CF4A"/>
    <w:rsid w:val="5C6EBB57"/>
    <w:rsid w:val="5C7103E9"/>
    <w:rsid w:val="5C71D252"/>
    <w:rsid w:val="5C7974B7"/>
    <w:rsid w:val="5C858C0C"/>
    <w:rsid w:val="5C860817"/>
    <w:rsid w:val="5C97255E"/>
    <w:rsid w:val="5C9D5265"/>
    <w:rsid w:val="5CA10F4C"/>
    <w:rsid w:val="5CA21637"/>
    <w:rsid w:val="5CACA4DB"/>
    <w:rsid w:val="5CADA3F7"/>
    <w:rsid w:val="5CB53E99"/>
    <w:rsid w:val="5CB67AC2"/>
    <w:rsid w:val="5CC4E986"/>
    <w:rsid w:val="5CD65325"/>
    <w:rsid w:val="5CD67CC4"/>
    <w:rsid w:val="5CD86DFE"/>
    <w:rsid w:val="5CE29B43"/>
    <w:rsid w:val="5CE96BF2"/>
    <w:rsid w:val="5CF1525E"/>
    <w:rsid w:val="5CF4045E"/>
    <w:rsid w:val="5CF60163"/>
    <w:rsid w:val="5CF7562E"/>
    <w:rsid w:val="5CF75ED8"/>
    <w:rsid w:val="5D018436"/>
    <w:rsid w:val="5D043F77"/>
    <w:rsid w:val="5D070448"/>
    <w:rsid w:val="5D1DDFE8"/>
    <w:rsid w:val="5D1E21CB"/>
    <w:rsid w:val="5D222E36"/>
    <w:rsid w:val="5D22701C"/>
    <w:rsid w:val="5D22BA3B"/>
    <w:rsid w:val="5D2ECA97"/>
    <w:rsid w:val="5D320C3E"/>
    <w:rsid w:val="5D32A74E"/>
    <w:rsid w:val="5D35332C"/>
    <w:rsid w:val="5D37E7E7"/>
    <w:rsid w:val="5D380390"/>
    <w:rsid w:val="5D3C36D9"/>
    <w:rsid w:val="5D43FEDA"/>
    <w:rsid w:val="5D4D325F"/>
    <w:rsid w:val="5D4D581C"/>
    <w:rsid w:val="5D4DBC3A"/>
    <w:rsid w:val="5D52DD6C"/>
    <w:rsid w:val="5D53523C"/>
    <w:rsid w:val="5D5BE239"/>
    <w:rsid w:val="5D5D4BEE"/>
    <w:rsid w:val="5D5D9233"/>
    <w:rsid w:val="5D608745"/>
    <w:rsid w:val="5D614AB7"/>
    <w:rsid w:val="5D680151"/>
    <w:rsid w:val="5D6801C6"/>
    <w:rsid w:val="5D70143D"/>
    <w:rsid w:val="5D726A61"/>
    <w:rsid w:val="5D88CF8A"/>
    <w:rsid w:val="5D98230F"/>
    <w:rsid w:val="5D9F6C32"/>
    <w:rsid w:val="5DA08147"/>
    <w:rsid w:val="5DA2502F"/>
    <w:rsid w:val="5DAE9C9D"/>
    <w:rsid w:val="5DB0337E"/>
    <w:rsid w:val="5DBD8D04"/>
    <w:rsid w:val="5DC04CB4"/>
    <w:rsid w:val="5DC26657"/>
    <w:rsid w:val="5DC431DE"/>
    <w:rsid w:val="5DC9D5F8"/>
    <w:rsid w:val="5DCBEB82"/>
    <w:rsid w:val="5DE285D4"/>
    <w:rsid w:val="5DE90897"/>
    <w:rsid w:val="5DEC7706"/>
    <w:rsid w:val="5DEF3C33"/>
    <w:rsid w:val="5DF6C284"/>
    <w:rsid w:val="5DF70595"/>
    <w:rsid w:val="5DF9B437"/>
    <w:rsid w:val="5DFCD6C7"/>
    <w:rsid w:val="5E0BFE2A"/>
    <w:rsid w:val="5E0DA2B3"/>
    <w:rsid w:val="5E0E5BE1"/>
    <w:rsid w:val="5E10976C"/>
    <w:rsid w:val="5E10EB6D"/>
    <w:rsid w:val="5E143926"/>
    <w:rsid w:val="5E1C2FFA"/>
    <w:rsid w:val="5E1D305D"/>
    <w:rsid w:val="5E209838"/>
    <w:rsid w:val="5E21152E"/>
    <w:rsid w:val="5E2A53AF"/>
    <w:rsid w:val="5E2A8B72"/>
    <w:rsid w:val="5E2FD028"/>
    <w:rsid w:val="5E330078"/>
    <w:rsid w:val="5E346302"/>
    <w:rsid w:val="5E371670"/>
    <w:rsid w:val="5E3824AF"/>
    <w:rsid w:val="5E456588"/>
    <w:rsid w:val="5E507C3B"/>
    <w:rsid w:val="5E540046"/>
    <w:rsid w:val="5E59526D"/>
    <w:rsid w:val="5E6CF738"/>
    <w:rsid w:val="5E6E0CEC"/>
    <w:rsid w:val="5E6F552E"/>
    <w:rsid w:val="5E70538F"/>
    <w:rsid w:val="5E7E2466"/>
    <w:rsid w:val="5E7F8654"/>
    <w:rsid w:val="5E7F8D8F"/>
    <w:rsid w:val="5E998928"/>
    <w:rsid w:val="5E9C6B8D"/>
    <w:rsid w:val="5EA88449"/>
    <w:rsid w:val="5EAB2F4A"/>
    <w:rsid w:val="5EAD43C2"/>
    <w:rsid w:val="5EB497B5"/>
    <w:rsid w:val="5EB53148"/>
    <w:rsid w:val="5EB6669A"/>
    <w:rsid w:val="5EC1A5B3"/>
    <w:rsid w:val="5EC26BB0"/>
    <w:rsid w:val="5EC7A171"/>
    <w:rsid w:val="5ECC670E"/>
    <w:rsid w:val="5EE7557C"/>
    <w:rsid w:val="5EED3D2D"/>
    <w:rsid w:val="5EEDC1E7"/>
    <w:rsid w:val="5EEFFA9C"/>
    <w:rsid w:val="5EF14675"/>
    <w:rsid w:val="5EF2A781"/>
    <w:rsid w:val="5EF2FA5F"/>
    <w:rsid w:val="5EF47D27"/>
    <w:rsid w:val="5EFC57A6"/>
    <w:rsid w:val="5F05F35E"/>
    <w:rsid w:val="5F08772E"/>
    <w:rsid w:val="5F0A2F87"/>
    <w:rsid w:val="5F0A573F"/>
    <w:rsid w:val="5F134E19"/>
    <w:rsid w:val="5F168B5B"/>
    <w:rsid w:val="5F186845"/>
    <w:rsid w:val="5F1CA7B2"/>
    <w:rsid w:val="5F26395E"/>
    <w:rsid w:val="5F282A12"/>
    <w:rsid w:val="5F3471AD"/>
    <w:rsid w:val="5F35AB7E"/>
    <w:rsid w:val="5F3B526F"/>
    <w:rsid w:val="5F42AAFB"/>
    <w:rsid w:val="5F439A67"/>
    <w:rsid w:val="5F456DA5"/>
    <w:rsid w:val="5F567019"/>
    <w:rsid w:val="5F595E9A"/>
    <w:rsid w:val="5F71EE84"/>
    <w:rsid w:val="5F77109A"/>
    <w:rsid w:val="5F85D27C"/>
    <w:rsid w:val="5F89B18C"/>
    <w:rsid w:val="5F921A7F"/>
    <w:rsid w:val="5FA12971"/>
    <w:rsid w:val="5FA1FF99"/>
    <w:rsid w:val="5FA46312"/>
    <w:rsid w:val="5FA68CD3"/>
    <w:rsid w:val="5FA71456"/>
    <w:rsid w:val="5FB3E085"/>
    <w:rsid w:val="5FB4AF06"/>
    <w:rsid w:val="5FB4C0CD"/>
    <w:rsid w:val="5FB699C5"/>
    <w:rsid w:val="5FC156D1"/>
    <w:rsid w:val="5FC74699"/>
    <w:rsid w:val="5FCA25A0"/>
    <w:rsid w:val="5FCC1C5C"/>
    <w:rsid w:val="5FCE9BF1"/>
    <w:rsid w:val="5FCFF279"/>
    <w:rsid w:val="5FD1DC59"/>
    <w:rsid w:val="5FE4F1D5"/>
    <w:rsid w:val="5FE51E41"/>
    <w:rsid w:val="5FF9DDC4"/>
    <w:rsid w:val="60026761"/>
    <w:rsid w:val="60075CCC"/>
    <w:rsid w:val="6007C882"/>
    <w:rsid w:val="6009DB1A"/>
    <w:rsid w:val="6015F61C"/>
    <w:rsid w:val="601B1824"/>
    <w:rsid w:val="601FA56B"/>
    <w:rsid w:val="60244B4D"/>
    <w:rsid w:val="602CEC1E"/>
    <w:rsid w:val="60315FB5"/>
    <w:rsid w:val="603DD5D8"/>
    <w:rsid w:val="60402974"/>
    <w:rsid w:val="60442788"/>
    <w:rsid w:val="604484E8"/>
    <w:rsid w:val="604D41F4"/>
    <w:rsid w:val="605236FB"/>
    <w:rsid w:val="605B22A2"/>
    <w:rsid w:val="605B5BF1"/>
    <w:rsid w:val="605BD231"/>
    <w:rsid w:val="60632685"/>
    <w:rsid w:val="606A1326"/>
    <w:rsid w:val="606EB9D6"/>
    <w:rsid w:val="6075955A"/>
    <w:rsid w:val="60823598"/>
    <w:rsid w:val="6085957B"/>
    <w:rsid w:val="60864A40"/>
    <w:rsid w:val="608698E9"/>
    <w:rsid w:val="6088BD0B"/>
    <w:rsid w:val="608ECAC0"/>
    <w:rsid w:val="60920767"/>
    <w:rsid w:val="6095061B"/>
    <w:rsid w:val="609A0ED9"/>
    <w:rsid w:val="60C5A273"/>
    <w:rsid w:val="60C89772"/>
    <w:rsid w:val="60CA95E8"/>
    <w:rsid w:val="60D60A87"/>
    <w:rsid w:val="60DD0E9A"/>
    <w:rsid w:val="60E0A814"/>
    <w:rsid w:val="60E2FCB4"/>
    <w:rsid w:val="60EE7C95"/>
    <w:rsid w:val="60F9B7B7"/>
    <w:rsid w:val="60FBFF57"/>
    <w:rsid w:val="61053BD8"/>
    <w:rsid w:val="6105E829"/>
    <w:rsid w:val="6109F4B1"/>
    <w:rsid w:val="610A4620"/>
    <w:rsid w:val="610DE047"/>
    <w:rsid w:val="6113FDAA"/>
    <w:rsid w:val="61168C94"/>
    <w:rsid w:val="611D51C5"/>
    <w:rsid w:val="611FD51B"/>
    <w:rsid w:val="61246A34"/>
    <w:rsid w:val="612DEEAD"/>
    <w:rsid w:val="612E3F1E"/>
    <w:rsid w:val="6131E1DB"/>
    <w:rsid w:val="6132569F"/>
    <w:rsid w:val="61403373"/>
    <w:rsid w:val="614ADE0C"/>
    <w:rsid w:val="6164F6F5"/>
    <w:rsid w:val="6169CCE4"/>
    <w:rsid w:val="616B40EE"/>
    <w:rsid w:val="61759D2E"/>
    <w:rsid w:val="6180C236"/>
    <w:rsid w:val="618A77EF"/>
    <w:rsid w:val="618B8730"/>
    <w:rsid w:val="618C8D0A"/>
    <w:rsid w:val="618E00A7"/>
    <w:rsid w:val="619B2F91"/>
    <w:rsid w:val="619CB4FD"/>
    <w:rsid w:val="619D3971"/>
    <w:rsid w:val="61A3DBFB"/>
    <w:rsid w:val="61AB3E36"/>
    <w:rsid w:val="61AF872F"/>
    <w:rsid w:val="61B62109"/>
    <w:rsid w:val="61B9F918"/>
    <w:rsid w:val="61BA50E5"/>
    <w:rsid w:val="61C39E36"/>
    <w:rsid w:val="61CAADD7"/>
    <w:rsid w:val="61CB8BBC"/>
    <w:rsid w:val="61CE356F"/>
    <w:rsid w:val="61CEC293"/>
    <w:rsid w:val="61CF1884"/>
    <w:rsid w:val="61E79B47"/>
    <w:rsid w:val="61E978F8"/>
    <w:rsid w:val="61EAFCAB"/>
    <w:rsid w:val="61EE075C"/>
    <w:rsid w:val="620180E5"/>
    <w:rsid w:val="62021117"/>
    <w:rsid w:val="62044EC2"/>
    <w:rsid w:val="6207CF41"/>
    <w:rsid w:val="620BB7E5"/>
    <w:rsid w:val="620D6A72"/>
    <w:rsid w:val="621597EC"/>
    <w:rsid w:val="62194936"/>
    <w:rsid w:val="62257022"/>
    <w:rsid w:val="622A76D1"/>
    <w:rsid w:val="622ABF65"/>
    <w:rsid w:val="622CD06C"/>
    <w:rsid w:val="622FAE4A"/>
    <w:rsid w:val="62358A6F"/>
    <w:rsid w:val="62379F29"/>
    <w:rsid w:val="62399F9C"/>
    <w:rsid w:val="62431A9C"/>
    <w:rsid w:val="624996FF"/>
    <w:rsid w:val="624A21F5"/>
    <w:rsid w:val="624A97D4"/>
    <w:rsid w:val="624C5001"/>
    <w:rsid w:val="624C8E79"/>
    <w:rsid w:val="6252BC7F"/>
    <w:rsid w:val="625352D2"/>
    <w:rsid w:val="625B781D"/>
    <w:rsid w:val="625DFB23"/>
    <w:rsid w:val="625EE924"/>
    <w:rsid w:val="625EF412"/>
    <w:rsid w:val="6264867B"/>
    <w:rsid w:val="6265E8A9"/>
    <w:rsid w:val="626B0CD4"/>
    <w:rsid w:val="626C6551"/>
    <w:rsid w:val="626D43B4"/>
    <w:rsid w:val="62705650"/>
    <w:rsid w:val="627CD0F5"/>
    <w:rsid w:val="627DB338"/>
    <w:rsid w:val="628680D3"/>
    <w:rsid w:val="628C05C6"/>
    <w:rsid w:val="628E4689"/>
    <w:rsid w:val="6291FE06"/>
    <w:rsid w:val="62928A35"/>
    <w:rsid w:val="6299C8A3"/>
    <w:rsid w:val="62A2843C"/>
    <w:rsid w:val="62A7F1DC"/>
    <w:rsid w:val="62A9B0A8"/>
    <w:rsid w:val="62AC9DC5"/>
    <w:rsid w:val="62AD1A84"/>
    <w:rsid w:val="62BE70F8"/>
    <w:rsid w:val="62C03FBD"/>
    <w:rsid w:val="62C7B14D"/>
    <w:rsid w:val="62CAAEE7"/>
    <w:rsid w:val="62D46DA9"/>
    <w:rsid w:val="62E112D5"/>
    <w:rsid w:val="62E4AB3E"/>
    <w:rsid w:val="62E60EBB"/>
    <w:rsid w:val="62EC8B2C"/>
    <w:rsid w:val="62F1D507"/>
    <w:rsid w:val="62F2FCD3"/>
    <w:rsid w:val="62F6711A"/>
    <w:rsid w:val="630C48D2"/>
    <w:rsid w:val="630FE4B6"/>
    <w:rsid w:val="63153994"/>
    <w:rsid w:val="631ABB21"/>
    <w:rsid w:val="631C9297"/>
    <w:rsid w:val="6323ED5E"/>
    <w:rsid w:val="632B9CDC"/>
    <w:rsid w:val="632F9A51"/>
    <w:rsid w:val="6331D876"/>
    <w:rsid w:val="633AB4E1"/>
    <w:rsid w:val="633EA69B"/>
    <w:rsid w:val="633FAE34"/>
    <w:rsid w:val="63496B95"/>
    <w:rsid w:val="634F9C9B"/>
    <w:rsid w:val="6354E2FF"/>
    <w:rsid w:val="6358CD69"/>
    <w:rsid w:val="63611C72"/>
    <w:rsid w:val="6367CAC3"/>
    <w:rsid w:val="636F7A0E"/>
    <w:rsid w:val="63740B37"/>
    <w:rsid w:val="637ACF2F"/>
    <w:rsid w:val="637ED03F"/>
    <w:rsid w:val="6387D1BD"/>
    <w:rsid w:val="6389D7BD"/>
    <w:rsid w:val="63936C4E"/>
    <w:rsid w:val="63A08AEB"/>
    <w:rsid w:val="63AD7315"/>
    <w:rsid w:val="63BA67ED"/>
    <w:rsid w:val="63BBAE6C"/>
    <w:rsid w:val="63C4AEA6"/>
    <w:rsid w:val="63C85D8C"/>
    <w:rsid w:val="63D3A7D9"/>
    <w:rsid w:val="63E3AC65"/>
    <w:rsid w:val="63E767A1"/>
    <w:rsid w:val="63EC3650"/>
    <w:rsid w:val="63EDB4D8"/>
    <w:rsid w:val="63EDD21D"/>
    <w:rsid w:val="63F070EE"/>
    <w:rsid w:val="64051217"/>
    <w:rsid w:val="6406CA74"/>
    <w:rsid w:val="6414B6C6"/>
    <w:rsid w:val="64198399"/>
    <w:rsid w:val="64336CF3"/>
    <w:rsid w:val="6435CB37"/>
    <w:rsid w:val="644B5585"/>
    <w:rsid w:val="644B6F70"/>
    <w:rsid w:val="644DD3E6"/>
    <w:rsid w:val="644F693F"/>
    <w:rsid w:val="64530E3C"/>
    <w:rsid w:val="6453A4A5"/>
    <w:rsid w:val="64551628"/>
    <w:rsid w:val="645B2D98"/>
    <w:rsid w:val="64639FA3"/>
    <w:rsid w:val="64664719"/>
    <w:rsid w:val="64682A94"/>
    <w:rsid w:val="6469F761"/>
    <w:rsid w:val="647366B3"/>
    <w:rsid w:val="64752EC6"/>
    <w:rsid w:val="6477AD4E"/>
    <w:rsid w:val="64790FBF"/>
    <w:rsid w:val="647A1E93"/>
    <w:rsid w:val="6485EDCE"/>
    <w:rsid w:val="649AB7BC"/>
    <w:rsid w:val="649FD1FF"/>
    <w:rsid w:val="64A72127"/>
    <w:rsid w:val="64AB26D1"/>
    <w:rsid w:val="64ACEFA8"/>
    <w:rsid w:val="64BBF99B"/>
    <w:rsid w:val="64BF30DF"/>
    <w:rsid w:val="64C4CAB3"/>
    <w:rsid w:val="64C82F74"/>
    <w:rsid w:val="64CBCB9F"/>
    <w:rsid w:val="64D14821"/>
    <w:rsid w:val="64D16051"/>
    <w:rsid w:val="64D31E3D"/>
    <w:rsid w:val="64D8A5A3"/>
    <w:rsid w:val="64ED2E9A"/>
    <w:rsid w:val="64EF25EB"/>
    <w:rsid w:val="64F33F26"/>
    <w:rsid w:val="64F9C847"/>
    <w:rsid w:val="64FF23FC"/>
    <w:rsid w:val="650458B1"/>
    <w:rsid w:val="650B8C4E"/>
    <w:rsid w:val="650C4353"/>
    <w:rsid w:val="650FAA97"/>
    <w:rsid w:val="651205C2"/>
    <w:rsid w:val="6512D4B8"/>
    <w:rsid w:val="651AA227"/>
    <w:rsid w:val="651AD79C"/>
    <w:rsid w:val="652DFD75"/>
    <w:rsid w:val="65302791"/>
    <w:rsid w:val="6530E737"/>
    <w:rsid w:val="6539A73E"/>
    <w:rsid w:val="6544FC3F"/>
    <w:rsid w:val="65500B52"/>
    <w:rsid w:val="6566FCB1"/>
    <w:rsid w:val="65755252"/>
    <w:rsid w:val="65783848"/>
    <w:rsid w:val="6584989E"/>
    <w:rsid w:val="65903F60"/>
    <w:rsid w:val="65936FB8"/>
    <w:rsid w:val="659BC0F9"/>
    <w:rsid w:val="659D896B"/>
    <w:rsid w:val="659F1502"/>
    <w:rsid w:val="65A7D555"/>
    <w:rsid w:val="65B7E906"/>
    <w:rsid w:val="65B97707"/>
    <w:rsid w:val="65BB4563"/>
    <w:rsid w:val="65BBDA7D"/>
    <w:rsid w:val="65C7F0FF"/>
    <w:rsid w:val="65C8609D"/>
    <w:rsid w:val="65D60AE3"/>
    <w:rsid w:val="65D731BD"/>
    <w:rsid w:val="65D9C338"/>
    <w:rsid w:val="65DE06DB"/>
    <w:rsid w:val="65DFD914"/>
    <w:rsid w:val="65F4A935"/>
    <w:rsid w:val="65F58A40"/>
    <w:rsid w:val="65F5FFEC"/>
    <w:rsid w:val="65F8014A"/>
    <w:rsid w:val="6603FAF5"/>
    <w:rsid w:val="66071EFC"/>
    <w:rsid w:val="66080ECB"/>
    <w:rsid w:val="6609A64F"/>
    <w:rsid w:val="660EB29D"/>
    <w:rsid w:val="660FEE70"/>
    <w:rsid w:val="6613144C"/>
    <w:rsid w:val="6613A496"/>
    <w:rsid w:val="6614E020"/>
    <w:rsid w:val="66152300"/>
    <w:rsid w:val="6619D4F1"/>
    <w:rsid w:val="661EEA14"/>
    <w:rsid w:val="66280BB5"/>
    <w:rsid w:val="662B3E40"/>
    <w:rsid w:val="662CB71C"/>
    <w:rsid w:val="6633B09C"/>
    <w:rsid w:val="6634F765"/>
    <w:rsid w:val="663853DB"/>
    <w:rsid w:val="663DBF27"/>
    <w:rsid w:val="663F0039"/>
    <w:rsid w:val="66439E9B"/>
    <w:rsid w:val="66478578"/>
    <w:rsid w:val="66547E21"/>
    <w:rsid w:val="66633671"/>
    <w:rsid w:val="666CDD7A"/>
    <w:rsid w:val="66797222"/>
    <w:rsid w:val="667999BC"/>
    <w:rsid w:val="667BA57A"/>
    <w:rsid w:val="667CC656"/>
    <w:rsid w:val="667D5806"/>
    <w:rsid w:val="6684E5B4"/>
    <w:rsid w:val="66861449"/>
    <w:rsid w:val="6687FE12"/>
    <w:rsid w:val="668AF64C"/>
    <w:rsid w:val="668FEA30"/>
    <w:rsid w:val="669C9FD9"/>
    <w:rsid w:val="66A3FB15"/>
    <w:rsid w:val="66A560C4"/>
    <w:rsid w:val="66A6CDB2"/>
    <w:rsid w:val="66A7D64B"/>
    <w:rsid w:val="66A8317D"/>
    <w:rsid w:val="66AA6982"/>
    <w:rsid w:val="66AB548E"/>
    <w:rsid w:val="66AD5118"/>
    <w:rsid w:val="66AF0856"/>
    <w:rsid w:val="66B1C534"/>
    <w:rsid w:val="66BAE14F"/>
    <w:rsid w:val="66C85E22"/>
    <w:rsid w:val="66D77B3E"/>
    <w:rsid w:val="66D8F8F2"/>
    <w:rsid w:val="66E50E1D"/>
    <w:rsid w:val="66E5B697"/>
    <w:rsid w:val="66ED3B27"/>
    <w:rsid w:val="66EF8688"/>
    <w:rsid w:val="66F4FE48"/>
    <w:rsid w:val="66F51F59"/>
    <w:rsid w:val="67050EA8"/>
    <w:rsid w:val="67057C5B"/>
    <w:rsid w:val="67080F45"/>
    <w:rsid w:val="6710B791"/>
    <w:rsid w:val="67213A2D"/>
    <w:rsid w:val="6721C43D"/>
    <w:rsid w:val="67229FC6"/>
    <w:rsid w:val="672572FA"/>
    <w:rsid w:val="6729025A"/>
    <w:rsid w:val="672E4CBB"/>
    <w:rsid w:val="6734E3F7"/>
    <w:rsid w:val="6737F79E"/>
    <w:rsid w:val="67380193"/>
    <w:rsid w:val="6739B502"/>
    <w:rsid w:val="673F496B"/>
    <w:rsid w:val="6750CAB9"/>
    <w:rsid w:val="6751245B"/>
    <w:rsid w:val="675477C6"/>
    <w:rsid w:val="675715C4"/>
    <w:rsid w:val="676DD54A"/>
    <w:rsid w:val="676DEFDB"/>
    <w:rsid w:val="6773B0E7"/>
    <w:rsid w:val="6775CCC9"/>
    <w:rsid w:val="677C7BB2"/>
    <w:rsid w:val="677C8934"/>
    <w:rsid w:val="677D5CEF"/>
    <w:rsid w:val="677F01C6"/>
    <w:rsid w:val="6789CE4D"/>
    <w:rsid w:val="678C5672"/>
    <w:rsid w:val="67940878"/>
    <w:rsid w:val="67943706"/>
    <w:rsid w:val="67944D88"/>
    <w:rsid w:val="67A20F8C"/>
    <w:rsid w:val="67A600BF"/>
    <w:rsid w:val="67A8BFD3"/>
    <w:rsid w:val="67AEE4AD"/>
    <w:rsid w:val="67AFE21E"/>
    <w:rsid w:val="67B0BA06"/>
    <w:rsid w:val="67B3D14D"/>
    <w:rsid w:val="67BA8FCA"/>
    <w:rsid w:val="67CCC496"/>
    <w:rsid w:val="67CF73F0"/>
    <w:rsid w:val="67D0E435"/>
    <w:rsid w:val="67DBD93F"/>
    <w:rsid w:val="67E1E170"/>
    <w:rsid w:val="67E1EA2D"/>
    <w:rsid w:val="67E74330"/>
    <w:rsid w:val="67EB1F72"/>
    <w:rsid w:val="67F7D4B7"/>
    <w:rsid w:val="67FCA106"/>
    <w:rsid w:val="67FD5557"/>
    <w:rsid w:val="67FFC28D"/>
    <w:rsid w:val="6805B859"/>
    <w:rsid w:val="6808F2D0"/>
    <w:rsid w:val="6809DE1D"/>
    <w:rsid w:val="6815CC3C"/>
    <w:rsid w:val="68238FBB"/>
    <w:rsid w:val="6831F258"/>
    <w:rsid w:val="683463FA"/>
    <w:rsid w:val="683D5529"/>
    <w:rsid w:val="6840B3A1"/>
    <w:rsid w:val="6840E74C"/>
    <w:rsid w:val="68448DAC"/>
    <w:rsid w:val="6846478E"/>
    <w:rsid w:val="6848FBC7"/>
    <w:rsid w:val="684B642C"/>
    <w:rsid w:val="684CF876"/>
    <w:rsid w:val="684ED9EF"/>
    <w:rsid w:val="6855D3C4"/>
    <w:rsid w:val="6858384D"/>
    <w:rsid w:val="68596FBB"/>
    <w:rsid w:val="685D48E0"/>
    <w:rsid w:val="686133B9"/>
    <w:rsid w:val="686FF84D"/>
    <w:rsid w:val="6873D0C6"/>
    <w:rsid w:val="687D5DF9"/>
    <w:rsid w:val="6882A545"/>
    <w:rsid w:val="688817BF"/>
    <w:rsid w:val="688FE485"/>
    <w:rsid w:val="6894229A"/>
    <w:rsid w:val="68943CF6"/>
    <w:rsid w:val="68A14C30"/>
    <w:rsid w:val="68A4B14D"/>
    <w:rsid w:val="68A5A43C"/>
    <w:rsid w:val="68A5BB01"/>
    <w:rsid w:val="68AACBB4"/>
    <w:rsid w:val="68AC1B0F"/>
    <w:rsid w:val="68AE85A2"/>
    <w:rsid w:val="68B07262"/>
    <w:rsid w:val="68B7977B"/>
    <w:rsid w:val="68BB7506"/>
    <w:rsid w:val="68C28D28"/>
    <w:rsid w:val="68C5D87A"/>
    <w:rsid w:val="68C60864"/>
    <w:rsid w:val="68C9F218"/>
    <w:rsid w:val="68CA3E65"/>
    <w:rsid w:val="68D52A2D"/>
    <w:rsid w:val="68DF7617"/>
    <w:rsid w:val="68E72331"/>
    <w:rsid w:val="68E780DA"/>
    <w:rsid w:val="68E9F11A"/>
    <w:rsid w:val="68E9FBAA"/>
    <w:rsid w:val="68F117C9"/>
    <w:rsid w:val="68F1FB72"/>
    <w:rsid w:val="68F4D998"/>
    <w:rsid w:val="68FD8911"/>
    <w:rsid w:val="6900937C"/>
    <w:rsid w:val="6908B225"/>
    <w:rsid w:val="690A7CD4"/>
    <w:rsid w:val="6917223B"/>
    <w:rsid w:val="69204715"/>
    <w:rsid w:val="69256800"/>
    <w:rsid w:val="6925789C"/>
    <w:rsid w:val="69291593"/>
    <w:rsid w:val="69340928"/>
    <w:rsid w:val="6939FF83"/>
    <w:rsid w:val="693E5459"/>
    <w:rsid w:val="693E5DC2"/>
    <w:rsid w:val="693EE057"/>
    <w:rsid w:val="6948CE90"/>
    <w:rsid w:val="694A5A4B"/>
    <w:rsid w:val="69503B04"/>
    <w:rsid w:val="69559ABD"/>
    <w:rsid w:val="696EAEFF"/>
    <w:rsid w:val="697FBB54"/>
    <w:rsid w:val="698286CA"/>
    <w:rsid w:val="6986EBE3"/>
    <w:rsid w:val="699269DF"/>
    <w:rsid w:val="699B83C3"/>
    <w:rsid w:val="69A1BD07"/>
    <w:rsid w:val="69A6F6CC"/>
    <w:rsid w:val="69AA8610"/>
    <w:rsid w:val="69AC3A6D"/>
    <w:rsid w:val="69B6A1EB"/>
    <w:rsid w:val="69BE6143"/>
    <w:rsid w:val="69C0ECF5"/>
    <w:rsid w:val="69C8653D"/>
    <w:rsid w:val="69D4C1DC"/>
    <w:rsid w:val="69DFB99C"/>
    <w:rsid w:val="69EE740B"/>
    <w:rsid w:val="69F8B226"/>
    <w:rsid w:val="69FC7B7D"/>
    <w:rsid w:val="69FF6102"/>
    <w:rsid w:val="6A06E420"/>
    <w:rsid w:val="6A07E108"/>
    <w:rsid w:val="6A0A21FB"/>
    <w:rsid w:val="6A0ED054"/>
    <w:rsid w:val="6A0EE042"/>
    <w:rsid w:val="6A1148BA"/>
    <w:rsid w:val="6A1340E7"/>
    <w:rsid w:val="6A155EF8"/>
    <w:rsid w:val="6A18031A"/>
    <w:rsid w:val="6A197AED"/>
    <w:rsid w:val="6A1DB1EE"/>
    <w:rsid w:val="6A2F4986"/>
    <w:rsid w:val="6A32732E"/>
    <w:rsid w:val="6A33150A"/>
    <w:rsid w:val="6A3EF431"/>
    <w:rsid w:val="6A40F11F"/>
    <w:rsid w:val="6A42E95D"/>
    <w:rsid w:val="6A46CB23"/>
    <w:rsid w:val="6A48C375"/>
    <w:rsid w:val="6A57D231"/>
    <w:rsid w:val="6A595D95"/>
    <w:rsid w:val="6A60AEF4"/>
    <w:rsid w:val="6A621E1B"/>
    <w:rsid w:val="6A7384A4"/>
    <w:rsid w:val="6A748197"/>
    <w:rsid w:val="6A761EB9"/>
    <w:rsid w:val="6A79147B"/>
    <w:rsid w:val="6A7AE9DA"/>
    <w:rsid w:val="6A9053A9"/>
    <w:rsid w:val="6A9DD686"/>
    <w:rsid w:val="6AA108A9"/>
    <w:rsid w:val="6AA4673F"/>
    <w:rsid w:val="6AABCCAC"/>
    <w:rsid w:val="6AB2F29C"/>
    <w:rsid w:val="6AC3A71C"/>
    <w:rsid w:val="6AC7549E"/>
    <w:rsid w:val="6AC8113C"/>
    <w:rsid w:val="6ACB4D57"/>
    <w:rsid w:val="6ACD342B"/>
    <w:rsid w:val="6ADE74B4"/>
    <w:rsid w:val="6AE8FE8D"/>
    <w:rsid w:val="6AED0D5A"/>
    <w:rsid w:val="6AF4853A"/>
    <w:rsid w:val="6AFA38F1"/>
    <w:rsid w:val="6AFA9E64"/>
    <w:rsid w:val="6AFC9C32"/>
    <w:rsid w:val="6B00E85D"/>
    <w:rsid w:val="6B01F308"/>
    <w:rsid w:val="6B089CF0"/>
    <w:rsid w:val="6B10F48D"/>
    <w:rsid w:val="6B1362F7"/>
    <w:rsid w:val="6B138FD6"/>
    <w:rsid w:val="6B17A5CE"/>
    <w:rsid w:val="6B1FBC0E"/>
    <w:rsid w:val="6B318EA0"/>
    <w:rsid w:val="6B324A72"/>
    <w:rsid w:val="6B32A71F"/>
    <w:rsid w:val="6B352E4F"/>
    <w:rsid w:val="6B3A81A4"/>
    <w:rsid w:val="6B454FA7"/>
    <w:rsid w:val="6B46E5E3"/>
    <w:rsid w:val="6B5BE78D"/>
    <w:rsid w:val="6B605BE9"/>
    <w:rsid w:val="6B65B851"/>
    <w:rsid w:val="6B6EE812"/>
    <w:rsid w:val="6B7359E8"/>
    <w:rsid w:val="6B7DE850"/>
    <w:rsid w:val="6B85A6C1"/>
    <w:rsid w:val="6B8F9C2F"/>
    <w:rsid w:val="6B9BBB6D"/>
    <w:rsid w:val="6BA2871F"/>
    <w:rsid w:val="6BA3E076"/>
    <w:rsid w:val="6BA62479"/>
    <w:rsid w:val="6BA84F45"/>
    <w:rsid w:val="6BB131CD"/>
    <w:rsid w:val="6BB17545"/>
    <w:rsid w:val="6BBA84CC"/>
    <w:rsid w:val="6BBE1FE1"/>
    <w:rsid w:val="6BC9CB32"/>
    <w:rsid w:val="6BCCFBD8"/>
    <w:rsid w:val="6BDCC180"/>
    <w:rsid w:val="6BDEB9BE"/>
    <w:rsid w:val="6BE4AE46"/>
    <w:rsid w:val="6BEFE1C0"/>
    <w:rsid w:val="6BF1AC6F"/>
    <w:rsid w:val="6BF8B3FC"/>
    <w:rsid w:val="6BF9FCC7"/>
    <w:rsid w:val="6BFD4A91"/>
    <w:rsid w:val="6BFF3E84"/>
    <w:rsid w:val="6C02B12D"/>
    <w:rsid w:val="6C064230"/>
    <w:rsid w:val="6C06AD1A"/>
    <w:rsid w:val="6C135765"/>
    <w:rsid w:val="6C1A91EC"/>
    <w:rsid w:val="6C1F80C9"/>
    <w:rsid w:val="6C1F8590"/>
    <w:rsid w:val="6C200670"/>
    <w:rsid w:val="6C22667E"/>
    <w:rsid w:val="6C243BDC"/>
    <w:rsid w:val="6C24C754"/>
    <w:rsid w:val="6C27A340"/>
    <w:rsid w:val="6C33FFC3"/>
    <w:rsid w:val="6C42BF92"/>
    <w:rsid w:val="6C4846D2"/>
    <w:rsid w:val="6C493DEC"/>
    <w:rsid w:val="6C5830A1"/>
    <w:rsid w:val="6C5C8E01"/>
    <w:rsid w:val="6C5ED4AC"/>
    <w:rsid w:val="6C657534"/>
    <w:rsid w:val="6C672260"/>
    <w:rsid w:val="6C675A21"/>
    <w:rsid w:val="6C684B6F"/>
    <w:rsid w:val="6C6D37BD"/>
    <w:rsid w:val="6C6FB375"/>
    <w:rsid w:val="6C7771BE"/>
    <w:rsid w:val="6C87B9D8"/>
    <w:rsid w:val="6C8F385A"/>
    <w:rsid w:val="6C953022"/>
    <w:rsid w:val="6C9D14CE"/>
    <w:rsid w:val="6CA1BC50"/>
    <w:rsid w:val="6CB57544"/>
    <w:rsid w:val="6CB5CF10"/>
    <w:rsid w:val="6CC9D279"/>
    <w:rsid w:val="6CCF8084"/>
    <w:rsid w:val="6CD31224"/>
    <w:rsid w:val="6CD947F4"/>
    <w:rsid w:val="6CD9E739"/>
    <w:rsid w:val="6CEC079A"/>
    <w:rsid w:val="6CEDF8D1"/>
    <w:rsid w:val="6CF68E9F"/>
    <w:rsid w:val="6CFCFBEF"/>
    <w:rsid w:val="6CFFB4E6"/>
    <w:rsid w:val="6D123904"/>
    <w:rsid w:val="6D12613D"/>
    <w:rsid w:val="6D12CAE0"/>
    <w:rsid w:val="6D19540A"/>
    <w:rsid w:val="6D1BB2DD"/>
    <w:rsid w:val="6D1D107F"/>
    <w:rsid w:val="6D30971A"/>
    <w:rsid w:val="6D309741"/>
    <w:rsid w:val="6D3260E1"/>
    <w:rsid w:val="6D383590"/>
    <w:rsid w:val="6D439785"/>
    <w:rsid w:val="6D44317D"/>
    <w:rsid w:val="6D451C8E"/>
    <w:rsid w:val="6D456CF9"/>
    <w:rsid w:val="6D4A8BF7"/>
    <w:rsid w:val="6D4C8A16"/>
    <w:rsid w:val="6D5C91CD"/>
    <w:rsid w:val="6D64A89B"/>
    <w:rsid w:val="6D66FF6C"/>
    <w:rsid w:val="6D7A8A1F"/>
    <w:rsid w:val="6D823A7C"/>
    <w:rsid w:val="6D844250"/>
    <w:rsid w:val="6D85C155"/>
    <w:rsid w:val="6D881525"/>
    <w:rsid w:val="6D9101AE"/>
    <w:rsid w:val="6D9CD522"/>
    <w:rsid w:val="6D9F8D94"/>
    <w:rsid w:val="6DA09530"/>
    <w:rsid w:val="6DB79EAB"/>
    <w:rsid w:val="6DC03F80"/>
    <w:rsid w:val="6DC4A00A"/>
    <w:rsid w:val="6DC6FB56"/>
    <w:rsid w:val="6DD345C5"/>
    <w:rsid w:val="6DD9C64A"/>
    <w:rsid w:val="6DEC141E"/>
    <w:rsid w:val="6E062E53"/>
    <w:rsid w:val="6E0931BE"/>
    <w:rsid w:val="6E132B4E"/>
    <w:rsid w:val="6E193094"/>
    <w:rsid w:val="6E195E08"/>
    <w:rsid w:val="6E1BF1DC"/>
    <w:rsid w:val="6E2155F2"/>
    <w:rsid w:val="6E2255C9"/>
    <w:rsid w:val="6E281C90"/>
    <w:rsid w:val="6E2A4E68"/>
    <w:rsid w:val="6E30C835"/>
    <w:rsid w:val="6E37892E"/>
    <w:rsid w:val="6E3C0E6C"/>
    <w:rsid w:val="6E42BD5F"/>
    <w:rsid w:val="6E470EFC"/>
    <w:rsid w:val="6E474C82"/>
    <w:rsid w:val="6E49A7B8"/>
    <w:rsid w:val="6E4AAAE5"/>
    <w:rsid w:val="6E4DC7A8"/>
    <w:rsid w:val="6E54F32B"/>
    <w:rsid w:val="6E56B379"/>
    <w:rsid w:val="6E57A61D"/>
    <w:rsid w:val="6E598CCF"/>
    <w:rsid w:val="6E5A8C24"/>
    <w:rsid w:val="6E66C8B9"/>
    <w:rsid w:val="6E69D756"/>
    <w:rsid w:val="6E6C8AF6"/>
    <w:rsid w:val="6E6D990A"/>
    <w:rsid w:val="6E7098E1"/>
    <w:rsid w:val="6E722266"/>
    <w:rsid w:val="6E73426D"/>
    <w:rsid w:val="6E76DDB1"/>
    <w:rsid w:val="6E7DD296"/>
    <w:rsid w:val="6E80BB88"/>
    <w:rsid w:val="6E97C8A1"/>
    <w:rsid w:val="6E9C5E43"/>
    <w:rsid w:val="6E9D5913"/>
    <w:rsid w:val="6E9D7A19"/>
    <w:rsid w:val="6EA34B05"/>
    <w:rsid w:val="6EAA0EC4"/>
    <w:rsid w:val="6EBF2862"/>
    <w:rsid w:val="6EC5DEE8"/>
    <w:rsid w:val="6ECD893D"/>
    <w:rsid w:val="6ED4B49F"/>
    <w:rsid w:val="6ED89C1B"/>
    <w:rsid w:val="6EDFB231"/>
    <w:rsid w:val="6EE12C3E"/>
    <w:rsid w:val="6EE2470E"/>
    <w:rsid w:val="6EE5164A"/>
    <w:rsid w:val="6EE60F44"/>
    <w:rsid w:val="6EE9FF0E"/>
    <w:rsid w:val="6EEBE021"/>
    <w:rsid w:val="6EEDD6C3"/>
    <w:rsid w:val="6EF7FB3F"/>
    <w:rsid w:val="6F10B38C"/>
    <w:rsid w:val="6F13F2D1"/>
    <w:rsid w:val="6F1BAD16"/>
    <w:rsid w:val="6F220B95"/>
    <w:rsid w:val="6F24C4F2"/>
    <w:rsid w:val="6F25FADF"/>
    <w:rsid w:val="6F2A7F5C"/>
    <w:rsid w:val="6F2D8385"/>
    <w:rsid w:val="6F3B4C62"/>
    <w:rsid w:val="6F3D8ACD"/>
    <w:rsid w:val="6F499466"/>
    <w:rsid w:val="6F4D2532"/>
    <w:rsid w:val="6F528A35"/>
    <w:rsid w:val="6F5B7893"/>
    <w:rsid w:val="6F5E9C1A"/>
    <w:rsid w:val="6F628833"/>
    <w:rsid w:val="6F69ED95"/>
    <w:rsid w:val="6F6D58A0"/>
    <w:rsid w:val="6F80E51A"/>
    <w:rsid w:val="6F86208E"/>
    <w:rsid w:val="6F8BBF1B"/>
    <w:rsid w:val="6F8D6B8B"/>
    <w:rsid w:val="6F8DD0E9"/>
    <w:rsid w:val="6F961AAB"/>
    <w:rsid w:val="6F998F76"/>
    <w:rsid w:val="6F9D15F6"/>
    <w:rsid w:val="6FA79223"/>
    <w:rsid w:val="6FAC8648"/>
    <w:rsid w:val="6FACA2C4"/>
    <w:rsid w:val="6FB14FC5"/>
    <w:rsid w:val="6FB45A36"/>
    <w:rsid w:val="6FB7E5FA"/>
    <w:rsid w:val="6FB8A5D3"/>
    <w:rsid w:val="6FB98B9A"/>
    <w:rsid w:val="6FBBCF5F"/>
    <w:rsid w:val="6FC47061"/>
    <w:rsid w:val="6FD3B08C"/>
    <w:rsid w:val="6FE1EDCD"/>
    <w:rsid w:val="6FED1404"/>
    <w:rsid w:val="6FED1606"/>
    <w:rsid w:val="6FEDEDCB"/>
    <w:rsid w:val="6FF16198"/>
    <w:rsid w:val="6FF6481C"/>
    <w:rsid w:val="70030325"/>
    <w:rsid w:val="70049084"/>
    <w:rsid w:val="701638DE"/>
    <w:rsid w:val="7019A2F7"/>
    <w:rsid w:val="701D3DB3"/>
    <w:rsid w:val="701EB312"/>
    <w:rsid w:val="70200117"/>
    <w:rsid w:val="7024505B"/>
    <w:rsid w:val="702CB6C8"/>
    <w:rsid w:val="7030F1EC"/>
    <w:rsid w:val="7034623D"/>
    <w:rsid w:val="7034A44E"/>
    <w:rsid w:val="703F7112"/>
    <w:rsid w:val="70407B82"/>
    <w:rsid w:val="70423B07"/>
    <w:rsid w:val="7046CF84"/>
    <w:rsid w:val="70477BCF"/>
    <w:rsid w:val="704BCE43"/>
    <w:rsid w:val="704BFA5B"/>
    <w:rsid w:val="704EB891"/>
    <w:rsid w:val="7051B75C"/>
    <w:rsid w:val="7059A7F0"/>
    <w:rsid w:val="705ADFE6"/>
    <w:rsid w:val="70627558"/>
    <w:rsid w:val="70658A5E"/>
    <w:rsid w:val="70685AC5"/>
    <w:rsid w:val="706BC76C"/>
    <w:rsid w:val="7080CEEB"/>
    <w:rsid w:val="708187EB"/>
    <w:rsid w:val="70839456"/>
    <w:rsid w:val="7084AC0F"/>
    <w:rsid w:val="70948663"/>
    <w:rsid w:val="709AF0BC"/>
    <w:rsid w:val="70A1C908"/>
    <w:rsid w:val="70A7ED7F"/>
    <w:rsid w:val="70AD0B75"/>
    <w:rsid w:val="70C81C73"/>
    <w:rsid w:val="70CB533E"/>
    <w:rsid w:val="70CC62E4"/>
    <w:rsid w:val="70CC927D"/>
    <w:rsid w:val="70CCB432"/>
    <w:rsid w:val="70CD0D0B"/>
    <w:rsid w:val="70CFF078"/>
    <w:rsid w:val="70D3C44F"/>
    <w:rsid w:val="70D9D7B8"/>
    <w:rsid w:val="70E0C969"/>
    <w:rsid w:val="70F52123"/>
    <w:rsid w:val="70F7A54E"/>
    <w:rsid w:val="7104E224"/>
    <w:rsid w:val="710676F1"/>
    <w:rsid w:val="7106A8E9"/>
    <w:rsid w:val="71155E35"/>
    <w:rsid w:val="711948E4"/>
    <w:rsid w:val="711F86B8"/>
    <w:rsid w:val="712211AD"/>
    <w:rsid w:val="71278F7C"/>
    <w:rsid w:val="712D39C9"/>
    <w:rsid w:val="71334DE3"/>
    <w:rsid w:val="7133BE6B"/>
    <w:rsid w:val="713BCD69"/>
    <w:rsid w:val="714CEBEC"/>
    <w:rsid w:val="714FBF8B"/>
    <w:rsid w:val="715E2EEC"/>
    <w:rsid w:val="71619587"/>
    <w:rsid w:val="71657A73"/>
    <w:rsid w:val="716D588F"/>
    <w:rsid w:val="716DCFDF"/>
    <w:rsid w:val="71731C89"/>
    <w:rsid w:val="717AF587"/>
    <w:rsid w:val="717FC00D"/>
    <w:rsid w:val="7181DB6D"/>
    <w:rsid w:val="718254F3"/>
    <w:rsid w:val="71830611"/>
    <w:rsid w:val="71959408"/>
    <w:rsid w:val="719B543F"/>
    <w:rsid w:val="71A834A4"/>
    <w:rsid w:val="71AD9394"/>
    <w:rsid w:val="71B4F69C"/>
    <w:rsid w:val="71BCECE1"/>
    <w:rsid w:val="71BEE5FE"/>
    <w:rsid w:val="71BF0093"/>
    <w:rsid w:val="71C3AA4F"/>
    <w:rsid w:val="71C3BEFE"/>
    <w:rsid w:val="71C4613B"/>
    <w:rsid w:val="71C7B529"/>
    <w:rsid w:val="71C8DE6A"/>
    <w:rsid w:val="71C9E3C8"/>
    <w:rsid w:val="71CB3E33"/>
    <w:rsid w:val="71CEF61E"/>
    <w:rsid w:val="71D74501"/>
    <w:rsid w:val="71D7D916"/>
    <w:rsid w:val="71DA351B"/>
    <w:rsid w:val="71DCDBC8"/>
    <w:rsid w:val="71F543AB"/>
    <w:rsid w:val="71F605CE"/>
    <w:rsid w:val="72047198"/>
    <w:rsid w:val="7206EFC8"/>
    <w:rsid w:val="7208C537"/>
    <w:rsid w:val="720D596E"/>
    <w:rsid w:val="720EA9E2"/>
    <w:rsid w:val="721C847F"/>
    <w:rsid w:val="721EC819"/>
    <w:rsid w:val="7220BE3C"/>
    <w:rsid w:val="72226B8F"/>
    <w:rsid w:val="722C07A7"/>
    <w:rsid w:val="722EFA05"/>
    <w:rsid w:val="72310E3D"/>
    <w:rsid w:val="7231A96F"/>
    <w:rsid w:val="7232BFC2"/>
    <w:rsid w:val="72337919"/>
    <w:rsid w:val="72344FD6"/>
    <w:rsid w:val="7238A8CB"/>
    <w:rsid w:val="724455A1"/>
    <w:rsid w:val="724A153A"/>
    <w:rsid w:val="724C043A"/>
    <w:rsid w:val="7255E956"/>
    <w:rsid w:val="72583497"/>
    <w:rsid w:val="725880D7"/>
    <w:rsid w:val="7275A7D7"/>
    <w:rsid w:val="727BAFB7"/>
    <w:rsid w:val="727F4A82"/>
    <w:rsid w:val="7285B1EA"/>
    <w:rsid w:val="7285F38B"/>
    <w:rsid w:val="72879E25"/>
    <w:rsid w:val="728C4F8B"/>
    <w:rsid w:val="728D6750"/>
    <w:rsid w:val="7290C762"/>
    <w:rsid w:val="7295F3E0"/>
    <w:rsid w:val="72A14AFD"/>
    <w:rsid w:val="72B78856"/>
    <w:rsid w:val="72C1FC5A"/>
    <w:rsid w:val="72C52494"/>
    <w:rsid w:val="72C81BD8"/>
    <w:rsid w:val="72CD5456"/>
    <w:rsid w:val="72D1C4B7"/>
    <w:rsid w:val="72D4D738"/>
    <w:rsid w:val="72D97745"/>
    <w:rsid w:val="72E5C29D"/>
    <w:rsid w:val="72F112E9"/>
    <w:rsid w:val="72F138BB"/>
    <w:rsid w:val="72F34ED5"/>
    <w:rsid w:val="72FEEA6B"/>
    <w:rsid w:val="7304F29F"/>
    <w:rsid w:val="730B600D"/>
    <w:rsid w:val="73184FC5"/>
    <w:rsid w:val="731F3B05"/>
    <w:rsid w:val="7320CF92"/>
    <w:rsid w:val="732A958D"/>
    <w:rsid w:val="732C566E"/>
    <w:rsid w:val="73344DDB"/>
    <w:rsid w:val="7335A149"/>
    <w:rsid w:val="7344DE33"/>
    <w:rsid w:val="73509F32"/>
    <w:rsid w:val="735BDB0E"/>
    <w:rsid w:val="7368B0C6"/>
    <w:rsid w:val="7378CAFB"/>
    <w:rsid w:val="73832731"/>
    <w:rsid w:val="738EFFFD"/>
    <w:rsid w:val="73A44AE4"/>
    <w:rsid w:val="73A6A14A"/>
    <w:rsid w:val="73A72B1A"/>
    <w:rsid w:val="73A9E6A1"/>
    <w:rsid w:val="73AA7166"/>
    <w:rsid w:val="73AB1D5B"/>
    <w:rsid w:val="73B269CA"/>
    <w:rsid w:val="73B2AAF4"/>
    <w:rsid w:val="73B75E5B"/>
    <w:rsid w:val="73B86FAD"/>
    <w:rsid w:val="73BA3B81"/>
    <w:rsid w:val="73BEC094"/>
    <w:rsid w:val="73BFD295"/>
    <w:rsid w:val="73C5CE5B"/>
    <w:rsid w:val="73CA5EBB"/>
    <w:rsid w:val="73CC2725"/>
    <w:rsid w:val="73DA52E5"/>
    <w:rsid w:val="73DF3D97"/>
    <w:rsid w:val="73E2F446"/>
    <w:rsid w:val="73E5070C"/>
    <w:rsid w:val="73E8AE22"/>
    <w:rsid w:val="73F343A4"/>
    <w:rsid w:val="73F38E00"/>
    <w:rsid w:val="73FB57BC"/>
    <w:rsid w:val="7402F400"/>
    <w:rsid w:val="740B3792"/>
    <w:rsid w:val="74107273"/>
    <w:rsid w:val="74129E1F"/>
    <w:rsid w:val="7418F8AA"/>
    <w:rsid w:val="741CEE3E"/>
    <w:rsid w:val="741D8C9E"/>
    <w:rsid w:val="742E8829"/>
    <w:rsid w:val="743D48DC"/>
    <w:rsid w:val="74417BB4"/>
    <w:rsid w:val="7443ADB6"/>
    <w:rsid w:val="745251C1"/>
    <w:rsid w:val="7453593E"/>
    <w:rsid w:val="74544FD1"/>
    <w:rsid w:val="7454A53D"/>
    <w:rsid w:val="74587E6E"/>
    <w:rsid w:val="745E1125"/>
    <w:rsid w:val="746AF258"/>
    <w:rsid w:val="746C3629"/>
    <w:rsid w:val="74712C0D"/>
    <w:rsid w:val="7472D7D4"/>
    <w:rsid w:val="747FEA75"/>
    <w:rsid w:val="7484E650"/>
    <w:rsid w:val="7485FA01"/>
    <w:rsid w:val="748607AB"/>
    <w:rsid w:val="7490A8FB"/>
    <w:rsid w:val="7497DA92"/>
    <w:rsid w:val="74A07670"/>
    <w:rsid w:val="74A20DB4"/>
    <w:rsid w:val="74A70A85"/>
    <w:rsid w:val="74A7CAA3"/>
    <w:rsid w:val="74B22045"/>
    <w:rsid w:val="74B8952F"/>
    <w:rsid w:val="74C16F39"/>
    <w:rsid w:val="74C3CB00"/>
    <w:rsid w:val="74CF1638"/>
    <w:rsid w:val="74CFFFF2"/>
    <w:rsid w:val="74D4E45E"/>
    <w:rsid w:val="74D74D8C"/>
    <w:rsid w:val="74DA0181"/>
    <w:rsid w:val="74DB26E7"/>
    <w:rsid w:val="74DD8E96"/>
    <w:rsid w:val="74E233F6"/>
    <w:rsid w:val="74E31F72"/>
    <w:rsid w:val="74EBA3A8"/>
    <w:rsid w:val="74FE2744"/>
    <w:rsid w:val="74FE9F18"/>
    <w:rsid w:val="7505C673"/>
    <w:rsid w:val="750997AB"/>
    <w:rsid w:val="7514FBE6"/>
    <w:rsid w:val="75195048"/>
    <w:rsid w:val="751EEE76"/>
    <w:rsid w:val="752812E7"/>
    <w:rsid w:val="75282FEA"/>
    <w:rsid w:val="752D7B30"/>
    <w:rsid w:val="7535882A"/>
    <w:rsid w:val="753A23FE"/>
    <w:rsid w:val="753F8429"/>
    <w:rsid w:val="754641C7"/>
    <w:rsid w:val="7552EE43"/>
    <w:rsid w:val="7554400E"/>
    <w:rsid w:val="75577AD1"/>
    <w:rsid w:val="755F6A24"/>
    <w:rsid w:val="756104C2"/>
    <w:rsid w:val="7565D213"/>
    <w:rsid w:val="7565DDCD"/>
    <w:rsid w:val="75771D85"/>
    <w:rsid w:val="75794B13"/>
    <w:rsid w:val="757C8DB3"/>
    <w:rsid w:val="757D9882"/>
    <w:rsid w:val="757DCBB4"/>
    <w:rsid w:val="75821CA2"/>
    <w:rsid w:val="758DEC08"/>
    <w:rsid w:val="759395EB"/>
    <w:rsid w:val="7596452B"/>
    <w:rsid w:val="75988BE9"/>
    <w:rsid w:val="7599622E"/>
    <w:rsid w:val="75A99DA2"/>
    <w:rsid w:val="75B3AD35"/>
    <w:rsid w:val="75B55C0D"/>
    <w:rsid w:val="75BA2D67"/>
    <w:rsid w:val="75BB88CB"/>
    <w:rsid w:val="75BE7599"/>
    <w:rsid w:val="75C12B11"/>
    <w:rsid w:val="75C13BDA"/>
    <w:rsid w:val="75C52955"/>
    <w:rsid w:val="75C9179C"/>
    <w:rsid w:val="75CDBBF6"/>
    <w:rsid w:val="75CE84ED"/>
    <w:rsid w:val="75D09D81"/>
    <w:rsid w:val="75D3C964"/>
    <w:rsid w:val="75D57D26"/>
    <w:rsid w:val="75D5A8A9"/>
    <w:rsid w:val="75DC0DD0"/>
    <w:rsid w:val="75DCD648"/>
    <w:rsid w:val="75DE244A"/>
    <w:rsid w:val="75DF3556"/>
    <w:rsid w:val="75E195A9"/>
    <w:rsid w:val="75E380DC"/>
    <w:rsid w:val="75E9F43A"/>
    <w:rsid w:val="75ECD3E1"/>
    <w:rsid w:val="75F64799"/>
    <w:rsid w:val="75FA2F0F"/>
    <w:rsid w:val="760BD8E3"/>
    <w:rsid w:val="761004F4"/>
    <w:rsid w:val="7618A530"/>
    <w:rsid w:val="76288F58"/>
    <w:rsid w:val="7631576F"/>
    <w:rsid w:val="7631A00F"/>
    <w:rsid w:val="76359F86"/>
    <w:rsid w:val="7638BBE9"/>
    <w:rsid w:val="763C54C4"/>
    <w:rsid w:val="76480301"/>
    <w:rsid w:val="764D34A5"/>
    <w:rsid w:val="764FF087"/>
    <w:rsid w:val="76642D37"/>
    <w:rsid w:val="7664EF5A"/>
    <w:rsid w:val="76658580"/>
    <w:rsid w:val="76670FD4"/>
    <w:rsid w:val="766A0CDA"/>
    <w:rsid w:val="76728475"/>
    <w:rsid w:val="76744A63"/>
    <w:rsid w:val="76767CD5"/>
    <w:rsid w:val="767E0173"/>
    <w:rsid w:val="768094F4"/>
    <w:rsid w:val="76895919"/>
    <w:rsid w:val="768A7A1F"/>
    <w:rsid w:val="768E4E9B"/>
    <w:rsid w:val="76911A7D"/>
    <w:rsid w:val="769141E1"/>
    <w:rsid w:val="769B2DA6"/>
    <w:rsid w:val="76AB7513"/>
    <w:rsid w:val="76B06BBD"/>
    <w:rsid w:val="76BDBCDB"/>
    <w:rsid w:val="76D132CC"/>
    <w:rsid w:val="76E5A971"/>
    <w:rsid w:val="76E77E6A"/>
    <w:rsid w:val="76EE0863"/>
    <w:rsid w:val="76EF1A48"/>
    <w:rsid w:val="76F14D02"/>
    <w:rsid w:val="76F3C52B"/>
    <w:rsid w:val="76F9D4A7"/>
    <w:rsid w:val="76FE9AA3"/>
    <w:rsid w:val="77011DD3"/>
    <w:rsid w:val="770C2BBA"/>
    <w:rsid w:val="770C379D"/>
    <w:rsid w:val="770C3C61"/>
    <w:rsid w:val="77137B26"/>
    <w:rsid w:val="77160BA6"/>
    <w:rsid w:val="7722C1DD"/>
    <w:rsid w:val="7723CF88"/>
    <w:rsid w:val="7731D7E0"/>
    <w:rsid w:val="7732BE55"/>
    <w:rsid w:val="77331780"/>
    <w:rsid w:val="773C5FF4"/>
    <w:rsid w:val="773CA768"/>
    <w:rsid w:val="773E90FF"/>
    <w:rsid w:val="774707D6"/>
    <w:rsid w:val="774EC914"/>
    <w:rsid w:val="77539678"/>
    <w:rsid w:val="775E745A"/>
    <w:rsid w:val="77633C26"/>
    <w:rsid w:val="77675FE7"/>
    <w:rsid w:val="776D565E"/>
    <w:rsid w:val="776DE83D"/>
    <w:rsid w:val="776FD422"/>
    <w:rsid w:val="777EA923"/>
    <w:rsid w:val="77905CE3"/>
    <w:rsid w:val="7798EC22"/>
    <w:rsid w:val="77A292CF"/>
    <w:rsid w:val="77ADDFAD"/>
    <w:rsid w:val="77B1C2E7"/>
    <w:rsid w:val="77B4D2D3"/>
    <w:rsid w:val="77B7D32E"/>
    <w:rsid w:val="77BC6C65"/>
    <w:rsid w:val="77C012E7"/>
    <w:rsid w:val="77C5F6CF"/>
    <w:rsid w:val="77CA29EA"/>
    <w:rsid w:val="77DA104D"/>
    <w:rsid w:val="77DE5002"/>
    <w:rsid w:val="77E8BC69"/>
    <w:rsid w:val="77F893C2"/>
    <w:rsid w:val="77FB52F3"/>
    <w:rsid w:val="78157665"/>
    <w:rsid w:val="78177B27"/>
    <w:rsid w:val="7817AC38"/>
    <w:rsid w:val="781DEEBF"/>
    <w:rsid w:val="781E6FF2"/>
    <w:rsid w:val="782D8FDD"/>
    <w:rsid w:val="78377BAD"/>
    <w:rsid w:val="78380A1F"/>
    <w:rsid w:val="783A5B44"/>
    <w:rsid w:val="783DC1B3"/>
    <w:rsid w:val="7849B882"/>
    <w:rsid w:val="784DC0BD"/>
    <w:rsid w:val="784F1340"/>
    <w:rsid w:val="7850E54A"/>
    <w:rsid w:val="78633BF7"/>
    <w:rsid w:val="786693F7"/>
    <w:rsid w:val="786CA554"/>
    <w:rsid w:val="7870DC44"/>
    <w:rsid w:val="7875E7CA"/>
    <w:rsid w:val="7877156B"/>
    <w:rsid w:val="787723DF"/>
    <w:rsid w:val="78778936"/>
    <w:rsid w:val="7877E5A6"/>
    <w:rsid w:val="7877FE81"/>
    <w:rsid w:val="7878F3A4"/>
    <w:rsid w:val="787F4EDF"/>
    <w:rsid w:val="78843F2D"/>
    <w:rsid w:val="78859032"/>
    <w:rsid w:val="788F0EC3"/>
    <w:rsid w:val="78935D10"/>
    <w:rsid w:val="789F7E47"/>
    <w:rsid w:val="78A8CB24"/>
    <w:rsid w:val="78A9172D"/>
    <w:rsid w:val="78AFCEAD"/>
    <w:rsid w:val="78D97E40"/>
    <w:rsid w:val="78DDE80D"/>
    <w:rsid w:val="78DEF8FF"/>
    <w:rsid w:val="78F3C3B2"/>
    <w:rsid w:val="78FBE559"/>
    <w:rsid w:val="7905922A"/>
    <w:rsid w:val="791536B0"/>
    <w:rsid w:val="791DA1FF"/>
    <w:rsid w:val="792BF340"/>
    <w:rsid w:val="79383ABA"/>
    <w:rsid w:val="793F9874"/>
    <w:rsid w:val="7940BF3C"/>
    <w:rsid w:val="794B582F"/>
    <w:rsid w:val="794C8640"/>
    <w:rsid w:val="79523E30"/>
    <w:rsid w:val="795582CD"/>
    <w:rsid w:val="79642748"/>
    <w:rsid w:val="7976FA17"/>
    <w:rsid w:val="7981953B"/>
    <w:rsid w:val="7989A34C"/>
    <w:rsid w:val="798C769D"/>
    <w:rsid w:val="798EA1AF"/>
    <w:rsid w:val="799E4CC6"/>
    <w:rsid w:val="79A38544"/>
    <w:rsid w:val="79A47DA2"/>
    <w:rsid w:val="79A9BA67"/>
    <w:rsid w:val="79ADF531"/>
    <w:rsid w:val="79B8D23C"/>
    <w:rsid w:val="79C09A77"/>
    <w:rsid w:val="79C7ECB8"/>
    <w:rsid w:val="79CF1D44"/>
    <w:rsid w:val="79D230CC"/>
    <w:rsid w:val="79D3075E"/>
    <w:rsid w:val="79D3F24E"/>
    <w:rsid w:val="79E54700"/>
    <w:rsid w:val="79E7EAB0"/>
    <w:rsid w:val="79ECCCA2"/>
    <w:rsid w:val="79F6B702"/>
    <w:rsid w:val="79FCCCE2"/>
    <w:rsid w:val="7A0A60FA"/>
    <w:rsid w:val="7A0BC464"/>
    <w:rsid w:val="7A0DE39F"/>
    <w:rsid w:val="7A10B1A1"/>
    <w:rsid w:val="7A17D428"/>
    <w:rsid w:val="7A1E1AFD"/>
    <w:rsid w:val="7A21EC78"/>
    <w:rsid w:val="7A24E415"/>
    <w:rsid w:val="7A290EFF"/>
    <w:rsid w:val="7A30C164"/>
    <w:rsid w:val="7A33396C"/>
    <w:rsid w:val="7A33D20B"/>
    <w:rsid w:val="7A34DEC0"/>
    <w:rsid w:val="7A363B65"/>
    <w:rsid w:val="7A3D1A5C"/>
    <w:rsid w:val="7A52017A"/>
    <w:rsid w:val="7A52FCB7"/>
    <w:rsid w:val="7A56BD4B"/>
    <w:rsid w:val="7A58FE9F"/>
    <w:rsid w:val="7A5A3C17"/>
    <w:rsid w:val="7A73452A"/>
    <w:rsid w:val="7A745B2D"/>
    <w:rsid w:val="7A748153"/>
    <w:rsid w:val="7A7F64E1"/>
    <w:rsid w:val="7A8281D8"/>
    <w:rsid w:val="7A8A66B6"/>
    <w:rsid w:val="7A9CD526"/>
    <w:rsid w:val="7AA28311"/>
    <w:rsid w:val="7AA8FBCF"/>
    <w:rsid w:val="7AA971DE"/>
    <w:rsid w:val="7AACB354"/>
    <w:rsid w:val="7AB13B77"/>
    <w:rsid w:val="7AB7AAF2"/>
    <w:rsid w:val="7AB90068"/>
    <w:rsid w:val="7ABCE4BB"/>
    <w:rsid w:val="7AC863DE"/>
    <w:rsid w:val="7AC92C9B"/>
    <w:rsid w:val="7ACEACA9"/>
    <w:rsid w:val="7AD5767E"/>
    <w:rsid w:val="7AD732AD"/>
    <w:rsid w:val="7AD8D69F"/>
    <w:rsid w:val="7ADB5536"/>
    <w:rsid w:val="7ADC2A8C"/>
    <w:rsid w:val="7ADF9B31"/>
    <w:rsid w:val="7AE01199"/>
    <w:rsid w:val="7AE1A587"/>
    <w:rsid w:val="7AE2FE48"/>
    <w:rsid w:val="7AECCBD4"/>
    <w:rsid w:val="7AED02BA"/>
    <w:rsid w:val="7AF59632"/>
    <w:rsid w:val="7AF5CFC5"/>
    <w:rsid w:val="7B011A25"/>
    <w:rsid w:val="7B02934B"/>
    <w:rsid w:val="7B042761"/>
    <w:rsid w:val="7B0669BE"/>
    <w:rsid w:val="7B09D275"/>
    <w:rsid w:val="7B0CD5D5"/>
    <w:rsid w:val="7B0EA8CE"/>
    <w:rsid w:val="7B13303D"/>
    <w:rsid w:val="7B1562F1"/>
    <w:rsid w:val="7B16D6B8"/>
    <w:rsid w:val="7B1E7386"/>
    <w:rsid w:val="7B2090F0"/>
    <w:rsid w:val="7B27DA59"/>
    <w:rsid w:val="7B2E6AD5"/>
    <w:rsid w:val="7B303484"/>
    <w:rsid w:val="7B3D0080"/>
    <w:rsid w:val="7B3E76EE"/>
    <w:rsid w:val="7B41FC22"/>
    <w:rsid w:val="7B424A05"/>
    <w:rsid w:val="7B463015"/>
    <w:rsid w:val="7B48C821"/>
    <w:rsid w:val="7B4A686B"/>
    <w:rsid w:val="7B5511A1"/>
    <w:rsid w:val="7B5E958B"/>
    <w:rsid w:val="7B6128BD"/>
    <w:rsid w:val="7B62A7BE"/>
    <w:rsid w:val="7B631E7E"/>
    <w:rsid w:val="7B72F769"/>
    <w:rsid w:val="7B72F825"/>
    <w:rsid w:val="7B7AE14B"/>
    <w:rsid w:val="7B7BDC1B"/>
    <w:rsid w:val="7B7E5FA4"/>
    <w:rsid w:val="7B802F3C"/>
    <w:rsid w:val="7B82BB73"/>
    <w:rsid w:val="7B87626C"/>
    <w:rsid w:val="7B943ADF"/>
    <w:rsid w:val="7BA106A2"/>
    <w:rsid w:val="7BA436AC"/>
    <w:rsid w:val="7BA5923A"/>
    <w:rsid w:val="7BA61E1F"/>
    <w:rsid w:val="7BAA3BCB"/>
    <w:rsid w:val="7BAB382D"/>
    <w:rsid w:val="7BAD888C"/>
    <w:rsid w:val="7BBD6A16"/>
    <w:rsid w:val="7BBE11D2"/>
    <w:rsid w:val="7BC0BAE1"/>
    <w:rsid w:val="7BC5FE33"/>
    <w:rsid w:val="7BCB6F18"/>
    <w:rsid w:val="7BDF15CA"/>
    <w:rsid w:val="7BE31FA2"/>
    <w:rsid w:val="7BED05D0"/>
    <w:rsid w:val="7BF7769A"/>
    <w:rsid w:val="7C042CFF"/>
    <w:rsid w:val="7C080F57"/>
    <w:rsid w:val="7C0EFD1B"/>
    <w:rsid w:val="7C0FD117"/>
    <w:rsid w:val="7C11BD6E"/>
    <w:rsid w:val="7C270FA8"/>
    <w:rsid w:val="7C3BE80D"/>
    <w:rsid w:val="7C41D528"/>
    <w:rsid w:val="7C45E779"/>
    <w:rsid w:val="7C465B33"/>
    <w:rsid w:val="7C4BBE6A"/>
    <w:rsid w:val="7C5937E6"/>
    <w:rsid w:val="7C5E3106"/>
    <w:rsid w:val="7C6AF59F"/>
    <w:rsid w:val="7C6E07FB"/>
    <w:rsid w:val="7C731E9D"/>
    <w:rsid w:val="7C7A9C16"/>
    <w:rsid w:val="7C7C168C"/>
    <w:rsid w:val="7C8172BD"/>
    <w:rsid w:val="7C84D552"/>
    <w:rsid w:val="7C922678"/>
    <w:rsid w:val="7C93DAA8"/>
    <w:rsid w:val="7C9C57CA"/>
    <w:rsid w:val="7CA67FC3"/>
    <w:rsid w:val="7CB28202"/>
    <w:rsid w:val="7CB5F71C"/>
    <w:rsid w:val="7CBBDC7D"/>
    <w:rsid w:val="7CBC5473"/>
    <w:rsid w:val="7CC86230"/>
    <w:rsid w:val="7CCBE252"/>
    <w:rsid w:val="7CD91BBD"/>
    <w:rsid w:val="7CE3F0A7"/>
    <w:rsid w:val="7CF216CE"/>
    <w:rsid w:val="7CF650C0"/>
    <w:rsid w:val="7CFE07FF"/>
    <w:rsid w:val="7D0198A5"/>
    <w:rsid w:val="7D090BFA"/>
    <w:rsid w:val="7D154F7E"/>
    <w:rsid w:val="7D170286"/>
    <w:rsid w:val="7D174E93"/>
    <w:rsid w:val="7D1AA142"/>
    <w:rsid w:val="7D1B4547"/>
    <w:rsid w:val="7D1F8E6F"/>
    <w:rsid w:val="7D23522C"/>
    <w:rsid w:val="7D2819D3"/>
    <w:rsid w:val="7D2FDC7B"/>
    <w:rsid w:val="7D333FDC"/>
    <w:rsid w:val="7D42A888"/>
    <w:rsid w:val="7D47A3EC"/>
    <w:rsid w:val="7D48B349"/>
    <w:rsid w:val="7D49F397"/>
    <w:rsid w:val="7D4A5892"/>
    <w:rsid w:val="7D4BBFD0"/>
    <w:rsid w:val="7D4BD5D6"/>
    <w:rsid w:val="7D4C203E"/>
    <w:rsid w:val="7D4F4B0E"/>
    <w:rsid w:val="7D5153AC"/>
    <w:rsid w:val="7D57F933"/>
    <w:rsid w:val="7D5D4F13"/>
    <w:rsid w:val="7D632F17"/>
    <w:rsid w:val="7D658F66"/>
    <w:rsid w:val="7D71DE98"/>
    <w:rsid w:val="7D7A6A11"/>
    <w:rsid w:val="7D7D7AD4"/>
    <w:rsid w:val="7D81CEBE"/>
    <w:rsid w:val="7D8EC258"/>
    <w:rsid w:val="7DA11FB2"/>
    <w:rsid w:val="7DA4C16F"/>
    <w:rsid w:val="7DA52F75"/>
    <w:rsid w:val="7DAAA827"/>
    <w:rsid w:val="7DAC2215"/>
    <w:rsid w:val="7DB7B270"/>
    <w:rsid w:val="7DBC2F64"/>
    <w:rsid w:val="7DC8F19B"/>
    <w:rsid w:val="7DCFD91B"/>
    <w:rsid w:val="7DD65B51"/>
    <w:rsid w:val="7DDBB776"/>
    <w:rsid w:val="7DDDFA56"/>
    <w:rsid w:val="7DE6142D"/>
    <w:rsid w:val="7DE6B2AA"/>
    <w:rsid w:val="7DF6706D"/>
    <w:rsid w:val="7E05920B"/>
    <w:rsid w:val="7E07F2BC"/>
    <w:rsid w:val="7E09D5D3"/>
    <w:rsid w:val="7E0C8E02"/>
    <w:rsid w:val="7E1375ED"/>
    <w:rsid w:val="7E16C927"/>
    <w:rsid w:val="7E1F56E5"/>
    <w:rsid w:val="7E2C9891"/>
    <w:rsid w:val="7E2DE699"/>
    <w:rsid w:val="7E3C692A"/>
    <w:rsid w:val="7E409054"/>
    <w:rsid w:val="7E44838B"/>
    <w:rsid w:val="7E566500"/>
    <w:rsid w:val="7E645C5F"/>
    <w:rsid w:val="7E652984"/>
    <w:rsid w:val="7E674086"/>
    <w:rsid w:val="7E6885A6"/>
    <w:rsid w:val="7E6C59C7"/>
    <w:rsid w:val="7E6C9320"/>
    <w:rsid w:val="7E6CB5BA"/>
    <w:rsid w:val="7E6D57E0"/>
    <w:rsid w:val="7E6F78DF"/>
    <w:rsid w:val="7E7161AE"/>
    <w:rsid w:val="7E738A06"/>
    <w:rsid w:val="7E74E719"/>
    <w:rsid w:val="7E7ACE03"/>
    <w:rsid w:val="7E7D2B8A"/>
    <w:rsid w:val="7E7F9293"/>
    <w:rsid w:val="7E85299B"/>
    <w:rsid w:val="7E85557E"/>
    <w:rsid w:val="7E86B7AC"/>
    <w:rsid w:val="7E88E9D2"/>
    <w:rsid w:val="7E8CB263"/>
    <w:rsid w:val="7E939AA6"/>
    <w:rsid w:val="7E955EF6"/>
    <w:rsid w:val="7E96BB59"/>
    <w:rsid w:val="7E9BFC10"/>
    <w:rsid w:val="7E9CD161"/>
    <w:rsid w:val="7E9FE508"/>
    <w:rsid w:val="7EA1C809"/>
    <w:rsid w:val="7EAD2DFB"/>
    <w:rsid w:val="7EB477BF"/>
    <w:rsid w:val="7EB7B857"/>
    <w:rsid w:val="7EC74BEC"/>
    <w:rsid w:val="7ECB5D0A"/>
    <w:rsid w:val="7EDA984D"/>
    <w:rsid w:val="7EE938FD"/>
    <w:rsid w:val="7EEF58F5"/>
    <w:rsid w:val="7EF5A541"/>
    <w:rsid w:val="7EF77F48"/>
    <w:rsid w:val="7EFD4B21"/>
    <w:rsid w:val="7F06F6B1"/>
    <w:rsid w:val="7F0F899B"/>
    <w:rsid w:val="7F11C126"/>
    <w:rsid w:val="7F1D02CD"/>
    <w:rsid w:val="7F29477F"/>
    <w:rsid w:val="7F2FD849"/>
    <w:rsid w:val="7F314668"/>
    <w:rsid w:val="7F34E8B7"/>
    <w:rsid w:val="7F3A6D0C"/>
    <w:rsid w:val="7F3B3DFE"/>
    <w:rsid w:val="7F3F2B0A"/>
    <w:rsid w:val="7F438E24"/>
    <w:rsid w:val="7F443BE5"/>
    <w:rsid w:val="7F543311"/>
    <w:rsid w:val="7F54A31F"/>
    <w:rsid w:val="7F5C3E53"/>
    <w:rsid w:val="7F60795D"/>
    <w:rsid w:val="7F68FD33"/>
    <w:rsid w:val="7F69C005"/>
    <w:rsid w:val="7F6BA1C5"/>
    <w:rsid w:val="7F783859"/>
    <w:rsid w:val="7F79E00B"/>
    <w:rsid w:val="7F79EDEE"/>
    <w:rsid w:val="7F86EC3F"/>
    <w:rsid w:val="7F88D1BC"/>
    <w:rsid w:val="7F8ABA58"/>
    <w:rsid w:val="7F9250A8"/>
    <w:rsid w:val="7F93AFEF"/>
    <w:rsid w:val="7F9660D8"/>
    <w:rsid w:val="7F971DD2"/>
    <w:rsid w:val="7F986A9E"/>
    <w:rsid w:val="7FA149FA"/>
    <w:rsid w:val="7FA3AC6F"/>
    <w:rsid w:val="7FAC018C"/>
    <w:rsid w:val="7FB65141"/>
    <w:rsid w:val="7FC20ABC"/>
    <w:rsid w:val="7FC4864B"/>
    <w:rsid w:val="7FC887DD"/>
    <w:rsid w:val="7FCA11E8"/>
    <w:rsid w:val="7FCC8082"/>
    <w:rsid w:val="7FD083BF"/>
    <w:rsid w:val="7FDDA82E"/>
    <w:rsid w:val="7FE0273B"/>
    <w:rsid w:val="7FE933EC"/>
    <w:rsid w:val="7FED33FB"/>
    <w:rsid w:val="7FEF3EA3"/>
    <w:rsid w:val="7FF2F71E"/>
    <w:rsid w:val="7FFC3212"/>
    <w:rsid w:val="7FFCA941"/>
    <w:rsid w:val="7FFD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F6CC0F5"/>
  <w15:chartTrackingRefBased/>
  <w15:docId w15:val="{8D093AA0-11A1-4545-9A36-F26C920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B4"/>
  </w:style>
  <w:style w:type="paragraph" w:styleId="Heading1">
    <w:name w:val="heading 1"/>
    <w:basedOn w:val="Normal"/>
    <w:next w:val="Normal"/>
    <w:link w:val="Heading1Char"/>
    <w:uiPriority w:val="1"/>
    <w:qFormat/>
    <w:rsid w:val="0077574E"/>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val="en-GB" w:eastAsia="en-GB"/>
    </w:rPr>
  </w:style>
  <w:style w:type="paragraph" w:styleId="Heading2">
    <w:name w:val="heading 2"/>
    <w:basedOn w:val="Normal"/>
    <w:next w:val="Normal"/>
    <w:link w:val="Heading2Char"/>
    <w:uiPriority w:val="1"/>
    <w:qFormat/>
    <w:rsid w:val="0077574E"/>
    <w:pPr>
      <w:keepNext/>
      <w:tabs>
        <w:tab w:val="num" w:pos="1202"/>
      </w:tabs>
      <w:spacing w:after="240" w:line="240" w:lineRule="auto"/>
      <w:ind w:left="1202" w:hanging="720"/>
      <w:jc w:val="both"/>
      <w:outlineLvl w:val="1"/>
    </w:pPr>
    <w:rPr>
      <w:rFonts w:ascii="Times New Roman" w:eastAsia="Times New Roman" w:hAnsi="Times New Roman" w:cs="Times New Roman"/>
      <w:b/>
      <w:sz w:val="24"/>
      <w:szCs w:val="20"/>
      <w:lang w:val="en-GB" w:eastAsia="en-GB"/>
    </w:rPr>
  </w:style>
  <w:style w:type="paragraph" w:styleId="Heading3">
    <w:name w:val="heading 3"/>
    <w:basedOn w:val="Normal"/>
    <w:next w:val="Normal"/>
    <w:link w:val="Heading3Char"/>
    <w:uiPriority w:val="1"/>
    <w:qFormat/>
    <w:rsid w:val="0077574E"/>
    <w:pPr>
      <w:keepNext/>
      <w:tabs>
        <w:tab w:val="num" w:pos="1922"/>
      </w:tabs>
      <w:spacing w:after="240" w:line="240" w:lineRule="auto"/>
      <w:ind w:left="720" w:hanging="720"/>
      <w:jc w:val="both"/>
      <w:outlineLvl w:val="2"/>
    </w:pPr>
    <w:rPr>
      <w:rFonts w:ascii="Times New Roman" w:eastAsia="Times New Roman" w:hAnsi="Times New Roman" w:cs="Times New Roman"/>
      <w:i/>
      <w:sz w:val="24"/>
      <w:szCs w:val="20"/>
      <w:lang w:val="en-GB" w:eastAsia="en-GB"/>
    </w:rPr>
  </w:style>
  <w:style w:type="paragraph" w:styleId="Heading4">
    <w:name w:val="heading 4"/>
    <w:basedOn w:val="Normal"/>
    <w:next w:val="Normal"/>
    <w:link w:val="Heading4Char"/>
    <w:uiPriority w:val="1"/>
    <w:qFormat/>
    <w:rsid w:val="0077574E"/>
    <w:pPr>
      <w:keepNext/>
      <w:tabs>
        <w:tab w:val="num" w:pos="1922"/>
      </w:tabs>
      <w:spacing w:after="240" w:line="240" w:lineRule="auto"/>
      <w:ind w:left="1922" w:hanging="720"/>
      <w:jc w:val="both"/>
      <w:outlineLvl w:val="3"/>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3,ПАРАГРАФ,Bullet line,Style 1,C 1,Гл точки,Normal List,Endnote,Indent,Списък на абзаци"/>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F5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C24"/>
    <w:rPr>
      <w:rFonts w:ascii="Segoe UI" w:hAnsi="Segoe UI" w:cs="Segoe UI"/>
      <w:sz w:val="18"/>
      <w:szCs w:val="18"/>
    </w:rPr>
  </w:style>
  <w:style w:type="paragraph" w:styleId="FootnoteText">
    <w:name w:val="footnote text"/>
    <w:aliases w:val="Schriftart: 9 pt,Schriftart: 10 pt,Schriftart: 8 pt,WB-Fußnotentext,Footnote Text Char Char Char Char,Footnote Text Char Char,Footnote Text Char Char Char Char Char,Footnote Text Char Char Char Char Char Char Char Char,Footnote text,Char"/>
    <w:basedOn w:val="Normal"/>
    <w:link w:val="FootnoteTextChar"/>
    <w:unhideWhenUsed/>
    <w:qFormat/>
    <w:rsid w:val="00A93E3F"/>
    <w:pPr>
      <w:spacing w:after="0" w:line="240" w:lineRule="auto"/>
    </w:pPr>
    <w:rPr>
      <w:sz w:val="20"/>
      <w:szCs w:val="20"/>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Footnote text Char,Char Char"/>
    <w:basedOn w:val="DefaultParagraphFont"/>
    <w:link w:val="FootnoteText"/>
    <w:qFormat/>
    <w:rsid w:val="00A93E3F"/>
    <w:rPr>
      <w:sz w:val="20"/>
      <w:szCs w:val="20"/>
    </w:rPr>
  </w:style>
  <w:style w:type="character" w:styleId="FootnoteReference">
    <w:name w:val="footnote reference"/>
    <w:aliases w:val="Footnote symbol,Footnote reference number,Times 10 Point,Exposant 3 Point,EN Footnote Reference,note TESI,Footnotes refss,Fussnota, Exposant 3 Point,texto nota a pie,ftref, BVI fnr,BVI fnr,Footnote Reference Number,fr,E...,Footnote,o"/>
    <w:basedOn w:val="DefaultParagraphFont"/>
    <w:link w:val="BVIfnr"/>
    <w:unhideWhenUsed/>
    <w:qFormat/>
    <w:rsid w:val="00A93E3F"/>
    <w:rPr>
      <w:vertAlign w:val="superscript"/>
    </w:rPr>
  </w:style>
  <w:style w:type="paragraph" w:styleId="Revision">
    <w:name w:val="Revision"/>
    <w:hidden/>
    <w:uiPriority w:val="99"/>
    <w:semiHidden/>
    <w:rsid w:val="00A74EF4"/>
    <w:pPr>
      <w:spacing w:after="0" w:line="240" w:lineRule="auto"/>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2540FE"/>
    <w:rPr>
      <w:b/>
      <w:bCs/>
    </w:rPr>
  </w:style>
  <w:style w:type="character" w:customStyle="1" w:styleId="CommentSubjectChar">
    <w:name w:val="Comment Subject Char"/>
    <w:basedOn w:val="CommentTextChar"/>
    <w:link w:val="CommentSubject"/>
    <w:uiPriority w:val="99"/>
    <w:semiHidden/>
    <w:rsid w:val="002540FE"/>
    <w:rPr>
      <w:b/>
      <w:bCs/>
      <w:sz w:val="20"/>
      <w:szCs w:val="20"/>
    </w:rPr>
  </w:style>
  <w:style w:type="paragraph" w:customStyle="1" w:styleId="paragraph">
    <w:name w:val="paragraph"/>
    <w:basedOn w:val="Normal"/>
    <w:rsid w:val="00D277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27776"/>
  </w:style>
  <w:style w:type="character" w:customStyle="1" w:styleId="eop">
    <w:name w:val="eop"/>
    <w:basedOn w:val="DefaultParagraphFont"/>
    <w:rsid w:val="00D27776"/>
  </w:style>
  <w:style w:type="paragraph" w:customStyle="1" w:styleId="Normal1">
    <w:name w:val="Normal1"/>
    <w:basedOn w:val="Normal"/>
    <w:link w:val="Normal1Char"/>
    <w:rsid w:val="00B410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F482D"/>
    <w:rPr>
      <w:color w:val="0563C1" w:themeColor="hyperlink"/>
      <w:u w:val="single"/>
    </w:rPr>
  </w:style>
  <w:style w:type="paragraph" w:styleId="Caption">
    <w:name w:val="caption"/>
    <w:basedOn w:val="Normal"/>
    <w:next w:val="Normal"/>
    <w:uiPriority w:val="35"/>
    <w:unhideWhenUsed/>
    <w:qFormat/>
    <w:rsid w:val="005A115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73671D"/>
    <w:rPr>
      <w:color w:val="954F72" w:themeColor="followedHyperlink"/>
      <w:u w:val="single"/>
    </w:rPr>
  </w:style>
  <w:style w:type="character" w:customStyle="1" w:styleId="Normal1Char">
    <w:name w:val="Normal1 Char"/>
    <w:basedOn w:val="DefaultParagraphFont"/>
    <w:link w:val="Normal1"/>
    <w:rsid w:val="00564C06"/>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1"/>
    <w:qFormat/>
    <w:rsid w:val="0077574E"/>
    <w:pPr>
      <w:keepNext/>
      <w:spacing w:after="480" w:line="240" w:lineRule="auto"/>
      <w:jc w:val="center"/>
      <w:outlineLvl w:val="0"/>
    </w:pPr>
    <w:rPr>
      <w:rFonts w:ascii="Times New Roman" w:eastAsia="Times New Roman" w:hAnsi="Times New Roman" w:cs="Times New Roman"/>
      <w:b/>
      <w:sz w:val="32"/>
      <w:szCs w:val="20"/>
      <w:lang w:val="en-GB" w:eastAsia="en-GB"/>
    </w:rPr>
  </w:style>
  <w:style w:type="character" w:customStyle="1" w:styleId="Heading1Char">
    <w:name w:val="Heading 1 Char"/>
    <w:basedOn w:val="DefaultParagraphFont"/>
    <w:link w:val="Heading1"/>
    <w:uiPriority w:val="1"/>
    <w:rsid w:val="0077574E"/>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1"/>
    <w:rsid w:val="0077574E"/>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1"/>
    <w:rsid w:val="0077574E"/>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1"/>
    <w:rsid w:val="0077574E"/>
    <w:rPr>
      <w:rFonts w:ascii="Times New Roman" w:eastAsia="Times New Roman" w:hAnsi="Times New Roman" w:cs="Times New Roman"/>
      <w:sz w:val="24"/>
      <w:szCs w:val="20"/>
      <w:lang w:val="en-GB" w:eastAsia="en-GB"/>
    </w:rPr>
  </w:style>
  <w:style w:type="paragraph" w:styleId="TOCHeading">
    <w:name w:val="TOC Heading"/>
    <w:basedOn w:val="Heading1"/>
    <w:next w:val="Normal"/>
    <w:uiPriority w:val="39"/>
    <w:unhideWhenUsed/>
    <w:qFormat/>
    <w:rsid w:val="00BF4AF9"/>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F5496" w:themeColor="accent1" w:themeShade="BF"/>
      <w:sz w:val="32"/>
      <w:szCs w:val="32"/>
      <w:lang w:val="en-US" w:eastAsia="en-US"/>
    </w:rPr>
  </w:style>
  <w:style w:type="paragraph" w:styleId="TOC1">
    <w:name w:val="toc 1"/>
    <w:basedOn w:val="Normal"/>
    <w:next w:val="Normal"/>
    <w:autoRedefine/>
    <w:uiPriority w:val="39"/>
    <w:unhideWhenUsed/>
    <w:rsid w:val="00B40E93"/>
    <w:pPr>
      <w:tabs>
        <w:tab w:val="left" w:pos="440"/>
        <w:tab w:val="right" w:leader="dot" w:pos="9350"/>
      </w:tabs>
      <w:spacing w:after="100"/>
    </w:pPr>
  </w:style>
  <w:style w:type="paragraph" w:styleId="TOC2">
    <w:name w:val="toc 2"/>
    <w:basedOn w:val="Normal"/>
    <w:next w:val="Normal"/>
    <w:autoRedefine/>
    <w:uiPriority w:val="39"/>
    <w:unhideWhenUsed/>
    <w:rsid w:val="004F3C7F"/>
    <w:pPr>
      <w:tabs>
        <w:tab w:val="left" w:pos="880"/>
        <w:tab w:val="right" w:leader="dot" w:pos="9350"/>
      </w:tabs>
      <w:spacing w:after="100"/>
      <w:ind w:left="220"/>
    </w:pPr>
  </w:style>
  <w:style w:type="paragraph" w:styleId="TOC3">
    <w:name w:val="toc 3"/>
    <w:basedOn w:val="Normal"/>
    <w:next w:val="Normal"/>
    <w:autoRedefine/>
    <w:uiPriority w:val="39"/>
    <w:unhideWhenUsed/>
    <w:rsid w:val="007141C5"/>
    <w:pPr>
      <w:tabs>
        <w:tab w:val="right" w:leader="dot" w:pos="9350"/>
      </w:tabs>
      <w:spacing w:after="100"/>
      <w:ind w:left="440"/>
    </w:pPr>
  </w:style>
  <w:style w:type="paragraph" w:customStyle="1" w:styleId="LegalNumPar">
    <w:name w:val="LegalNumPar"/>
    <w:basedOn w:val="Normal"/>
    <w:rsid w:val="00647FAB"/>
    <w:pPr>
      <w:numPr>
        <w:numId w:val="9"/>
      </w:numPr>
      <w:spacing w:line="360" w:lineRule="auto"/>
    </w:pPr>
    <w:rPr>
      <w:sz w:val="24"/>
    </w:rPr>
  </w:style>
  <w:style w:type="paragraph" w:customStyle="1" w:styleId="LegalNumPar2">
    <w:name w:val="LegalNumPar2"/>
    <w:basedOn w:val="Normal"/>
    <w:rsid w:val="00CC6BE9"/>
    <w:pPr>
      <w:numPr>
        <w:ilvl w:val="1"/>
        <w:numId w:val="9"/>
      </w:numPr>
      <w:spacing w:line="360" w:lineRule="auto"/>
    </w:pPr>
    <w:rPr>
      <w:sz w:val="24"/>
    </w:rPr>
  </w:style>
  <w:style w:type="paragraph" w:customStyle="1" w:styleId="LegalNumPar3">
    <w:name w:val="LegalNumPar3"/>
    <w:basedOn w:val="Normal"/>
    <w:rsid w:val="00CC6BE9"/>
    <w:pPr>
      <w:numPr>
        <w:ilvl w:val="2"/>
        <w:numId w:val="9"/>
      </w:numPr>
      <w:spacing w:line="360" w:lineRule="auto"/>
    </w:pPr>
    <w:rPr>
      <w:sz w:val="24"/>
    </w:rPr>
  </w:style>
  <w:style w:type="paragraph" w:customStyle="1" w:styleId="BoxText">
    <w:name w:val="Box Text"/>
    <w:basedOn w:val="Normal"/>
    <w:link w:val="BoxTextChar"/>
    <w:rsid w:val="001F34E3"/>
    <w:pPr>
      <w:spacing w:after="220" w:line="220" w:lineRule="atLeast"/>
      <w:ind w:right="85"/>
      <w:jc w:val="both"/>
    </w:pPr>
    <w:rPr>
      <w:rFonts w:ascii="Times New Roman" w:eastAsia="Times New Roman" w:hAnsi="Times New Roman" w:cs="Times New Roman"/>
      <w:color w:val="000000"/>
      <w:sz w:val="18"/>
      <w:szCs w:val="24"/>
      <w:lang w:val="en-GB"/>
    </w:rPr>
  </w:style>
  <w:style w:type="paragraph" w:customStyle="1" w:styleId="BoxTitle">
    <w:name w:val="Box Title"/>
    <w:basedOn w:val="Normal"/>
    <w:rsid w:val="001F34E3"/>
    <w:pPr>
      <w:spacing w:after="220" w:line="240" w:lineRule="atLeast"/>
      <w:ind w:right="85"/>
      <w:jc w:val="center"/>
      <w:outlineLvl w:val="6"/>
    </w:pPr>
    <w:rPr>
      <w:rFonts w:ascii="Century Gothic" w:eastAsia="Times New Roman" w:hAnsi="Century Gothic" w:cs="Times New Roman"/>
      <w:color w:val="333399"/>
      <w:sz w:val="18"/>
      <w:szCs w:val="24"/>
      <w:lang w:val="en-GB"/>
    </w:rPr>
  </w:style>
  <w:style w:type="character" w:customStyle="1" w:styleId="BoxTextChar">
    <w:name w:val="Box Text Char"/>
    <w:basedOn w:val="DefaultParagraphFont"/>
    <w:link w:val="BoxText"/>
    <w:rsid w:val="001F34E3"/>
    <w:rPr>
      <w:rFonts w:ascii="Times New Roman" w:eastAsia="Times New Roman" w:hAnsi="Times New Roman" w:cs="Times New Roman"/>
      <w:color w:val="000000"/>
      <w:sz w:val="18"/>
      <w:szCs w:val="24"/>
      <w:lang w:val="en-GB"/>
    </w:rPr>
  </w:style>
  <w:style w:type="paragraph" w:customStyle="1" w:styleId="Titreobjet">
    <w:name w:val="Titre objet"/>
    <w:basedOn w:val="Normal"/>
    <w:next w:val="Normal"/>
    <w:rsid w:val="00840480"/>
    <w:pPr>
      <w:spacing w:before="360" w:after="360" w:line="240" w:lineRule="auto"/>
      <w:jc w:val="center"/>
    </w:pPr>
    <w:rPr>
      <w:rFonts w:ascii="Times New Roman" w:eastAsia="Times New Roman" w:hAnsi="Times New Roman" w:cs="Times New Roman"/>
      <w:b/>
      <w:sz w:val="24"/>
      <w:szCs w:val="24"/>
      <w:lang w:val="en-GB"/>
    </w:rPr>
  </w:style>
  <w:style w:type="paragraph" w:customStyle="1" w:styleId="ZCom">
    <w:name w:val="Z_Com"/>
    <w:basedOn w:val="Normal"/>
    <w:next w:val="ZDGName"/>
    <w:rsid w:val="00840480"/>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840480"/>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Default">
    <w:name w:val="Default"/>
    <w:rsid w:val="0084048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Marker">
    <w:name w:val="Marker"/>
    <w:basedOn w:val="DefaultParagraphFont"/>
    <w:rsid w:val="0050450A"/>
    <w:rPr>
      <w:color w:val="0000FF"/>
      <w:shd w:val="clear" w:color="auto" w:fill="auto"/>
    </w:rPr>
  </w:style>
  <w:style w:type="paragraph" w:customStyle="1" w:styleId="Pagedecouverture">
    <w:name w:val="Page de couverture"/>
    <w:basedOn w:val="Normal"/>
    <w:next w:val="Normal"/>
    <w:rsid w:val="0050450A"/>
    <w:pPr>
      <w:spacing w:after="0" w:line="240" w:lineRule="auto"/>
      <w:jc w:val="both"/>
    </w:pPr>
    <w:rPr>
      <w:rFonts w:ascii="Times New Roman" w:hAnsi="Times New Roman" w:cs="Times New Roman"/>
      <w:sz w:val="24"/>
    </w:rPr>
  </w:style>
  <w:style w:type="paragraph" w:customStyle="1" w:styleId="Typedudocument">
    <w:name w:val="Type du document"/>
    <w:basedOn w:val="Normal"/>
    <w:next w:val="Titreobjet"/>
    <w:rsid w:val="0050450A"/>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rsid w:val="0050450A"/>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rsid w:val="0050450A"/>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rsid w:val="0050450A"/>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50450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0450A"/>
    <w:rPr>
      <w:rFonts w:ascii="Times New Roman" w:hAnsi="Times New Roman" w:cs="Times New Roman"/>
      <w:sz w:val="24"/>
    </w:rPr>
  </w:style>
  <w:style w:type="paragraph" w:customStyle="1" w:styleId="FooterSensitivity">
    <w:name w:val="Footer Sensitivity"/>
    <w:basedOn w:val="Normal"/>
    <w:link w:val="FooterSensitivityChar"/>
    <w:rsid w:val="0050450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0450A"/>
    <w:rPr>
      <w:rFonts w:ascii="Times New Roman" w:hAnsi="Times New Roman" w:cs="Times New Roman"/>
      <w:b/>
      <w:sz w:val="32"/>
    </w:rPr>
  </w:style>
  <w:style w:type="paragraph" w:customStyle="1" w:styleId="HeaderCoverPage">
    <w:name w:val="Header Cover Page"/>
    <w:basedOn w:val="Normal"/>
    <w:link w:val="HeaderCoverPageChar"/>
    <w:rsid w:val="0050450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0450A"/>
    <w:rPr>
      <w:rFonts w:ascii="Times New Roman" w:hAnsi="Times New Roman" w:cs="Times New Roman"/>
      <w:sz w:val="24"/>
    </w:rPr>
  </w:style>
  <w:style w:type="paragraph" w:customStyle="1" w:styleId="HeaderSensitivity">
    <w:name w:val="Header Sensitivity"/>
    <w:basedOn w:val="Normal"/>
    <w:link w:val="HeaderSensitivityChar"/>
    <w:rsid w:val="0050450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0450A"/>
    <w:rPr>
      <w:rFonts w:ascii="Times New Roman" w:hAnsi="Times New Roman" w:cs="Times New Roman"/>
      <w:b/>
      <w:sz w:val="32"/>
    </w:rPr>
  </w:style>
  <w:style w:type="paragraph" w:customStyle="1" w:styleId="HeaderSensitivityRight">
    <w:name w:val="Header Sensitivity Right"/>
    <w:basedOn w:val="Normal"/>
    <w:link w:val="HeaderSensitivityRightChar"/>
    <w:rsid w:val="0050450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0450A"/>
    <w:rPr>
      <w:rFonts w:ascii="Times New Roman" w:hAnsi="Times New Roman" w:cs="Times New Roman"/>
      <w:sz w:val="28"/>
    </w:rPr>
  </w:style>
  <w:style w:type="table" w:styleId="PlainTable1">
    <w:name w:val="Plain Table 1"/>
    <w:basedOn w:val="TableNormal"/>
    <w:uiPriority w:val="41"/>
    <w:rsid w:val="008958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2">
    <w:name w:val="Table Grid12"/>
    <w:basedOn w:val="TableNormal"/>
    <w:next w:val="TableGrid"/>
    <w:uiPriority w:val="59"/>
    <w:rsid w:val="005654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rsid w:val="00321C4D"/>
    <w:pPr>
      <w:spacing w:line="240" w:lineRule="exact"/>
    </w:pPr>
    <w:rPr>
      <w:vertAlign w:val="superscript"/>
    </w:rPr>
  </w:style>
  <w:style w:type="paragraph" w:customStyle="1" w:styleId="GraphTitle">
    <w:name w:val="Graph Title"/>
    <w:basedOn w:val="Normal"/>
    <w:next w:val="Normal"/>
    <w:rsid w:val="00791635"/>
    <w:pPr>
      <w:keepNext/>
      <w:pBdr>
        <w:top w:val="single" w:sz="2" w:space="2" w:color="auto"/>
        <w:bottom w:val="single" w:sz="2" w:space="2" w:color="auto"/>
      </w:pBdr>
      <w:spacing w:after="60" w:line="240" w:lineRule="auto"/>
      <w:ind w:left="935" w:hanging="935"/>
    </w:pPr>
    <w:rPr>
      <w:rFonts w:ascii="Century Gothic" w:hAnsi="Century Gothic" w:cs="Times New Roman"/>
      <w:color w:val="333399"/>
      <w:sz w:val="14"/>
      <w:lang w:val="en-GB"/>
    </w:rPr>
  </w:style>
  <w:style w:type="paragraph" w:customStyle="1" w:styleId="GraphSource">
    <w:name w:val="Graph Source"/>
    <w:basedOn w:val="Normal"/>
    <w:rsid w:val="00791635"/>
    <w:pPr>
      <w:pBdr>
        <w:top w:val="single" w:sz="2" w:space="2" w:color="auto"/>
        <w:bottom w:val="single" w:sz="2" w:space="2" w:color="auto"/>
      </w:pBdr>
      <w:spacing w:after="0" w:line="240" w:lineRule="auto"/>
    </w:pPr>
    <w:rPr>
      <w:rFonts w:ascii="Century Gothic" w:hAnsi="Century Gothic" w:cs="Times New Roman"/>
      <w:color w:val="000000"/>
      <w:sz w:val="14"/>
      <w:lang w:val="en-GB"/>
    </w:rPr>
  </w:style>
  <w:style w:type="paragraph" w:customStyle="1" w:styleId="GraphShape">
    <w:name w:val="Graph Shape"/>
    <w:basedOn w:val="Normal"/>
    <w:next w:val="Normal"/>
    <w:rsid w:val="00791635"/>
    <w:pPr>
      <w:keepNext/>
      <w:spacing w:after="0" w:line="240" w:lineRule="auto"/>
      <w:jc w:val="center"/>
    </w:pPr>
    <w:rPr>
      <w:rFonts w:ascii="Times New Roman" w:hAnsi="Times New Roman" w:cs="Times New Roman"/>
      <w:color w:val="000000"/>
      <w:sz w:val="20"/>
      <w:lang w:val="en-GB"/>
    </w:rPr>
  </w:style>
  <w:style w:type="paragraph" w:styleId="NormalWeb">
    <w:name w:val="Normal (Web)"/>
    <w:basedOn w:val="Normal"/>
    <w:uiPriority w:val="99"/>
    <w:unhideWhenUsed/>
    <w:rsid w:val="009831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731EBF"/>
    <w:pPr>
      <w:numPr>
        <w:numId w:val="11"/>
      </w:numPr>
      <w:spacing w:after="240" w:line="240" w:lineRule="atLeast"/>
      <w:jc w:val="both"/>
    </w:pPr>
    <w:rPr>
      <w:rFonts w:ascii="EC Square Sans Pro" w:hAnsi="EC Square Sans Pro" w:cs="Times New Roman"/>
      <w:color w:val="000000"/>
      <w:lang w:val="en-GB"/>
    </w:rPr>
  </w:style>
  <w:style w:type="paragraph" w:customStyle="1" w:styleId="SUPERSChar">
    <w:name w:val="SUPERS Char"/>
    <w:aliases w:val="EN Footnote Reference Char"/>
    <w:basedOn w:val="Normal"/>
    <w:rsid w:val="00FE5303"/>
    <w:pPr>
      <w:widowControl w:val="0"/>
      <w:adjustRightInd w:val="0"/>
      <w:spacing w:line="240" w:lineRule="exact"/>
      <w:jc w:val="both"/>
    </w:pPr>
    <w:rPr>
      <w:vertAlign w:val="superscript"/>
      <w:lang w:val="en-GB"/>
    </w:rPr>
  </w:style>
  <w:style w:type="table" w:customStyle="1" w:styleId="TableGrid11">
    <w:name w:val="Table Grid11"/>
    <w:basedOn w:val="TableNormal"/>
    <w:next w:val="TableGrid"/>
    <w:uiPriority w:val="59"/>
    <w:rsid w:val="003A21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C002C"/>
    <w:rPr>
      <w:b/>
      <w:bC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rsid w:val="006C002C"/>
    <w:pPr>
      <w:spacing w:line="240" w:lineRule="exact"/>
    </w:pPr>
    <w:rPr>
      <w:vertAlign w:val="superscript"/>
      <w:lang w:val="en-GB"/>
    </w:rPr>
  </w:style>
  <w:style w:type="character" w:customStyle="1" w:styleId="hgkelc">
    <w:name w:val="hgkelc"/>
    <w:basedOn w:val="DefaultParagraphFont"/>
    <w:rsid w:val="00D406D0"/>
  </w:style>
  <w:style w:type="character" w:customStyle="1" w:styleId="Mention">
    <w:name w:val="Mention"/>
    <w:basedOn w:val="DefaultParagraphFont"/>
    <w:uiPriority w:val="99"/>
    <w:unhideWhenUsed/>
    <w:rPr>
      <w:color w:val="2B579A"/>
      <w:shd w:val="clear" w:color="auto" w:fill="E6E6E6"/>
    </w:rPr>
  </w:style>
  <w:style w:type="character" w:customStyle="1" w:styleId="Mention1">
    <w:name w:val="Mention1"/>
    <w:basedOn w:val="DefaultParagraphFont"/>
    <w:uiPriority w:val="99"/>
    <w:unhideWhenUsed/>
    <w:rsid w:val="0049442D"/>
    <w:rPr>
      <w:color w:val="2B579A"/>
      <w:shd w:val="clear" w:color="auto" w:fill="E6E6E6"/>
    </w:rPr>
  </w:style>
  <w:style w:type="character" w:customStyle="1" w:styleId="ListParagraphChar">
    <w:name w:val="List Paragraph Char"/>
    <w:aliases w:val="Bullet 3 Char,ПАРАГРАФ Char,Bullet line Char,Style 1 Char,C 1 Char,Гл точки Char,Normal List Char,Endnote Char,Indent Char,Списък на абзаци Char"/>
    <w:basedOn w:val="DefaultParagraphFont"/>
    <w:link w:val="ListParagraph"/>
    <w:uiPriority w:val="34"/>
    <w:locked/>
    <w:rsid w:val="000F7947"/>
  </w:style>
  <w:style w:type="character" w:customStyle="1" w:styleId="jlqj4b1">
    <w:name w:val="jlqj4b1"/>
    <w:basedOn w:val="DefaultParagraphFont"/>
    <w:rsid w:val="000F7947"/>
  </w:style>
</w:styles>
</file>

<file path=word/tasks.xml><?xml version="1.0" encoding="utf-8"?>
<t:Tasks xmlns:t="http://schemas.microsoft.com/office/tasks/2019/documenttasks" xmlns:oel="http://schemas.microsoft.com/office/2019/extlst">
  <t:Task id="{07420AF7-4936-4B3E-A6DE-3051274DAA6E}">
    <t:Anchor>
      <t:Comment id="2084193001"/>
    </t:Anchor>
    <t:History>
      <t:Event id="{AAB96B03-6287-4506-87D3-981B20A57DDE}" time="2022-04-03T14:52:09.848Z">
        <t:Attribution userId="S::lara.vivian1@ec.europa.eu::20dfd46f-e144-4b1e-8b1c-55f201e5b977" userProvider="AD" userName="VIVIAN Lara (ECFIN)"/>
        <t:Anchor>
          <t:Comment id="2084193001"/>
        </t:Anchor>
        <t:Create/>
      </t:Event>
      <t:Event id="{1E070FD0-2783-4351-A710-B2C6A228864C}" time="2022-04-03T14:52:09.848Z">
        <t:Attribution userId="S::lara.vivian1@ec.europa.eu::20dfd46f-e144-4b1e-8b1c-55f201e5b977" userProvider="AD" userName="VIVIAN Lara (ECFIN)"/>
        <t:Anchor>
          <t:Comment id="2084193001"/>
        </t:Anchor>
        <t:Assign userId="S::Maja.SAMANOVIC@ec.europa.eu::bf371d25-2845-4a21-bcad-1ae557a15c28" userProvider="AD" userName="SAMANOVIC Maja (ECFIN)"/>
      </t:Event>
      <t:Event id="{B6136C72-FC72-4A6E-B3BF-3BBCE7CCA2B0}" time="2022-04-03T14:52:09.848Z">
        <t:Attribution userId="S::lara.vivian1@ec.europa.eu::20dfd46f-e144-4b1e-8b1c-55f201e5b977" userProvider="AD" userName="VIVIAN Lara (ECFIN)"/>
        <t:Anchor>
          <t:Comment id="2084193001"/>
        </t:Anchor>
        <t:SetTitle title="@SAMANOVIC Maja (ECFIN) this is the first element mentioned in the para, if not clear or comprehensive enough please feel free to amend there, Thank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41">
      <w:bodyDiv w:val="1"/>
      <w:marLeft w:val="0"/>
      <w:marRight w:val="0"/>
      <w:marTop w:val="0"/>
      <w:marBottom w:val="0"/>
      <w:divBdr>
        <w:top w:val="none" w:sz="0" w:space="0" w:color="auto"/>
        <w:left w:val="none" w:sz="0" w:space="0" w:color="auto"/>
        <w:bottom w:val="none" w:sz="0" w:space="0" w:color="auto"/>
        <w:right w:val="none" w:sz="0" w:space="0" w:color="auto"/>
      </w:divBdr>
      <w:divsChild>
        <w:div w:id="85156790">
          <w:marLeft w:val="0"/>
          <w:marRight w:val="0"/>
          <w:marTop w:val="0"/>
          <w:marBottom w:val="0"/>
          <w:divBdr>
            <w:top w:val="none" w:sz="0" w:space="0" w:color="auto"/>
            <w:left w:val="none" w:sz="0" w:space="0" w:color="auto"/>
            <w:bottom w:val="none" w:sz="0" w:space="0" w:color="auto"/>
            <w:right w:val="none" w:sz="0" w:space="0" w:color="auto"/>
          </w:divBdr>
        </w:div>
        <w:div w:id="1896889864">
          <w:marLeft w:val="0"/>
          <w:marRight w:val="0"/>
          <w:marTop w:val="0"/>
          <w:marBottom w:val="0"/>
          <w:divBdr>
            <w:top w:val="none" w:sz="0" w:space="0" w:color="auto"/>
            <w:left w:val="none" w:sz="0" w:space="0" w:color="auto"/>
            <w:bottom w:val="none" w:sz="0" w:space="0" w:color="auto"/>
            <w:right w:val="none" w:sz="0" w:space="0" w:color="auto"/>
          </w:divBdr>
        </w:div>
        <w:div w:id="1120611434">
          <w:marLeft w:val="0"/>
          <w:marRight w:val="0"/>
          <w:marTop w:val="0"/>
          <w:marBottom w:val="0"/>
          <w:divBdr>
            <w:top w:val="none" w:sz="0" w:space="0" w:color="auto"/>
            <w:left w:val="none" w:sz="0" w:space="0" w:color="auto"/>
            <w:bottom w:val="none" w:sz="0" w:space="0" w:color="auto"/>
            <w:right w:val="none" w:sz="0" w:space="0" w:color="auto"/>
          </w:divBdr>
        </w:div>
      </w:divsChild>
    </w:div>
    <w:div w:id="99764495">
      <w:bodyDiv w:val="1"/>
      <w:marLeft w:val="0"/>
      <w:marRight w:val="0"/>
      <w:marTop w:val="0"/>
      <w:marBottom w:val="0"/>
      <w:divBdr>
        <w:top w:val="none" w:sz="0" w:space="0" w:color="auto"/>
        <w:left w:val="none" w:sz="0" w:space="0" w:color="auto"/>
        <w:bottom w:val="none" w:sz="0" w:space="0" w:color="auto"/>
        <w:right w:val="none" w:sz="0" w:space="0" w:color="auto"/>
      </w:divBdr>
      <w:divsChild>
        <w:div w:id="612712281">
          <w:marLeft w:val="0"/>
          <w:marRight w:val="0"/>
          <w:marTop w:val="0"/>
          <w:marBottom w:val="0"/>
          <w:divBdr>
            <w:top w:val="none" w:sz="0" w:space="0" w:color="auto"/>
            <w:left w:val="none" w:sz="0" w:space="0" w:color="auto"/>
            <w:bottom w:val="none" w:sz="0" w:space="0" w:color="auto"/>
            <w:right w:val="none" w:sz="0" w:space="0" w:color="auto"/>
          </w:divBdr>
        </w:div>
        <w:div w:id="1404375096">
          <w:marLeft w:val="0"/>
          <w:marRight w:val="0"/>
          <w:marTop w:val="0"/>
          <w:marBottom w:val="0"/>
          <w:divBdr>
            <w:top w:val="none" w:sz="0" w:space="0" w:color="auto"/>
            <w:left w:val="none" w:sz="0" w:space="0" w:color="auto"/>
            <w:bottom w:val="none" w:sz="0" w:space="0" w:color="auto"/>
            <w:right w:val="none" w:sz="0" w:space="0" w:color="auto"/>
          </w:divBdr>
        </w:div>
        <w:div w:id="1169062323">
          <w:marLeft w:val="0"/>
          <w:marRight w:val="0"/>
          <w:marTop w:val="0"/>
          <w:marBottom w:val="0"/>
          <w:divBdr>
            <w:top w:val="none" w:sz="0" w:space="0" w:color="auto"/>
            <w:left w:val="none" w:sz="0" w:space="0" w:color="auto"/>
            <w:bottom w:val="none" w:sz="0" w:space="0" w:color="auto"/>
            <w:right w:val="none" w:sz="0" w:space="0" w:color="auto"/>
          </w:divBdr>
        </w:div>
      </w:divsChild>
    </w:div>
    <w:div w:id="101271877">
      <w:bodyDiv w:val="1"/>
      <w:marLeft w:val="0"/>
      <w:marRight w:val="0"/>
      <w:marTop w:val="0"/>
      <w:marBottom w:val="0"/>
      <w:divBdr>
        <w:top w:val="none" w:sz="0" w:space="0" w:color="auto"/>
        <w:left w:val="none" w:sz="0" w:space="0" w:color="auto"/>
        <w:bottom w:val="none" w:sz="0" w:space="0" w:color="auto"/>
        <w:right w:val="none" w:sz="0" w:space="0" w:color="auto"/>
      </w:divBdr>
    </w:div>
    <w:div w:id="122159495">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
    <w:div w:id="256791427">
      <w:bodyDiv w:val="1"/>
      <w:marLeft w:val="0"/>
      <w:marRight w:val="0"/>
      <w:marTop w:val="0"/>
      <w:marBottom w:val="0"/>
      <w:divBdr>
        <w:top w:val="none" w:sz="0" w:space="0" w:color="auto"/>
        <w:left w:val="none" w:sz="0" w:space="0" w:color="auto"/>
        <w:bottom w:val="none" w:sz="0" w:space="0" w:color="auto"/>
        <w:right w:val="none" w:sz="0" w:space="0" w:color="auto"/>
      </w:divBdr>
    </w:div>
    <w:div w:id="284578802">
      <w:bodyDiv w:val="1"/>
      <w:marLeft w:val="0"/>
      <w:marRight w:val="0"/>
      <w:marTop w:val="0"/>
      <w:marBottom w:val="0"/>
      <w:divBdr>
        <w:top w:val="none" w:sz="0" w:space="0" w:color="auto"/>
        <w:left w:val="none" w:sz="0" w:space="0" w:color="auto"/>
        <w:bottom w:val="none" w:sz="0" w:space="0" w:color="auto"/>
        <w:right w:val="none" w:sz="0" w:space="0" w:color="auto"/>
      </w:divBdr>
      <w:divsChild>
        <w:div w:id="701321543">
          <w:marLeft w:val="0"/>
          <w:marRight w:val="0"/>
          <w:marTop w:val="0"/>
          <w:marBottom w:val="0"/>
          <w:divBdr>
            <w:top w:val="none" w:sz="0" w:space="0" w:color="auto"/>
            <w:left w:val="none" w:sz="0" w:space="0" w:color="auto"/>
            <w:bottom w:val="none" w:sz="0" w:space="0" w:color="auto"/>
            <w:right w:val="none" w:sz="0" w:space="0" w:color="auto"/>
          </w:divBdr>
        </w:div>
        <w:div w:id="885945352">
          <w:marLeft w:val="0"/>
          <w:marRight w:val="0"/>
          <w:marTop w:val="0"/>
          <w:marBottom w:val="0"/>
          <w:divBdr>
            <w:top w:val="none" w:sz="0" w:space="0" w:color="auto"/>
            <w:left w:val="none" w:sz="0" w:space="0" w:color="auto"/>
            <w:bottom w:val="none" w:sz="0" w:space="0" w:color="auto"/>
            <w:right w:val="none" w:sz="0" w:space="0" w:color="auto"/>
          </w:divBdr>
        </w:div>
      </w:divsChild>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397367109">
      <w:bodyDiv w:val="1"/>
      <w:marLeft w:val="0"/>
      <w:marRight w:val="0"/>
      <w:marTop w:val="0"/>
      <w:marBottom w:val="0"/>
      <w:divBdr>
        <w:top w:val="none" w:sz="0" w:space="0" w:color="auto"/>
        <w:left w:val="none" w:sz="0" w:space="0" w:color="auto"/>
        <w:bottom w:val="none" w:sz="0" w:space="0" w:color="auto"/>
        <w:right w:val="none" w:sz="0" w:space="0" w:color="auto"/>
      </w:divBdr>
    </w:div>
    <w:div w:id="401022945">
      <w:bodyDiv w:val="1"/>
      <w:marLeft w:val="0"/>
      <w:marRight w:val="0"/>
      <w:marTop w:val="0"/>
      <w:marBottom w:val="0"/>
      <w:divBdr>
        <w:top w:val="none" w:sz="0" w:space="0" w:color="auto"/>
        <w:left w:val="none" w:sz="0" w:space="0" w:color="auto"/>
        <w:bottom w:val="none" w:sz="0" w:space="0" w:color="auto"/>
        <w:right w:val="none" w:sz="0" w:space="0" w:color="auto"/>
      </w:divBdr>
      <w:divsChild>
        <w:div w:id="773134325">
          <w:marLeft w:val="0"/>
          <w:marRight w:val="30"/>
          <w:marTop w:val="0"/>
          <w:marBottom w:val="0"/>
          <w:divBdr>
            <w:top w:val="none" w:sz="0" w:space="0" w:color="auto"/>
            <w:left w:val="none" w:sz="0" w:space="0" w:color="auto"/>
            <w:bottom w:val="none" w:sz="0" w:space="0" w:color="auto"/>
            <w:right w:val="none" w:sz="0" w:space="0" w:color="auto"/>
          </w:divBdr>
          <w:divsChild>
            <w:div w:id="1293630269">
              <w:marLeft w:val="0"/>
              <w:marRight w:val="0"/>
              <w:marTop w:val="0"/>
              <w:marBottom w:val="0"/>
              <w:divBdr>
                <w:top w:val="none" w:sz="0" w:space="0" w:color="auto"/>
                <w:left w:val="none" w:sz="0" w:space="0" w:color="auto"/>
                <w:bottom w:val="none" w:sz="0" w:space="0" w:color="auto"/>
                <w:right w:val="none" w:sz="0" w:space="0" w:color="auto"/>
              </w:divBdr>
              <w:divsChild>
                <w:div w:id="55904118">
                  <w:marLeft w:val="0"/>
                  <w:marRight w:val="0"/>
                  <w:marTop w:val="0"/>
                  <w:marBottom w:val="0"/>
                  <w:divBdr>
                    <w:top w:val="none" w:sz="0" w:space="0" w:color="auto"/>
                    <w:left w:val="none" w:sz="0" w:space="0" w:color="auto"/>
                    <w:bottom w:val="none" w:sz="0" w:space="0" w:color="auto"/>
                    <w:right w:val="none" w:sz="0" w:space="0" w:color="auto"/>
                  </w:divBdr>
                  <w:divsChild>
                    <w:div w:id="5589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77349">
      <w:bodyDiv w:val="1"/>
      <w:marLeft w:val="0"/>
      <w:marRight w:val="0"/>
      <w:marTop w:val="0"/>
      <w:marBottom w:val="0"/>
      <w:divBdr>
        <w:top w:val="none" w:sz="0" w:space="0" w:color="auto"/>
        <w:left w:val="none" w:sz="0" w:space="0" w:color="auto"/>
        <w:bottom w:val="none" w:sz="0" w:space="0" w:color="auto"/>
        <w:right w:val="none" w:sz="0" w:space="0" w:color="auto"/>
      </w:divBdr>
      <w:divsChild>
        <w:div w:id="2020228059">
          <w:marLeft w:val="0"/>
          <w:marRight w:val="0"/>
          <w:marTop w:val="0"/>
          <w:marBottom w:val="0"/>
          <w:divBdr>
            <w:top w:val="none" w:sz="0" w:space="0" w:color="auto"/>
            <w:left w:val="none" w:sz="0" w:space="0" w:color="auto"/>
            <w:bottom w:val="none" w:sz="0" w:space="0" w:color="auto"/>
            <w:right w:val="none" w:sz="0" w:space="0" w:color="auto"/>
          </w:divBdr>
        </w:div>
        <w:div w:id="1237132034">
          <w:marLeft w:val="0"/>
          <w:marRight w:val="0"/>
          <w:marTop w:val="0"/>
          <w:marBottom w:val="0"/>
          <w:divBdr>
            <w:top w:val="none" w:sz="0" w:space="0" w:color="auto"/>
            <w:left w:val="none" w:sz="0" w:space="0" w:color="auto"/>
            <w:bottom w:val="none" w:sz="0" w:space="0" w:color="auto"/>
            <w:right w:val="none" w:sz="0" w:space="0" w:color="auto"/>
          </w:divBdr>
        </w:div>
      </w:divsChild>
    </w:div>
    <w:div w:id="478420811">
      <w:bodyDiv w:val="1"/>
      <w:marLeft w:val="0"/>
      <w:marRight w:val="0"/>
      <w:marTop w:val="0"/>
      <w:marBottom w:val="0"/>
      <w:divBdr>
        <w:top w:val="none" w:sz="0" w:space="0" w:color="auto"/>
        <w:left w:val="none" w:sz="0" w:space="0" w:color="auto"/>
        <w:bottom w:val="none" w:sz="0" w:space="0" w:color="auto"/>
        <w:right w:val="none" w:sz="0" w:space="0" w:color="auto"/>
      </w:divBdr>
    </w:div>
    <w:div w:id="554774325">
      <w:bodyDiv w:val="1"/>
      <w:marLeft w:val="0"/>
      <w:marRight w:val="0"/>
      <w:marTop w:val="0"/>
      <w:marBottom w:val="0"/>
      <w:divBdr>
        <w:top w:val="none" w:sz="0" w:space="0" w:color="auto"/>
        <w:left w:val="none" w:sz="0" w:space="0" w:color="auto"/>
        <w:bottom w:val="none" w:sz="0" w:space="0" w:color="auto"/>
        <w:right w:val="none" w:sz="0" w:space="0" w:color="auto"/>
      </w:divBdr>
    </w:div>
    <w:div w:id="576523097">
      <w:bodyDiv w:val="1"/>
      <w:marLeft w:val="0"/>
      <w:marRight w:val="0"/>
      <w:marTop w:val="0"/>
      <w:marBottom w:val="0"/>
      <w:divBdr>
        <w:top w:val="none" w:sz="0" w:space="0" w:color="auto"/>
        <w:left w:val="none" w:sz="0" w:space="0" w:color="auto"/>
        <w:bottom w:val="none" w:sz="0" w:space="0" w:color="auto"/>
        <w:right w:val="none" w:sz="0" w:space="0" w:color="auto"/>
      </w:divBdr>
      <w:divsChild>
        <w:div w:id="608582279">
          <w:marLeft w:val="0"/>
          <w:marRight w:val="0"/>
          <w:marTop w:val="0"/>
          <w:marBottom w:val="0"/>
          <w:divBdr>
            <w:top w:val="none" w:sz="0" w:space="0" w:color="auto"/>
            <w:left w:val="none" w:sz="0" w:space="0" w:color="auto"/>
            <w:bottom w:val="none" w:sz="0" w:space="0" w:color="auto"/>
            <w:right w:val="none" w:sz="0" w:space="0" w:color="auto"/>
          </w:divBdr>
        </w:div>
        <w:div w:id="1952008808">
          <w:marLeft w:val="0"/>
          <w:marRight w:val="0"/>
          <w:marTop w:val="0"/>
          <w:marBottom w:val="0"/>
          <w:divBdr>
            <w:top w:val="none" w:sz="0" w:space="0" w:color="auto"/>
            <w:left w:val="none" w:sz="0" w:space="0" w:color="auto"/>
            <w:bottom w:val="none" w:sz="0" w:space="0" w:color="auto"/>
            <w:right w:val="none" w:sz="0" w:space="0" w:color="auto"/>
          </w:divBdr>
        </w:div>
      </w:divsChild>
    </w:div>
    <w:div w:id="591352054">
      <w:bodyDiv w:val="1"/>
      <w:marLeft w:val="0"/>
      <w:marRight w:val="0"/>
      <w:marTop w:val="0"/>
      <w:marBottom w:val="0"/>
      <w:divBdr>
        <w:top w:val="none" w:sz="0" w:space="0" w:color="auto"/>
        <w:left w:val="none" w:sz="0" w:space="0" w:color="auto"/>
        <w:bottom w:val="none" w:sz="0" w:space="0" w:color="auto"/>
        <w:right w:val="none" w:sz="0" w:space="0" w:color="auto"/>
      </w:divBdr>
    </w:div>
    <w:div w:id="614292782">
      <w:bodyDiv w:val="1"/>
      <w:marLeft w:val="0"/>
      <w:marRight w:val="0"/>
      <w:marTop w:val="0"/>
      <w:marBottom w:val="0"/>
      <w:divBdr>
        <w:top w:val="none" w:sz="0" w:space="0" w:color="auto"/>
        <w:left w:val="none" w:sz="0" w:space="0" w:color="auto"/>
        <w:bottom w:val="none" w:sz="0" w:space="0" w:color="auto"/>
        <w:right w:val="none" w:sz="0" w:space="0" w:color="auto"/>
      </w:divBdr>
    </w:div>
    <w:div w:id="636761108">
      <w:bodyDiv w:val="1"/>
      <w:marLeft w:val="0"/>
      <w:marRight w:val="0"/>
      <w:marTop w:val="0"/>
      <w:marBottom w:val="0"/>
      <w:divBdr>
        <w:top w:val="none" w:sz="0" w:space="0" w:color="auto"/>
        <w:left w:val="none" w:sz="0" w:space="0" w:color="auto"/>
        <w:bottom w:val="none" w:sz="0" w:space="0" w:color="auto"/>
        <w:right w:val="none" w:sz="0" w:space="0" w:color="auto"/>
      </w:divBdr>
    </w:div>
    <w:div w:id="641035036">
      <w:bodyDiv w:val="1"/>
      <w:marLeft w:val="0"/>
      <w:marRight w:val="0"/>
      <w:marTop w:val="0"/>
      <w:marBottom w:val="0"/>
      <w:divBdr>
        <w:top w:val="none" w:sz="0" w:space="0" w:color="auto"/>
        <w:left w:val="none" w:sz="0" w:space="0" w:color="auto"/>
        <w:bottom w:val="none" w:sz="0" w:space="0" w:color="auto"/>
        <w:right w:val="none" w:sz="0" w:space="0" w:color="auto"/>
      </w:divBdr>
    </w:div>
    <w:div w:id="721714491">
      <w:bodyDiv w:val="1"/>
      <w:marLeft w:val="0"/>
      <w:marRight w:val="0"/>
      <w:marTop w:val="0"/>
      <w:marBottom w:val="0"/>
      <w:divBdr>
        <w:top w:val="none" w:sz="0" w:space="0" w:color="auto"/>
        <w:left w:val="none" w:sz="0" w:space="0" w:color="auto"/>
        <w:bottom w:val="none" w:sz="0" w:space="0" w:color="auto"/>
        <w:right w:val="none" w:sz="0" w:space="0" w:color="auto"/>
      </w:divBdr>
    </w:div>
    <w:div w:id="741292978">
      <w:bodyDiv w:val="1"/>
      <w:marLeft w:val="0"/>
      <w:marRight w:val="0"/>
      <w:marTop w:val="0"/>
      <w:marBottom w:val="0"/>
      <w:divBdr>
        <w:top w:val="none" w:sz="0" w:space="0" w:color="auto"/>
        <w:left w:val="none" w:sz="0" w:space="0" w:color="auto"/>
        <w:bottom w:val="none" w:sz="0" w:space="0" w:color="auto"/>
        <w:right w:val="none" w:sz="0" w:space="0" w:color="auto"/>
      </w:divBdr>
    </w:div>
    <w:div w:id="743526159">
      <w:bodyDiv w:val="1"/>
      <w:marLeft w:val="0"/>
      <w:marRight w:val="0"/>
      <w:marTop w:val="0"/>
      <w:marBottom w:val="0"/>
      <w:divBdr>
        <w:top w:val="none" w:sz="0" w:space="0" w:color="auto"/>
        <w:left w:val="none" w:sz="0" w:space="0" w:color="auto"/>
        <w:bottom w:val="none" w:sz="0" w:space="0" w:color="auto"/>
        <w:right w:val="none" w:sz="0" w:space="0" w:color="auto"/>
      </w:divBdr>
    </w:div>
    <w:div w:id="800801852">
      <w:bodyDiv w:val="1"/>
      <w:marLeft w:val="0"/>
      <w:marRight w:val="0"/>
      <w:marTop w:val="0"/>
      <w:marBottom w:val="0"/>
      <w:divBdr>
        <w:top w:val="none" w:sz="0" w:space="0" w:color="auto"/>
        <w:left w:val="none" w:sz="0" w:space="0" w:color="auto"/>
        <w:bottom w:val="none" w:sz="0" w:space="0" w:color="auto"/>
        <w:right w:val="none" w:sz="0" w:space="0" w:color="auto"/>
      </w:divBdr>
      <w:divsChild>
        <w:div w:id="1260019147">
          <w:marLeft w:val="0"/>
          <w:marRight w:val="0"/>
          <w:marTop w:val="0"/>
          <w:marBottom w:val="0"/>
          <w:divBdr>
            <w:top w:val="none" w:sz="0" w:space="0" w:color="auto"/>
            <w:left w:val="none" w:sz="0" w:space="0" w:color="auto"/>
            <w:bottom w:val="none" w:sz="0" w:space="0" w:color="auto"/>
            <w:right w:val="none" w:sz="0" w:space="0" w:color="auto"/>
          </w:divBdr>
        </w:div>
        <w:div w:id="1426221004">
          <w:marLeft w:val="0"/>
          <w:marRight w:val="0"/>
          <w:marTop w:val="0"/>
          <w:marBottom w:val="0"/>
          <w:divBdr>
            <w:top w:val="none" w:sz="0" w:space="0" w:color="auto"/>
            <w:left w:val="none" w:sz="0" w:space="0" w:color="auto"/>
            <w:bottom w:val="none" w:sz="0" w:space="0" w:color="auto"/>
            <w:right w:val="none" w:sz="0" w:space="0" w:color="auto"/>
          </w:divBdr>
        </w:div>
      </w:divsChild>
    </w:div>
    <w:div w:id="838543882">
      <w:bodyDiv w:val="1"/>
      <w:marLeft w:val="0"/>
      <w:marRight w:val="0"/>
      <w:marTop w:val="0"/>
      <w:marBottom w:val="0"/>
      <w:divBdr>
        <w:top w:val="none" w:sz="0" w:space="0" w:color="auto"/>
        <w:left w:val="none" w:sz="0" w:space="0" w:color="auto"/>
        <w:bottom w:val="none" w:sz="0" w:space="0" w:color="auto"/>
        <w:right w:val="none" w:sz="0" w:space="0" w:color="auto"/>
      </w:divBdr>
    </w:div>
    <w:div w:id="859465164">
      <w:bodyDiv w:val="1"/>
      <w:marLeft w:val="0"/>
      <w:marRight w:val="0"/>
      <w:marTop w:val="0"/>
      <w:marBottom w:val="0"/>
      <w:divBdr>
        <w:top w:val="none" w:sz="0" w:space="0" w:color="auto"/>
        <w:left w:val="none" w:sz="0" w:space="0" w:color="auto"/>
        <w:bottom w:val="none" w:sz="0" w:space="0" w:color="auto"/>
        <w:right w:val="none" w:sz="0" w:space="0" w:color="auto"/>
      </w:divBdr>
      <w:divsChild>
        <w:div w:id="601576428">
          <w:marLeft w:val="0"/>
          <w:marRight w:val="0"/>
          <w:marTop w:val="0"/>
          <w:marBottom w:val="0"/>
          <w:divBdr>
            <w:top w:val="none" w:sz="0" w:space="0" w:color="auto"/>
            <w:left w:val="none" w:sz="0" w:space="0" w:color="auto"/>
            <w:bottom w:val="none" w:sz="0" w:space="0" w:color="auto"/>
            <w:right w:val="none" w:sz="0" w:space="0" w:color="auto"/>
          </w:divBdr>
        </w:div>
        <w:div w:id="316501228">
          <w:marLeft w:val="0"/>
          <w:marRight w:val="0"/>
          <w:marTop w:val="0"/>
          <w:marBottom w:val="0"/>
          <w:divBdr>
            <w:top w:val="none" w:sz="0" w:space="0" w:color="auto"/>
            <w:left w:val="none" w:sz="0" w:space="0" w:color="auto"/>
            <w:bottom w:val="none" w:sz="0" w:space="0" w:color="auto"/>
            <w:right w:val="none" w:sz="0" w:space="0" w:color="auto"/>
          </w:divBdr>
        </w:div>
      </w:divsChild>
    </w:div>
    <w:div w:id="864178222">
      <w:bodyDiv w:val="1"/>
      <w:marLeft w:val="0"/>
      <w:marRight w:val="0"/>
      <w:marTop w:val="0"/>
      <w:marBottom w:val="0"/>
      <w:divBdr>
        <w:top w:val="none" w:sz="0" w:space="0" w:color="auto"/>
        <w:left w:val="none" w:sz="0" w:space="0" w:color="auto"/>
        <w:bottom w:val="none" w:sz="0" w:space="0" w:color="auto"/>
        <w:right w:val="none" w:sz="0" w:space="0" w:color="auto"/>
      </w:divBdr>
    </w:div>
    <w:div w:id="883904144">
      <w:bodyDiv w:val="1"/>
      <w:marLeft w:val="0"/>
      <w:marRight w:val="0"/>
      <w:marTop w:val="0"/>
      <w:marBottom w:val="0"/>
      <w:divBdr>
        <w:top w:val="none" w:sz="0" w:space="0" w:color="auto"/>
        <w:left w:val="none" w:sz="0" w:space="0" w:color="auto"/>
        <w:bottom w:val="none" w:sz="0" w:space="0" w:color="auto"/>
        <w:right w:val="none" w:sz="0" w:space="0" w:color="auto"/>
      </w:divBdr>
    </w:div>
    <w:div w:id="935867344">
      <w:bodyDiv w:val="1"/>
      <w:marLeft w:val="0"/>
      <w:marRight w:val="0"/>
      <w:marTop w:val="0"/>
      <w:marBottom w:val="0"/>
      <w:divBdr>
        <w:top w:val="none" w:sz="0" w:space="0" w:color="auto"/>
        <w:left w:val="none" w:sz="0" w:space="0" w:color="auto"/>
        <w:bottom w:val="none" w:sz="0" w:space="0" w:color="auto"/>
        <w:right w:val="none" w:sz="0" w:space="0" w:color="auto"/>
      </w:divBdr>
    </w:div>
    <w:div w:id="948395496">
      <w:bodyDiv w:val="1"/>
      <w:marLeft w:val="0"/>
      <w:marRight w:val="0"/>
      <w:marTop w:val="0"/>
      <w:marBottom w:val="0"/>
      <w:divBdr>
        <w:top w:val="none" w:sz="0" w:space="0" w:color="auto"/>
        <w:left w:val="none" w:sz="0" w:space="0" w:color="auto"/>
        <w:bottom w:val="none" w:sz="0" w:space="0" w:color="auto"/>
        <w:right w:val="none" w:sz="0" w:space="0" w:color="auto"/>
      </w:divBdr>
    </w:div>
    <w:div w:id="949778014">
      <w:bodyDiv w:val="1"/>
      <w:marLeft w:val="0"/>
      <w:marRight w:val="0"/>
      <w:marTop w:val="0"/>
      <w:marBottom w:val="0"/>
      <w:divBdr>
        <w:top w:val="none" w:sz="0" w:space="0" w:color="auto"/>
        <w:left w:val="none" w:sz="0" w:space="0" w:color="auto"/>
        <w:bottom w:val="none" w:sz="0" w:space="0" w:color="auto"/>
        <w:right w:val="none" w:sz="0" w:space="0" w:color="auto"/>
      </w:divBdr>
    </w:div>
    <w:div w:id="981497837">
      <w:bodyDiv w:val="1"/>
      <w:marLeft w:val="0"/>
      <w:marRight w:val="0"/>
      <w:marTop w:val="0"/>
      <w:marBottom w:val="0"/>
      <w:divBdr>
        <w:top w:val="none" w:sz="0" w:space="0" w:color="auto"/>
        <w:left w:val="none" w:sz="0" w:space="0" w:color="auto"/>
        <w:bottom w:val="none" w:sz="0" w:space="0" w:color="auto"/>
        <w:right w:val="none" w:sz="0" w:space="0" w:color="auto"/>
      </w:divBdr>
    </w:div>
    <w:div w:id="1089616536">
      <w:bodyDiv w:val="1"/>
      <w:marLeft w:val="0"/>
      <w:marRight w:val="0"/>
      <w:marTop w:val="0"/>
      <w:marBottom w:val="0"/>
      <w:divBdr>
        <w:top w:val="none" w:sz="0" w:space="0" w:color="auto"/>
        <w:left w:val="none" w:sz="0" w:space="0" w:color="auto"/>
        <w:bottom w:val="none" w:sz="0" w:space="0" w:color="auto"/>
        <w:right w:val="none" w:sz="0" w:space="0" w:color="auto"/>
      </w:divBdr>
      <w:divsChild>
        <w:div w:id="1508901605">
          <w:marLeft w:val="0"/>
          <w:marRight w:val="0"/>
          <w:marTop w:val="0"/>
          <w:marBottom w:val="0"/>
          <w:divBdr>
            <w:top w:val="none" w:sz="0" w:space="0" w:color="auto"/>
            <w:left w:val="none" w:sz="0" w:space="0" w:color="auto"/>
            <w:bottom w:val="none" w:sz="0" w:space="0" w:color="auto"/>
            <w:right w:val="none" w:sz="0" w:space="0" w:color="auto"/>
          </w:divBdr>
          <w:divsChild>
            <w:div w:id="927151643">
              <w:marLeft w:val="210"/>
              <w:marRight w:val="0"/>
              <w:marTop w:val="120"/>
              <w:marBottom w:val="0"/>
              <w:divBdr>
                <w:top w:val="none" w:sz="0" w:space="0" w:color="auto"/>
                <w:left w:val="none" w:sz="0" w:space="0" w:color="auto"/>
                <w:bottom w:val="none" w:sz="0" w:space="0" w:color="auto"/>
                <w:right w:val="none" w:sz="0" w:space="0" w:color="auto"/>
              </w:divBdr>
              <w:divsChild>
                <w:div w:id="1847285751">
                  <w:marLeft w:val="0"/>
                  <w:marRight w:val="0"/>
                  <w:marTop w:val="0"/>
                  <w:marBottom w:val="0"/>
                  <w:divBdr>
                    <w:top w:val="none" w:sz="0" w:space="0" w:color="auto"/>
                    <w:left w:val="none" w:sz="0" w:space="0" w:color="auto"/>
                    <w:bottom w:val="none" w:sz="0" w:space="0" w:color="auto"/>
                    <w:right w:val="none" w:sz="0" w:space="0" w:color="auto"/>
                  </w:divBdr>
                  <w:divsChild>
                    <w:div w:id="29433967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939414219">
              <w:marLeft w:val="0"/>
              <w:marRight w:val="0"/>
              <w:marTop w:val="0"/>
              <w:marBottom w:val="0"/>
              <w:divBdr>
                <w:top w:val="none" w:sz="0" w:space="0" w:color="auto"/>
                <w:left w:val="none" w:sz="0" w:space="0" w:color="auto"/>
                <w:bottom w:val="none" w:sz="0" w:space="0" w:color="auto"/>
                <w:right w:val="none" w:sz="0" w:space="0" w:color="auto"/>
              </w:divBdr>
              <w:divsChild>
                <w:div w:id="638847365">
                  <w:marLeft w:val="75"/>
                  <w:marRight w:val="0"/>
                  <w:marTop w:val="0"/>
                  <w:marBottom w:val="0"/>
                  <w:divBdr>
                    <w:top w:val="none" w:sz="0" w:space="0" w:color="auto"/>
                    <w:left w:val="none" w:sz="0" w:space="0" w:color="auto"/>
                    <w:bottom w:val="none" w:sz="0" w:space="0" w:color="auto"/>
                    <w:right w:val="none" w:sz="0" w:space="0" w:color="auto"/>
                  </w:divBdr>
                  <w:divsChild>
                    <w:div w:id="1938781457">
                      <w:marLeft w:val="0"/>
                      <w:marRight w:val="0"/>
                      <w:marTop w:val="0"/>
                      <w:marBottom w:val="0"/>
                      <w:divBdr>
                        <w:top w:val="none" w:sz="0" w:space="0" w:color="auto"/>
                        <w:left w:val="none" w:sz="0" w:space="0" w:color="auto"/>
                        <w:bottom w:val="none" w:sz="0" w:space="0" w:color="auto"/>
                        <w:right w:val="none" w:sz="0" w:space="0" w:color="auto"/>
                      </w:divBdr>
                      <w:divsChild>
                        <w:div w:id="10927737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198178">
      <w:bodyDiv w:val="1"/>
      <w:marLeft w:val="0"/>
      <w:marRight w:val="0"/>
      <w:marTop w:val="0"/>
      <w:marBottom w:val="0"/>
      <w:divBdr>
        <w:top w:val="none" w:sz="0" w:space="0" w:color="auto"/>
        <w:left w:val="none" w:sz="0" w:space="0" w:color="auto"/>
        <w:bottom w:val="none" w:sz="0" w:space="0" w:color="auto"/>
        <w:right w:val="none" w:sz="0" w:space="0" w:color="auto"/>
      </w:divBdr>
    </w:div>
    <w:div w:id="1327438715">
      <w:bodyDiv w:val="1"/>
      <w:marLeft w:val="0"/>
      <w:marRight w:val="0"/>
      <w:marTop w:val="0"/>
      <w:marBottom w:val="0"/>
      <w:divBdr>
        <w:top w:val="none" w:sz="0" w:space="0" w:color="auto"/>
        <w:left w:val="none" w:sz="0" w:space="0" w:color="auto"/>
        <w:bottom w:val="none" w:sz="0" w:space="0" w:color="auto"/>
        <w:right w:val="none" w:sz="0" w:space="0" w:color="auto"/>
      </w:divBdr>
    </w:div>
    <w:div w:id="1359816259">
      <w:bodyDiv w:val="1"/>
      <w:marLeft w:val="0"/>
      <w:marRight w:val="0"/>
      <w:marTop w:val="0"/>
      <w:marBottom w:val="0"/>
      <w:divBdr>
        <w:top w:val="none" w:sz="0" w:space="0" w:color="auto"/>
        <w:left w:val="none" w:sz="0" w:space="0" w:color="auto"/>
        <w:bottom w:val="none" w:sz="0" w:space="0" w:color="auto"/>
        <w:right w:val="none" w:sz="0" w:space="0" w:color="auto"/>
      </w:divBdr>
    </w:div>
    <w:div w:id="1386299740">
      <w:bodyDiv w:val="1"/>
      <w:marLeft w:val="0"/>
      <w:marRight w:val="0"/>
      <w:marTop w:val="0"/>
      <w:marBottom w:val="0"/>
      <w:divBdr>
        <w:top w:val="none" w:sz="0" w:space="0" w:color="auto"/>
        <w:left w:val="none" w:sz="0" w:space="0" w:color="auto"/>
        <w:bottom w:val="none" w:sz="0" w:space="0" w:color="auto"/>
        <w:right w:val="none" w:sz="0" w:space="0" w:color="auto"/>
      </w:divBdr>
    </w:div>
    <w:div w:id="1398551823">
      <w:bodyDiv w:val="1"/>
      <w:marLeft w:val="0"/>
      <w:marRight w:val="0"/>
      <w:marTop w:val="0"/>
      <w:marBottom w:val="0"/>
      <w:divBdr>
        <w:top w:val="none" w:sz="0" w:space="0" w:color="auto"/>
        <w:left w:val="none" w:sz="0" w:space="0" w:color="auto"/>
        <w:bottom w:val="none" w:sz="0" w:space="0" w:color="auto"/>
        <w:right w:val="none" w:sz="0" w:space="0" w:color="auto"/>
      </w:divBdr>
    </w:div>
    <w:div w:id="1418474538">
      <w:bodyDiv w:val="1"/>
      <w:marLeft w:val="0"/>
      <w:marRight w:val="0"/>
      <w:marTop w:val="0"/>
      <w:marBottom w:val="0"/>
      <w:divBdr>
        <w:top w:val="none" w:sz="0" w:space="0" w:color="auto"/>
        <w:left w:val="none" w:sz="0" w:space="0" w:color="auto"/>
        <w:bottom w:val="none" w:sz="0" w:space="0" w:color="auto"/>
        <w:right w:val="none" w:sz="0" w:space="0" w:color="auto"/>
      </w:divBdr>
    </w:div>
    <w:div w:id="1451585943">
      <w:bodyDiv w:val="1"/>
      <w:marLeft w:val="0"/>
      <w:marRight w:val="0"/>
      <w:marTop w:val="0"/>
      <w:marBottom w:val="0"/>
      <w:divBdr>
        <w:top w:val="none" w:sz="0" w:space="0" w:color="auto"/>
        <w:left w:val="none" w:sz="0" w:space="0" w:color="auto"/>
        <w:bottom w:val="none" w:sz="0" w:space="0" w:color="auto"/>
        <w:right w:val="none" w:sz="0" w:space="0" w:color="auto"/>
      </w:divBdr>
    </w:div>
    <w:div w:id="1464234892">
      <w:bodyDiv w:val="1"/>
      <w:marLeft w:val="0"/>
      <w:marRight w:val="0"/>
      <w:marTop w:val="0"/>
      <w:marBottom w:val="0"/>
      <w:divBdr>
        <w:top w:val="none" w:sz="0" w:space="0" w:color="auto"/>
        <w:left w:val="none" w:sz="0" w:space="0" w:color="auto"/>
        <w:bottom w:val="none" w:sz="0" w:space="0" w:color="auto"/>
        <w:right w:val="none" w:sz="0" w:space="0" w:color="auto"/>
      </w:divBdr>
    </w:div>
    <w:div w:id="1488128413">
      <w:bodyDiv w:val="1"/>
      <w:marLeft w:val="0"/>
      <w:marRight w:val="0"/>
      <w:marTop w:val="0"/>
      <w:marBottom w:val="0"/>
      <w:divBdr>
        <w:top w:val="none" w:sz="0" w:space="0" w:color="auto"/>
        <w:left w:val="none" w:sz="0" w:space="0" w:color="auto"/>
        <w:bottom w:val="none" w:sz="0" w:space="0" w:color="auto"/>
        <w:right w:val="none" w:sz="0" w:space="0" w:color="auto"/>
      </w:divBdr>
      <w:divsChild>
        <w:div w:id="1571113191">
          <w:marLeft w:val="0"/>
          <w:marRight w:val="0"/>
          <w:marTop w:val="0"/>
          <w:marBottom w:val="0"/>
          <w:divBdr>
            <w:top w:val="none" w:sz="0" w:space="0" w:color="auto"/>
            <w:left w:val="none" w:sz="0" w:space="0" w:color="auto"/>
            <w:bottom w:val="none" w:sz="0" w:space="0" w:color="auto"/>
            <w:right w:val="none" w:sz="0" w:space="0" w:color="auto"/>
          </w:divBdr>
        </w:div>
        <w:div w:id="1893301683">
          <w:marLeft w:val="0"/>
          <w:marRight w:val="0"/>
          <w:marTop w:val="0"/>
          <w:marBottom w:val="0"/>
          <w:divBdr>
            <w:top w:val="none" w:sz="0" w:space="0" w:color="auto"/>
            <w:left w:val="none" w:sz="0" w:space="0" w:color="auto"/>
            <w:bottom w:val="none" w:sz="0" w:space="0" w:color="auto"/>
            <w:right w:val="none" w:sz="0" w:space="0" w:color="auto"/>
          </w:divBdr>
        </w:div>
      </w:divsChild>
    </w:div>
    <w:div w:id="1529221544">
      <w:bodyDiv w:val="1"/>
      <w:marLeft w:val="0"/>
      <w:marRight w:val="0"/>
      <w:marTop w:val="0"/>
      <w:marBottom w:val="0"/>
      <w:divBdr>
        <w:top w:val="none" w:sz="0" w:space="0" w:color="auto"/>
        <w:left w:val="none" w:sz="0" w:space="0" w:color="auto"/>
        <w:bottom w:val="none" w:sz="0" w:space="0" w:color="auto"/>
        <w:right w:val="none" w:sz="0" w:space="0" w:color="auto"/>
      </w:divBdr>
      <w:divsChild>
        <w:div w:id="358554039">
          <w:marLeft w:val="0"/>
          <w:marRight w:val="0"/>
          <w:marTop w:val="0"/>
          <w:marBottom w:val="0"/>
          <w:divBdr>
            <w:top w:val="none" w:sz="0" w:space="0" w:color="auto"/>
            <w:left w:val="none" w:sz="0" w:space="0" w:color="auto"/>
            <w:bottom w:val="none" w:sz="0" w:space="0" w:color="auto"/>
            <w:right w:val="none" w:sz="0" w:space="0" w:color="auto"/>
          </w:divBdr>
        </w:div>
        <w:div w:id="459567262">
          <w:marLeft w:val="0"/>
          <w:marRight w:val="0"/>
          <w:marTop w:val="0"/>
          <w:marBottom w:val="0"/>
          <w:divBdr>
            <w:top w:val="none" w:sz="0" w:space="0" w:color="auto"/>
            <w:left w:val="none" w:sz="0" w:space="0" w:color="auto"/>
            <w:bottom w:val="none" w:sz="0" w:space="0" w:color="auto"/>
            <w:right w:val="none" w:sz="0" w:space="0" w:color="auto"/>
          </w:divBdr>
        </w:div>
        <w:div w:id="126096244">
          <w:marLeft w:val="0"/>
          <w:marRight w:val="0"/>
          <w:marTop w:val="0"/>
          <w:marBottom w:val="0"/>
          <w:divBdr>
            <w:top w:val="none" w:sz="0" w:space="0" w:color="auto"/>
            <w:left w:val="none" w:sz="0" w:space="0" w:color="auto"/>
            <w:bottom w:val="none" w:sz="0" w:space="0" w:color="auto"/>
            <w:right w:val="none" w:sz="0" w:space="0" w:color="auto"/>
          </w:divBdr>
        </w:div>
      </w:divsChild>
    </w:div>
    <w:div w:id="1564557451">
      <w:bodyDiv w:val="1"/>
      <w:marLeft w:val="0"/>
      <w:marRight w:val="0"/>
      <w:marTop w:val="0"/>
      <w:marBottom w:val="0"/>
      <w:divBdr>
        <w:top w:val="none" w:sz="0" w:space="0" w:color="auto"/>
        <w:left w:val="none" w:sz="0" w:space="0" w:color="auto"/>
        <w:bottom w:val="none" w:sz="0" w:space="0" w:color="auto"/>
        <w:right w:val="none" w:sz="0" w:space="0" w:color="auto"/>
      </w:divBdr>
    </w:div>
    <w:div w:id="1608001847">
      <w:bodyDiv w:val="1"/>
      <w:marLeft w:val="0"/>
      <w:marRight w:val="0"/>
      <w:marTop w:val="0"/>
      <w:marBottom w:val="0"/>
      <w:divBdr>
        <w:top w:val="none" w:sz="0" w:space="0" w:color="auto"/>
        <w:left w:val="none" w:sz="0" w:space="0" w:color="auto"/>
        <w:bottom w:val="none" w:sz="0" w:space="0" w:color="auto"/>
        <w:right w:val="none" w:sz="0" w:space="0" w:color="auto"/>
      </w:divBdr>
    </w:div>
    <w:div w:id="1634481190">
      <w:bodyDiv w:val="1"/>
      <w:marLeft w:val="0"/>
      <w:marRight w:val="0"/>
      <w:marTop w:val="0"/>
      <w:marBottom w:val="0"/>
      <w:divBdr>
        <w:top w:val="none" w:sz="0" w:space="0" w:color="auto"/>
        <w:left w:val="none" w:sz="0" w:space="0" w:color="auto"/>
        <w:bottom w:val="none" w:sz="0" w:space="0" w:color="auto"/>
        <w:right w:val="none" w:sz="0" w:space="0" w:color="auto"/>
      </w:divBdr>
    </w:div>
    <w:div w:id="1639647699">
      <w:bodyDiv w:val="1"/>
      <w:marLeft w:val="0"/>
      <w:marRight w:val="0"/>
      <w:marTop w:val="0"/>
      <w:marBottom w:val="0"/>
      <w:divBdr>
        <w:top w:val="none" w:sz="0" w:space="0" w:color="auto"/>
        <w:left w:val="none" w:sz="0" w:space="0" w:color="auto"/>
        <w:bottom w:val="none" w:sz="0" w:space="0" w:color="auto"/>
        <w:right w:val="none" w:sz="0" w:space="0" w:color="auto"/>
      </w:divBdr>
    </w:div>
    <w:div w:id="1705866722">
      <w:bodyDiv w:val="1"/>
      <w:marLeft w:val="0"/>
      <w:marRight w:val="0"/>
      <w:marTop w:val="0"/>
      <w:marBottom w:val="0"/>
      <w:divBdr>
        <w:top w:val="none" w:sz="0" w:space="0" w:color="auto"/>
        <w:left w:val="none" w:sz="0" w:space="0" w:color="auto"/>
        <w:bottom w:val="none" w:sz="0" w:space="0" w:color="auto"/>
        <w:right w:val="none" w:sz="0" w:space="0" w:color="auto"/>
      </w:divBdr>
    </w:div>
    <w:div w:id="1723628687">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53316582">
      <w:bodyDiv w:val="1"/>
      <w:marLeft w:val="0"/>
      <w:marRight w:val="0"/>
      <w:marTop w:val="0"/>
      <w:marBottom w:val="0"/>
      <w:divBdr>
        <w:top w:val="none" w:sz="0" w:space="0" w:color="auto"/>
        <w:left w:val="none" w:sz="0" w:space="0" w:color="auto"/>
        <w:bottom w:val="none" w:sz="0" w:space="0" w:color="auto"/>
        <w:right w:val="none" w:sz="0" w:space="0" w:color="auto"/>
      </w:divBdr>
    </w:div>
    <w:div w:id="1777745397">
      <w:bodyDiv w:val="1"/>
      <w:marLeft w:val="0"/>
      <w:marRight w:val="0"/>
      <w:marTop w:val="0"/>
      <w:marBottom w:val="0"/>
      <w:divBdr>
        <w:top w:val="none" w:sz="0" w:space="0" w:color="auto"/>
        <w:left w:val="none" w:sz="0" w:space="0" w:color="auto"/>
        <w:bottom w:val="none" w:sz="0" w:space="0" w:color="auto"/>
        <w:right w:val="none" w:sz="0" w:space="0" w:color="auto"/>
      </w:divBdr>
    </w:div>
    <w:div w:id="1791168483">
      <w:bodyDiv w:val="1"/>
      <w:marLeft w:val="0"/>
      <w:marRight w:val="0"/>
      <w:marTop w:val="0"/>
      <w:marBottom w:val="0"/>
      <w:divBdr>
        <w:top w:val="none" w:sz="0" w:space="0" w:color="auto"/>
        <w:left w:val="none" w:sz="0" w:space="0" w:color="auto"/>
        <w:bottom w:val="none" w:sz="0" w:space="0" w:color="auto"/>
        <w:right w:val="none" w:sz="0" w:space="0" w:color="auto"/>
      </w:divBdr>
    </w:div>
    <w:div w:id="1822774164">
      <w:bodyDiv w:val="1"/>
      <w:marLeft w:val="0"/>
      <w:marRight w:val="0"/>
      <w:marTop w:val="0"/>
      <w:marBottom w:val="0"/>
      <w:divBdr>
        <w:top w:val="none" w:sz="0" w:space="0" w:color="auto"/>
        <w:left w:val="none" w:sz="0" w:space="0" w:color="auto"/>
        <w:bottom w:val="none" w:sz="0" w:space="0" w:color="auto"/>
        <w:right w:val="none" w:sz="0" w:space="0" w:color="auto"/>
      </w:divBdr>
    </w:div>
    <w:div w:id="1839537234">
      <w:bodyDiv w:val="1"/>
      <w:marLeft w:val="0"/>
      <w:marRight w:val="0"/>
      <w:marTop w:val="0"/>
      <w:marBottom w:val="0"/>
      <w:divBdr>
        <w:top w:val="none" w:sz="0" w:space="0" w:color="auto"/>
        <w:left w:val="none" w:sz="0" w:space="0" w:color="auto"/>
        <w:bottom w:val="none" w:sz="0" w:space="0" w:color="auto"/>
        <w:right w:val="none" w:sz="0" w:space="0" w:color="auto"/>
      </w:divBdr>
    </w:div>
    <w:div w:id="1860043136">
      <w:bodyDiv w:val="1"/>
      <w:marLeft w:val="0"/>
      <w:marRight w:val="0"/>
      <w:marTop w:val="0"/>
      <w:marBottom w:val="0"/>
      <w:divBdr>
        <w:top w:val="none" w:sz="0" w:space="0" w:color="auto"/>
        <w:left w:val="none" w:sz="0" w:space="0" w:color="auto"/>
        <w:bottom w:val="none" w:sz="0" w:space="0" w:color="auto"/>
        <w:right w:val="none" w:sz="0" w:space="0" w:color="auto"/>
      </w:divBdr>
    </w:div>
    <w:div w:id="1868831496">
      <w:bodyDiv w:val="1"/>
      <w:marLeft w:val="0"/>
      <w:marRight w:val="0"/>
      <w:marTop w:val="0"/>
      <w:marBottom w:val="0"/>
      <w:divBdr>
        <w:top w:val="none" w:sz="0" w:space="0" w:color="auto"/>
        <w:left w:val="none" w:sz="0" w:space="0" w:color="auto"/>
        <w:bottom w:val="none" w:sz="0" w:space="0" w:color="auto"/>
        <w:right w:val="none" w:sz="0" w:space="0" w:color="auto"/>
      </w:divBdr>
    </w:div>
    <w:div w:id="1869442242">
      <w:bodyDiv w:val="1"/>
      <w:marLeft w:val="0"/>
      <w:marRight w:val="0"/>
      <w:marTop w:val="0"/>
      <w:marBottom w:val="0"/>
      <w:divBdr>
        <w:top w:val="none" w:sz="0" w:space="0" w:color="auto"/>
        <w:left w:val="none" w:sz="0" w:space="0" w:color="auto"/>
        <w:bottom w:val="none" w:sz="0" w:space="0" w:color="auto"/>
        <w:right w:val="none" w:sz="0" w:space="0" w:color="auto"/>
      </w:divBdr>
    </w:div>
    <w:div w:id="1882934622">
      <w:bodyDiv w:val="1"/>
      <w:marLeft w:val="0"/>
      <w:marRight w:val="0"/>
      <w:marTop w:val="0"/>
      <w:marBottom w:val="0"/>
      <w:divBdr>
        <w:top w:val="none" w:sz="0" w:space="0" w:color="auto"/>
        <w:left w:val="none" w:sz="0" w:space="0" w:color="auto"/>
        <w:bottom w:val="none" w:sz="0" w:space="0" w:color="auto"/>
        <w:right w:val="none" w:sz="0" w:space="0" w:color="auto"/>
      </w:divBdr>
      <w:divsChild>
        <w:div w:id="1916629119">
          <w:marLeft w:val="0"/>
          <w:marRight w:val="30"/>
          <w:marTop w:val="0"/>
          <w:marBottom w:val="0"/>
          <w:divBdr>
            <w:top w:val="none" w:sz="0" w:space="0" w:color="auto"/>
            <w:left w:val="none" w:sz="0" w:space="0" w:color="auto"/>
            <w:bottom w:val="none" w:sz="0" w:space="0" w:color="auto"/>
            <w:right w:val="none" w:sz="0" w:space="0" w:color="auto"/>
          </w:divBdr>
          <w:divsChild>
            <w:div w:id="284042909">
              <w:marLeft w:val="0"/>
              <w:marRight w:val="0"/>
              <w:marTop w:val="0"/>
              <w:marBottom w:val="0"/>
              <w:divBdr>
                <w:top w:val="none" w:sz="0" w:space="0" w:color="auto"/>
                <w:left w:val="none" w:sz="0" w:space="0" w:color="auto"/>
                <w:bottom w:val="none" w:sz="0" w:space="0" w:color="auto"/>
                <w:right w:val="none" w:sz="0" w:space="0" w:color="auto"/>
              </w:divBdr>
              <w:divsChild>
                <w:div w:id="1172840727">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4279">
      <w:bodyDiv w:val="1"/>
      <w:marLeft w:val="0"/>
      <w:marRight w:val="0"/>
      <w:marTop w:val="0"/>
      <w:marBottom w:val="0"/>
      <w:divBdr>
        <w:top w:val="none" w:sz="0" w:space="0" w:color="auto"/>
        <w:left w:val="none" w:sz="0" w:space="0" w:color="auto"/>
        <w:bottom w:val="none" w:sz="0" w:space="0" w:color="auto"/>
        <w:right w:val="none" w:sz="0" w:space="0" w:color="auto"/>
      </w:divBdr>
    </w:div>
    <w:div w:id="1924677404">
      <w:bodyDiv w:val="1"/>
      <w:marLeft w:val="0"/>
      <w:marRight w:val="0"/>
      <w:marTop w:val="0"/>
      <w:marBottom w:val="0"/>
      <w:divBdr>
        <w:top w:val="none" w:sz="0" w:space="0" w:color="auto"/>
        <w:left w:val="none" w:sz="0" w:space="0" w:color="auto"/>
        <w:bottom w:val="none" w:sz="0" w:space="0" w:color="auto"/>
        <w:right w:val="none" w:sz="0" w:space="0" w:color="auto"/>
      </w:divBdr>
    </w:div>
    <w:div w:id="1939869265">
      <w:bodyDiv w:val="1"/>
      <w:marLeft w:val="0"/>
      <w:marRight w:val="0"/>
      <w:marTop w:val="0"/>
      <w:marBottom w:val="0"/>
      <w:divBdr>
        <w:top w:val="none" w:sz="0" w:space="0" w:color="auto"/>
        <w:left w:val="none" w:sz="0" w:space="0" w:color="auto"/>
        <w:bottom w:val="none" w:sz="0" w:space="0" w:color="auto"/>
        <w:right w:val="none" w:sz="0" w:space="0" w:color="auto"/>
      </w:divBdr>
      <w:divsChild>
        <w:div w:id="1395156816">
          <w:marLeft w:val="0"/>
          <w:marRight w:val="0"/>
          <w:marTop w:val="0"/>
          <w:marBottom w:val="0"/>
          <w:divBdr>
            <w:top w:val="none" w:sz="0" w:space="0" w:color="auto"/>
            <w:left w:val="none" w:sz="0" w:space="0" w:color="auto"/>
            <w:bottom w:val="none" w:sz="0" w:space="0" w:color="auto"/>
            <w:right w:val="none" w:sz="0" w:space="0" w:color="auto"/>
          </w:divBdr>
        </w:div>
        <w:div w:id="2089109219">
          <w:marLeft w:val="0"/>
          <w:marRight w:val="0"/>
          <w:marTop w:val="0"/>
          <w:marBottom w:val="0"/>
          <w:divBdr>
            <w:top w:val="none" w:sz="0" w:space="0" w:color="auto"/>
            <w:left w:val="none" w:sz="0" w:space="0" w:color="auto"/>
            <w:bottom w:val="none" w:sz="0" w:space="0" w:color="auto"/>
            <w:right w:val="none" w:sz="0" w:space="0" w:color="auto"/>
          </w:divBdr>
        </w:div>
        <w:div w:id="2126458583">
          <w:marLeft w:val="0"/>
          <w:marRight w:val="0"/>
          <w:marTop w:val="0"/>
          <w:marBottom w:val="0"/>
          <w:divBdr>
            <w:top w:val="none" w:sz="0" w:space="0" w:color="auto"/>
            <w:left w:val="none" w:sz="0" w:space="0" w:color="auto"/>
            <w:bottom w:val="none" w:sz="0" w:space="0" w:color="auto"/>
            <w:right w:val="none" w:sz="0" w:space="0" w:color="auto"/>
          </w:divBdr>
        </w:div>
        <w:div w:id="162283059">
          <w:marLeft w:val="0"/>
          <w:marRight w:val="0"/>
          <w:marTop w:val="0"/>
          <w:marBottom w:val="0"/>
          <w:divBdr>
            <w:top w:val="none" w:sz="0" w:space="0" w:color="auto"/>
            <w:left w:val="none" w:sz="0" w:space="0" w:color="auto"/>
            <w:bottom w:val="none" w:sz="0" w:space="0" w:color="auto"/>
            <w:right w:val="none" w:sz="0" w:space="0" w:color="auto"/>
          </w:divBdr>
        </w:div>
        <w:div w:id="985084505">
          <w:marLeft w:val="0"/>
          <w:marRight w:val="0"/>
          <w:marTop w:val="0"/>
          <w:marBottom w:val="0"/>
          <w:divBdr>
            <w:top w:val="none" w:sz="0" w:space="0" w:color="auto"/>
            <w:left w:val="none" w:sz="0" w:space="0" w:color="auto"/>
            <w:bottom w:val="none" w:sz="0" w:space="0" w:color="auto"/>
            <w:right w:val="none" w:sz="0" w:space="0" w:color="auto"/>
          </w:divBdr>
        </w:div>
        <w:div w:id="613437412">
          <w:marLeft w:val="0"/>
          <w:marRight w:val="0"/>
          <w:marTop w:val="0"/>
          <w:marBottom w:val="0"/>
          <w:divBdr>
            <w:top w:val="none" w:sz="0" w:space="0" w:color="auto"/>
            <w:left w:val="none" w:sz="0" w:space="0" w:color="auto"/>
            <w:bottom w:val="none" w:sz="0" w:space="0" w:color="auto"/>
            <w:right w:val="none" w:sz="0" w:space="0" w:color="auto"/>
          </w:divBdr>
        </w:div>
        <w:div w:id="176699498">
          <w:marLeft w:val="0"/>
          <w:marRight w:val="0"/>
          <w:marTop w:val="0"/>
          <w:marBottom w:val="0"/>
          <w:divBdr>
            <w:top w:val="none" w:sz="0" w:space="0" w:color="auto"/>
            <w:left w:val="none" w:sz="0" w:space="0" w:color="auto"/>
            <w:bottom w:val="none" w:sz="0" w:space="0" w:color="auto"/>
            <w:right w:val="none" w:sz="0" w:space="0" w:color="auto"/>
          </w:divBdr>
        </w:div>
        <w:div w:id="1385331495">
          <w:marLeft w:val="0"/>
          <w:marRight w:val="0"/>
          <w:marTop w:val="0"/>
          <w:marBottom w:val="0"/>
          <w:divBdr>
            <w:top w:val="none" w:sz="0" w:space="0" w:color="auto"/>
            <w:left w:val="none" w:sz="0" w:space="0" w:color="auto"/>
            <w:bottom w:val="none" w:sz="0" w:space="0" w:color="auto"/>
            <w:right w:val="none" w:sz="0" w:space="0" w:color="auto"/>
          </w:divBdr>
        </w:div>
        <w:div w:id="967860321">
          <w:marLeft w:val="0"/>
          <w:marRight w:val="0"/>
          <w:marTop w:val="0"/>
          <w:marBottom w:val="0"/>
          <w:divBdr>
            <w:top w:val="none" w:sz="0" w:space="0" w:color="auto"/>
            <w:left w:val="none" w:sz="0" w:space="0" w:color="auto"/>
            <w:bottom w:val="none" w:sz="0" w:space="0" w:color="auto"/>
            <w:right w:val="none" w:sz="0" w:space="0" w:color="auto"/>
          </w:divBdr>
        </w:div>
        <w:div w:id="333339419">
          <w:marLeft w:val="0"/>
          <w:marRight w:val="0"/>
          <w:marTop w:val="0"/>
          <w:marBottom w:val="0"/>
          <w:divBdr>
            <w:top w:val="none" w:sz="0" w:space="0" w:color="auto"/>
            <w:left w:val="none" w:sz="0" w:space="0" w:color="auto"/>
            <w:bottom w:val="none" w:sz="0" w:space="0" w:color="auto"/>
            <w:right w:val="none" w:sz="0" w:space="0" w:color="auto"/>
          </w:divBdr>
        </w:div>
        <w:div w:id="1096907426">
          <w:marLeft w:val="0"/>
          <w:marRight w:val="0"/>
          <w:marTop w:val="0"/>
          <w:marBottom w:val="0"/>
          <w:divBdr>
            <w:top w:val="none" w:sz="0" w:space="0" w:color="auto"/>
            <w:left w:val="none" w:sz="0" w:space="0" w:color="auto"/>
            <w:bottom w:val="none" w:sz="0" w:space="0" w:color="auto"/>
            <w:right w:val="none" w:sz="0" w:space="0" w:color="auto"/>
          </w:divBdr>
        </w:div>
        <w:div w:id="1319731152">
          <w:marLeft w:val="0"/>
          <w:marRight w:val="0"/>
          <w:marTop w:val="0"/>
          <w:marBottom w:val="0"/>
          <w:divBdr>
            <w:top w:val="none" w:sz="0" w:space="0" w:color="auto"/>
            <w:left w:val="none" w:sz="0" w:space="0" w:color="auto"/>
            <w:bottom w:val="none" w:sz="0" w:space="0" w:color="auto"/>
            <w:right w:val="none" w:sz="0" w:space="0" w:color="auto"/>
          </w:divBdr>
        </w:div>
        <w:div w:id="1932078478">
          <w:marLeft w:val="0"/>
          <w:marRight w:val="0"/>
          <w:marTop w:val="0"/>
          <w:marBottom w:val="0"/>
          <w:divBdr>
            <w:top w:val="none" w:sz="0" w:space="0" w:color="auto"/>
            <w:left w:val="none" w:sz="0" w:space="0" w:color="auto"/>
            <w:bottom w:val="none" w:sz="0" w:space="0" w:color="auto"/>
            <w:right w:val="none" w:sz="0" w:space="0" w:color="auto"/>
          </w:divBdr>
        </w:div>
        <w:div w:id="787428101">
          <w:marLeft w:val="0"/>
          <w:marRight w:val="0"/>
          <w:marTop w:val="0"/>
          <w:marBottom w:val="0"/>
          <w:divBdr>
            <w:top w:val="none" w:sz="0" w:space="0" w:color="auto"/>
            <w:left w:val="none" w:sz="0" w:space="0" w:color="auto"/>
            <w:bottom w:val="none" w:sz="0" w:space="0" w:color="auto"/>
            <w:right w:val="none" w:sz="0" w:space="0" w:color="auto"/>
          </w:divBdr>
        </w:div>
        <w:div w:id="1820993110">
          <w:marLeft w:val="0"/>
          <w:marRight w:val="0"/>
          <w:marTop w:val="0"/>
          <w:marBottom w:val="0"/>
          <w:divBdr>
            <w:top w:val="none" w:sz="0" w:space="0" w:color="auto"/>
            <w:left w:val="none" w:sz="0" w:space="0" w:color="auto"/>
            <w:bottom w:val="none" w:sz="0" w:space="0" w:color="auto"/>
            <w:right w:val="none" w:sz="0" w:space="0" w:color="auto"/>
          </w:divBdr>
        </w:div>
        <w:div w:id="1249118056">
          <w:marLeft w:val="0"/>
          <w:marRight w:val="0"/>
          <w:marTop w:val="0"/>
          <w:marBottom w:val="0"/>
          <w:divBdr>
            <w:top w:val="none" w:sz="0" w:space="0" w:color="auto"/>
            <w:left w:val="none" w:sz="0" w:space="0" w:color="auto"/>
            <w:bottom w:val="none" w:sz="0" w:space="0" w:color="auto"/>
            <w:right w:val="none" w:sz="0" w:space="0" w:color="auto"/>
          </w:divBdr>
        </w:div>
        <w:div w:id="841236303">
          <w:marLeft w:val="0"/>
          <w:marRight w:val="0"/>
          <w:marTop w:val="0"/>
          <w:marBottom w:val="0"/>
          <w:divBdr>
            <w:top w:val="none" w:sz="0" w:space="0" w:color="auto"/>
            <w:left w:val="none" w:sz="0" w:space="0" w:color="auto"/>
            <w:bottom w:val="none" w:sz="0" w:space="0" w:color="auto"/>
            <w:right w:val="none" w:sz="0" w:space="0" w:color="auto"/>
          </w:divBdr>
        </w:div>
        <w:div w:id="1167212514">
          <w:marLeft w:val="0"/>
          <w:marRight w:val="0"/>
          <w:marTop w:val="0"/>
          <w:marBottom w:val="0"/>
          <w:divBdr>
            <w:top w:val="none" w:sz="0" w:space="0" w:color="auto"/>
            <w:left w:val="none" w:sz="0" w:space="0" w:color="auto"/>
            <w:bottom w:val="none" w:sz="0" w:space="0" w:color="auto"/>
            <w:right w:val="none" w:sz="0" w:space="0" w:color="auto"/>
          </w:divBdr>
        </w:div>
        <w:div w:id="1575242252">
          <w:marLeft w:val="0"/>
          <w:marRight w:val="0"/>
          <w:marTop w:val="0"/>
          <w:marBottom w:val="0"/>
          <w:divBdr>
            <w:top w:val="none" w:sz="0" w:space="0" w:color="auto"/>
            <w:left w:val="none" w:sz="0" w:space="0" w:color="auto"/>
            <w:bottom w:val="none" w:sz="0" w:space="0" w:color="auto"/>
            <w:right w:val="none" w:sz="0" w:space="0" w:color="auto"/>
          </w:divBdr>
        </w:div>
        <w:div w:id="1317077909">
          <w:marLeft w:val="0"/>
          <w:marRight w:val="0"/>
          <w:marTop w:val="0"/>
          <w:marBottom w:val="0"/>
          <w:divBdr>
            <w:top w:val="none" w:sz="0" w:space="0" w:color="auto"/>
            <w:left w:val="none" w:sz="0" w:space="0" w:color="auto"/>
            <w:bottom w:val="none" w:sz="0" w:space="0" w:color="auto"/>
            <w:right w:val="none" w:sz="0" w:space="0" w:color="auto"/>
          </w:divBdr>
        </w:div>
        <w:div w:id="1698001992">
          <w:marLeft w:val="0"/>
          <w:marRight w:val="0"/>
          <w:marTop w:val="0"/>
          <w:marBottom w:val="0"/>
          <w:divBdr>
            <w:top w:val="none" w:sz="0" w:space="0" w:color="auto"/>
            <w:left w:val="none" w:sz="0" w:space="0" w:color="auto"/>
            <w:bottom w:val="none" w:sz="0" w:space="0" w:color="auto"/>
            <w:right w:val="none" w:sz="0" w:space="0" w:color="auto"/>
          </w:divBdr>
        </w:div>
        <w:div w:id="164707731">
          <w:marLeft w:val="0"/>
          <w:marRight w:val="0"/>
          <w:marTop w:val="0"/>
          <w:marBottom w:val="0"/>
          <w:divBdr>
            <w:top w:val="none" w:sz="0" w:space="0" w:color="auto"/>
            <w:left w:val="none" w:sz="0" w:space="0" w:color="auto"/>
            <w:bottom w:val="none" w:sz="0" w:space="0" w:color="auto"/>
            <w:right w:val="none" w:sz="0" w:space="0" w:color="auto"/>
          </w:divBdr>
        </w:div>
        <w:div w:id="1482119225">
          <w:marLeft w:val="0"/>
          <w:marRight w:val="0"/>
          <w:marTop w:val="0"/>
          <w:marBottom w:val="0"/>
          <w:divBdr>
            <w:top w:val="none" w:sz="0" w:space="0" w:color="auto"/>
            <w:left w:val="none" w:sz="0" w:space="0" w:color="auto"/>
            <w:bottom w:val="none" w:sz="0" w:space="0" w:color="auto"/>
            <w:right w:val="none" w:sz="0" w:space="0" w:color="auto"/>
          </w:divBdr>
        </w:div>
        <w:div w:id="820581460">
          <w:marLeft w:val="0"/>
          <w:marRight w:val="0"/>
          <w:marTop w:val="0"/>
          <w:marBottom w:val="0"/>
          <w:divBdr>
            <w:top w:val="none" w:sz="0" w:space="0" w:color="auto"/>
            <w:left w:val="none" w:sz="0" w:space="0" w:color="auto"/>
            <w:bottom w:val="none" w:sz="0" w:space="0" w:color="auto"/>
            <w:right w:val="none" w:sz="0" w:space="0" w:color="auto"/>
          </w:divBdr>
        </w:div>
        <w:div w:id="2007516858">
          <w:marLeft w:val="0"/>
          <w:marRight w:val="0"/>
          <w:marTop w:val="0"/>
          <w:marBottom w:val="0"/>
          <w:divBdr>
            <w:top w:val="none" w:sz="0" w:space="0" w:color="auto"/>
            <w:left w:val="none" w:sz="0" w:space="0" w:color="auto"/>
            <w:bottom w:val="none" w:sz="0" w:space="0" w:color="auto"/>
            <w:right w:val="none" w:sz="0" w:space="0" w:color="auto"/>
          </w:divBdr>
        </w:div>
      </w:divsChild>
    </w:div>
    <w:div w:id="2061710002">
      <w:bodyDiv w:val="1"/>
      <w:marLeft w:val="0"/>
      <w:marRight w:val="0"/>
      <w:marTop w:val="0"/>
      <w:marBottom w:val="0"/>
      <w:divBdr>
        <w:top w:val="none" w:sz="0" w:space="0" w:color="auto"/>
        <w:left w:val="none" w:sz="0" w:space="0" w:color="auto"/>
        <w:bottom w:val="none" w:sz="0" w:space="0" w:color="auto"/>
        <w:right w:val="none" w:sz="0" w:space="0" w:color="auto"/>
      </w:divBdr>
      <w:divsChild>
        <w:div w:id="1962345350">
          <w:marLeft w:val="0"/>
          <w:marRight w:val="0"/>
          <w:marTop w:val="0"/>
          <w:marBottom w:val="0"/>
          <w:divBdr>
            <w:top w:val="none" w:sz="0" w:space="0" w:color="auto"/>
            <w:left w:val="none" w:sz="0" w:space="0" w:color="auto"/>
            <w:bottom w:val="none" w:sz="0" w:space="0" w:color="auto"/>
            <w:right w:val="none" w:sz="0" w:space="0" w:color="auto"/>
          </w:divBdr>
          <w:divsChild>
            <w:div w:id="1309939953">
              <w:marLeft w:val="210"/>
              <w:marRight w:val="0"/>
              <w:marTop w:val="120"/>
              <w:marBottom w:val="0"/>
              <w:divBdr>
                <w:top w:val="none" w:sz="0" w:space="0" w:color="auto"/>
                <w:left w:val="none" w:sz="0" w:space="0" w:color="auto"/>
                <w:bottom w:val="none" w:sz="0" w:space="0" w:color="auto"/>
                <w:right w:val="none" w:sz="0" w:space="0" w:color="auto"/>
              </w:divBdr>
              <w:divsChild>
                <w:div w:id="273249470">
                  <w:marLeft w:val="0"/>
                  <w:marRight w:val="0"/>
                  <w:marTop w:val="0"/>
                  <w:marBottom w:val="0"/>
                  <w:divBdr>
                    <w:top w:val="none" w:sz="0" w:space="0" w:color="auto"/>
                    <w:left w:val="none" w:sz="0" w:space="0" w:color="auto"/>
                    <w:bottom w:val="none" w:sz="0" w:space="0" w:color="auto"/>
                    <w:right w:val="none" w:sz="0" w:space="0" w:color="auto"/>
                  </w:divBdr>
                  <w:divsChild>
                    <w:div w:id="30208009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58721420">
              <w:marLeft w:val="0"/>
              <w:marRight w:val="0"/>
              <w:marTop w:val="0"/>
              <w:marBottom w:val="0"/>
              <w:divBdr>
                <w:top w:val="none" w:sz="0" w:space="0" w:color="auto"/>
                <w:left w:val="none" w:sz="0" w:space="0" w:color="auto"/>
                <w:bottom w:val="none" w:sz="0" w:space="0" w:color="auto"/>
                <w:right w:val="none" w:sz="0" w:space="0" w:color="auto"/>
              </w:divBdr>
              <w:divsChild>
                <w:div w:id="624895721">
                  <w:marLeft w:val="75"/>
                  <w:marRight w:val="0"/>
                  <w:marTop w:val="0"/>
                  <w:marBottom w:val="0"/>
                  <w:divBdr>
                    <w:top w:val="none" w:sz="0" w:space="0" w:color="auto"/>
                    <w:left w:val="none" w:sz="0" w:space="0" w:color="auto"/>
                    <w:bottom w:val="none" w:sz="0" w:space="0" w:color="auto"/>
                    <w:right w:val="none" w:sz="0" w:space="0" w:color="auto"/>
                  </w:divBdr>
                  <w:divsChild>
                    <w:div w:id="570889018">
                      <w:marLeft w:val="0"/>
                      <w:marRight w:val="0"/>
                      <w:marTop w:val="0"/>
                      <w:marBottom w:val="0"/>
                      <w:divBdr>
                        <w:top w:val="none" w:sz="0" w:space="0" w:color="auto"/>
                        <w:left w:val="none" w:sz="0" w:space="0" w:color="auto"/>
                        <w:bottom w:val="none" w:sz="0" w:space="0" w:color="auto"/>
                        <w:right w:val="none" w:sz="0" w:space="0" w:color="auto"/>
                      </w:divBdr>
                      <w:divsChild>
                        <w:div w:id="16500165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05420">
      <w:bodyDiv w:val="1"/>
      <w:marLeft w:val="0"/>
      <w:marRight w:val="0"/>
      <w:marTop w:val="0"/>
      <w:marBottom w:val="0"/>
      <w:divBdr>
        <w:top w:val="none" w:sz="0" w:space="0" w:color="auto"/>
        <w:left w:val="none" w:sz="0" w:space="0" w:color="auto"/>
        <w:bottom w:val="none" w:sz="0" w:space="0" w:color="auto"/>
        <w:right w:val="none" w:sz="0" w:space="0" w:color="auto"/>
      </w:divBdr>
    </w:div>
    <w:div w:id="21374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10348400b155414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6.xml"/><Relationship Id="Rb45cadff3a594a4e" Type="http://schemas.microsoft.com/office/2019/05/relationships/documenttasks" Target="task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47db4062513a4f8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themes/sustainable-transport/internalisation-transport-external-costs_en" TargetMode="External"/><Relationship Id="rId7" Type="http://schemas.openxmlformats.org/officeDocument/2006/relationships/hyperlink" Target="https://ec.europa.eu/info/sites/default/files/%20communication-industrial-strategy-update-2020_en.pdf" TargetMode="External"/><Relationship Id="rId2" Type="http://schemas.openxmlformats.org/officeDocument/2006/relationships/hyperlink" Target="https://appsso.eurostat.ec.europa.eu/nui/show.do?dataset=env_ac_cur&amp;lang=en" TargetMode="External"/><Relationship Id="rId1" Type="http://schemas.openxmlformats.org/officeDocument/2006/relationships/hyperlink" Target="https://ec.europa.eu/jrc/sites/jrcsh/files/jrc121598.pdf" TargetMode="External"/><Relationship Id="rId6" Type="http://schemas.openxmlformats.org/officeDocument/2006/relationships/hyperlink" Target="https://ec.europa.eu/info/sites/info/files/communication-eu-industrial-strategy-march-2020_en.pdf" TargetMode="External"/><Relationship Id="rId5" Type="http://schemas.openxmlformats.org/officeDocument/2006/relationships/hyperlink" Target="https://www.nextgeneration.bg/" TargetMode="External"/><Relationship Id="rId4" Type="http://schemas.openxmlformats.org/officeDocument/2006/relationships/hyperlink" Target="https://digital-strategy.ec.europa.eu/en/policies/desi-bulg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integrated xmlns="69540217-dd4d-4552-b080-f316f8754f84">false</Commentsintegr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4E1EBFBC69D4E9F6EFDF5C754386E" ma:contentTypeVersion="11" ma:contentTypeDescription="Create a new document." ma:contentTypeScope="" ma:versionID="4a0edbbb003bf34483a90572d3f1237a">
  <xsd:schema xmlns:xsd="http://www.w3.org/2001/XMLSchema" xmlns:xs="http://www.w3.org/2001/XMLSchema" xmlns:p="http://schemas.microsoft.com/office/2006/metadata/properties" xmlns:ns2="69540217-dd4d-4552-b080-f316f8754f84" xmlns:ns3="41198b08-d09d-409c-a169-ca1eb44fa897" targetNamespace="http://schemas.microsoft.com/office/2006/metadata/properties" ma:root="true" ma:fieldsID="5f93b35d3ec531da23e93ccae8f1ea02" ns2:_="" ns3:_="">
    <xsd:import namespace="69540217-dd4d-4552-b080-f316f8754f84"/>
    <xsd:import namespace="41198b08-d09d-409c-a169-ca1eb44fa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integr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40217-dd4d-4552-b080-f316f875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integrated" ma:index="18" nillable="true" ma:displayName="Comments integrated" ma:default="0" ma:format="Dropdown" ma:internalName="Commentsinte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198b08-d09d-409c-a169-ca1eb44fa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A71D4A-07F4-491F-AEA1-3D0E5466BD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198b08-d09d-409c-a169-ca1eb44fa897"/>
    <ds:schemaRef ds:uri="69540217-dd4d-4552-b080-f316f8754f84"/>
    <ds:schemaRef ds:uri="http://www.w3.org/XML/1998/namespace"/>
    <ds:schemaRef ds:uri="http://purl.org/dc/dcmitype/"/>
  </ds:schemaRefs>
</ds:datastoreItem>
</file>

<file path=customXml/itemProps2.xml><?xml version="1.0" encoding="utf-8"?>
<ds:datastoreItem xmlns:ds="http://schemas.openxmlformats.org/officeDocument/2006/customXml" ds:itemID="{494C501C-C289-414C-AF7B-5BECE4BDBD7A}">
  <ds:schemaRefs>
    <ds:schemaRef ds:uri="http://schemas.microsoft.com/sharepoint/v3/contenttype/forms"/>
  </ds:schemaRefs>
</ds:datastoreItem>
</file>

<file path=customXml/itemProps3.xml><?xml version="1.0" encoding="utf-8"?>
<ds:datastoreItem xmlns:ds="http://schemas.openxmlformats.org/officeDocument/2006/customXml" ds:itemID="{0411E799-B3E7-4446-B207-531B3F4E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40217-dd4d-4552-b080-f316f8754f84"/>
    <ds:schemaRef ds:uri="41198b08-d09d-409c-a169-ca1eb44f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C7650-36F0-43A3-B762-400FB75E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38090</Words>
  <Characters>217499</Characters>
  <Application>Microsoft Office Word</Application>
  <DocSecurity>0</DocSecurity>
  <Lines>4264</Lines>
  <Paragraphs>1359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cp:lastPrinted>2022-03-04T10:24:00Z</cp:lastPrinted>
  <dcterms:created xsi:type="dcterms:W3CDTF">2022-04-03T18:22:00Z</dcterms:created>
  <dcterms:modified xsi:type="dcterms:W3CDTF">2022-04-06T09:38:00Z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CP-025</vt:lpwstr>
  </property>
  <property fmtid="{D5CDD505-2E9C-101B-9397-08002B2CF9AE}" pid="6" name="Created using">
    <vt:lpwstr>LW 7.0.1, Build 20190916</vt:lpwstr>
  </property>
  <property fmtid="{D5CDD505-2E9C-101B-9397-08002B2CF9AE}" pid="7" name="_LW_INVALIDATED__LW_INVALIDATED__LW_INVALIDATED_ContentTypeId">
    <vt:lpwstr>0x010100258AA79CEB83498886A3A0868112325000CD857AC09E1D2541A50946FA87C21AA7</vt:lpwstr>
  </property>
  <property fmtid="{D5CDD505-2E9C-101B-9397-08002B2CF9AE}" pid="8" name="ContentTypeId">
    <vt:lpwstr>0x0101001904E1EBFBC69D4E9F6EFDF5C754386E</vt:lpwstr>
  </property>
  <property fmtid="{D5CDD505-2E9C-101B-9397-08002B2CF9AE}" pid="9" name="DocStatus">
    <vt:lpwstr>Green</vt:lpwstr>
  </property>
  <property fmtid="{D5CDD505-2E9C-101B-9397-08002B2CF9AE}" pid="10" name="Last edited using">
    <vt:lpwstr>LW 8.0, Build 20220128</vt:lpwstr>
  </property>
</Properties>
</file>