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90BB5" w14:textId="0B72A584" w:rsidR="00B92285" w:rsidRDefault="00467CAD" w:rsidP="00467CAD">
      <w:pPr>
        <w:pStyle w:val="Pagedecouverture"/>
        <w:rPr>
          <w:noProof/>
        </w:rPr>
      </w:pPr>
      <w:bookmarkStart w:id="0" w:name="LW_BM_COVERPAGE"/>
      <w:r>
        <w:rPr>
          <w:noProof/>
        </w:rPr>
        <w:pict w14:anchorId="1641C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97D5402A-B156-4C07-84B2-31ED25D6DDDF" style="width:455.25pt;height:324pt">
            <v:imagedata r:id="rId11" o:title=""/>
          </v:shape>
        </w:pict>
      </w:r>
    </w:p>
    <w:bookmarkEnd w:id="0"/>
    <w:p w14:paraId="38F63EF0" w14:textId="77777777" w:rsidR="00467CAD" w:rsidRPr="00467CAD" w:rsidRDefault="00467CAD" w:rsidP="00467CAD">
      <w:pPr>
        <w:pStyle w:val="Pagedecouverture"/>
        <w:sectPr w:rsidR="00467CAD" w:rsidRPr="00467CAD" w:rsidSect="00467CAD">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26327CC2" w14:textId="64C24BD2" w:rsidR="005B15B7" w:rsidRPr="009306D5" w:rsidRDefault="00FE0EC3" w:rsidP="00FE0EC3">
      <w:pPr>
        <w:rPr>
          <w:rFonts w:cs="Times New Roman"/>
          <w:noProof/>
          <w:sz w:val="16"/>
          <w:szCs w:val="16"/>
        </w:rPr>
      </w:pPr>
      <w:bookmarkStart w:id="1" w:name="_GoBack"/>
      <w:bookmarkEnd w:id="1"/>
      <w:r w:rsidRPr="009306D5">
        <w:rPr>
          <w:b/>
          <w:i/>
          <w:noProof/>
          <w:sz w:val="24"/>
        </w:rPr>
        <w:lastRenderedPageBreak/>
        <w:t>Sisukord</w:t>
      </w:r>
    </w:p>
    <w:p w14:paraId="2ECC94F7" w14:textId="166661E0" w:rsidR="001138E2" w:rsidRPr="009306D5" w:rsidRDefault="00BA2A02">
      <w:pPr>
        <w:pStyle w:val="TOC1"/>
        <w:rPr>
          <w:rFonts w:eastAsiaTheme="minorEastAsia"/>
          <w:caps w:val="0"/>
          <w:noProof/>
          <w:sz w:val="22"/>
          <w:szCs w:val="22"/>
        </w:rPr>
      </w:pPr>
      <w:r w:rsidRPr="009306D5">
        <w:rPr>
          <w:noProof/>
        </w:rPr>
        <w:fldChar w:fldCharType="begin"/>
      </w:r>
      <w:r w:rsidRPr="009306D5">
        <w:rPr>
          <w:noProof/>
        </w:rPr>
        <w:instrText xml:space="preserve"> TOC \o \h \z \u </w:instrText>
      </w:r>
      <w:r w:rsidRPr="009306D5">
        <w:rPr>
          <w:noProof/>
        </w:rPr>
        <w:fldChar w:fldCharType="separate"/>
      </w:r>
      <w:hyperlink w:anchor="_Toc95812948" w:history="1">
        <w:r w:rsidR="001138E2" w:rsidRPr="009306D5">
          <w:rPr>
            <w:rStyle w:val="Hyperlink"/>
            <w:noProof/>
          </w:rPr>
          <w:t>1.</w:t>
        </w:r>
        <w:r w:rsidR="001138E2" w:rsidRPr="009306D5">
          <w:rPr>
            <w:rFonts w:eastAsiaTheme="minorEastAsia"/>
            <w:caps w:val="0"/>
            <w:noProof/>
            <w:sz w:val="22"/>
            <w:szCs w:val="22"/>
          </w:rPr>
          <w:tab/>
        </w:r>
        <w:r w:rsidR="001138E2" w:rsidRPr="009306D5">
          <w:rPr>
            <w:rStyle w:val="Hyperlink"/>
            <w:noProof/>
          </w:rPr>
          <w:t>Sissejuhatus</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_Toc95812948 \h </w:instrText>
        </w:r>
        <w:r w:rsidR="001138E2" w:rsidRPr="009306D5">
          <w:rPr>
            <w:noProof/>
            <w:webHidden/>
          </w:rPr>
        </w:r>
        <w:r w:rsidR="001138E2" w:rsidRPr="009306D5">
          <w:rPr>
            <w:noProof/>
            <w:webHidden/>
          </w:rPr>
          <w:fldChar w:fldCharType="separate"/>
        </w:r>
        <w:r w:rsidR="00135C2F" w:rsidRPr="009306D5">
          <w:rPr>
            <w:noProof/>
            <w:webHidden/>
          </w:rPr>
          <w:t>3</w:t>
        </w:r>
        <w:r w:rsidR="001138E2" w:rsidRPr="009306D5">
          <w:rPr>
            <w:noProof/>
            <w:webHidden/>
          </w:rPr>
          <w:fldChar w:fldCharType="end"/>
        </w:r>
      </w:hyperlink>
    </w:p>
    <w:p w14:paraId="797B8D30" w14:textId="1BF4743B" w:rsidR="001138E2" w:rsidRPr="009306D5" w:rsidRDefault="00467CAD">
      <w:pPr>
        <w:pStyle w:val="TOC2"/>
        <w:tabs>
          <w:tab w:val="left" w:pos="2041"/>
        </w:tabs>
        <w:rPr>
          <w:rFonts w:ascii="Times New Roman" w:eastAsiaTheme="minorEastAsia" w:hAnsi="Times New Roman"/>
          <w:noProof/>
          <w:sz w:val="22"/>
          <w:szCs w:val="22"/>
        </w:rPr>
      </w:pPr>
      <w:hyperlink w:anchor="_Toc95812949" w:history="1">
        <w:r w:rsidR="001138E2" w:rsidRPr="009306D5">
          <w:rPr>
            <w:rStyle w:val="Hyperlink"/>
            <w:rFonts w:ascii="Times New Roman" w:hAnsi="Times New Roman"/>
            <w:noProof/>
          </w:rPr>
          <w:t>1.1.</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Uus käsitlusviis: tuginemine edulugudele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_Toc95812949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w:t>
        </w:r>
        <w:r w:rsidR="001138E2" w:rsidRPr="009306D5">
          <w:rPr>
            <w:rFonts w:ascii="Times New Roman" w:hAnsi="Times New Roman"/>
            <w:noProof/>
            <w:webHidden/>
          </w:rPr>
          <w:fldChar w:fldCharType="end"/>
        </w:r>
      </w:hyperlink>
    </w:p>
    <w:p w14:paraId="13E452E4" w14:textId="73557F28" w:rsidR="001138E2" w:rsidRPr="009306D5" w:rsidRDefault="00467CAD">
      <w:pPr>
        <w:pStyle w:val="TOC2"/>
        <w:tabs>
          <w:tab w:val="left" w:pos="2041"/>
        </w:tabs>
        <w:rPr>
          <w:rFonts w:ascii="Times New Roman" w:eastAsiaTheme="minorEastAsia" w:hAnsi="Times New Roman"/>
          <w:noProof/>
          <w:sz w:val="22"/>
          <w:szCs w:val="22"/>
        </w:rPr>
      </w:pPr>
      <w:hyperlink w:anchor="_Toc95812950" w:history="1">
        <w:r w:rsidR="001138E2" w:rsidRPr="009306D5">
          <w:rPr>
            <w:rStyle w:val="Hyperlink"/>
            <w:rFonts w:ascii="Times New Roman" w:hAnsi="Times New Roman"/>
            <w:noProof/>
          </w:rPr>
          <w:t>1.2.</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Andmete kogumine ja analüüs</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_Toc95812950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4</w:t>
        </w:r>
        <w:r w:rsidR="001138E2" w:rsidRPr="009306D5">
          <w:rPr>
            <w:rFonts w:ascii="Times New Roman" w:hAnsi="Times New Roman"/>
            <w:noProof/>
            <w:webHidden/>
          </w:rPr>
          <w:fldChar w:fldCharType="end"/>
        </w:r>
      </w:hyperlink>
    </w:p>
    <w:p w14:paraId="394CB066" w14:textId="330271F0" w:rsidR="001138E2" w:rsidRPr="009306D5" w:rsidRDefault="00467CAD">
      <w:pPr>
        <w:pStyle w:val="TOC1"/>
        <w:rPr>
          <w:rFonts w:eastAsiaTheme="minorEastAsia"/>
          <w:caps w:val="0"/>
          <w:noProof/>
          <w:sz w:val="22"/>
          <w:szCs w:val="22"/>
        </w:rPr>
      </w:pPr>
      <w:hyperlink w:anchor="_Toc95812951" w:history="1">
        <w:r w:rsidR="001138E2" w:rsidRPr="009306D5">
          <w:rPr>
            <w:rStyle w:val="Hyperlink"/>
            <w:noProof/>
          </w:rPr>
          <w:t>2.</w:t>
        </w:r>
        <w:r w:rsidR="001138E2" w:rsidRPr="009306D5">
          <w:rPr>
            <w:rFonts w:eastAsiaTheme="minorEastAsia"/>
            <w:caps w:val="0"/>
            <w:noProof/>
            <w:sz w:val="22"/>
            <w:szCs w:val="22"/>
          </w:rPr>
          <w:tab/>
        </w:r>
        <w:r w:rsidR="001138E2" w:rsidRPr="009306D5">
          <w:rPr>
            <w:rStyle w:val="Hyperlink"/>
            <w:noProof/>
          </w:rPr>
          <w:t>Ühine huvi: käibemaksu tähtsus liikmesriikide, Euroopa Liidu ja maksumaksjate jaoks</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_Toc95812951 \h </w:instrText>
        </w:r>
        <w:r w:rsidR="001138E2" w:rsidRPr="009306D5">
          <w:rPr>
            <w:noProof/>
            <w:webHidden/>
          </w:rPr>
        </w:r>
        <w:r w:rsidR="001138E2" w:rsidRPr="009306D5">
          <w:rPr>
            <w:noProof/>
            <w:webHidden/>
          </w:rPr>
          <w:fldChar w:fldCharType="separate"/>
        </w:r>
        <w:r w:rsidR="00135C2F" w:rsidRPr="009306D5">
          <w:rPr>
            <w:noProof/>
            <w:webHidden/>
          </w:rPr>
          <w:t>4</w:t>
        </w:r>
        <w:r w:rsidR="001138E2" w:rsidRPr="009306D5">
          <w:rPr>
            <w:noProof/>
            <w:webHidden/>
          </w:rPr>
          <w:fldChar w:fldCharType="end"/>
        </w:r>
      </w:hyperlink>
    </w:p>
    <w:p w14:paraId="4E17FC0A" w14:textId="35EC3574" w:rsidR="001138E2" w:rsidRPr="009306D5" w:rsidRDefault="00467CAD">
      <w:pPr>
        <w:pStyle w:val="TOC2"/>
        <w:tabs>
          <w:tab w:val="left" w:pos="2041"/>
        </w:tabs>
        <w:rPr>
          <w:rFonts w:ascii="Times New Roman" w:eastAsiaTheme="minorEastAsia" w:hAnsi="Times New Roman"/>
          <w:noProof/>
          <w:sz w:val="22"/>
          <w:szCs w:val="22"/>
        </w:rPr>
      </w:pPr>
      <w:hyperlink w:anchor="_Toc95812952" w:history="1">
        <w:r w:rsidR="001138E2" w:rsidRPr="009306D5">
          <w:rPr>
            <w:rStyle w:val="Hyperlink"/>
            <w:rFonts w:ascii="Times New Roman" w:hAnsi="Times New Roman"/>
            <w:noProof/>
          </w:rPr>
          <w:t>2.1.</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Maksukuulekuse lõhe (käibemaksulõhe)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_Toc95812952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4</w:t>
        </w:r>
        <w:r w:rsidR="001138E2" w:rsidRPr="009306D5">
          <w:rPr>
            <w:rFonts w:ascii="Times New Roman" w:hAnsi="Times New Roman"/>
            <w:noProof/>
            <w:webHidden/>
          </w:rPr>
          <w:fldChar w:fldCharType="end"/>
        </w:r>
      </w:hyperlink>
    </w:p>
    <w:p w14:paraId="092CF450" w14:textId="0DF3693D" w:rsidR="001138E2" w:rsidRPr="009306D5" w:rsidRDefault="00467CAD">
      <w:pPr>
        <w:pStyle w:val="TOC2"/>
        <w:tabs>
          <w:tab w:val="left" w:pos="2041"/>
        </w:tabs>
        <w:rPr>
          <w:rFonts w:ascii="Times New Roman" w:eastAsiaTheme="minorEastAsia" w:hAnsi="Times New Roman"/>
          <w:noProof/>
          <w:sz w:val="22"/>
          <w:szCs w:val="22"/>
        </w:rPr>
      </w:pPr>
      <w:hyperlink w:anchor="_Toc95812953" w:history="1">
        <w:r w:rsidR="001138E2" w:rsidRPr="009306D5">
          <w:rPr>
            <w:rStyle w:val="Hyperlink"/>
            <w:rFonts w:ascii="Times New Roman" w:hAnsi="Times New Roman"/>
            <w:noProof/>
          </w:rPr>
          <w:t>2.2.</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Käibemaksulõhe mõju omavahenditele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_Toc95812953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8</w:t>
        </w:r>
        <w:r w:rsidR="001138E2" w:rsidRPr="009306D5">
          <w:rPr>
            <w:rFonts w:ascii="Times New Roman" w:hAnsi="Times New Roman"/>
            <w:noProof/>
            <w:webHidden/>
          </w:rPr>
          <w:fldChar w:fldCharType="end"/>
        </w:r>
      </w:hyperlink>
    </w:p>
    <w:p w14:paraId="1CA54B06" w14:textId="0D7A984C" w:rsidR="001138E2" w:rsidRPr="009306D5" w:rsidRDefault="00467CAD">
      <w:pPr>
        <w:pStyle w:val="TOC2"/>
        <w:tabs>
          <w:tab w:val="left" w:pos="2041"/>
        </w:tabs>
        <w:rPr>
          <w:rFonts w:ascii="Times New Roman" w:eastAsiaTheme="minorEastAsia" w:hAnsi="Times New Roman"/>
          <w:noProof/>
          <w:sz w:val="22"/>
          <w:szCs w:val="22"/>
        </w:rPr>
      </w:pPr>
      <w:hyperlink w:anchor="_Toc95812954" w:history="1">
        <w:r w:rsidR="001138E2" w:rsidRPr="009306D5">
          <w:rPr>
            <w:rStyle w:val="Hyperlink"/>
            <w:rFonts w:ascii="Times New Roman" w:hAnsi="Times New Roman"/>
            <w:noProof/>
          </w:rPr>
          <w:t>2.3.</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Käibemaksu haldamine ja maksukuulekusega seotud koormus ettevõtjate jaoks</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_Toc95812954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9</w:t>
        </w:r>
        <w:r w:rsidR="001138E2" w:rsidRPr="009306D5">
          <w:rPr>
            <w:rFonts w:ascii="Times New Roman" w:hAnsi="Times New Roman"/>
            <w:noProof/>
            <w:webHidden/>
          </w:rPr>
          <w:fldChar w:fldCharType="end"/>
        </w:r>
      </w:hyperlink>
    </w:p>
    <w:p w14:paraId="0C3BF43C" w14:textId="7C368047" w:rsidR="001138E2" w:rsidRPr="009306D5" w:rsidRDefault="00467CAD">
      <w:pPr>
        <w:pStyle w:val="TOC1"/>
        <w:rPr>
          <w:rFonts w:eastAsiaTheme="minorEastAsia"/>
          <w:caps w:val="0"/>
          <w:noProof/>
          <w:sz w:val="22"/>
          <w:szCs w:val="22"/>
        </w:rPr>
      </w:pPr>
      <w:hyperlink w:anchor="_Toc95812955" w:history="1">
        <w:r w:rsidR="001138E2" w:rsidRPr="009306D5">
          <w:rPr>
            <w:rStyle w:val="Hyperlink"/>
            <w:noProof/>
          </w:rPr>
          <w:t>3.</w:t>
        </w:r>
        <w:r w:rsidR="001138E2" w:rsidRPr="009306D5">
          <w:rPr>
            <w:rFonts w:eastAsiaTheme="minorEastAsia"/>
            <w:caps w:val="0"/>
            <w:noProof/>
            <w:sz w:val="22"/>
            <w:szCs w:val="22"/>
          </w:rPr>
          <w:tab/>
        </w:r>
        <w:r w:rsidR="001138E2" w:rsidRPr="009306D5">
          <w:rPr>
            <w:rStyle w:val="Hyperlink"/>
            <w:noProof/>
          </w:rPr>
          <w:t>Käibemaksukohustuslasena registreerimine ja riskianalüüs</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_Toc95812955 \h </w:instrText>
        </w:r>
        <w:r w:rsidR="001138E2" w:rsidRPr="009306D5">
          <w:rPr>
            <w:noProof/>
            <w:webHidden/>
          </w:rPr>
        </w:r>
        <w:r w:rsidR="001138E2" w:rsidRPr="009306D5">
          <w:rPr>
            <w:noProof/>
            <w:webHidden/>
          </w:rPr>
          <w:fldChar w:fldCharType="separate"/>
        </w:r>
        <w:r w:rsidR="00135C2F" w:rsidRPr="009306D5">
          <w:rPr>
            <w:noProof/>
            <w:webHidden/>
          </w:rPr>
          <w:t>9</w:t>
        </w:r>
        <w:r w:rsidR="001138E2" w:rsidRPr="009306D5">
          <w:rPr>
            <w:noProof/>
            <w:webHidden/>
          </w:rPr>
          <w:fldChar w:fldCharType="end"/>
        </w:r>
      </w:hyperlink>
    </w:p>
    <w:p w14:paraId="7315471C" w14:textId="5125779D" w:rsidR="001138E2" w:rsidRPr="009306D5" w:rsidRDefault="00467CAD">
      <w:pPr>
        <w:pStyle w:val="TOC2"/>
        <w:tabs>
          <w:tab w:val="left" w:pos="2041"/>
        </w:tabs>
        <w:rPr>
          <w:rFonts w:ascii="Times New Roman" w:eastAsiaTheme="minorEastAsia" w:hAnsi="Times New Roman"/>
          <w:noProof/>
          <w:sz w:val="22"/>
          <w:szCs w:val="22"/>
        </w:rPr>
      </w:pPr>
      <w:hyperlink w:anchor="_Toc95812956" w:history="1">
        <w:r w:rsidR="001138E2" w:rsidRPr="009306D5">
          <w:rPr>
            <w:rStyle w:val="Hyperlink"/>
            <w:rFonts w:ascii="Times New Roman" w:hAnsi="Times New Roman"/>
            <w:noProof/>
          </w:rPr>
          <w:t>3.1.</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Maksumaksjate aitamine tõhusama kommunikatsiooniga</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_Toc95812956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9</w:t>
        </w:r>
        <w:r w:rsidR="001138E2" w:rsidRPr="009306D5">
          <w:rPr>
            <w:rFonts w:ascii="Times New Roman" w:hAnsi="Times New Roman"/>
            <w:noProof/>
            <w:webHidden/>
          </w:rPr>
          <w:fldChar w:fldCharType="end"/>
        </w:r>
      </w:hyperlink>
    </w:p>
    <w:p w14:paraId="1255E88C" w14:textId="428DD202" w:rsidR="001138E2" w:rsidRPr="009306D5" w:rsidRDefault="00467CAD">
      <w:pPr>
        <w:pStyle w:val="TOC2"/>
        <w:tabs>
          <w:tab w:val="left" w:pos="2041"/>
        </w:tabs>
        <w:rPr>
          <w:rFonts w:ascii="Times New Roman" w:eastAsiaTheme="minorEastAsia" w:hAnsi="Times New Roman"/>
          <w:noProof/>
          <w:sz w:val="22"/>
          <w:szCs w:val="22"/>
        </w:rPr>
      </w:pPr>
      <w:hyperlink w:anchor="_Toc95812957" w:history="1">
        <w:r w:rsidR="001138E2" w:rsidRPr="009306D5">
          <w:rPr>
            <w:rStyle w:val="Hyperlink"/>
            <w:rFonts w:ascii="Times New Roman" w:hAnsi="Times New Roman"/>
            <w:noProof/>
          </w:rPr>
          <w:t>3.2.</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Käibemaksukohustuslasena registreeritud maksumaksjate andmebaasi täielikkus</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_Toc95812957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10</w:t>
        </w:r>
        <w:r w:rsidR="001138E2" w:rsidRPr="009306D5">
          <w:rPr>
            <w:rFonts w:ascii="Times New Roman" w:hAnsi="Times New Roman"/>
            <w:noProof/>
            <w:webHidden/>
          </w:rPr>
          <w:fldChar w:fldCharType="end"/>
        </w:r>
      </w:hyperlink>
    </w:p>
    <w:p w14:paraId="04C70194" w14:textId="0A6DD9EF" w:rsidR="001138E2" w:rsidRPr="009306D5" w:rsidRDefault="00467CAD">
      <w:pPr>
        <w:pStyle w:val="TOC1"/>
        <w:rPr>
          <w:rFonts w:eastAsiaTheme="minorEastAsia"/>
          <w:caps w:val="0"/>
          <w:noProof/>
          <w:sz w:val="22"/>
          <w:szCs w:val="22"/>
        </w:rPr>
      </w:pPr>
      <w:hyperlink w:anchor="_Toc95812958" w:history="1">
        <w:r w:rsidR="001138E2" w:rsidRPr="009306D5">
          <w:rPr>
            <w:rStyle w:val="Hyperlink"/>
            <w:noProof/>
          </w:rPr>
          <w:t>4.</w:t>
        </w:r>
        <w:r w:rsidR="001138E2" w:rsidRPr="009306D5">
          <w:rPr>
            <w:rFonts w:eastAsiaTheme="minorEastAsia"/>
            <w:caps w:val="0"/>
            <w:noProof/>
            <w:sz w:val="22"/>
            <w:szCs w:val="22"/>
          </w:rPr>
          <w:tab/>
        </w:r>
        <w:r w:rsidR="001138E2" w:rsidRPr="009306D5">
          <w:rPr>
            <w:rStyle w:val="Hyperlink"/>
            <w:noProof/>
          </w:rPr>
          <w:t>Käibemaks, infotehnoloogia ja uued tehnoloogiad</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_Toc95812958 \h </w:instrText>
        </w:r>
        <w:r w:rsidR="001138E2" w:rsidRPr="009306D5">
          <w:rPr>
            <w:noProof/>
            <w:webHidden/>
          </w:rPr>
        </w:r>
        <w:r w:rsidR="001138E2" w:rsidRPr="009306D5">
          <w:rPr>
            <w:noProof/>
            <w:webHidden/>
          </w:rPr>
          <w:fldChar w:fldCharType="separate"/>
        </w:r>
        <w:r w:rsidR="00135C2F" w:rsidRPr="009306D5">
          <w:rPr>
            <w:noProof/>
            <w:webHidden/>
          </w:rPr>
          <w:t>18</w:t>
        </w:r>
        <w:r w:rsidR="001138E2" w:rsidRPr="009306D5">
          <w:rPr>
            <w:noProof/>
            <w:webHidden/>
          </w:rPr>
          <w:fldChar w:fldCharType="end"/>
        </w:r>
      </w:hyperlink>
    </w:p>
    <w:p w14:paraId="61943F83" w14:textId="1D2FF550" w:rsidR="001138E2" w:rsidRPr="009306D5" w:rsidRDefault="00467CAD">
      <w:pPr>
        <w:pStyle w:val="TOC2"/>
        <w:tabs>
          <w:tab w:val="left" w:pos="2041"/>
        </w:tabs>
        <w:rPr>
          <w:rFonts w:ascii="Times New Roman" w:eastAsiaTheme="minorEastAsia" w:hAnsi="Times New Roman"/>
          <w:noProof/>
          <w:sz w:val="22"/>
          <w:szCs w:val="22"/>
        </w:rPr>
      </w:pPr>
      <w:hyperlink w:anchor="_Toc95812959" w:history="1">
        <w:r w:rsidR="001138E2" w:rsidRPr="009306D5">
          <w:rPr>
            <w:rStyle w:val="Hyperlink"/>
            <w:rFonts w:ascii="Times New Roman" w:hAnsi="Times New Roman"/>
            <w:noProof/>
          </w:rPr>
          <w:t>4.1.</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E-kaubandus</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_Toc95812959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18</w:t>
        </w:r>
        <w:r w:rsidR="001138E2" w:rsidRPr="009306D5">
          <w:rPr>
            <w:rFonts w:ascii="Times New Roman" w:hAnsi="Times New Roman"/>
            <w:noProof/>
            <w:webHidden/>
          </w:rPr>
          <w:fldChar w:fldCharType="end"/>
        </w:r>
      </w:hyperlink>
    </w:p>
    <w:p w14:paraId="0F558000" w14:textId="74E16105" w:rsidR="001138E2" w:rsidRPr="009306D5" w:rsidRDefault="00467CAD">
      <w:pPr>
        <w:pStyle w:val="TOC2"/>
        <w:tabs>
          <w:tab w:val="left" w:pos="2041"/>
        </w:tabs>
        <w:rPr>
          <w:rFonts w:ascii="Times New Roman" w:eastAsiaTheme="minorEastAsia" w:hAnsi="Times New Roman"/>
          <w:noProof/>
          <w:sz w:val="22"/>
          <w:szCs w:val="22"/>
        </w:rPr>
      </w:pPr>
      <w:hyperlink w:anchor="_Toc95812960" w:history="1">
        <w:r w:rsidR="001138E2" w:rsidRPr="009306D5">
          <w:rPr>
            <w:rStyle w:val="Hyperlink"/>
            <w:rFonts w:ascii="Times New Roman" w:hAnsi="Times New Roman"/>
            <w:noProof/>
          </w:rPr>
          <w:t>4.2.</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Väike ühe akna süsteem (MOSS)</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_Toc95812960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19</w:t>
        </w:r>
        <w:r w:rsidR="001138E2" w:rsidRPr="009306D5">
          <w:rPr>
            <w:rFonts w:ascii="Times New Roman" w:hAnsi="Times New Roman"/>
            <w:noProof/>
            <w:webHidden/>
          </w:rPr>
          <w:fldChar w:fldCharType="end"/>
        </w:r>
      </w:hyperlink>
    </w:p>
    <w:p w14:paraId="5E1C39B1" w14:textId="52CF699A" w:rsidR="001138E2" w:rsidRPr="009306D5" w:rsidRDefault="00467CAD">
      <w:pPr>
        <w:pStyle w:val="TOC2"/>
        <w:tabs>
          <w:tab w:val="left" w:pos="2041"/>
        </w:tabs>
        <w:rPr>
          <w:rFonts w:ascii="Times New Roman" w:eastAsiaTheme="minorEastAsia" w:hAnsi="Times New Roman"/>
          <w:noProof/>
          <w:sz w:val="22"/>
          <w:szCs w:val="22"/>
        </w:rPr>
      </w:pPr>
      <w:hyperlink w:anchor="_Toc95812961" w:history="1">
        <w:r w:rsidR="001138E2" w:rsidRPr="009306D5">
          <w:rPr>
            <w:rStyle w:val="Hyperlink"/>
            <w:rFonts w:ascii="Times New Roman" w:hAnsi="Times New Roman"/>
            <w:noProof/>
          </w:rPr>
          <w:t>4.3.</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Digitaliseerimine, infotehnoloogia ja andmeanalüüs</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_Toc95812961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24</w:t>
        </w:r>
        <w:r w:rsidR="001138E2" w:rsidRPr="009306D5">
          <w:rPr>
            <w:rFonts w:ascii="Times New Roman" w:hAnsi="Times New Roman"/>
            <w:noProof/>
            <w:webHidden/>
          </w:rPr>
          <w:fldChar w:fldCharType="end"/>
        </w:r>
      </w:hyperlink>
    </w:p>
    <w:p w14:paraId="7BDE3641" w14:textId="78B95FA5" w:rsidR="001138E2" w:rsidRPr="009306D5" w:rsidRDefault="00467CAD">
      <w:pPr>
        <w:pStyle w:val="TOC2"/>
        <w:tabs>
          <w:tab w:val="left" w:pos="2041"/>
        </w:tabs>
        <w:rPr>
          <w:rFonts w:ascii="Times New Roman" w:eastAsiaTheme="minorEastAsia" w:hAnsi="Times New Roman"/>
          <w:noProof/>
          <w:sz w:val="22"/>
          <w:szCs w:val="22"/>
        </w:rPr>
      </w:pPr>
      <w:hyperlink w:anchor="_Toc95812962" w:history="1">
        <w:r w:rsidR="001138E2" w:rsidRPr="009306D5">
          <w:rPr>
            <w:rStyle w:val="Hyperlink"/>
            <w:rFonts w:ascii="Times New Roman" w:hAnsi="Times New Roman"/>
            <w:noProof/>
          </w:rPr>
          <w:t>4.4.</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Maksukuulekuse juhtimise kavad</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_Toc95812962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27</w:t>
        </w:r>
        <w:r w:rsidR="001138E2" w:rsidRPr="009306D5">
          <w:rPr>
            <w:rFonts w:ascii="Times New Roman" w:hAnsi="Times New Roman"/>
            <w:noProof/>
            <w:webHidden/>
          </w:rPr>
          <w:fldChar w:fldCharType="end"/>
        </w:r>
      </w:hyperlink>
    </w:p>
    <w:p w14:paraId="16D45E97" w14:textId="77490D71" w:rsidR="001138E2" w:rsidRPr="009306D5" w:rsidRDefault="00467CAD">
      <w:pPr>
        <w:pStyle w:val="TOC2"/>
        <w:tabs>
          <w:tab w:val="left" w:pos="2041"/>
        </w:tabs>
        <w:rPr>
          <w:rFonts w:ascii="Times New Roman" w:eastAsiaTheme="minorEastAsia" w:hAnsi="Times New Roman"/>
          <w:noProof/>
          <w:sz w:val="22"/>
          <w:szCs w:val="22"/>
        </w:rPr>
      </w:pPr>
      <w:hyperlink w:anchor="_Toc95812963" w:history="1">
        <w:r w:rsidR="001138E2" w:rsidRPr="009306D5">
          <w:rPr>
            <w:rStyle w:val="Hyperlink"/>
            <w:rFonts w:ascii="Times New Roman" w:hAnsi="Times New Roman"/>
            <w:noProof/>
          </w:rPr>
          <w:t>4.5.</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Maksumaksjatele pakutavad teenused</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_Toc95812963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28</w:t>
        </w:r>
        <w:r w:rsidR="001138E2" w:rsidRPr="009306D5">
          <w:rPr>
            <w:rFonts w:ascii="Times New Roman" w:hAnsi="Times New Roman"/>
            <w:noProof/>
            <w:webHidden/>
          </w:rPr>
          <w:fldChar w:fldCharType="end"/>
        </w:r>
      </w:hyperlink>
    </w:p>
    <w:p w14:paraId="6C3D8DCF" w14:textId="677B32AF" w:rsidR="001138E2" w:rsidRPr="009306D5" w:rsidRDefault="00467CAD">
      <w:pPr>
        <w:pStyle w:val="TOC2"/>
        <w:tabs>
          <w:tab w:val="left" w:pos="2041"/>
        </w:tabs>
        <w:rPr>
          <w:rFonts w:ascii="Times New Roman" w:eastAsiaTheme="minorEastAsia" w:hAnsi="Times New Roman"/>
          <w:noProof/>
          <w:sz w:val="22"/>
          <w:szCs w:val="22"/>
        </w:rPr>
      </w:pPr>
      <w:hyperlink w:anchor="_Toc95812964" w:history="1">
        <w:r w:rsidR="001138E2" w:rsidRPr="009306D5">
          <w:rPr>
            <w:rStyle w:val="Hyperlink"/>
            <w:rFonts w:ascii="Times New Roman" w:hAnsi="Times New Roman"/>
            <w:noProof/>
          </w:rPr>
          <w:t>4.6.</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Andmete kasutamine käibemaksualase maksukuulekuse parandamiseks</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_Toc95812964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30</w:t>
        </w:r>
        <w:r w:rsidR="001138E2" w:rsidRPr="009306D5">
          <w:rPr>
            <w:rFonts w:ascii="Times New Roman" w:hAnsi="Times New Roman"/>
            <w:noProof/>
            <w:webHidden/>
          </w:rPr>
          <w:fldChar w:fldCharType="end"/>
        </w:r>
      </w:hyperlink>
    </w:p>
    <w:p w14:paraId="10763EEE" w14:textId="04DD9056" w:rsidR="001138E2" w:rsidRPr="009306D5" w:rsidRDefault="00467CAD">
      <w:pPr>
        <w:pStyle w:val="TOC3"/>
        <w:rPr>
          <w:rFonts w:ascii="Times New Roman" w:eastAsiaTheme="minorEastAsia" w:hAnsi="Times New Roman"/>
          <w:noProof/>
          <w:sz w:val="22"/>
          <w:szCs w:val="22"/>
        </w:rPr>
      </w:pPr>
      <w:hyperlink w:anchor="_Toc95812965" w:history="1">
        <w:r w:rsidR="001138E2" w:rsidRPr="009306D5">
          <w:rPr>
            <w:rStyle w:val="Hyperlink"/>
            <w:rFonts w:ascii="Times New Roman" w:hAnsi="Times New Roman"/>
            <w:noProof/>
          </w:rPr>
          <w:t>4.6.1. Andmete kogumine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_Toc95812965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30</w:t>
        </w:r>
        <w:r w:rsidR="001138E2" w:rsidRPr="009306D5">
          <w:rPr>
            <w:rFonts w:ascii="Times New Roman" w:hAnsi="Times New Roman"/>
            <w:noProof/>
            <w:webHidden/>
          </w:rPr>
          <w:fldChar w:fldCharType="end"/>
        </w:r>
      </w:hyperlink>
    </w:p>
    <w:p w14:paraId="2358E656" w14:textId="6B85C462" w:rsidR="001138E2" w:rsidRPr="009306D5" w:rsidRDefault="00467CAD">
      <w:pPr>
        <w:pStyle w:val="TOC3"/>
        <w:rPr>
          <w:rFonts w:ascii="Times New Roman" w:eastAsiaTheme="minorEastAsia" w:hAnsi="Times New Roman"/>
          <w:noProof/>
          <w:sz w:val="22"/>
          <w:szCs w:val="22"/>
        </w:rPr>
      </w:pPr>
      <w:hyperlink w:anchor="_Toc95812966" w:history="1">
        <w:r w:rsidR="001138E2" w:rsidRPr="009306D5">
          <w:rPr>
            <w:rStyle w:val="Hyperlink"/>
            <w:rFonts w:ascii="Times New Roman" w:hAnsi="Times New Roman"/>
            <w:noProof/>
          </w:rPr>
          <w:t>4.6.2. Teadmistel põhinev otsustamine: andmete kasutamine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_Toc95812966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31</w:t>
        </w:r>
        <w:r w:rsidR="001138E2" w:rsidRPr="009306D5">
          <w:rPr>
            <w:rFonts w:ascii="Times New Roman" w:hAnsi="Times New Roman"/>
            <w:noProof/>
            <w:webHidden/>
          </w:rPr>
          <w:fldChar w:fldCharType="end"/>
        </w:r>
      </w:hyperlink>
    </w:p>
    <w:p w14:paraId="24893BB9" w14:textId="261927AC" w:rsidR="001138E2" w:rsidRPr="009306D5" w:rsidRDefault="00467CAD">
      <w:pPr>
        <w:pStyle w:val="TOC1"/>
        <w:rPr>
          <w:rFonts w:eastAsiaTheme="minorEastAsia"/>
          <w:caps w:val="0"/>
          <w:noProof/>
          <w:sz w:val="22"/>
          <w:szCs w:val="22"/>
        </w:rPr>
      </w:pPr>
      <w:hyperlink w:anchor="_Toc95812967" w:history="1">
        <w:r w:rsidR="001138E2" w:rsidRPr="009306D5">
          <w:rPr>
            <w:rStyle w:val="Hyperlink"/>
            <w:noProof/>
          </w:rPr>
          <w:t>5.</w:t>
        </w:r>
        <w:r w:rsidR="001138E2" w:rsidRPr="009306D5">
          <w:rPr>
            <w:rFonts w:eastAsiaTheme="minorEastAsia"/>
            <w:caps w:val="0"/>
            <w:noProof/>
            <w:sz w:val="22"/>
            <w:szCs w:val="22"/>
          </w:rPr>
          <w:tab/>
        </w:r>
        <w:r w:rsidR="001138E2" w:rsidRPr="009306D5">
          <w:rPr>
            <w:rStyle w:val="Hyperlink"/>
            <w:noProof/>
          </w:rPr>
          <w:t>Deklaratsioonide esitamine ja maksu tasumine</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_Toc95812967 \h </w:instrText>
        </w:r>
        <w:r w:rsidR="001138E2" w:rsidRPr="009306D5">
          <w:rPr>
            <w:noProof/>
            <w:webHidden/>
          </w:rPr>
        </w:r>
        <w:r w:rsidR="001138E2" w:rsidRPr="009306D5">
          <w:rPr>
            <w:noProof/>
            <w:webHidden/>
          </w:rPr>
          <w:fldChar w:fldCharType="separate"/>
        </w:r>
        <w:r w:rsidR="00135C2F" w:rsidRPr="009306D5">
          <w:rPr>
            <w:noProof/>
            <w:webHidden/>
          </w:rPr>
          <w:t>33</w:t>
        </w:r>
        <w:r w:rsidR="001138E2" w:rsidRPr="009306D5">
          <w:rPr>
            <w:noProof/>
            <w:webHidden/>
          </w:rPr>
          <w:fldChar w:fldCharType="end"/>
        </w:r>
      </w:hyperlink>
    </w:p>
    <w:p w14:paraId="3FC4F0D0" w14:textId="227C1FB7" w:rsidR="001138E2" w:rsidRPr="009306D5" w:rsidRDefault="00467CAD">
      <w:pPr>
        <w:pStyle w:val="TOC2"/>
        <w:tabs>
          <w:tab w:val="left" w:pos="2041"/>
        </w:tabs>
        <w:rPr>
          <w:rFonts w:ascii="Times New Roman" w:eastAsiaTheme="minorEastAsia" w:hAnsi="Times New Roman"/>
          <w:noProof/>
          <w:sz w:val="22"/>
          <w:szCs w:val="22"/>
        </w:rPr>
      </w:pPr>
      <w:hyperlink w:anchor="_Toc95812968" w:history="1">
        <w:r w:rsidR="001138E2" w:rsidRPr="009306D5">
          <w:rPr>
            <w:rStyle w:val="Hyperlink"/>
            <w:rFonts w:ascii="Times New Roman" w:hAnsi="Times New Roman"/>
            <w:noProof/>
          </w:rPr>
          <w:t>5.1.</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Õigeaegne deklaratsioonide esitamine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_Toc95812968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33</w:t>
        </w:r>
        <w:r w:rsidR="001138E2" w:rsidRPr="009306D5">
          <w:rPr>
            <w:rFonts w:ascii="Times New Roman" w:hAnsi="Times New Roman"/>
            <w:noProof/>
            <w:webHidden/>
          </w:rPr>
          <w:fldChar w:fldCharType="end"/>
        </w:r>
      </w:hyperlink>
    </w:p>
    <w:p w14:paraId="015735C8" w14:textId="064031A4" w:rsidR="001138E2" w:rsidRPr="009306D5" w:rsidRDefault="00467CAD">
      <w:pPr>
        <w:pStyle w:val="TOC3"/>
        <w:tabs>
          <w:tab w:val="left" w:pos="2041"/>
        </w:tabs>
        <w:rPr>
          <w:rFonts w:ascii="Times New Roman" w:eastAsiaTheme="minorEastAsia" w:hAnsi="Times New Roman"/>
          <w:noProof/>
          <w:sz w:val="22"/>
          <w:szCs w:val="22"/>
        </w:rPr>
      </w:pPr>
      <w:hyperlink w:anchor="_Toc95812969" w:history="1">
        <w:r w:rsidR="001138E2" w:rsidRPr="009306D5">
          <w:rPr>
            <w:rStyle w:val="Hyperlink"/>
            <w:rFonts w:ascii="Times New Roman" w:hAnsi="Times New Roman"/>
            <w:noProof/>
          </w:rPr>
          <w:t>5.1.1.</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Elektrooniline deklaratsiooni esitamine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_Toc95812969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33</w:t>
        </w:r>
        <w:r w:rsidR="001138E2" w:rsidRPr="009306D5">
          <w:rPr>
            <w:rFonts w:ascii="Times New Roman" w:hAnsi="Times New Roman"/>
            <w:noProof/>
            <w:webHidden/>
          </w:rPr>
          <w:fldChar w:fldCharType="end"/>
        </w:r>
      </w:hyperlink>
    </w:p>
    <w:p w14:paraId="09B6E172" w14:textId="5AAF4BC5" w:rsidR="001138E2" w:rsidRPr="009306D5" w:rsidRDefault="00467CAD">
      <w:pPr>
        <w:pStyle w:val="TOC3"/>
        <w:tabs>
          <w:tab w:val="left" w:pos="2041"/>
        </w:tabs>
        <w:rPr>
          <w:rFonts w:ascii="Times New Roman" w:eastAsiaTheme="minorEastAsia" w:hAnsi="Times New Roman"/>
          <w:noProof/>
          <w:sz w:val="22"/>
          <w:szCs w:val="22"/>
        </w:rPr>
      </w:pPr>
      <w:hyperlink w:anchor="_Toc95812970" w:history="1">
        <w:r w:rsidR="001138E2" w:rsidRPr="009306D5">
          <w:rPr>
            <w:rStyle w:val="Hyperlink"/>
            <w:rFonts w:ascii="Times New Roman" w:hAnsi="Times New Roman"/>
            <w:noProof/>
          </w:rPr>
          <w:t>5.1.2.</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Järelevalve käibedeklaratsioonide esitamise nõude täitmise üle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_Toc95812970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33</w:t>
        </w:r>
        <w:r w:rsidR="001138E2" w:rsidRPr="009306D5">
          <w:rPr>
            <w:rFonts w:ascii="Times New Roman" w:hAnsi="Times New Roman"/>
            <w:noProof/>
            <w:webHidden/>
          </w:rPr>
          <w:fldChar w:fldCharType="end"/>
        </w:r>
      </w:hyperlink>
    </w:p>
    <w:p w14:paraId="47F39733" w14:textId="2C13B105" w:rsidR="001138E2" w:rsidRPr="009306D5" w:rsidRDefault="00467CAD">
      <w:pPr>
        <w:pStyle w:val="TOC2"/>
        <w:tabs>
          <w:tab w:val="left" w:pos="2041"/>
        </w:tabs>
        <w:rPr>
          <w:rFonts w:ascii="Times New Roman" w:eastAsiaTheme="minorEastAsia" w:hAnsi="Times New Roman"/>
          <w:noProof/>
          <w:sz w:val="22"/>
          <w:szCs w:val="22"/>
        </w:rPr>
      </w:pPr>
      <w:hyperlink w:anchor="_Toc95812971" w:history="1">
        <w:r w:rsidR="001138E2" w:rsidRPr="009306D5">
          <w:rPr>
            <w:rStyle w:val="Hyperlink"/>
            <w:rFonts w:ascii="Times New Roman" w:hAnsi="Times New Roman"/>
            <w:noProof/>
          </w:rPr>
          <w:t>5.2.</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Käibemaksu tasumine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_Toc95812971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36</w:t>
        </w:r>
        <w:r w:rsidR="001138E2" w:rsidRPr="009306D5">
          <w:rPr>
            <w:rFonts w:ascii="Times New Roman" w:hAnsi="Times New Roman"/>
            <w:noProof/>
            <w:webHidden/>
          </w:rPr>
          <w:fldChar w:fldCharType="end"/>
        </w:r>
      </w:hyperlink>
    </w:p>
    <w:p w14:paraId="66FC5B20" w14:textId="3C25B826" w:rsidR="001138E2" w:rsidRPr="009306D5" w:rsidRDefault="00467CAD">
      <w:pPr>
        <w:pStyle w:val="TOC1"/>
        <w:rPr>
          <w:rFonts w:eastAsiaTheme="minorEastAsia"/>
          <w:caps w:val="0"/>
          <w:noProof/>
          <w:sz w:val="22"/>
          <w:szCs w:val="22"/>
        </w:rPr>
      </w:pPr>
      <w:hyperlink w:anchor="_Toc95812972" w:history="1">
        <w:r w:rsidR="001138E2" w:rsidRPr="009306D5">
          <w:rPr>
            <w:rStyle w:val="Hyperlink"/>
            <w:noProof/>
          </w:rPr>
          <w:t>6.</w:t>
        </w:r>
        <w:r w:rsidR="001138E2" w:rsidRPr="009306D5">
          <w:rPr>
            <w:rFonts w:eastAsiaTheme="minorEastAsia"/>
            <w:caps w:val="0"/>
            <w:noProof/>
            <w:sz w:val="22"/>
            <w:szCs w:val="22"/>
          </w:rPr>
          <w:tab/>
        </w:r>
        <w:r w:rsidR="001138E2" w:rsidRPr="009306D5">
          <w:rPr>
            <w:rStyle w:val="Hyperlink"/>
            <w:noProof/>
          </w:rPr>
          <w:t>Käibemaksuvõlgade sissenõudmine, tagasimaksed ja auditid</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_Toc95812972 \h </w:instrText>
        </w:r>
        <w:r w:rsidR="001138E2" w:rsidRPr="009306D5">
          <w:rPr>
            <w:noProof/>
            <w:webHidden/>
          </w:rPr>
        </w:r>
        <w:r w:rsidR="001138E2" w:rsidRPr="009306D5">
          <w:rPr>
            <w:noProof/>
            <w:webHidden/>
          </w:rPr>
          <w:fldChar w:fldCharType="separate"/>
        </w:r>
        <w:r w:rsidR="00135C2F" w:rsidRPr="009306D5">
          <w:rPr>
            <w:noProof/>
            <w:webHidden/>
          </w:rPr>
          <w:t>38</w:t>
        </w:r>
        <w:r w:rsidR="001138E2" w:rsidRPr="009306D5">
          <w:rPr>
            <w:noProof/>
            <w:webHidden/>
          </w:rPr>
          <w:fldChar w:fldCharType="end"/>
        </w:r>
      </w:hyperlink>
    </w:p>
    <w:p w14:paraId="7A40C9D1" w14:textId="240A3C3E" w:rsidR="001138E2" w:rsidRPr="009306D5" w:rsidRDefault="00467CAD">
      <w:pPr>
        <w:pStyle w:val="TOC2"/>
        <w:tabs>
          <w:tab w:val="left" w:pos="2041"/>
        </w:tabs>
        <w:rPr>
          <w:rFonts w:ascii="Times New Roman" w:eastAsiaTheme="minorEastAsia" w:hAnsi="Times New Roman"/>
          <w:noProof/>
          <w:sz w:val="22"/>
          <w:szCs w:val="22"/>
        </w:rPr>
      </w:pPr>
      <w:hyperlink w:anchor="_Toc95812973" w:history="1">
        <w:r w:rsidR="001138E2" w:rsidRPr="009306D5">
          <w:rPr>
            <w:rStyle w:val="Hyperlink"/>
            <w:rFonts w:ascii="Times New Roman" w:hAnsi="Times New Roman"/>
            <w:noProof/>
          </w:rPr>
          <w:t>6.1.</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Käibemaksuvõlgade sissenõudmine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_Toc95812973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38</w:t>
        </w:r>
        <w:r w:rsidR="001138E2" w:rsidRPr="009306D5">
          <w:rPr>
            <w:rFonts w:ascii="Times New Roman" w:hAnsi="Times New Roman"/>
            <w:noProof/>
            <w:webHidden/>
          </w:rPr>
          <w:fldChar w:fldCharType="end"/>
        </w:r>
      </w:hyperlink>
    </w:p>
    <w:p w14:paraId="228B460C" w14:textId="2C2B52FC" w:rsidR="001138E2" w:rsidRPr="009306D5" w:rsidRDefault="00467CAD">
      <w:pPr>
        <w:pStyle w:val="TOC2"/>
        <w:tabs>
          <w:tab w:val="left" w:pos="2041"/>
        </w:tabs>
        <w:rPr>
          <w:rFonts w:ascii="Times New Roman" w:eastAsiaTheme="minorEastAsia" w:hAnsi="Times New Roman"/>
          <w:noProof/>
          <w:sz w:val="22"/>
          <w:szCs w:val="22"/>
        </w:rPr>
      </w:pPr>
      <w:hyperlink w:anchor="_Toc95812974" w:history="1">
        <w:r w:rsidR="001138E2" w:rsidRPr="009306D5">
          <w:rPr>
            <w:rStyle w:val="Hyperlink"/>
            <w:rFonts w:ascii="Times New Roman" w:hAnsi="Times New Roman"/>
            <w:noProof/>
          </w:rPr>
          <w:t>6.2.</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Käibemaksu tagastamine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_Toc95812974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39</w:t>
        </w:r>
        <w:r w:rsidR="001138E2" w:rsidRPr="009306D5">
          <w:rPr>
            <w:rFonts w:ascii="Times New Roman" w:hAnsi="Times New Roman"/>
            <w:noProof/>
            <w:webHidden/>
          </w:rPr>
          <w:fldChar w:fldCharType="end"/>
        </w:r>
      </w:hyperlink>
    </w:p>
    <w:p w14:paraId="540AFC38" w14:textId="1BF67007" w:rsidR="001138E2" w:rsidRPr="009306D5" w:rsidRDefault="00467CAD">
      <w:pPr>
        <w:pStyle w:val="TOC2"/>
        <w:tabs>
          <w:tab w:val="left" w:pos="2041"/>
        </w:tabs>
        <w:rPr>
          <w:rFonts w:ascii="Times New Roman" w:eastAsiaTheme="minorEastAsia" w:hAnsi="Times New Roman"/>
          <w:noProof/>
          <w:sz w:val="22"/>
          <w:szCs w:val="22"/>
        </w:rPr>
      </w:pPr>
      <w:hyperlink w:anchor="_Toc95812975" w:history="1">
        <w:r w:rsidR="001138E2" w:rsidRPr="009306D5">
          <w:rPr>
            <w:rStyle w:val="Hyperlink"/>
            <w:rFonts w:ascii="Times New Roman" w:hAnsi="Times New Roman"/>
            <w:noProof/>
          </w:rPr>
          <w:t>6.3.</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Täieliku aruandluse kohustused: käibemaksuauditid</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_Toc95812975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41</w:t>
        </w:r>
        <w:r w:rsidR="001138E2" w:rsidRPr="009306D5">
          <w:rPr>
            <w:rFonts w:ascii="Times New Roman" w:hAnsi="Times New Roman"/>
            <w:noProof/>
            <w:webHidden/>
          </w:rPr>
          <w:fldChar w:fldCharType="end"/>
        </w:r>
      </w:hyperlink>
    </w:p>
    <w:p w14:paraId="447AE395" w14:textId="42BFF9E0" w:rsidR="001138E2" w:rsidRPr="009306D5" w:rsidRDefault="00467CAD">
      <w:pPr>
        <w:pStyle w:val="TOC1"/>
        <w:rPr>
          <w:rFonts w:eastAsiaTheme="minorEastAsia"/>
          <w:caps w:val="0"/>
          <w:noProof/>
          <w:sz w:val="22"/>
          <w:szCs w:val="22"/>
        </w:rPr>
      </w:pPr>
      <w:hyperlink w:anchor="_Toc95812976" w:history="1">
        <w:r w:rsidR="001138E2" w:rsidRPr="009306D5">
          <w:rPr>
            <w:rStyle w:val="Hyperlink"/>
            <w:noProof/>
          </w:rPr>
          <w:t>7.</w:t>
        </w:r>
        <w:r w:rsidR="001138E2" w:rsidRPr="009306D5">
          <w:rPr>
            <w:rFonts w:eastAsiaTheme="minorEastAsia"/>
            <w:caps w:val="0"/>
            <w:noProof/>
            <w:sz w:val="22"/>
            <w:szCs w:val="22"/>
          </w:rPr>
          <w:tab/>
        </w:r>
        <w:r w:rsidR="001138E2" w:rsidRPr="009306D5">
          <w:rPr>
            <w:rStyle w:val="Hyperlink"/>
            <w:noProof/>
          </w:rPr>
          <w:t>Käibemaksuarvestus, aruandlus ja vaidlused</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_Toc95812976 \h </w:instrText>
        </w:r>
        <w:r w:rsidR="001138E2" w:rsidRPr="009306D5">
          <w:rPr>
            <w:noProof/>
            <w:webHidden/>
          </w:rPr>
        </w:r>
        <w:r w:rsidR="001138E2" w:rsidRPr="009306D5">
          <w:rPr>
            <w:noProof/>
            <w:webHidden/>
          </w:rPr>
          <w:fldChar w:fldCharType="separate"/>
        </w:r>
        <w:r w:rsidR="00135C2F" w:rsidRPr="009306D5">
          <w:rPr>
            <w:noProof/>
            <w:webHidden/>
          </w:rPr>
          <w:t>46</w:t>
        </w:r>
        <w:r w:rsidR="001138E2" w:rsidRPr="009306D5">
          <w:rPr>
            <w:noProof/>
            <w:webHidden/>
          </w:rPr>
          <w:fldChar w:fldCharType="end"/>
        </w:r>
      </w:hyperlink>
    </w:p>
    <w:p w14:paraId="3979B2E8" w14:textId="737C1034" w:rsidR="001138E2" w:rsidRPr="009306D5" w:rsidRDefault="00467CAD">
      <w:pPr>
        <w:pStyle w:val="TOC2"/>
        <w:tabs>
          <w:tab w:val="left" w:pos="2041"/>
        </w:tabs>
        <w:rPr>
          <w:rFonts w:ascii="Times New Roman" w:eastAsiaTheme="minorEastAsia" w:hAnsi="Times New Roman"/>
          <w:noProof/>
          <w:sz w:val="22"/>
          <w:szCs w:val="22"/>
        </w:rPr>
      </w:pPr>
      <w:hyperlink w:anchor="_Toc95812977" w:history="1">
        <w:r w:rsidR="001138E2" w:rsidRPr="009306D5">
          <w:rPr>
            <w:rStyle w:val="Hyperlink"/>
            <w:rFonts w:ascii="Times New Roman" w:hAnsi="Times New Roman"/>
            <w:noProof/>
          </w:rPr>
          <w:t>7.1.</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Käibemaksuarvestus, sisekontroll ja väline läbivaatamine</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_Toc95812977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46</w:t>
        </w:r>
        <w:r w:rsidR="001138E2" w:rsidRPr="009306D5">
          <w:rPr>
            <w:rFonts w:ascii="Times New Roman" w:hAnsi="Times New Roman"/>
            <w:noProof/>
            <w:webHidden/>
          </w:rPr>
          <w:fldChar w:fldCharType="end"/>
        </w:r>
      </w:hyperlink>
    </w:p>
    <w:p w14:paraId="0CD137B7" w14:textId="44A88F42" w:rsidR="001138E2" w:rsidRPr="009306D5" w:rsidRDefault="00467CAD">
      <w:pPr>
        <w:pStyle w:val="TOC2"/>
        <w:tabs>
          <w:tab w:val="left" w:pos="2041"/>
        </w:tabs>
        <w:rPr>
          <w:rFonts w:ascii="Times New Roman" w:eastAsiaTheme="minorEastAsia" w:hAnsi="Times New Roman"/>
          <w:noProof/>
          <w:sz w:val="22"/>
          <w:szCs w:val="22"/>
        </w:rPr>
      </w:pPr>
      <w:hyperlink w:anchor="_Toc95812978" w:history="1">
        <w:r w:rsidR="001138E2" w:rsidRPr="009306D5">
          <w:rPr>
            <w:rStyle w:val="Hyperlink"/>
            <w:rFonts w:ascii="Times New Roman" w:hAnsi="Times New Roman"/>
            <w:noProof/>
          </w:rPr>
          <w:t>7.2.</w:t>
        </w:r>
        <w:r w:rsidR="001138E2" w:rsidRPr="009306D5">
          <w:rPr>
            <w:rFonts w:ascii="Times New Roman" w:eastAsiaTheme="minorEastAsia" w:hAnsi="Times New Roman"/>
            <w:noProof/>
            <w:sz w:val="22"/>
            <w:szCs w:val="22"/>
          </w:rPr>
          <w:tab/>
        </w:r>
        <w:r w:rsidR="001138E2" w:rsidRPr="009306D5">
          <w:rPr>
            <w:rStyle w:val="Hyperlink"/>
            <w:rFonts w:ascii="Times New Roman" w:hAnsi="Times New Roman"/>
            <w:noProof/>
          </w:rPr>
          <w:t>Käibemaksuvaidluste lahendamise protsess</w:t>
        </w:r>
        <w:r w:rsidR="001138E2" w:rsidRPr="009306D5">
          <w:rPr>
            <w:rFonts w:ascii="Times New Roman" w:hAnsi="Times New Roman"/>
            <w:noProof/>
            <w:webHidden/>
          </w:rPr>
          <w:tab/>
        </w:r>
        <w:r w:rsidR="001138E2" w:rsidRPr="009306D5">
          <w:rPr>
            <w:rFonts w:ascii="Times New Roman" w:hAnsi="Times New Roman"/>
            <w:noProof/>
            <w:webHidden/>
          </w:rPr>
          <w:fldChar w:fldCharType="begin"/>
        </w:r>
        <w:r w:rsidR="001138E2" w:rsidRPr="009306D5">
          <w:rPr>
            <w:rFonts w:ascii="Times New Roman" w:hAnsi="Times New Roman"/>
            <w:noProof/>
            <w:webHidden/>
          </w:rPr>
          <w:instrText xml:space="preserve"> PAGEREF _Toc95812978 \h </w:instrText>
        </w:r>
        <w:r w:rsidR="001138E2" w:rsidRPr="009306D5">
          <w:rPr>
            <w:rFonts w:ascii="Times New Roman" w:hAnsi="Times New Roman"/>
            <w:noProof/>
            <w:webHidden/>
          </w:rPr>
        </w:r>
        <w:r w:rsidR="001138E2" w:rsidRPr="009306D5">
          <w:rPr>
            <w:rFonts w:ascii="Times New Roman" w:hAnsi="Times New Roman"/>
            <w:noProof/>
            <w:webHidden/>
          </w:rPr>
          <w:fldChar w:fldCharType="separate"/>
        </w:r>
        <w:r w:rsidR="00135C2F" w:rsidRPr="009306D5">
          <w:rPr>
            <w:rFonts w:ascii="Times New Roman" w:hAnsi="Times New Roman"/>
            <w:noProof/>
            <w:webHidden/>
          </w:rPr>
          <w:t>47</w:t>
        </w:r>
        <w:r w:rsidR="001138E2" w:rsidRPr="009306D5">
          <w:rPr>
            <w:rFonts w:ascii="Times New Roman" w:hAnsi="Times New Roman"/>
            <w:noProof/>
            <w:webHidden/>
          </w:rPr>
          <w:fldChar w:fldCharType="end"/>
        </w:r>
      </w:hyperlink>
    </w:p>
    <w:p w14:paraId="51531B41" w14:textId="537DB874" w:rsidR="001138E2" w:rsidRPr="009306D5" w:rsidRDefault="00467CAD">
      <w:pPr>
        <w:pStyle w:val="TOC1"/>
        <w:rPr>
          <w:rFonts w:eastAsiaTheme="minorEastAsia"/>
          <w:caps w:val="0"/>
          <w:noProof/>
          <w:sz w:val="22"/>
          <w:szCs w:val="22"/>
        </w:rPr>
      </w:pPr>
      <w:hyperlink w:anchor="_Toc95812979" w:history="1">
        <w:r w:rsidR="001138E2" w:rsidRPr="009306D5">
          <w:rPr>
            <w:rStyle w:val="Hyperlink"/>
            <w:noProof/>
          </w:rPr>
          <w:t>8.</w:t>
        </w:r>
        <w:r w:rsidR="001138E2" w:rsidRPr="009306D5">
          <w:rPr>
            <w:rFonts w:eastAsiaTheme="minorEastAsia"/>
            <w:caps w:val="0"/>
            <w:noProof/>
            <w:sz w:val="22"/>
            <w:szCs w:val="22"/>
          </w:rPr>
          <w:tab/>
        </w:r>
        <w:r w:rsidR="001138E2" w:rsidRPr="009306D5">
          <w:rPr>
            <w:rStyle w:val="Hyperlink"/>
            <w:noProof/>
          </w:rPr>
          <w:t>COVID-19 ja käibemaks: soovitused käibemaksu kogumiseks ja majanduse taastumiseks</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_Toc95812979 \h </w:instrText>
        </w:r>
        <w:r w:rsidR="001138E2" w:rsidRPr="009306D5">
          <w:rPr>
            <w:noProof/>
            <w:webHidden/>
          </w:rPr>
        </w:r>
        <w:r w:rsidR="001138E2" w:rsidRPr="009306D5">
          <w:rPr>
            <w:noProof/>
            <w:webHidden/>
          </w:rPr>
          <w:fldChar w:fldCharType="separate"/>
        </w:r>
        <w:r w:rsidR="00135C2F" w:rsidRPr="009306D5">
          <w:rPr>
            <w:noProof/>
            <w:webHidden/>
          </w:rPr>
          <w:t>49</w:t>
        </w:r>
        <w:r w:rsidR="001138E2" w:rsidRPr="009306D5">
          <w:rPr>
            <w:noProof/>
            <w:webHidden/>
          </w:rPr>
          <w:fldChar w:fldCharType="end"/>
        </w:r>
      </w:hyperlink>
    </w:p>
    <w:p w14:paraId="7C497A28" w14:textId="15226B55" w:rsidR="001138E2" w:rsidRPr="009306D5" w:rsidRDefault="00467CAD">
      <w:pPr>
        <w:pStyle w:val="TOC1"/>
        <w:rPr>
          <w:rFonts w:eastAsiaTheme="minorEastAsia"/>
          <w:caps w:val="0"/>
          <w:noProof/>
          <w:sz w:val="22"/>
          <w:szCs w:val="22"/>
        </w:rPr>
      </w:pPr>
      <w:hyperlink w:anchor="_Toc95812980" w:history="1">
        <w:r w:rsidR="001138E2" w:rsidRPr="009306D5">
          <w:rPr>
            <w:rStyle w:val="Hyperlink"/>
            <w:noProof/>
          </w:rPr>
          <w:t>9.</w:t>
        </w:r>
        <w:r w:rsidR="001138E2" w:rsidRPr="009306D5">
          <w:rPr>
            <w:rFonts w:eastAsiaTheme="minorEastAsia"/>
            <w:caps w:val="0"/>
            <w:noProof/>
            <w:sz w:val="22"/>
            <w:szCs w:val="22"/>
          </w:rPr>
          <w:tab/>
        </w:r>
        <w:r w:rsidR="001138E2" w:rsidRPr="009306D5">
          <w:rPr>
            <w:rStyle w:val="Hyperlink"/>
            <w:noProof/>
          </w:rPr>
          <w:t>Kokkuvõte</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_Toc95812980 \h </w:instrText>
        </w:r>
        <w:r w:rsidR="001138E2" w:rsidRPr="009306D5">
          <w:rPr>
            <w:noProof/>
            <w:webHidden/>
          </w:rPr>
        </w:r>
        <w:r w:rsidR="001138E2" w:rsidRPr="009306D5">
          <w:rPr>
            <w:noProof/>
            <w:webHidden/>
          </w:rPr>
          <w:fldChar w:fldCharType="separate"/>
        </w:r>
        <w:r w:rsidR="00135C2F" w:rsidRPr="009306D5">
          <w:rPr>
            <w:noProof/>
            <w:webHidden/>
          </w:rPr>
          <w:t>50</w:t>
        </w:r>
        <w:r w:rsidR="001138E2" w:rsidRPr="009306D5">
          <w:rPr>
            <w:noProof/>
            <w:webHidden/>
          </w:rPr>
          <w:fldChar w:fldCharType="end"/>
        </w:r>
      </w:hyperlink>
    </w:p>
    <w:p w14:paraId="29E03FCD" w14:textId="0D7E8228" w:rsidR="001138E2" w:rsidRPr="009306D5" w:rsidRDefault="00467CAD">
      <w:pPr>
        <w:pStyle w:val="TOC1"/>
        <w:rPr>
          <w:rFonts w:eastAsiaTheme="minorEastAsia"/>
          <w:caps w:val="0"/>
          <w:noProof/>
          <w:sz w:val="22"/>
          <w:szCs w:val="22"/>
        </w:rPr>
      </w:pPr>
      <w:hyperlink w:anchor="_Toc95812981" w:history="1">
        <w:r w:rsidR="001138E2" w:rsidRPr="009306D5">
          <w:rPr>
            <w:rStyle w:val="Hyperlink"/>
            <w:noProof/>
          </w:rPr>
          <w:t>Lisa 1. Soovituste register</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_Toc95812981 \h </w:instrText>
        </w:r>
        <w:r w:rsidR="001138E2" w:rsidRPr="009306D5">
          <w:rPr>
            <w:noProof/>
            <w:webHidden/>
          </w:rPr>
        </w:r>
        <w:r w:rsidR="001138E2" w:rsidRPr="009306D5">
          <w:rPr>
            <w:noProof/>
            <w:webHidden/>
          </w:rPr>
          <w:fldChar w:fldCharType="separate"/>
        </w:r>
        <w:r w:rsidR="00135C2F" w:rsidRPr="009306D5">
          <w:rPr>
            <w:noProof/>
            <w:webHidden/>
          </w:rPr>
          <w:t>52</w:t>
        </w:r>
        <w:r w:rsidR="001138E2" w:rsidRPr="009306D5">
          <w:rPr>
            <w:noProof/>
            <w:webHidden/>
          </w:rPr>
          <w:fldChar w:fldCharType="end"/>
        </w:r>
      </w:hyperlink>
    </w:p>
    <w:p w14:paraId="1AFC6B46" w14:textId="06B88E8E" w:rsidR="001138E2" w:rsidRPr="009306D5" w:rsidRDefault="00467CAD">
      <w:pPr>
        <w:pStyle w:val="TOC1"/>
        <w:rPr>
          <w:rFonts w:eastAsiaTheme="minorEastAsia"/>
          <w:caps w:val="0"/>
          <w:noProof/>
          <w:sz w:val="22"/>
          <w:szCs w:val="22"/>
        </w:rPr>
      </w:pPr>
      <w:hyperlink w:anchor="_Toc95812982" w:history="1">
        <w:r w:rsidR="001138E2" w:rsidRPr="009306D5">
          <w:rPr>
            <w:rStyle w:val="Hyperlink"/>
            <w:noProof/>
          </w:rPr>
          <w:t>Lisa 2. Jooniste ja tabelite register</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_Toc95812982 \h </w:instrText>
        </w:r>
        <w:r w:rsidR="001138E2" w:rsidRPr="009306D5">
          <w:rPr>
            <w:noProof/>
            <w:webHidden/>
          </w:rPr>
        </w:r>
        <w:r w:rsidR="001138E2" w:rsidRPr="009306D5">
          <w:rPr>
            <w:noProof/>
            <w:webHidden/>
          </w:rPr>
          <w:fldChar w:fldCharType="separate"/>
        </w:r>
        <w:r w:rsidR="00135C2F" w:rsidRPr="009306D5">
          <w:rPr>
            <w:noProof/>
            <w:webHidden/>
          </w:rPr>
          <w:t>54</w:t>
        </w:r>
        <w:r w:rsidR="001138E2" w:rsidRPr="009306D5">
          <w:rPr>
            <w:noProof/>
            <w:webHidden/>
          </w:rPr>
          <w:fldChar w:fldCharType="end"/>
        </w:r>
      </w:hyperlink>
    </w:p>
    <w:p w14:paraId="60AC2110" w14:textId="788FEFED" w:rsidR="001138E2" w:rsidRPr="009306D5" w:rsidRDefault="00467CAD">
      <w:pPr>
        <w:pStyle w:val="TOC1"/>
        <w:rPr>
          <w:rFonts w:eastAsiaTheme="minorEastAsia"/>
          <w:caps w:val="0"/>
          <w:noProof/>
          <w:sz w:val="22"/>
          <w:szCs w:val="22"/>
        </w:rPr>
      </w:pPr>
      <w:hyperlink w:anchor="_Toc95812983" w:history="1">
        <w:r w:rsidR="001138E2" w:rsidRPr="009306D5">
          <w:rPr>
            <w:rStyle w:val="Hyperlink"/>
            <w:noProof/>
          </w:rPr>
          <w:t>Lisa 3. Viited</w:t>
        </w:r>
        <w:r w:rsidR="001138E2" w:rsidRPr="009306D5">
          <w:rPr>
            <w:noProof/>
            <w:webHidden/>
          </w:rPr>
          <w:tab/>
        </w:r>
        <w:r w:rsidR="001138E2" w:rsidRPr="009306D5">
          <w:rPr>
            <w:noProof/>
            <w:webHidden/>
          </w:rPr>
          <w:fldChar w:fldCharType="begin"/>
        </w:r>
        <w:r w:rsidR="001138E2" w:rsidRPr="009306D5">
          <w:rPr>
            <w:noProof/>
            <w:webHidden/>
          </w:rPr>
          <w:instrText xml:space="preserve"> PAGEREF _Toc95812983 \h </w:instrText>
        </w:r>
        <w:r w:rsidR="001138E2" w:rsidRPr="009306D5">
          <w:rPr>
            <w:noProof/>
            <w:webHidden/>
          </w:rPr>
        </w:r>
        <w:r w:rsidR="001138E2" w:rsidRPr="009306D5">
          <w:rPr>
            <w:noProof/>
            <w:webHidden/>
          </w:rPr>
          <w:fldChar w:fldCharType="separate"/>
        </w:r>
        <w:r w:rsidR="00135C2F" w:rsidRPr="009306D5">
          <w:rPr>
            <w:noProof/>
            <w:webHidden/>
          </w:rPr>
          <w:t>56</w:t>
        </w:r>
        <w:r w:rsidR="001138E2" w:rsidRPr="009306D5">
          <w:rPr>
            <w:noProof/>
            <w:webHidden/>
          </w:rPr>
          <w:fldChar w:fldCharType="end"/>
        </w:r>
      </w:hyperlink>
    </w:p>
    <w:p w14:paraId="62DC2966" w14:textId="6CF4F2DA" w:rsidR="00FE0EC3" w:rsidRPr="009306D5" w:rsidRDefault="00BA2A02" w:rsidP="00135C2F">
      <w:pPr>
        <w:rPr>
          <w:noProof/>
        </w:rPr>
      </w:pPr>
      <w:r w:rsidRPr="009306D5">
        <w:rPr>
          <w:rFonts w:eastAsia="Times New Roman" w:cs="Times New Roman"/>
          <w:noProof/>
          <w:sz w:val="20"/>
          <w:szCs w:val="20"/>
        </w:rPr>
        <w:fldChar w:fldCharType="end"/>
      </w:r>
      <w:bookmarkStart w:id="2" w:name="_Toc69994919"/>
      <w:bookmarkStart w:id="3" w:name="_Toc82790270"/>
      <w:bookmarkStart w:id="4" w:name="_Toc82792839"/>
      <w:bookmarkStart w:id="5" w:name="_Toc90291234"/>
    </w:p>
    <w:p w14:paraId="5490E3DC" w14:textId="35BAD050" w:rsidR="00135C2F" w:rsidRPr="009306D5" w:rsidRDefault="00135C2F">
      <w:pPr>
        <w:spacing w:before="0" w:after="200"/>
        <w:rPr>
          <w:rFonts w:eastAsia="Times New Roman" w:cs="Times New Roman"/>
          <w:b/>
          <w:i/>
          <w:noProof/>
          <w:sz w:val="20"/>
          <w:szCs w:val="20"/>
        </w:rPr>
      </w:pPr>
      <w:bookmarkStart w:id="6" w:name="_Toc95812948"/>
      <w:r w:rsidRPr="009306D5">
        <w:rPr>
          <w:noProof/>
        </w:rPr>
        <w:br w:type="page"/>
      </w:r>
    </w:p>
    <w:p w14:paraId="74F24BB8" w14:textId="3FE52388" w:rsidR="005B15B7" w:rsidRPr="009306D5" w:rsidRDefault="005B15B7" w:rsidP="000D13AA">
      <w:pPr>
        <w:pStyle w:val="Heading1"/>
        <w:numPr>
          <w:ilvl w:val="0"/>
          <w:numId w:val="35"/>
        </w:numPr>
        <w:rPr>
          <w:noProof/>
        </w:rPr>
      </w:pPr>
      <w:r w:rsidRPr="009306D5">
        <w:rPr>
          <w:noProof/>
        </w:rPr>
        <w:t>Sissejuhatus</w:t>
      </w:r>
      <w:bookmarkEnd w:id="2"/>
      <w:bookmarkEnd w:id="3"/>
      <w:bookmarkEnd w:id="4"/>
      <w:bookmarkEnd w:id="5"/>
      <w:bookmarkEnd w:id="6"/>
    </w:p>
    <w:p w14:paraId="0E4FD832" w14:textId="2372EC3C" w:rsidR="005B15B7" w:rsidRPr="009306D5" w:rsidRDefault="005B15B7" w:rsidP="005B15B7">
      <w:pPr>
        <w:rPr>
          <w:rFonts w:cs="Times New Roman"/>
          <w:noProof/>
          <w:sz w:val="20"/>
        </w:rPr>
      </w:pPr>
      <w:r w:rsidRPr="009306D5">
        <w:rPr>
          <w:noProof/>
          <w:sz w:val="20"/>
        </w:rPr>
        <w:t>Avalikud teenused – arstiabist taristu arendamiseni, haridusest riigikaitseni – on meie igapäevaelus väga olulised, kuid maksavad raha. Nende rahastamiseks on vaja makse koguda ning käibemaks on oluline ja sageli peamine panus liikmesriikide eelarvetesse</w:t>
      </w:r>
      <w:r w:rsidRPr="009306D5">
        <w:rPr>
          <w:rStyle w:val="FootnoteReference"/>
          <w:rFonts w:cs="Times New Roman"/>
          <w:noProof/>
          <w:sz w:val="20"/>
        </w:rPr>
        <w:footnoteReference w:id="1"/>
      </w:r>
      <w:r w:rsidRPr="009306D5">
        <w:rPr>
          <w:noProof/>
          <w:sz w:val="20"/>
        </w:rPr>
        <w:t>. Käibemaksu puudulik haldamine ohustab arengut, majanduskasvu ja usaldust valitsuse vastu. Tulemuslik käibemaksuhaldus koos tõhusate protsesside ja menetlustega on seega kõigi – liikmesriikide haldusasutuste, ELi institutsioonide, maksumaksjate ja kodanike – huvides.</w:t>
      </w:r>
    </w:p>
    <w:p w14:paraId="28259D81" w14:textId="6D0BF8B6" w:rsidR="005B15B7" w:rsidRPr="009306D5" w:rsidRDefault="005B15B7" w:rsidP="005B15B7">
      <w:pPr>
        <w:rPr>
          <w:rFonts w:cs="Times New Roman"/>
          <w:noProof/>
          <w:sz w:val="20"/>
        </w:rPr>
      </w:pPr>
      <w:r w:rsidRPr="009306D5">
        <w:rPr>
          <w:noProof/>
          <w:sz w:val="20"/>
        </w:rPr>
        <w:t>Nõukogu 29. mai 1989. aasta määrusega (EMÜ, EURATOM) nr 1553/89</w:t>
      </w:r>
      <w:r w:rsidRPr="009306D5">
        <w:rPr>
          <w:rStyle w:val="FootnoteReference"/>
          <w:rFonts w:cs="Times New Roman"/>
          <w:noProof/>
          <w:sz w:val="20"/>
        </w:rPr>
        <w:footnoteReference w:id="2"/>
      </w:r>
      <w:r w:rsidRPr="009306D5">
        <w:rPr>
          <w:noProof/>
          <w:sz w:val="20"/>
        </w:rPr>
        <w:t xml:space="preserve"> tehakse komisjonile ülesandeks hinnata iga kolme aasta järel siseriiklikke menetlusi maksukohustuslaste registreerimiseks ning käibemaksu määramiseks ja kogumiseks, samuti riiklike käibemaksukontrollisüsteemide üksikasju ja tulemusi. Seejärel võib kaaluda võimalikke muudatusi, et parandada nende menetluste tõhusust. Käesolev aruanne on kooskõlas nende volitustega ja selles käsitletakse ajavahemikku 2016–2019.</w:t>
      </w:r>
    </w:p>
    <w:p w14:paraId="46181F33" w14:textId="0D21A2B0" w:rsidR="005B15B7" w:rsidRPr="009306D5" w:rsidRDefault="005B15B7" w:rsidP="005B15B7">
      <w:pPr>
        <w:rPr>
          <w:rFonts w:cs="Times New Roman"/>
          <w:noProof/>
          <w:sz w:val="20"/>
        </w:rPr>
      </w:pPr>
      <w:r w:rsidRPr="009306D5">
        <w:rPr>
          <w:noProof/>
          <w:sz w:val="20"/>
        </w:rPr>
        <w:t>Alates 1989. aastast on koostatud kaheksa sellist hindamisaruannet</w:t>
      </w:r>
      <w:r w:rsidRPr="009306D5">
        <w:rPr>
          <w:rStyle w:val="FootnoteReference"/>
          <w:rFonts w:cs="Times New Roman"/>
          <w:noProof/>
          <w:sz w:val="20"/>
        </w:rPr>
        <w:footnoteReference w:id="3"/>
      </w:r>
      <w:r w:rsidRPr="009306D5">
        <w:rPr>
          <w:noProof/>
          <w:sz w:val="20"/>
        </w:rPr>
        <w:t>. Viimases, 2017. aasta detsembris avaldatud aruandes</w:t>
      </w:r>
      <w:r w:rsidRPr="009306D5">
        <w:rPr>
          <w:rStyle w:val="FootnoteReference"/>
          <w:rFonts w:cs="Times New Roman"/>
          <w:noProof/>
          <w:sz w:val="20"/>
        </w:rPr>
        <w:footnoteReference w:id="4"/>
      </w:r>
      <w:r w:rsidRPr="009306D5">
        <w:rPr>
          <w:noProof/>
          <w:sz w:val="20"/>
        </w:rPr>
        <w:t xml:space="preserve"> tauniti kapseldunud mõtlemist ja rõhutati vajadust parandada käibemaksuhaldust maksuhalduritevahelise parema koostöö kaudu. Käesolevas aruandes</w:t>
      </w:r>
      <w:r w:rsidRPr="009306D5">
        <w:rPr>
          <w:rStyle w:val="FootnoteReference"/>
          <w:rFonts w:cs="Times New Roman"/>
          <w:noProof/>
          <w:sz w:val="20"/>
        </w:rPr>
        <w:footnoteReference w:id="5"/>
      </w:r>
      <w:r w:rsidRPr="009306D5">
        <w:rPr>
          <w:noProof/>
          <w:sz w:val="20"/>
        </w:rPr>
        <w:t xml:space="preserve"> tuuakse välja mõned tulude vähenemise tõenäolised põhjused ja esitatakse sõnaselged soovitused meetmete kohta, mida võtta käibemaksuhalduse tugevdamise kaudu selle probleemi lahendamiseks (soovitused on loetletud allpool esitatud lahtrites. Soovituste kokkuvõte on esitatud 1. lisas.) See on oluline eelkõige seoses muutustega, mis kaasnevad meie riikide majandusele digiülemineku ja uute tehnoloogiatega. Käesolevas aruandes tutvustatakse ka liikmesriikide käibemaksuasutuste kogemusi ja häid tavasid.</w:t>
      </w:r>
    </w:p>
    <w:p w14:paraId="2671D05B" w14:textId="77777777" w:rsidR="005B15B7" w:rsidRPr="009306D5" w:rsidRDefault="005B15B7" w:rsidP="005B15B7">
      <w:pPr>
        <w:rPr>
          <w:rFonts w:cs="Times New Roman"/>
          <w:noProof/>
          <w:sz w:val="20"/>
        </w:rPr>
      </w:pPr>
      <w:r w:rsidRPr="009306D5">
        <w:rPr>
          <w:noProof/>
          <w:sz w:val="20"/>
        </w:rPr>
        <w:t>Õiglane ja tõhus maksustamine muutub järgnevatel kuudel ja aastatel veelgi olulisemaks, kuna EL ja kogu maailm püüavad taastuda COVID-19 kriisi tagajärgedest. Liikmesriigid rakendasid kiiresti käibemaksualaseid meetmeid koos muude sihipäraste meetmetega, et sillutada teed majanduse taastumisele. Käesolevas aruandes hinnatakse maksuhaldurite valmisolekut tulla toime keeruliste olukordadega, sealhulgas COVID-19ga seotud kriisidega, ning jätkata tegutsemist võimalikult väikeste häiretega.</w:t>
      </w:r>
    </w:p>
    <w:p w14:paraId="7752EAF4" w14:textId="77777777" w:rsidR="005B15B7" w:rsidRPr="009306D5" w:rsidRDefault="005B15B7" w:rsidP="000D13AA">
      <w:pPr>
        <w:pStyle w:val="Heading2"/>
        <w:numPr>
          <w:ilvl w:val="1"/>
          <w:numId w:val="35"/>
        </w:numPr>
        <w:rPr>
          <w:noProof/>
        </w:rPr>
      </w:pPr>
      <w:bookmarkStart w:id="7" w:name="_Toc65836438"/>
      <w:bookmarkStart w:id="8" w:name="_Toc66116379"/>
      <w:bookmarkStart w:id="9" w:name="_Toc66202048"/>
      <w:bookmarkStart w:id="10" w:name="_Toc69994920"/>
      <w:bookmarkStart w:id="11" w:name="_Toc67414227"/>
      <w:bookmarkStart w:id="12" w:name="_Toc67415154"/>
      <w:bookmarkStart w:id="13" w:name="_Toc67415319"/>
      <w:bookmarkStart w:id="14" w:name="_Toc67415599"/>
      <w:bookmarkStart w:id="15" w:name="_Toc67415877"/>
      <w:bookmarkStart w:id="16" w:name="_Toc82790271"/>
      <w:bookmarkStart w:id="17" w:name="_Toc82792840"/>
      <w:bookmarkStart w:id="18" w:name="_Toc90291235"/>
      <w:bookmarkStart w:id="19" w:name="_Toc95812949"/>
      <w:r w:rsidRPr="009306D5">
        <w:rPr>
          <w:noProof/>
        </w:rPr>
        <w:t>Uus käsitlusviis: tuginemine edulugudele</w:t>
      </w:r>
      <w:bookmarkEnd w:id="7"/>
      <w:bookmarkEnd w:id="8"/>
      <w:bookmarkEnd w:id="9"/>
      <w:bookmarkEnd w:id="10"/>
      <w:bookmarkEnd w:id="11"/>
      <w:bookmarkEnd w:id="12"/>
      <w:bookmarkEnd w:id="13"/>
      <w:bookmarkEnd w:id="14"/>
      <w:bookmarkEnd w:id="15"/>
      <w:bookmarkEnd w:id="16"/>
      <w:bookmarkEnd w:id="17"/>
      <w:bookmarkEnd w:id="18"/>
      <w:bookmarkEnd w:id="19"/>
    </w:p>
    <w:p w14:paraId="430C7FD0" w14:textId="03E8D58D" w:rsidR="005B15B7" w:rsidRPr="009306D5" w:rsidRDefault="005B15B7" w:rsidP="005B15B7">
      <w:pPr>
        <w:rPr>
          <w:rFonts w:cs="Times New Roman"/>
          <w:noProof/>
          <w:sz w:val="20"/>
        </w:rPr>
      </w:pPr>
      <w:bookmarkStart w:id="20" w:name="_Toc62138817"/>
      <w:bookmarkStart w:id="21" w:name="_Toc65836440"/>
      <w:bookmarkStart w:id="22" w:name="_Toc66116380"/>
      <w:bookmarkStart w:id="23" w:name="_Toc66202049"/>
      <w:bookmarkEnd w:id="20"/>
      <w:bookmarkEnd w:id="21"/>
      <w:bookmarkEnd w:id="22"/>
      <w:bookmarkEnd w:id="23"/>
      <w:r w:rsidRPr="009306D5">
        <w:rPr>
          <w:noProof/>
          <w:sz w:val="20"/>
        </w:rPr>
        <w:t>Maksuhaldurid tegutsevad kõik ühes ja samas valdkonnas: maksude kogumises. Eelkõige sellises üsna ühtlustatud valdkonnas, nagu seda on käibemaks, on neil palju sarnaseid ülesandeid, kuid need võivad erineda organisatsiooni, tegevuse, maksupoliitika ja prioriteetide poolest.</w:t>
      </w:r>
    </w:p>
    <w:p w14:paraId="51901B10" w14:textId="77777777" w:rsidR="005B15B7" w:rsidRPr="009306D5" w:rsidRDefault="005B15B7" w:rsidP="005B15B7">
      <w:pPr>
        <w:rPr>
          <w:rFonts w:cs="Times New Roman"/>
          <w:noProof/>
          <w:sz w:val="20"/>
        </w:rPr>
      </w:pPr>
      <w:r w:rsidRPr="009306D5">
        <w:rPr>
          <w:noProof/>
          <w:sz w:val="20"/>
        </w:rPr>
        <w:t>Käesolevas aruandes astutakse samm tagasi ja vaadeldakse käibemaksu haldamist laiemast vaatenurgast, et saada ülevaade sellest, mida liikmesriigid teevad. Selles soovitatakse võimalikku tegutsemisviisi sarnaste tulemuste saavutamiseks kogu ELis. See järgib kogu käibemaksu elutsüklit alates käibemaksukohustuslasena registreerimisest kuni käibemaksu tagastamisele järgneva kontrollini.</w:t>
      </w:r>
    </w:p>
    <w:p w14:paraId="48BBB035" w14:textId="0E4FE7DD" w:rsidR="005B15B7" w:rsidRPr="009306D5" w:rsidRDefault="00D61189" w:rsidP="005B15B7">
      <w:pPr>
        <w:rPr>
          <w:rFonts w:cs="Times New Roman"/>
          <w:noProof/>
          <w:sz w:val="20"/>
        </w:rPr>
      </w:pPr>
      <w:r w:rsidRPr="009306D5">
        <w:rPr>
          <w:noProof/>
          <w:lang w:val="en-GB" w:eastAsia="en-GB"/>
        </w:rPr>
        <mc:AlternateContent>
          <mc:Choice Requires="wps">
            <w:drawing>
              <wp:anchor distT="0" distB="0" distL="114300" distR="114300" simplePos="0" relativeHeight="251651584" behindDoc="0" locked="0" layoutInCell="1" allowOverlap="1" wp14:anchorId="2F88CE0A" wp14:editId="750F51B0">
                <wp:simplePos x="0" y="0"/>
                <wp:positionH relativeFrom="column">
                  <wp:posOffset>1728471</wp:posOffset>
                </wp:positionH>
                <wp:positionV relativeFrom="paragraph">
                  <wp:posOffset>1369060</wp:posOffset>
                </wp:positionV>
                <wp:extent cx="2343150" cy="514350"/>
                <wp:effectExtent l="0" t="0" r="19050" b="19050"/>
                <wp:wrapNone/>
                <wp:docPr id="38" name="Rounded Rectangle 38"/>
                <wp:cNvGraphicFramePr/>
                <a:graphic xmlns:a="http://schemas.openxmlformats.org/drawingml/2006/main">
                  <a:graphicData uri="http://schemas.microsoft.com/office/word/2010/wordprocessingShape">
                    <wps:wsp>
                      <wps:cNvSpPr/>
                      <wps:spPr>
                        <a:xfrm>
                          <a:off x="0" y="0"/>
                          <a:ext cx="2343150" cy="514350"/>
                        </a:xfrm>
                        <a:prstGeom prst="round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16200000" scaled="1"/>
                          <a:tileRect/>
                        </a:gradFill>
                        <a:ln w="1079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B4E27" w14:textId="77777777" w:rsidR="00C34499" w:rsidRPr="000D13AA" w:rsidRDefault="00C34499" w:rsidP="000D13AA">
                            <w:pPr>
                              <w:spacing w:after="0"/>
                              <w:jc w:val="center"/>
                              <w:rPr>
                                <w:rFonts w:cs="Times New Roman"/>
                                <w:color w:val="000000" w:themeColor="text1"/>
                                <w:sz w:val="20"/>
                              </w:rPr>
                            </w:pPr>
                            <w:r>
                              <w:rPr>
                                <w:color w:val="000000" w:themeColor="text1"/>
                                <w:sz w:val="20"/>
                              </w:rPr>
                              <w:t>Praegused käibemaksualased probleemid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8CE0A" id="Rounded Rectangle 38" o:spid="_x0000_s1026" style="position:absolute;margin-left:136.1pt;margin-top:107.8pt;width:184.5pt;height: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" fillcolor="#f6fbfc [184]" strokecolor="black [3213]" strokeweight=".85pt">
                <v:fill color2="#c9e6ee [984]" rotate="t" angle="180" colors="0 #f6fbfc;48497f #aedae5;54395f #aedae5;1 #c9e6ee" focus="100%" type="gradient"/>
                <v:textbox>
                  <w:txbxContent>
                    <w:p w14:paraId="6B5B4E27" w14:textId="77777777" w:rsidR="00C34499" w:rsidRPr="000D13AA" w:rsidRDefault="00C34499" w:rsidP="000D13AA">
                      <w:pPr>
                        <w:spacing w:after="0"/>
                        <w:jc w:val="center"/>
                        <w:rPr>
                          <w:rFonts w:cs="Times New Roman"/>
                          <w:color w:val="000000" w:themeColor="text1"/>
                          <w:sz w:val="20"/>
                        </w:rPr>
                      </w:pPr>
                      <w:r>
                        <w:rPr>
                          <w:color w:val="000000" w:themeColor="text1"/>
                          <w:sz w:val="20"/>
                        </w:rPr>
                        <w:t>Praegused käibemaksualased probleemid</w:t>
                      </w:r>
                    </w:p>
                  </w:txbxContent>
                </v:textbox>
              </v:roundrect>
            </w:pict>
          </mc:Fallback>
        </mc:AlternateContent>
      </w:r>
      <w:r w:rsidR="005B15B7" w:rsidRPr="009306D5">
        <w:rPr>
          <w:noProof/>
          <w:lang w:val="en-GB" w:eastAsia="en-GB"/>
        </w:rPr>
        <mc:AlternateContent>
          <mc:Choice Requires="wps">
            <w:drawing>
              <wp:anchor distT="0" distB="0" distL="114300" distR="114300" simplePos="0" relativeHeight="251662848" behindDoc="0" locked="0" layoutInCell="1" allowOverlap="1" wp14:anchorId="5805772A" wp14:editId="547D1C89">
                <wp:simplePos x="0" y="0"/>
                <wp:positionH relativeFrom="column">
                  <wp:posOffset>3289087</wp:posOffset>
                </wp:positionH>
                <wp:positionV relativeFrom="paragraph">
                  <wp:posOffset>1251584</wp:posOffset>
                </wp:positionV>
                <wp:extent cx="45719" cy="115147"/>
                <wp:effectExtent l="38100" t="38100" r="50165" b="18415"/>
                <wp:wrapNone/>
                <wp:docPr id="68" name="Straight Arrow Connector 68"/>
                <wp:cNvGraphicFramePr/>
                <a:graphic xmlns:a="http://schemas.openxmlformats.org/drawingml/2006/main">
                  <a:graphicData uri="http://schemas.microsoft.com/office/word/2010/wordprocessingShape">
                    <wps:wsp>
                      <wps:cNvCnPr/>
                      <wps:spPr>
                        <a:xfrm flipV="1">
                          <a:off x="0" y="0"/>
                          <a:ext cx="45719" cy="1151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C184AA" id="_x0000_t32" coordsize="21600,21600" o:spt="32" o:oned="t" path="m,l21600,21600e" filled="f">
                <v:path arrowok="t" fillok="f" o:connecttype="none"/>
                <o:lock v:ext="edit" shapetype="t"/>
              </v:shapetype>
              <v:shape id="Straight Arrow Connector 68" o:spid="_x0000_s1026" type="#_x0000_t32" style="position:absolute;margin-left:259pt;margin-top:98.55pt;width:3.6pt;height:9.0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" strokecolor="#4579b8 [3044]">
                <v:stroke endarrow="block"/>
              </v:shape>
            </w:pict>
          </mc:Fallback>
        </mc:AlternateContent>
      </w:r>
      <w:r w:rsidR="005B15B7" w:rsidRPr="009306D5">
        <w:rPr>
          <w:noProof/>
          <w:lang w:val="en-GB" w:eastAsia="en-GB"/>
        </w:rPr>
        <mc:AlternateContent>
          <mc:Choice Requires="wps">
            <w:drawing>
              <wp:anchor distT="0" distB="0" distL="114300" distR="114300" simplePos="0" relativeHeight="251660800" behindDoc="0" locked="0" layoutInCell="1" allowOverlap="1" wp14:anchorId="37046C9E" wp14:editId="5EBCA0F0">
                <wp:simplePos x="0" y="0"/>
                <wp:positionH relativeFrom="column">
                  <wp:posOffset>3874557</wp:posOffset>
                </wp:positionH>
                <wp:positionV relativeFrom="paragraph">
                  <wp:posOffset>1183852</wp:posOffset>
                </wp:positionV>
                <wp:extent cx="178012" cy="182033"/>
                <wp:effectExtent l="0" t="38100" r="50800" b="27940"/>
                <wp:wrapNone/>
                <wp:docPr id="61" name="Straight Arrow Connector 61"/>
                <wp:cNvGraphicFramePr/>
                <a:graphic xmlns:a="http://schemas.openxmlformats.org/drawingml/2006/main">
                  <a:graphicData uri="http://schemas.microsoft.com/office/word/2010/wordprocessingShape">
                    <wps:wsp>
                      <wps:cNvCnPr/>
                      <wps:spPr>
                        <a:xfrm flipV="1">
                          <a:off x="0" y="0"/>
                          <a:ext cx="178012" cy="182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0BE8929" id="Straight Arrow Connector 61" o:spid="_x0000_s1026" type="#_x0000_t32" style="position:absolute;margin-left:305.1pt;margin-top:93.2pt;width:14pt;height:14.35pt;flip:y;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" strokecolor="#4579b8 [3044]">
                <v:stroke endarrow="block"/>
              </v:shape>
            </w:pict>
          </mc:Fallback>
        </mc:AlternateContent>
      </w:r>
      <w:r w:rsidR="005B15B7" w:rsidRPr="009306D5">
        <w:rPr>
          <w:noProof/>
          <w:lang w:val="en-GB" w:eastAsia="en-GB"/>
        </w:rPr>
        <mc:AlternateContent>
          <mc:Choice Requires="wps">
            <w:drawing>
              <wp:anchor distT="0" distB="0" distL="114300" distR="114300" simplePos="0" relativeHeight="251657728" behindDoc="0" locked="0" layoutInCell="1" allowOverlap="1" wp14:anchorId="6B04AA93" wp14:editId="057709FB">
                <wp:simplePos x="0" y="0"/>
                <wp:positionH relativeFrom="column">
                  <wp:posOffset>2313305</wp:posOffset>
                </wp:positionH>
                <wp:positionV relativeFrom="paragraph">
                  <wp:posOffset>1250314</wp:posOffset>
                </wp:positionV>
                <wp:extent cx="45719" cy="115147"/>
                <wp:effectExtent l="38100" t="38100" r="50165" b="18415"/>
                <wp:wrapNone/>
                <wp:docPr id="59" name="Straight Arrow Connector 59"/>
                <wp:cNvGraphicFramePr/>
                <a:graphic xmlns:a="http://schemas.openxmlformats.org/drawingml/2006/main">
                  <a:graphicData uri="http://schemas.microsoft.com/office/word/2010/wordprocessingShape">
                    <wps:wsp>
                      <wps:cNvCnPr/>
                      <wps:spPr>
                        <a:xfrm flipH="1" flipV="1">
                          <a:off x="0" y="0"/>
                          <a:ext cx="45719" cy="1151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AC255" id="Straight Arrow Connector 59" o:spid="_x0000_s1026" type="#_x0000_t32" style="position:absolute;margin-left:182.15pt;margin-top:98.45pt;width:3.6pt;height:9.0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" strokecolor="#4579b8 [3044]">
                <v:stroke endarrow="block"/>
              </v:shape>
            </w:pict>
          </mc:Fallback>
        </mc:AlternateContent>
      </w:r>
      <w:r w:rsidR="005B15B7" w:rsidRPr="009306D5">
        <w:rPr>
          <w:noProof/>
          <w:lang w:val="en-GB" w:eastAsia="en-GB"/>
        </w:rPr>
        <mc:AlternateContent>
          <mc:Choice Requires="wps">
            <w:drawing>
              <wp:anchor distT="0" distB="0" distL="114300" distR="114300" simplePos="0" relativeHeight="251654656" behindDoc="0" locked="0" layoutInCell="1" allowOverlap="1" wp14:anchorId="7652A53A" wp14:editId="25AFAD7E">
                <wp:simplePos x="0" y="0"/>
                <wp:positionH relativeFrom="column">
                  <wp:posOffset>1685714</wp:posOffset>
                </wp:positionH>
                <wp:positionV relativeFrom="paragraph">
                  <wp:posOffset>1184063</wp:posOffset>
                </wp:positionV>
                <wp:extent cx="148167" cy="182033"/>
                <wp:effectExtent l="38100" t="38100" r="23495" b="27940"/>
                <wp:wrapNone/>
                <wp:docPr id="52" name="Straight Arrow Connector 52"/>
                <wp:cNvGraphicFramePr/>
                <a:graphic xmlns:a="http://schemas.openxmlformats.org/drawingml/2006/main">
                  <a:graphicData uri="http://schemas.microsoft.com/office/word/2010/wordprocessingShape">
                    <wps:wsp>
                      <wps:cNvCnPr/>
                      <wps:spPr>
                        <a:xfrm flipH="1" flipV="1">
                          <a:off x="0" y="0"/>
                          <a:ext cx="148167" cy="182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F10E9" id="Straight Arrow Connector 52" o:spid="_x0000_s1026" type="#_x0000_t32" style="position:absolute;margin-left:132.75pt;margin-top:93.25pt;width:11.65pt;height:14.35pt;flip:x 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" strokecolor="#4579b8 [3044]">
                <v:stroke endarrow="block"/>
              </v:shape>
            </w:pict>
          </mc:Fallback>
        </mc:AlternateContent>
      </w:r>
      <w:r w:rsidR="005B15B7" w:rsidRPr="009306D5">
        <w:rPr>
          <w:noProof/>
          <w:lang w:val="en-GB" w:eastAsia="en-GB"/>
        </w:rPr>
        <w:drawing>
          <wp:inline distT="0" distB="0" distL="0" distR="0" wp14:anchorId="112B5340" wp14:editId="24D6BC43">
            <wp:extent cx="5756745" cy="1192695"/>
            <wp:effectExtent l="0" t="57150" r="0" b="4572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363B985" w14:textId="77777777" w:rsidR="005B15B7" w:rsidRPr="009306D5" w:rsidRDefault="005B15B7" w:rsidP="005B15B7">
      <w:pPr>
        <w:rPr>
          <w:rFonts w:cs="Times New Roman"/>
          <w:noProof/>
          <w:sz w:val="20"/>
        </w:rPr>
      </w:pPr>
    </w:p>
    <w:p w14:paraId="03D0FC1C" w14:textId="77777777" w:rsidR="005B15B7" w:rsidRPr="009306D5" w:rsidRDefault="005B15B7" w:rsidP="005B15B7">
      <w:pPr>
        <w:rPr>
          <w:rFonts w:cs="Times New Roman"/>
          <w:noProof/>
          <w:sz w:val="20"/>
        </w:rPr>
      </w:pPr>
    </w:p>
    <w:p w14:paraId="03647B05" w14:textId="77777777" w:rsidR="005B15B7" w:rsidRPr="009306D5" w:rsidRDefault="005B15B7" w:rsidP="005B15B7">
      <w:pPr>
        <w:rPr>
          <w:rFonts w:cs="Times New Roman"/>
          <w:noProof/>
          <w:sz w:val="20"/>
        </w:rPr>
      </w:pPr>
      <w:r w:rsidRPr="009306D5">
        <w:rPr>
          <w:noProof/>
          <w:sz w:val="20"/>
        </w:rPr>
        <w:t>Tulemuslikkust käsitleva teabe võrdlemine on kõige lihtsam viis heade tulemuste ja heade tavade kindlakstegemiseks. Erinevad määratlused, andmete puudulikkus ja vähene usaldusväärsus ning asjaolu, et sarnaseid funktsioone on erinevates keskkondades raske võrrelda (suuruse, poliitilise korralduse, sotsiaalsete struktuuride jne erinevuse tõttu), muudavad täieliku võrdlusanalüüsi võimatuks. Praegune mitmekesisus kujutab endast suurimat väljakutset maksuhaldurite kulude ja tulemuslikkuse võrdlemisel.</w:t>
      </w:r>
    </w:p>
    <w:p w14:paraId="40D00ED0" w14:textId="5F33379A" w:rsidR="005B15B7" w:rsidRPr="009306D5" w:rsidRDefault="005B15B7" w:rsidP="005B15B7">
      <w:pPr>
        <w:rPr>
          <w:rFonts w:cs="Times New Roman"/>
          <w:noProof/>
          <w:sz w:val="20"/>
        </w:rPr>
      </w:pPr>
      <w:r w:rsidRPr="009306D5">
        <w:rPr>
          <w:noProof/>
          <w:sz w:val="20"/>
        </w:rPr>
        <w:t>Käibemaksulõhet mõjutavad sellised lisategurid nagu käibemaksukohustuslaste käitumine (nt varasem maksude tasumine), käibemaksu käsitlevate õigusaktide kvaliteet ja muud käibemaksu mõjutavad tegurid (nt jaekaubanduse maht, maksumaksjate struktuur, geograafia, riigi suurus, majanduskeskkond, töötus), kuid neid on peaaegu võimatu hinnata.</w:t>
      </w:r>
    </w:p>
    <w:p w14:paraId="08D50A8C" w14:textId="77777777" w:rsidR="005B15B7" w:rsidRPr="009306D5" w:rsidRDefault="005B15B7" w:rsidP="005B15B7">
      <w:pPr>
        <w:rPr>
          <w:rFonts w:cs="Times New Roman"/>
          <w:noProof/>
          <w:sz w:val="20"/>
        </w:rPr>
      </w:pPr>
      <w:r w:rsidRPr="009306D5">
        <w:rPr>
          <w:noProof/>
          <w:sz w:val="20"/>
        </w:rPr>
        <w:t xml:space="preserve">Kuigi käesolev aruanne ei ole võrdlusuuring, tehakse selles siiski kindlaks võimalused muutusteks ja olukorra parandamiseks, pöörates samal ajal tähelepanu iga riigi eripärale. Sellised võimalused on sageli kvalitatiivset laadi („pehmed“) ja raskesti leitavad. </w:t>
      </w:r>
    </w:p>
    <w:p w14:paraId="70024D2F" w14:textId="77777777" w:rsidR="005B15B7" w:rsidRPr="009306D5" w:rsidRDefault="005B15B7" w:rsidP="000D13AA">
      <w:pPr>
        <w:pStyle w:val="Heading2"/>
        <w:numPr>
          <w:ilvl w:val="1"/>
          <w:numId w:val="35"/>
        </w:numPr>
        <w:rPr>
          <w:noProof/>
        </w:rPr>
      </w:pPr>
      <w:bookmarkStart w:id="24" w:name="_Toc65836439"/>
      <w:bookmarkStart w:id="25" w:name="_Toc66116381"/>
      <w:bookmarkStart w:id="26" w:name="_Toc66202050"/>
      <w:bookmarkStart w:id="27" w:name="_Toc67414228"/>
      <w:bookmarkStart w:id="28" w:name="_Toc67415155"/>
      <w:bookmarkStart w:id="29" w:name="_Toc67415320"/>
      <w:bookmarkStart w:id="30" w:name="_Toc67415600"/>
      <w:bookmarkStart w:id="31" w:name="_Toc67415878"/>
      <w:bookmarkStart w:id="32" w:name="_Toc69994921"/>
      <w:bookmarkStart w:id="33" w:name="_Toc82790272"/>
      <w:bookmarkStart w:id="34" w:name="_Toc82792841"/>
      <w:bookmarkStart w:id="35" w:name="_Toc90291236"/>
      <w:bookmarkStart w:id="36" w:name="_Toc95812950"/>
      <w:r w:rsidRPr="009306D5">
        <w:rPr>
          <w:noProof/>
        </w:rPr>
        <w:t>Andmete kogumine ja analüüs</w:t>
      </w:r>
      <w:bookmarkEnd w:id="24"/>
      <w:bookmarkEnd w:id="25"/>
      <w:bookmarkEnd w:id="26"/>
      <w:bookmarkEnd w:id="27"/>
      <w:bookmarkEnd w:id="28"/>
      <w:bookmarkEnd w:id="29"/>
      <w:bookmarkEnd w:id="30"/>
      <w:bookmarkEnd w:id="31"/>
      <w:bookmarkEnd w:id="32"/>
      <w:bookmarkEnd w:id="33"/>
      <w:bookmarkEnd w:id="34"/>
      <w:bookmarkEnd w:id="35"/>
      <w:bookmarkEnd w:id="36"/>
    </w:p>
    <w:p w14:paraId="23580A59" w14:textId="77777777" w:rsidR="005B15B7" w:rsidRPr="009306D5" w:rsidRDefault="005B15B7" w:rsidP="005B15B7">
      <w:pPr>
        <w:rPr>
          <w:rFonts w:cs="Times New Roman"/>
          <w:noProof/>
          <w:sz w:val="20"/>
        </w:rPr>
      </w:pPr>
      <w:r w:rsidRPr="009306D5">
        <w:rPr>
          <w:noProof/>
          <w:sz w:val="20"/>
        </w:rPr>
        <w:t>Andmete kogumiseks esitas komisjon kõikidele liikmesriikidele valitud küsimusi käsitleva uuringu. Kasutades 109 eri küsimuste kogumit (vabas vormis tekst, ühe vastuse ja valikvastustega küsimused, maatriksid jne) ja tabeleid, kogus komisjon 8 700 andmesisestust.</w:t>
      </w:r>
    </w:p>
    <w:p w14:paraId="0391BEFE" w14:textId="414BD6AC" w:rsidR="005B15B7" w:rsidRPr="009306D5" w:rsidRDefault="005B15B7" w:rsidP="005B15B7">
      <w:pPr>
        <w:rPr>
          <w:rFonts w:cs="Times New Roman"/>
          <w:noProof/>
          <w:sz w:val="20"/>
        </w:rPr>
      </w:pPr>
      <w:r w:rsidRPr="009306D5">
        <w:rPr>
          <w:noProof/>
          <w:sz w:val="20"/>
        </w:rPr>
        <w:t>Kasutasime saadud andmete kvaliteedi kontrollimiseks ja kinnitamiseks valideerimismeetodeid (nt ristkontrollid, võrdlused muude allikatega ja peamised kontrollküsimused). Komisjon pöördus liikmesriikide poole mitme kanali kaudu, et arutada tuvastatud kõrvalekaldeid. Kõigil liikmesriikidel oli võimalus oma vastused läbi vaadata. Andmete kvaliteet ja täpsus on siiski väga kõikuv. Liikmesriigid peaksid püüdma esitada kvaliteetseid andmeid ettenähtud aja jooksul.</w:t>
      </w:r>
    </w:p>
    <w:p w14:paraId="0958D4C4" w14:textId="77777777" w:rsidR="005B15B7" w:rsidRPr="009306D5" w:rsidRDefault="005B15B7" w:rsidP="005B15B7">
      <w:pPr>
        <w:rPr>
          <w:rFonts w:cs="Times New Roman"/>
          <w:noProof/>
          <w:sz w:val="20"/>
        </w:rPr>
      </w:pPr>
      <w:r w:rsidRPr="009306D5">
        <w:rPr>
          <w:noProof/>
          <w:sz w:val="20"/>
        </w:rPr>
        <w:t>Ühendkuningriik astus Euroopa Liidust välja 31. jaanuaril 2020. Kuna aruanne kajastab ajavahemikku 2016–2019 ning liidu õigus oli Ühendkuningriigi suhtes ja Ühendkuningriigis täielikult kohaldatav kogu üleminekuperioodi vältel, hõlmavad viited liikmesriikidele ja kõigile arvutustele (nt erinevad suhtarvud ja protsendimäärad) Ühendkuningriiki. Ühendkuningriik osales uuringus täiel määral.</w:t>
      </w:r>
    </w:p>
    <w:p w14:paraId="2FE7296A" w14:textId="77777777" w:rsidR="005B15B7" w:rsidRPr="009306D5" w:rsidRDefault="005B15B7" w:rsidP="000D13AA">
      <w:pPr>
        <w:pStyle w:val="Heading1"/>
        <w:numPr>
          <w:ilvl w:val="0"/>
          <w:numId w:val="35"/>
        </w:numPr>
        <w:rPr>
          <w:noProof/>
        </w:rPr>
      </w:pPr>
      <w:bookmarkStart w:id="37" w:name="_Toc69994922"/>
      <w:bookmarkStart w:id="38" w:name="_Toc62138818"/>
      <w:bookmarkStart w:id="39" w:name="_Toc65836441"/>
      <w:bookmarkStart w:id="40" w:name="_Toc66116382"/>
      <w:bookmarkStart w:id="41" w:name="_Toc66202051"/>
      <w:bookmarkStart w:id="42" w:name="_Toc67414229"/>
      <w:bookmarkStart w:id="43" w:name="_Toc67415156"/>
      <w:bookmarkStart w:id="44" w:name="_Toc67415321"/>
      <w:bookmarkStart w:id="45" w:name="_Toc67415601"/>
      <w:bookmarkStart w:id="46" w:name="_Toc67415879"/>
      <w:bookmarkStart w:id="47" w:name="_Toc82790273"/>
      <w:bookmarkStart w:id="48" w:name="_Toc82792842"/>
      <w:bookmarkStart w:id="49" w:name="_Toc90291237"/>
      <w:bookmarkStart w:id="50" w:name="_Toc95812951"/>
      <w:r w:rsidRPr="009306D5">
        <w:rPr>
          <w:noProof/>
        </w:rPr>
        <w:t>Ühine huvi: käibemaksu tähtsus liikmesriikide, Euroopa Liidu ja maksumaksjate jaoks</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22C828D" w14:textId="77777777" w:rsidR="005B15B7" w:rsidRPr="009306D5" w:rsidRDefault="005B15B7" w:rsidP="000D13AA">
      <w:pPr>
        <w:pStyle w:val="Heading2"/>
        <w:numPr>
          <w:ilvl w:val="1"/>
          <w:numId w:val="35"/>
        </w:numPr>
        <w:rPr>
          <w:noProof/>
        </w:rPr>
      </w:pPr>
      <w:bookmarkStart w:id="51" w:name="_Toc62138820"/>
      <w:bookmarkStart w:id="52" w:name="_Toc65836443"/>
      <w:bookmarkStart w:id="53" w:name="_Toc66116384"/>
      <w:bookmarkStart w:id="54" w:name="_Toc66202053"/>
      <w:bookmarkStart w:id="55" w:name="_Toc67414230"/>
      <w:bookmarkStart w:id="56" w:name="_Toc67415157"/>
      <w:bookmarkStart w:id="57" w:name="_Toc67415322"/>
      <w:bookmarkStart w:id="58" w:name="_Toc67415602"/>
      <w:bookmarkStart w:id="59" w:name="_Toc67415880"/>
      <w:bookmarkStart w:id="60" w:name="_Toc69994923"/>
      <w:bookmarkStart w:id="61" w:name="_Toc82790274"/>
      <w:bookmarkStart w:id="62" w:name="_Toc82792843"/>
      <w:bookmarkStart w:id="63" w:name="_Toc90291238"/>
      <w:bookmarkStart w:id="64" w:name="_Toc95812952"/>
      <w:r w:rsidRPr="009306D5">
        <w:rPr>
          <w:noProof/>
        </w:rPr>
        <w:t>Maksukuulekuse lõhe (käibemaksulõhe)</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0993A29" w14:textId="3DC208EE" w:rsidR="005B15B7" w:rsidRPr="009306D5" w:rsidRDefault="005B15B7" w:rsidP="005B15B7">
      <w:pPr>
        <w:rPr>
          <w:rFonts w:cs="Times New Roman"/>
          <w:noProof/>
        </w:rPr>
      </w:pPr>
      <w:r w:rsidRPr="009306D5">
        <w:rPr>
          <w:noProof/>
        </w:rPr>
        <w:t>Maksuhaldurite suutlikkus koguda käibemaksu on liikmesriikide, ELi, Euroopa ettevõtjate ja kodanike jaoks kiiret tegutsemist nõudev küsimus.</w:t>
      </w:r>
      <w:r w:rsidRPr="009306D5">
        <w:rPr>
          <w:noProof/>
          <w:sz w:val="20"/>
        </w:rPr>
        <w:t xml:space="preserve"> Käibemaks on oluline ja üks peamine panus liikmesriikide riigieelarvesse</w:t>
      </w:r>
      <w:r w:rsidRPr="009306D5">
        <w:rPr>
          <w:rStyle w:val="FootnoteReference"/>
          <w:rFonts w:cs="Times New Roman"/>
          <w:noProof/>
          <w:sz w:val="20"/>
        </w:rPr>
        <w:footnoteReference w:id="6"/>
      </w:r>
      <w:r w:rsidRPr="009306D5">
        <w:rPr>
          <w:noProof/>
          <w:sz w:val="20"/>
        </w:rPr>
        <w:t xml:space="preserve"> ning ELi eelarve oluline omavahend. Tasumisele kuulunud, kuid maksuhalduril saamata jäänud käibemaks oli 2019. aastal siiski hinnanguliselt 134 miljardit eurot nominaalväärtuses ja 10,3 % kogu käibemaksukohustusest</w:t>
      </w:r>
      <w:r w:rsidRPr="009306D5">
        <w:rPr>
          <w:rFonts w:cs="Times New Roman"/>
          <w:noProof/>
          <w:sz w:val="20"/>
          <w:vertAlign w:val="superscript"/>
        </w:rPr>
        <w:footnoteReference w:id="7"/>
      </w:r>
      <w:r w:rsidRPr="009306D5">
        <w:rPr>
          <w:noProof/>
          <w:sz w:val="20"/>
        </w:rPr>
        <w:t xml:space="preserve"> (</w:t>
      </w:r>
      <w:r w:rsidRPr="009306D5">
        <w:rPr>
          <w:rFonts w:cs="Times New Roman"/>
          <w:noProof/>
          <w:sz w:val="20"/>
        </w:rPr>
        <w:fldChar w:fldCharType="begin"/>
      </w:r>
      <w:r w:rsidRPr="009306D5">
        <w:rPr>
          <w:rFonts w:cs="Times New Roman"/>
          <w:noProof/>
          <w:sz w:val="20"/>
        </w:rPr>
        <w:instrText xml:space="preserve"> REF _Ref85023672 \h  \* MERGEFORMAT </w:instrText>
      </w:r>
      <w:r w:rsidRPr="009306D5">
        <w:rPr>
          <w:rFonts w:cs="Times New Roman"/>
          <w:noProof/>
          <w:sz w:val="20"/>
        </w:rPr>
      </w:r>
      <w:r w:rsidRPr="009306D5">
        <w:rPr>
          <w:rFonts w:cs="Times New Roman"/>
          <w:noProof/>
          <w:sz w:val="20"/>
        </w:rPr>
        <w:fldChar w:fldCharType="separate"/>
      </w:r>
      <w:r w:rsidR="009370F5" w:rsidRPr="009306D5">
        <w:rPr>
          <w:rFonts w:cs="Times New Roman"/>
          <w:noProof/>
          <w:sz w:val="20"/>
        </w:rPr>
        <w:t>joonis</w:t>
      </w:r>
      <w:r w:rsidR="000175E8" w:rsidRPr="009306D5">
        <w:rPr>
          <w:rFonts w:cs="Times New Roman"/>
          <w:noProof/>
          <w:sz w:val="20"/>
        </w:rPr>
        <w:t xml:space="preserve"> 1</w:t>
      </w:r>
      <w:r w:rsidRPr="009306D5">
        <w:rPr>
          <w:rFonts w:cs="Times New Roman"/>
          <w:noProof/>
          <w:sz w:val="20"/>
        </w:rPr>
        <w:fldChar w:fldCharType="end"/>
      </w:r>
      <w:r w:rsidRPr="009306D5">
        <w:rPr>
          <w:noProof/>
          <w:sz w:val="20"/>
        </w:rPr>
        <w:t>). Seda nimetatakse käibemaksulõheks: erinevus käibemaksu kogukohustuse ja selle summa vahel, mida liikmesriikide maksuhaldurid tegelikult koguvad, kujutab endast saamata jäänud käibemaksutulu võrrelduna teoreetiliselt arvutatud käibemaksuga. Komisjon arvutab ja avaldab käibemaksulõhe igal aastal,</w:t>
      </w:r>
      <w:r w:rsidRPr="009306D5">
        <w:rPr>
          <w:rStyle w:val="FootnoteReference"/>
          <w:rFonts w:cs="Times New Roman"/>
          <w:noProof/>
          <w:sz w:val="20"/>
        </w:rPr>
        <w:footnoteReference w:id="8"/>
      </w:r>
      <w:r w:rsidRPr="009306D5">
        <w:rPr>
          <w:noProof/>
          <w:sz w:val="20"/>
        </w:rPr>
        <w:t xml:space="preserve"> et koguda võrreldavaid andmeid ja näitajaid saamata jäänud käibemaksutulu suuruse kohta. Käibemaksulõhe aitab hinnata tulu, mis on jäänud saamata põhjustel, mida saab jagada nelja suurde kategooriasse: 1) käibemaksupettused ja käibemaksust kõrvalehoidumine, 2) käibemaksu vältimise tavad ja käibemaksu optimeerimine, 3) pankrotid ja maksejõuetus ning 4) haldusvead. Lisaks tuleb märkida, et käibemaksulõhe hinnangud arvutatakse riikliku statistika põhjal</w:t>
      </w:r>
      <w:r w:rsidR="008E53F6" w:rsidRPr="009306D5">
        <w:rPr>
          <w:rStyle w:val="FootnoteReference"/>
          <w:rFonts w:cs="Times New Roman"/>
          <w:noProof/>
          <w:sz w:val="20"/>
        </w:rPr>
        <w:footnoteReference w:id="9"/>
      </w:r>
      <w:r w:rsidRPr="009306D5">
        <w:rPr>
          <w:noProof/>
          <w:sz w:val="20"/>
        </w:rPr>
        <w:t>. Äärmiselt oluline on lihtsustada liikmesriikide haldussuutlikkust täita käibemaksunõudeid ja võidelda käibemaksupettuste vastu. Kuigi kõik need käibemaksulõhe põhjused nõuavad erinevaid poliitikameetmeid, ei ole isegi parimal juhul võimalik käibemaksulõhet täielikult kõrvaldada, näiteks pankrottide ja maksejõuetuse tõttu saamata jäänud käibemaksu tõttu. Käibemaksulõhe kvantifitseerimine ja jälgimine võib aidata välja töötada sihipäraseid meetmeid ja jälgida nende tõhusust. Seega võib käibemaksulõhet pidada näitajaks, mille abil saab mõõta käibemaksu sissenõudmise ja nõuete täitmise jälgimise meetmete tõhusust igas liikmesriigis.</w:t>
      </w:r>
    </w:p>
    <w:p w14:paraId="6158EFB0" w14:textId="21F3B889" w:rsidR="005B15B7" w:rsidRPr="009306D5" w:rsidRDefault="008A2E1E" w:rsidP="00FE0EC3">
      <w:pPr>
        <w:pStyle w:val="Caption"/>
      </w:pPr>
      <w:bookmarkStart w:id="65" w:name="_Ref85023672"/>
      <w:bookmarkStart w:id="66" w:name="_Ref85023667"/>
      <w:bookmarkStart w:id="67" w:name="_Toc95816228"/>
      <w:r w:rsidRPr="009306D5">
        <w:t>Joonis </w:t>
      </w:r>
      <w:r w:rsidRPr="009306D5">
        <w:fldChar w:fldCharType="begin"/>
      </w:r>
      <w:r w:rsidRPr="009306D5">
        <w:instrText xml:space="preserve"> SEQ Figure \* ARABIC </w:instrText>
      </w:r>
      <w:r w:rsidRPr="009306D5">
        <w:fldChar w:fldCharType="separate"/>
      </w:r>
      <w:r w:rsidRPr="009306D5">
        <w:t>1</w:t>
      </w:r>
      <w:r w:rsidRPr="009306D5">
        <w:fldChar w:fldCharType="end"/>
      </w:r>
      <w:bookmarkEnd w:id="65"/>
      <w:r w:rsidRPr="009306D5">
        <w:t>. ELi käibemaksulõhe areng</w:t>
      </w:r>
      <w:bookmarkEnd w:id="66"/>
      <w:bookmarkEnd w:id="67"/>
    </w:p>
    <w:p w14:paraId="2BF02701" w14:textId="4FFA78AC" w:rsidR="005B15B7" w:rsidRPr="009306D5" w:rsidRDefault="00467FAC" w:rsidP="00EF59B5">
      <w:pPr>
        <w:pStyle w:val="FIgure"/>
      </w:pPr>
      <w:r w:rsidRPr="009306D5">
        <w:rPr>
          <w:lang w:val="en-GB"/>
        </w:rPr>
        <w:drawing>
          <wp:inline distT="0" distB="0" distL="0" distR="0" wp14:anchorId="1BB0DED1" wp14:editId="4C2545DE">
            <wp:extent cx="469265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2650" cy="2743200"/>
                    </a:xfrm>
                    <a:prstGeom prst="rect">
                      <a:avLst/>
                    </a:prstGeom>
                    <a:noFill/>
                    <a:ln>
                      <a:noFill/>
                    </a:ln>
                  </pic:spPr>
                </pic:pic>
              </a:graphicData>
            </a:graphic>
          </wp:inline>
        </w:drawing>
      </w:r>
      <w:r w:rsidR="00AC0604" w:rsidRPr="009306D5">
        <w:t xml:space="preserve"> </w:t>
      </w:r>
    </w:p>
    <w:p w14:paraId="371512B4" w14:textId="00181B26" w:rsidR="005B15B7" w:rsidRPr="009306D5" w:rsidRDefault="005B15B7" w:rsidP="005B15B7">
      <w:pPr>
        <w:pStyle w:val="Source"/>
        <w:rPr>
          <w:rFonts w:ascii="Times New Roman" w:hAnsi="Times New Roman"/>
          <w:b/>
          <w:noProof/>
        </w:rPr>
      </w:pPr>
      <w:r w:rsidRPr="009306D5">
        <w:rPr>
          <w:rFonts w:ascii="Times New Roman" w:hAnsi="Times New Roman"/>
          <w:noProof/>
        </w:rPr>
        <w:t>Allikas: Euroopa Komisjon (2021) – 2021. aasta aruanne ELi käibemaksulõhe kohta</w:t>
      </w:r>
    </w:p>
    <w:p w14:paraId="3E7B45DA" w14:textId="7E939F1F" w:rsidR="005B15B7" w:rsidRPr="009306D5" w:rsidRDefault="005B15B7" w:rsidP="005B15B7">
      <w:pPr>
        <w:rPr>
          <w:rFonts w:cs="Times New Roman"/>
          <w:noProof/>
          <w:sz w:val="20"/>
        </w:rPr>
      </w:pPr>
      <w:r w:rsidRPr="009306D5">
        <w:rPr>
          <w:noProof/>
          <w:sz w:val="20"/>
        </w:rPr>
        <w:t>Kuigi kogu ELi hõlmav pilt on aja jooksul paranenud, on statistika liikmesriigiti väga erinev – käibemaksulõhe võib ulatuda 1 %-st kuni 35 %-ni käibemaksu teoreetilisest kogukohustusest riigis (</w:t>
      </w:r>
      <w:r w:rsidRPr="009306D5">
        <w:rPr>
          <w:rFonts w:cs="Times New Roman"/>
          <w:noProof/>
          <w:sz w:val="20"/>
        </w:rPr>
        <w:fldChar w:fldCharType="begin"/>
      </w:r>
      <w:r w:rsidRPr="009306D5">
        <w:rPr>
          <w:rFonts w:cs="Times New Roman"/>
          <w:noProof/>
          <w:sz w:val="20"/>
        </w:rPr>
        <w:instrText xml:space="preserve"> REF _Ref85023888 \h  \* MERGEFORMAT </w:instrText>
      </w:r>
      <w:r w:rsidRPr="009306D5">
        <w:rPr>
          <w:rFonts w:cs="Times New Roman"/>
          <w:noProof/>
          <w:sz w:val="20"/>
        </w:rPr>
      </w:r>
      <w:r w:rsidRPr="009306D5">
        <w:rPr>
          <w:rFonts w:cs="Times New Roman"/>
          <w:noProof/>
          <w:sz w:val="20"/>
        </w:rPr>
        <w:fldChar w:fldCharType="separate"/>
      </w:r>
      <w:r w:rsidR="009370F5" w:rsidRPr="009306D5">
        <w:rPr>
          <w:rFonts w:cs="Times New Roman"/>
          <w:noProof/>
          <w:sz w:val="20"/>
        </w:rPr>
        <w:t>joonis</w:t>
      </w:r>
      <w:r w:rsidR="000175E8" w:rsidRPr="009306D5">
        <w:rPr>
          <w:rFonts w:cs="Times New Roman"/>
          <w:noProof/>
          <w:sz w:val="20"/>
        </w:rPr>
        <w:t xml:space="preserve"> 2</w:t>
      </w:r>
      <w:r w:rsidRPr="009306D5">
        <w:rPr>
          <w:rFonts w:cs="Times New Roman"/>
          <w:noProof/>
          <w:sz w:val="20"/>
        </w:rPr>
        <w:fldChar w:fldCharType="end"/>
      </w:r>
      <w:r w:rsidRPr="009306D5">
        <w:rPr>
          <w:noProof/>
          <w:sz w:val="20"/>
        </w:rPr>
        <w:t>). Leidub häid näiteid selle kohta, et on võimalik teha edusamme ja käibemaksulõhet vähendada: kokkuvõttes vähenes käibemaksulõhe osakaal 2018. aastaga võrreldes 18 liikmesriigis. Lisaks Horvaatiale ja Küprosele vähenes käibemaksulõhe kõige rohkem Kreekas, Leedus, Bulgaarias ja Slovakkias (nendes neljas riigis vähenes käibemaksulõhe 3,2–2,2 protsendipunkti (–3 protsendipunkti). Teine riikide rühm on Rootsi, Soome ja Eesti. Nendes liikmesriikides on saamata jäänud käibemaksutulu juba aastaid hinnanguliselt väiksem kui 5 % tasumisele kuuluvast käibemaksust. Suurimat käibemaksulõhe suurenemist täheldati peale Malta Sloveenias (+3 protsendipunkti) ja Rumeenias (+2,3 protsendipunkti).</w:t>
      </w:r>
    </w:p>
    <w:p w14:paraId="1A339A75" w14:textId="29854382" w:rsidR="005B15B7" w:rsidRPr="009306D5" w:rsidRDefault="005B15B7" w:rsidP="00FE0EC3">
      <w:pPr>
        <w:pStyle w:val="Caption"/>
      </w:pPr>
      <w:bookmarkStart w:id="68" w:name="_Ref85023888"/>
      <w:bookmarkStart w:id="69" w:name="_Toc95816229"/>
      <w:r w:rsidRPr="009306D5">
        <w:t>Joonis </w:t>
      </w:r>
      <w:r w:rsidRPr="009306D5">
        <w:fldChar w:fldCharType="begin"/>
      </w:r>
      <w:r w:rsidRPr="009306D5">
        <w:instrText xml:space="preserve"> SEQ Figure \* ARABIC </w:instrText>
      </w:r>
      <w:r w:rsidRPr="009306D5">
        <w:fldChar w:fldCharType="separate"/>
      </w:r>
      <w:r w:rsidR="008A2E1E" w:rsidRPr="009306D5">
        <w:t>2</w:t>
      </w:r>
      <w:r w:rsidRPr="009306D5">
        <w:fldChar w:fldCharType="end"/>
      </w:r>
      <w:bookmarkEnd w:id="68"/>
      <w:r w:rsidRPr="009306D5">
        <w:t>. Käibemaksulõhe osakaaluna käibemaksu teoreetilisest kogukohustusest 2018. ja 2019. aastal, %</w:t>
      </w:r>
      <w:bookmarkEnd w:id="69"/>
    </w:p>
    <w:p w14:paraId="48B94150" w14:textId="7E2B0B61" w:rsidR="005B15B7" w:rsidRPr="009306D5" w:rsidRDefault="005B15B7" w:rsidP="00EF59B5">
      <w:pPr>
        <w:pStyle w:val="FIgure"/>
        <w:rPr>
          <w:sz w:val="24"/>
        </w:rPr>
      </w:pPr>
      <w:r w:rsidRPr="009306D5">
        <w:rPr>
          <w:lang w:val="en-GB"/>
        </w:rPr>
        <w:drawing>
          <wp:inline distT="0" distB="0" distL="0" distR="0" wp14:anchorId="3C83994D" wp14:editId="39A80269">
            <wp:extent cx="5375275" cy="2372007"/>
            <wp:effectExtent l="0" t="0" r="0" b="0"/>
            <wp:docPr id="75" name="Wykres 3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0B667E" w14:textId="67E423BB" w:rsidR="005B15B7" w:rsidRPr="009306D5" w:rsidRDefault="00275A8D" w:rsidP="005B15B7">
      <w:pPr>
        <w:pStyle w:val="Source"/>
        <w:rPr>
          <w:rFonts w:ascii="Times New Roman" w:hAnsi="Times New Roman"/>
          <w:noProof/>
        </w:rPr>
      </w:pPr>
      <w:r w:rsidRPr="009306D5">
        <w:rPr>
          <w:rFonts w:ascii="Times New Roman" w:hAnsi="Times New Roman"/>
          <w:noProof/>
        </w:rPr>
        <w:t>Selgituseks. Andmemärgised osutavad käibemaksulõhele osakaaluna 2019. aasta käibemaksu teoreetilisest kogukohustusest</w:t>
      </w:r>
      <w:r w:rsidRPr="009306D5">
        <w:rPr>
          <w:rFonts w:ascii="Times New Roman" w:hAnsi="Times New Roman"/>
          <w:noProof/>
        </w:rPr>
        <w:cr/>
      </w:r>
      <w:r w:rsidRPr="009306D5">
        <w:rPr>
          <w:rFonts w:ascii="Times New Roman" w:hAnsi="Times New Roman"/>
          <w:noProof/>
        </w:rPr>
        <w:br/>
        <w:t>Allikas: Euroopa Komisjon (2021) – 2021. aasta aruanne ELi käibemaksulõhe kohta</w:t>
      </w:r>
    </w:p>
    <w:p w14:paraId="7E67ADBC" w14:textId="20F1A211" w:rsidR="005B15B7" w:rsidRPr="009306D5" w:rsidRDefault="005B15B7" w:rsidP="00BE327F">
      <w:pPr>
        <w:rPr>
          <w:rFonts w:cs="Times New Roman"/>
          <w:noProof/>
        </w:rPr>
      </w:pPr>
      <w:r w:rsidRPr="009306D5">
        <w:rPr>
          <w:noProof/>
          <w:sz w:val="20"/>
        </w:rPr>
        <w:t>Käibemaksulõhe hinnangute erinevused liikmesriikide vahel peegeldavad maksukuulekuse, pettuste, maksustamise vältimise, pankrottide, maksejõuetuse ja haldussuutlikkuse erinevusi. Isegi kui neid hinnanguid mõjutavad muud tegurid, nagu majanduse areng ja riikliku statistika korraldus, saab käibemaksulõhe suurusest ja eriti selle suundumustest üht-teist järeldada riikide maksuhaldurite töö tulemuslikkuse kohta.</w:t>
      </w:r>
    </w:p>
    <w:p w14:paraId="6A810DD0" w14:textId="363BB857" w:rsidR="005B15B7" w:rsidRPr="009306D5" w:rsidRDefault="005B15B7" w:rsidP="00FE0EC3">
      <w:pPr>
        <w:pStyle w:val="Caption"/>
      </w:pPr>
      <w:bookmarkStart w:id="70" w:name="_Toc90291232"/>
      <w:bookmarkStart w:id="71" w:name="_Toc457224894"/>
      <w:r w:rsidRPr="009306D5">
        <w:t xml:space="preserve">Tabel </w:t>
      </w:r>
      <w:r w:rsidRPr="009306D5">
        <w:fldChar w:fldCharType="begin"/>
      </w:r>
      <w:r w:rsidRPr="009306D5">
        <w:instrText xml:space="preserve"> SEQ Table \* ARABIC </w:instrText>
      </w:r>
      <w:r w:rsidRPr="009306D5">
        <w:fldChar w:fldCharType="separate"/>
      </w:r>
      <w:r w:rsidR="000175E8" w:rsidRPr="009306D5">
        <w:t>1</w:t>
      </w:r>
      <w:r w:rsidRPr="009306D5">
        <w:fldChar w:fldCharType="end"/>
      </w:r>
      <w:r w:rsidRPr="009306D5">
        <w:t>. Käibemaksulõhe aastatel 2016</w:t>
      </w:r>
      <w:r w:rsidRPr="009306D5">
        <w:rPr>
          <w:color w:val="000000"/>
        </w:rPr>
        <w:t>–2</w:t>
      </w:r>
      <w:r w:rsidRPr="009306D5">
        <w:t>019 (miljonites eurodes ja protsendina käibemaksu kogukohustusest)</w:t>
      </w:r>
      <w:bookmarkEnd w:id="70"/>
    </w:p>
    <w:tbl>
      <w:tblPr>
        <w:tblStyle w:val="GridTable5Dark-Accent5"/>
        <w:tblW w:w="8960" w:type="dxa"/>
        <w:tblLayout w:type="fixed"/>
        <w:tblLook w:val="04A0" w:firstRow="1" w:lastRow="0" w:firstColumn="1" w:lastColumn="0" w:noHBand="0" w:noVBand="1"/>
      </w:tblPr>
      <w:tblGrid>
        <w:gridCol w:w="1769"/>
        <w:gridCol w:w="912"/>
        <w:gridCol w:w="861"/>
        <w:gridCol w:w="911"/>
        <w:gridCol w:w="861"/>
        <w:gridCol w:w="911"/>
        <w:gridCol w:w="912"/>
        <w:gridCol w:w="911"/>
        <w:gridCol w:w="912"/>
      </w:tblGrid>
      <w:tr w:rsidR="005B15B7" w:rsidRPr="009306D5" w14:paraId="366F4A6B" w14:textId="77777777" w:rsidTr="008D08E4">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000" w:firstRow="0" w:lastRow="0" w:firstColumn="1" w:lastColumn="0" w:oddVBand="0" w:evenVBand="0" w:oddHBand="0" w:evenHBand="0" w:firstRowFirstColumn="0" w:firstRowLastColumn="0" w:lastRowFirstColumn="0" w:lastRowLastColumn="0"/>
            <w:tcW w:w="1748" w:type="dxa"/>
            <w:vMerge w:val="restart"/>
            <w:tcBorders>
              <w:tl2br w:val="single" w:sz="4" w:space="0" w:color="FFFFFF" w:themeColor="background1"/>
            </w:tcBorders>
            <w:vAlign w:val="center"/>
          </w:tcPr>
          <w:p w14:paraId="73FBE2F7" w14:textId="77777777" w:rsidR="005B15B7" w:rsidRPr="009306D5" w:rsidRDefault="005B15B7">
            <w:pPr>
              <w:tabs>
                <w:tab w:val="left" w:pos="990"/>
              </w:tabs>
              <w:jc w:val="right"/>
              <w:rPr>
                <w:rFonts w:cs="Times New Roman"/>
                <w:noProof/>
                <w:sz w:val="18"/>
                <w:szCs w:val="18"/>
              </w:rPr>
            </w:pPr>
            <w:r w:rsidRPr="009306D5">
              <w:rPr>
                <w:noProof/>
                <w:sz w:val="18"/>
                <w:szCs w:val="18"/>
              </w:rPr>
              <w:t>Aasta</w:t>
            </w:r>
          </w:p>
          <w:p w14:paraId="213F07FB" w14:textId="77777777" w:rsidR="005B15B7" w:rsidRPr="009306D5" w:rsidRDefault="005B15B7">
            <w:pPr>
              <w:tabs>
                <w:tab w:val="left" w:pos="990"/>
              </w:tabs>
              <w:rPr>
                <w:rFonts w:cs="Times New Roman"/>
                <w:noProof/>
                <w:sz w:val="18"/>
                <w:szCs w:val="18"/>
              </w:rPr>
            </w:pPr>
            <w:r w:rsidRPr="009306D5">
              <w:rPr>
                <w:noProof/>
                <w:sz w:val="18"/>
                <w:szCs w:val="18"/>
              </w:rPr>
              <w:t xml:space="preserve">Liikmesriik </w:t>
            </w:r>
            <w:r w:rsidRPr="009306D5">
              <w:rPr>
                <w:noProof/>
                <w:sz w:val="18"/>
                <w:szCs w:val="18"/>
              </w:rPr>
              <w:cr/>
            </w:r>
            <w:r w:rsidRPr="009306D5">
              <w:rPr>
                <w:noProof/>
                <w:sz w:val="18"/>
                <w:szCs w:val="18"/>
              </w:rPr>
              <w:br/>
            </w:r>
          </w:p>
        </w:tc>
        <w:tc>
          <w:tcPr>
            <w:tcW w:w="851" w:type="dxa"/>
            <w:gridSpan w:val="2"/>
            <w:tcBorders>
              <w:bottom w:val="nil"/>
              <w:right w:val="single" w:sz="4" w:space="0" w:color="FFFFFF" w:themeColor="background1"/>
            </w:tcBorders>
            <w:vAlign w:val="center"/>
          </w:tcPr>
          <w:p w14:paraId="0A21F18B"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2016</w:t>
            </w:r>
          </w:p>
        </w:tc>
        <w:tc>
          <w:tcPr>
            <w:tcW w:w="851" w:type="dxa"/>
            <w:gridSpan w:val="2"/>
            <w:tcBorders>
              <w:left w:val="single" w:sz="4" w:space="0" w:color="FFFFFF" w:themeColor="background1"/>
              <w:bottom w:val="nil"/>
              <w:right w:val="single" w:sz="4" w:space="0" w:color="FFFFFF" w:themeColor="background1"/>
            </w:tcBorders>
            <w:vAlign w:val="center"/>
          </w:tcPr>
          <w:p w14:paraId="533C0E4D"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2017</w:t>
            </w:r>
          </w:p>
        </w:tc>
        <w:tc>
          <w:tcPr>
            <w:tcW w:w="1803" w:type="dxa"/>
            <w:gridSpan w:val="2"/>
            <w:tcBorders>
              <w:left w:val="single" w:sz="4" w:space="0" w:color="FFFFFF" w:themeColor="background1"/>
              <w:bottom w:val="nil"/>
              <w:right w:val="single" w:sz="4" w:space="0" w:color="FFFFFF" w:themeColor="background1"/>
            </w:tcBorders>
            <w:vAlign w:val="center"/>
          </w:tcPr>
          <w:p w14:paraId="41FD91A4"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2018</w:t>
            </w:r>
          </w:p>
        </w:tc>
        <w:tc>
          <w:tcPr>
            <w:tcW w:w="1803" w:type="dxa"/>
            <w:gridSpan w:val="2"/>
            <w:tcBorders>
              <w:left w:val="single" w:sz="4" w:space="0" w:color="FFFFFF" w:themeColor="background1"/>
              <w:bottom w:val="nil"/>
            </w:tcBorders>
            <w:vAlign w:val="center"/>
          </w:tcPr>
          <w:p w14:paraId="37C9091C"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2019</w:t>
            </w:r>
          </w:p>
        </w:tc>
      </w:tr>
      <w:tr w:rsidR="005B15B7" w:rsidRPr="009306D5" w14:paraId="2FE0C478" w14:textId="77777777" w:rsidTr="008D08E4">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748" w:type="dxa"/>
            <w:vMerge/>
            <w:tcBorders>
              <w:tl2br w:val="single" w:sz="4" w:space="0" w:color="FFFFFF" w:themeColor="background1"/>
            </w:tcBorders>
          </w:tcPr>
          <w:p w14:paraId="6686BD24" w14:textId="77777777" w:rsidR="005B15B7" w:rsidRPr="009306D5" w:rsidRDefault="005B15B7">
            <w:pPr>
              <w:tabs>
                <w:tab w:val="left" w:pos="990"/>
              </w:tabs>
              <w:rPr>
                <w:rFonts w:cs="Times New Roman"/>
                <w:noProof/>
                <w:sz w:val="18"/>
                <w:szCs w:val="18"/>
              </w:rPr>
            </w:pPr>
          </w:p>
        </w:tc>
        <w:tc>
          <w:tcPr>
            <w:tcW w:w="901" w:type="dxa"/>
            <w:tcBorders>
              <w:top w:val="nil"/>
              <w:right w:val="single" w:sz="4" w:space="0" w:color="FFFFFF" w:themeColor="background1"/>
            </w:tcBorders>
            <w:vAlign w:val="center"/>
          </w:tcPr>
          <w:p w14:paraId="5A12F8DA"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16"/>
                <w:szCs w:val="18"/>
              </w:rPr>
            </w:pPr>
            <w:r w:rsidRPr="009306D5">
              <w:rPr>
                <w:noProof/>
                <w:sz w:val="16"/>
                <w:szCs w:val="18"/>
              </w:rPr>
              <w:t>miljonites eurodes</w:t>
            </w:r>
          </w:p>
        </w:tc>
        <w:tc>
          <w:tcPr>
            <w:tcW w:w="851" w:type="dxa"/>
            <w:tcBorders>
              <w:top w:val="nil"/>
              <w:left w:val="single" w:sz="4" w:space="0" w:color="FFFFFF" w:themeColor="background1"/>
              <w:right w:val="single" w:sz="4" w:space="0" w:color="FFFFFF" w:themeColor="background1"/>
            </w:tcBorders>
            <w:vAlign w:val="center"/>
          </w:tcPr>
          <w:p w14:paraId="24E196D1"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16"/>
                <w:szCs w:val="18"/>
              </w:rPr>
            </w:pPr>
            <w:r w:rsidRPr="009306D5">
              <w:rPr>
                <w:noProof/>
                <w:sz w:val="16"/>
                <w:szCs w:val="18"/>
              </w:rPr>
              <w:t>%</w:t>
            </w:r>
          </w:p>
        </w:tc>
        <w:tc>
          <w:tcPr>
            <w:tcW w:w="901" w:type="dxa"/>
            <w:tcBorders>
              <w:top w:val="nil"/>
              <w:left w:val="single" w:sz="4" w:space="0" w:color="FFFFFF" w:themeColor="background1"/>
              <w:right w:val="single" w:sz="4" w:space="0" w:color="FFFFFF" w:themeColor="background1"/>
            </w:tcBorders>
            <w:vAlign w:val="center"/>
          </w:tcPr>
          <w:p w14:paraId="7D639EAC"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16"/>
                <w:szCs w:val="18"/>
              </w:rPr>
            </w:pPr>
            <w:r w:rsidRPr="009306D5">
              <w:rPr>
                <w:noProof/>
                <w:sz w:val="16"/>
                <w:szCs w:val="18"/>
              </w:rPr>
              <w:t>miljonites eurodes</w:t>
            </w:r>
          </w:p>
        </w:tc>
        <w:tc>
          <w:tcPr>
            <w:tcW w:w="851" w:type="dxa"/>
            <w:tcBorders>
              <w:top w:val="nil"/>
              <w:left w:val="single" w:sz="4" w:space="0" w:color="FFFFFF" w:themeColor="background1"/>
              <w:right w:val="single" w:sz="4" w:space="0" w:color="FFFFFF" w:themeColor="background1"/>
            </w:tcBorders>
            <w:vAlign w:val="center"/>
          </w:tcPr>
          <w:p w14:paraId="71CB2903"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16"/>
                <w:szCs w:val="18"/>
              </w:rPr>
            </w:pPr>
            <w:r w:rsidRPr="009306D5">
              <w:rPr>
                <w:noProof/>
                <w:sz w:val="16"/>
                <w:szCs w:val="18"/>
              </w:rPr>
              <w:t>%</w:t>
            </w:r>
          </w:p>
        </w:tc>
        <w:tc>
          <w:tcPr>
            <w:tcW w:w="901" w:type="dxa"/>
            <w:tcBorders>
              <w:top w:val="nil"/>
              <w:left w:val="single" w:sz="4" w:space="0" w:color="FFFFFF" w:themeColor="background1"/>
              <w:right w:val="single" w:sz="4" w:space="0" w:color="FFFFFF" w:themeColor="background1"/>
            </w:tcBorders>
            <w:vAlign w:val="center"/>
          </w:tcPr>
          <w:p w14:paraId="19F15419"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16"/>
                <w:szCs w:val="18"/>
              </w:rPr>
            </w:pPr>
            <w:r w:rsidRPr="009306D5">
              <w:rPr>
                <w:noProof/>
                <w:sz w:val="16"/>
                <w:szCs w:val="18"/>
              </w:rPr>
              <w:t>miljonites eurodes</w:t>
            </w:r>
          </w:p>
        </w:tc>
        <w:tc>
          <w:tcPr>
            <w:tcW w:w="902" w:type="dxa"/>
            <w:tcBorders>
              <w:top w:val="nil"/>
              <w:left w:val="single" w:sz="4" w:space="0" w:color="FFFFFF" w:themeColor="background1"/>
              <w:right w:val="single" w:sz="4" w:space="0" w:color="FFFFFF" w:themeColor="background1"/>
            </w:tcBorders>
            <w:vAlign w:val="center"/>
          </w:tcPr>
          <w:p w14:paraId="5A340E3C"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16"/>
                <w:szCs w:val="18"/>
              </w:rPr>
            </w:pPr>
            <w:r w:rsidRPr="009306D5">
              <w:rPr>
                <w:noProof/>
                <w:sz w:val="16"/>
                <w:szCs w:val="18"/>
              </w:rPr>
              <w:t>%</w:t>
            </w:r>
          </w:p>
        </w:tc>
        <w:tc>
          <w:tcPr>
            <w:tcW w:w="901" w:type="dxa"/>
            <w:tcBorders>
              <w:top w:val="nil"/>
              <w:left w:val="single" w:sz="4" w:space="0" w:color="FFFFFF" w:themeColor="background1"/>
              <w:right w:val="single" w:sz="4" w:space="0" w:color="FFFFFF" w:themeColor="background1"/>
            </w:tcBorders>
            <w:vAlign w:val="center"/>
          </w:tcPr>
          <w:p w14:paraId="1A12F4C2"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16"/>
                <w:szCs w:val="18"/>
              </w:rPr>
            </w:pPr>
            <w:r w:rsidRPr="009306D5">
              <w:rPr>
                <w:noProof/>
                <w:sz w:val="16"/>
                <w:szCs w:val="18"/>
              </w:rPr>
              <w:t>miljonites eurodes</w:t>
            </w:r>
          </w:p>
        </w:tc>
        <w:tc>
          <w:tcPr>
            <w:tcW w:w="902" w:type="dxa"/>
            <w:tcBorders>
              <w:top w:val="nil"/>
              <w:left w:val="single" w:sz="4" w:space="0" w:color="FFFFFF" w:themeColor="background1"/>
            </w:tcBorders>
            <w:vAlign w:val="center"/>
          </w:tcPr>
          <w:p w14:paraId="64446B99" w14:textId="77777777" w:rsidR="005B15B7" w:rsidRPr="009306D5" w:rsidRDefault="005B15B7">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16"/>
                <w:szCs w:val="18"/>
              </w:rPr>
            </w:pPr>
            <w:r w:rsidRPr="009306D5">
              <w:rPr>
                <w:noProof/>
                <w:sz w:val="16"/>
                <w:szCs w:val="18"/>
              </w:rPr>
              <w:t>%</w:t>
            </w:r>
          </w:p>
        </w:tc>
      </w:tr>
      <w:tr w:rsidR="005B15B7" w:rsidRPr="009306D5" w14:paraId="294E7C99"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5CDDFB0C" w14:textId="77777777" w:rsidR="005B15B7" w:rsidRPr="009306D5" w:rsidRDefault="005B15B7">
            <w:pPr>
              <w:rPr>
                <w:rFonts w:cs="Times New Roman"/>
                <w:noProof/>
                <w:sz w:val="16"/>
                <w:szCs w:val="16"/>
              </w:rPr>
            </w:pPr>
            <w:r w:rsidRPr="009306D5">
              <w:rPr>
                <w:noProof/>
                <w:sz w:val="16"/>
                <w:szCs w:val="16"/>
              </w:rPr>
              <w:t>Belgia</w:t>
            </w:r>
          </w:p>
        </w:tc>
        <w:tc>
          <w:tcPr>
            <w:tcW w:w="901" w:type="dxa"/>
            <w:vAlign w:val="center"/>
          </w:tcPr>
          <w:p w14:paraId="4AF4D1D4"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3 513</w:t>
            </w:r>
          </w:p>
        </w:tc>
        <w:tc>
          <w:tcPr>
            <w:tcW w:w="851" w:type="dxa"/>
            <w:vAlign w:val="center"/>
          </w:tcPr>
          <w:p w14:paraId="2D227D05"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10,9 %</w:t>
            </w:r>
          </w:p>
        </w:tc>
        <w:tc>
          <w:tcPr>
            <w:tcW w:w="901" w:type="dxa"/>
            <w:vAlign w:val="center"/>
          </w:tcPr>
          <w:p w14:paraId="1F22FBD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4 126</w:t>
            </w:r>
          </w:p>
        </w:tc>
        <w:tc>
          <w:tcPr>
            <w:tcW w:w="851" w:type="dxa"/>
            <w:vAlign w:val="center"/>
          </w:tcPr>
          <w:p w14:paraId="1C242479"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12,2 %</w:t>
            </w:r>
          </w:p>
        </w:tc>
        <w:tc>
          <w:tcPr>
            <w:tcW w:w="901" w:type="dxa"/>
            <w:vAlign w:val="center"/>
          </w:tcPr>
          <w:p w14:paraId="319806BB"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4 007</w:t>
            </w:r>
          </w:p>
        </w:tc>
        <w:tc>
          <w:tcPr>
            <w:tcW w:w="902" w:type="dxa"/>
            <w:vAlign w:val="center"/>
          </w:tcPr>
          <w:p w14:paraId="3047066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11,4 %</w:t>
            </w:r>
          </w:p>
        </w:tc>
        <w:tc>
          <w:tcPr>
            <w:tcW w:w="901" w:type="dxa"/>
            <w:vAlign w:val="center"/>
          </w:tcPr>
          <w:p w14:paraId="2FCE834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4444</w:t>
            </w:r>
          </w:p>
        </w:tc>
        <w:tc>
          <w:tcPr>
            <w:tcW w:w="902" w:type="dxa"/>
            <w:vAlign w:val="center"/>
          </w:tcPr>
          <w:p w14:paraId="208F020D"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12,3 %</w:t>
            </w:r>
          </w:p>
        </w:tc>
      </w:tr>
      <w:tr w:rsidR="005B15B7" w:rsidRPr="009306D5" w14:paraId="603273E5"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430EC52F" w14:textId="77777777" w:rsidR="005B15B7" w:rsidRPr="009306D5" w:rsidRDefault="005B15B7">
            <w:pPr>
              <w:rPr>
                <w:rFonts w:cs="Times New Roman"/>
                <w:noProof/>
                <w:sz w:val="16"/>
                <w:szCs w:val="16"/>
              </w:rPr>
            </w:pPr>
            <w:r w:rsidRPr="009306D5">
              <w:rPr>
                <w:noProof/>
                <w:sz w:val="16"/>
                <w:szCs w:val="16"/>
              </w:rPr>
              <w:t>Bulgaaria</w:t>
            </w:r>
          </w:p>
        </w:tc>
        <w:tc>
          <w:tcPr>
            <w:tcW w:w="901" w:type="dxa"/>
            <w:vAlign w:val="center"/>
          </w:tcPr>
          <w:p w14:paraId="28AF807B"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621</w:t>
            </w:r>
          </w:p>
        </w:tc>
        <w:tc>
          <w:tcPr>
            <w:tcW w:w="851" w:type="dxa"/>
            <w:vAlign w:val="center"/>
          </w:tcPr>
          <w:p w14:paraId="6FE0B171"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12,3 %</w:t>
            </w:r>
          </w:p>
        </w:tc>
        <w:tc>
          <w:tcPr>
            <w:tcW w:w="901" w:type="dxa"/>
            <w:vAlign w:val="center"/>
          </w:tcPr>
          <w:p w14:paraId="1A043630"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648</w:t>
            </w:r>
          </w:p>
        </w:tc>
        <w:tc>
          <w:tcPr>
            <w:tcW w:w="851" w:type="dxa"/>
            <w:vAlign w:val="center"/>
          </w:tcPr>
          <w:p w14:paraId="2E9F85E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12,2 %</w:t>
            </w:r>
          </w:p>
        </w:tc>
        <w:tc>
          <w:tcPr>
            <w:tcW w:w="901" w:type="dxa"/>
            <w:vAlign w:val="center"/>
          </w:tcPr>
          <w:p w14:paraId="38E11782"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617</w:t>
            </w:r>
          </w:p>
        </w:tc>
        <w:tc>
          <w:tcPr>
            <w:tcW w:w="902" w:type="dxa"/>
            <w:vAlign w:val="center"/>
          </w:tcPr>
          <w:p w14:paraId="2E4FA43A"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10,8 %</w:t>
            </w:r>
          </w:p>
        </w:tc>
        <w:tc>
          <w:tcPr>
            <w:tcW w:w="901" w:type="dxa"/>
            <w:vAlign w:val="center"/>
          </w:tcPr>
          <w:p w14:paraId="405C2248"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508</w:t>
            </w:r>
          </w:p>
        </w:tc>
        <w:tc>
          <w:tcPr>
            <w:tcW w:w="902" w:type="dxa"/>
            <w:vAlign w:val="center"/>
          </w:tcPr>
          <w:p w14:paraId="299BFC80"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8,3 %</w:t>
            </w:r>
          </w:p>
        </w:tc>
      </w:tr>
      <w:tr w:rsidR="005B15B7" w:rsidRPr="009306D5" w14:paraId="5BCBB1AC"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0A94F747" w14:textId="77777777" w:rsidR="005B15B7" w:rsidRPr="009306D5" w:rsidRDefault="005B15B7">
            <w:pPr>
              <w:rPr>
                <w:rFonts w:cs="Times New Roman"/>
                <w:noProof/>
                <w:sz w:val="16"/>
                <w:szCs w:val="16"/>
              </w:rPr>
            </w:pPr>
            <w:r w:rsidRPr="009306D5">
              <w:rPr>
                <w:noProof/>
                <w:sz w:val="16"/>
                <w:szCs w:val="16"/>
              </w:rPr>
              <w:t>Tšehhi Vabariik</w:t>
            </w:r>
          </w:p>
        </w:tc>
        <w:tc>
          <w:tcPr>
            <w:tcW w:w="901" w:type="dxa"/>
            <w:vAlign w:val="center"/>
          </w:tcPr>
          <w:p w14:paraId="0FDF258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2 499</w:t>
            </w:r>
          </w:p>
        </w:tc>
        <w:tc>
          <w:tcPr>
            <w:tcW w:w="851" w:type="dxa"/>
            <w:vAlign w:val="center"/>
          </w:tcPr>
          <w:p w14:paraId="7EAF717F"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16,0 %</w:t>
            </w:r>
          </w:p>
        </w:tc>
        <w:tc>
          <w:tcPr>
            <w:tcW w:w="901" w:type="dxa"/>
            <w:vAlign w:val="center"/>
          </w:tcPr>
          <w:p w14:paraId="2BA223F4"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2 223</w:t>
            </w:r>
          </w:p>
        </w:tc>
        <w:tc>
          <w:tcPr>
            <w:tcW w:w="851" w:type="dxa"/>
            <w:vAlign w:val="center"/>
          </w:tcPr>
          <w:p w14:paraId="064A0336"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13,1 %</w:t>
            </w:r>
          </w:p>
        </w:tc>
        <w:tc>
          <w:tcPr>
            <w:tcW w:w="901" w:type="dxa"/>
            <w:vAlign w:val="center"/>
          </w:tcPr>
          <w:p w14:paraId="6069F19A"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2 567</w:t>
            </w:r>
          </w:p>
        </w:tc>
        <w:tc>
          <w:tcPr>
            <w:tcW w:w="902" w:type="dxa"/>
            <w:vAlign w:val="center"/>
          </w:tcPr>
          <w:p w14:paraId="5B66899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13,8 %</w:t>
            </w:r>
          </w:p>
        </w:tc>
        <w:tc>
          <w:tcPr>
            <w:tcW w:w="901" w:type="dxa"/>
            <w:vAlign w:val="center"/>
          </w:tcPr>
          <w:p w14:paraId="07BA691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2 835</w:t>
            </w:r>
          </w:p>
        </w:tc>
        <w:tc>
          <w:tcPr>
            <w:tcW w:w="902" w:type="dxa"/>
            <w:vAlign w:val="center"/>
          </w:tcPr>
          <w:p w14:paraId="155E400B"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14,3 %</w:t>
            </w:r>
          </w:p>
        </w:tc>
      </w:tr>
      <w:tr w:rsidR="005B15B7" w:rsidRPr="009306D5" w14:paraId="5DE681C5"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306BFEDC" w14:textId="77777777" w:rsidR="005B15B7" w:rsidRPr="009306D5" w:rsidRDefault="005B15B7">
            <w:pPr>
              <w:rPr>
                <w:rFonts w:cs="Times New Roman"/>
                <w:noProof/>
                <w:sz w:val="16"/>
                <w:szCs w:val="16"/>
              </w:rPr>
            </w:pPr>
            <w:r w:rsidRPr="009306D5">
              <w:rPr>
                <w:noProof/>
                <w:sz w:val="16"/>
                <w:szCs w:val="16"/>
              </w:rPr>
              <w:t>Taani</w:t>
            </w:r>
          </w:p>
        </w:tc>
        <w:tc>
          <w:tcPr>
            <w:tcW w:w="901" w:type="dxa"/>
            <w:vAlign w:val="center"/>
          </w:tcPr>
          <w:p w14:paraId="3A1CFC90"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2 539</w:t>
            </w:r>
          </w:p>
        </w:tc>
        <w:tc>
          <w:tcPr>
            <w:tcW w:w="851" w:type="dxa"/>
            <w:vAlign w:val="center"/>
          </w:tcPr>
          <w:p w14:paraId="0511F47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8,7 %</w:t>
            </w:r>
          </w:p>
        </w:tc>
        <w:tc>
          <w:tcPr>
            <w:tcW w:w="901" w:type="dxa"/>
            <w:vAlign w:val="center"/>
          </w:tcPr>
          <w:p w14:paraId="1CDC05A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2 528</w:t>
            </w:r>
          </w:p>
        </w:tc>
        <w:tc>
          <w:tcPr>
            <w:tcW w:w="851" w:type="dxa"/>
            <w:vAlign w:val="center"/>
          </w:tcPr>
          <w:p w14:paraId="3FD250CE"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8,3 %</w:t>
            </w:r>
          </w:p>
        </w:tc>
        <w:tc>
          <w:tcPr>
            <w:tcW w:w="901" w:type="dxa"/>
            <w:vAlign w:val="center"/>
          </w:tcPr>
          <w:p w14:paraId="0272C6F5"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2 516</w:t>
            </w:r>
          </w:p>
        </w:tc>
        <w:tc>
          <w:tcPr>
            <w:tcW w:w="902" w:type="dxa"/>
            <w:vAlign w:val="center"/>
          </w:tcPr>
          <w:p w14:paraId="0847497F"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7,9 %</w:t>
            </w:r>
          </w:p>
        </w:tc>
        <w:tc>
          <w:tcPr>
            <w:tcW w:w="901" w:type="dxa"/>
            <w:vAlign w:val="center"/>
          </w:tcPr>
          <w:p w14:paraId="31DB523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2 778</w:t>
            </w:r>
          </w:p>
        </w:tc>
        <w:tc>
          <w:tcPr>
            <w:tcW w:w="902" w:type="dxa"/>
            <w:vAlign w:val="center"/>
          </w:tcPr>
          <w:p w14:paraId="45EE314F"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8,6 %</w:t>
            </w:r>
          </w:p>
        </w:tc>
      </w:tr>
      <w:tr w:rsidR="005B15B7" w:rsidRPr="009306D5" w14:paraId="3CB8B508"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6F0D5175" w14:textId="77777777" w:rsidR="005B15B7" w:rsidRPr="009306D5" w:rsidRDefault="005B15B7">
            <w:pPr>
              <w:rPr>
                <w:rFonts w:cs="Times New Roman"/>
                <w:noProof/>
                <w:sz w:val="16"/>
                <w:szCs w:val="16"/>
              </w:rPr>
            </w:pPr>
            <w:r w:rsidRPr="009306D5">
              <w:rPr>
                <w:noProof/>
                <w:sz w:val="16"/>
                <w:szCs w:val="16"/>
              </w:rPr>
              <w:t>Saksamaa</w:t>
            </w:r>
          </w:p>
        </w:tc>
        <w:tc>
          <w:tcPr>
            <w:tcW w:w="901" w:type="dxa"/>
            <w:vAlign w:val="center"/>
          </w:tcPr>
          <w:p w14:paraId="6CFAEF1C"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22 091</w:t>
            </w:r>
          </w:p>
        </w:tc>
        <w:tc>
          <w:tcPr>
            <w:tcW w:w="851" w:type="dxa"/>
            <w:vAlign w:val="center"/>
          </w:tcPr>
          <w:p w14:paraId="71B3FDE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9,2 %</w:t>
            </w:r>
          </w:p>
        </w:tc>
        <w:tc>
          <w:tcPr>
            <w:tcW w:w="901" w:type="dxa"/>
            <w:vAlign w:val="center"/>
          </w:tcPr>
          <w:p w14:paraId="211F928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23 212</w:t>
            </w:r>
          </w:p>
        </w:tc>
        <w:tc>
          <w:tcPr>
            <w:tcW w:w="851" w:type="dxa"/>
            <w:vAlign w:val="center"/>
          </w:tcPr>
          <w:p w14:paraId="5346282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9,3 %</w:t>
            </w:r>
          </w:p>
        </w:tc>
        <w:tc>
          <w:tcPr>
            <w:tcW w:w="901" w:type="dxa"/>
            <w:vAlign w:val="center"/>
          </w:tcPr>
          <w:p w14:paraId="457E4BF6"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24 291</w:t>
            </w:r>
          </w:p>
        </w:tc>
        <w:tc>
          <w:tcPr>
            <w:tcW w:w="902" w:type="dxa"/>
            <w:vAlign w:val="center"/>
          </w:tcPr>
          <w:p w14:paraId="1934EB45"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9,4 %</w:t>
            </w:r>
          </w:p>
        </w:tc>
        <w:tc>
          <w:tcPr>
            <w:tcW w:w="901" w:type="dxa"/>
            <w:vAlign w:val="center"/>
          </w:tcPr>
          <w:p w14:paraId="1E3273CF"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23 443</w:t>
            </w:r>
          </w:p>
        </w:tc>
        <w:tc>
          <w:tcPr>
            <w:tcW w:w="902" w:type="dxa"/>
            <w:vAlign w:val="center"/>
          </w:tcPr>
          <w:p w14:paraId="10919974"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8,8 %</w:t>
            </w:r>
          </w:p>
        </w:tc>
      </w:tr>
      <w:tr w:rsidR="005B15B7" w:rsidRPr="009306D5" w14:paraId="1706937F"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1505CF19" w14:textId="77777777" w:rsidR="005B15B7" w:rsidRPr="009306D5" w:rsidRDefault="005B15B7">
            <w:pPr>
              <w:rPr>
                <w:rFonts w:cs="Times New Roman"/>
                <w:noProof/>
                <w:sz w:val="16"/>
                <w:szCs w:val="16"/>
              </w:rPr>
            </w:pPr>
            <w:r w:rsidRPr="009306D5">
              <w:rPr>
                <w:noProof/>
                <w:sz w:val="16"/>
                <w:szCs w:val="16"/>
              </w:rPr>
              <w:t>Eesti</w:t>
            </w:r>
          </w:p>
        </w:tc>
        <w:tc>
          <w:tcPr>
            <w:tcW w:w="901" w:type="dxa"/>
            <w:vAlign w:val="center"/>
          </w:tcPr>
          <w:p w14:paraId="1AE6A7B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115</w:t>
            </w:r>
          </w:p>
        </w:tc>
        <w:tc>
          <w:tcPr>
            <w:tcW w:w="851" w:type="dxa"/>
            <w:vAlign w:val="center"/>
          </w:tcPr>
          <w:p w14:paraId="1DBD8CDF"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5,5 %</w:t>
            </w:r>
          </w:p>
        </w:tc>
        <w:tc>
          <w:tcPr>
            <w:tcW w:w="901" w:type="dxa"/>
            <w:vAlign w:val="center"/>
          </w:tcPr>
          <w:p w14:paraId="0BD21BF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117</w:t>
            </w:r>
          </w:p>
        </w:tc>
        <w:tc>
          <w:tcPr>
            <w:tcW w:w="851" w:type="dxa"/>
            <w:vAlign w:val="center"/>
          </w:tcPr>
          <w:p w14:paraId="16884547"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5,2 %</w:t>
            </w:r>
          </w:p>
        </w:tc>
        <w:tc>
          <w:tcPr>
            <w:tcW w:w="901" w:type="dxa"/>
            <w:vAlign w:val="center"/>
          </w:tcPr>
          <w:p w14:paraId="04D6672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98</w:t>
            </w:r>
          </w:p>
        </w:tc>
        <w:tc>
          <w:tcPr>
            <w:tcW w:w="902" w:type="dxa"/>
            <w:vAlign w:val="center"/>
          </w:tcPr>
          <w:p w14:paraId="303FD2AE"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4,0 %</w:t>
            </w:r>
          </w:p>
        </w:tc>
        <w:tc>
          <w:tcPr>
            <w:tcW w:w="901" w:type="dxa"/>
            <w:vAlign w:val="center"/>
          </w:tcPr>
          <w:p w14:paraId="1B8227B1"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116</w:t>
            </w:r>
          </w:p>
        </w:tc>
        <w:tc>
          <w:tcPr>
            <w:tcW w:w="902" w:type="dxa"/>
            <w:vAlign w:val="center"/>
          </w:tcPr>
          <w:p w14:paraId="6B3979E7"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4,5 %</w:t>
            </w:r>
          </w:p>
        </w:tc>
      </w:tr>
      <w:tr w:rsidR="005B15B7" w:rsidRPr="009306D5" w14:paraId="6984266D"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2553D49" w14:textId="77777777" w:rsidR="005B15B7" w:rsidRPr="009306D5" w:rsidRDefault="005B15B7">
            <w:pPr>
              <w:rPr>
                <w:rFonts w:cs="Times New Roman"/>
                <w:noProof/>
                <w:sz w:val="16"/>
                <w:szCs w:val="16"/>
              </w:rPr>
            </w:pPr>
            <w:r w:rsidRPr="009306D5">
              <w:rPr>
                <w:noProof/>
                <w:sz w:val="16"/>
                <w:szCs w:val="16"/>
              </w:rPr>
              <w:t>Iirimaa</w:t>
            </w:r>
          </w:p>
        </w:tc>
        <w:tc>
          <w:tcPr>
            <w:tcW w:w="901" w:type="dxa"/>
            <w:vAlign w:val="center"/>
          </w:tcPr>
          <w:p w14:paraId="4B1D04AB"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1 426</w:t>
            </w:r>
          </w:p>
        </w:tc>
        <w:tc>
          <w:tcPr>
            <w:tcW w:w="851" w:type="dxa"/>
            <w:vAlign w:val="center"/>
          </w:tcPr>
          <w:p w14:paraId="3348E45F"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10,2 %</w:t>
            </w:r>
          </w:p>
        </w:tc>
        <w:tc>
          <w:tcPr>
            <w:tcW w:w="901" w:type="dxa"/>
            <w:vAlign w:val="center"/>
          </w:tcPr>
          <w:p w14:paraId="0E6DD899"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1 910</w:t>
            </w:r>
          </w:p>
        </w:tc>
        <w:tc>
          <w:tcPr>
            <w:tcW w:w="851" w:type="dxa"/>
            <w:vAlign w:val="center"/>
          </w:tcPr>
          <w:p w14:paraId="271B0F05"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12,8 %</w:t>
            </w:r>
          </w:p>
        </w:tc>
        <w:tc>
          <w:tcPr>
            <w:tcW w:w="901" w:type="dxa"/>
            <w:vAlign w:val="center"/>
          </w:tcPr>
          <w:p w14:paraId="541BF773"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1 541</w:t>
            </w:r>
          </w:p>
        </w:tc>
        <w:tc>
          <w:tcPr>
            <w:tcW w:w="902" w:type="dxa"/>
            <w:vAlign w:val="center"/>
          </w:tcPr>
          <w:p w14:paraId="4FF0DF4D"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9,8 %</w:t>
            </w:r>
          </w:p>
        </w:tc>
        <w:tc>
          <w:tcPr>
            <w:tcW w:w="901" w:type="dxa"/>
            <w:vAlign w:val="center"/>
          </w:tcPr>
          <w:p w14:paraId="66B375B8"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1 721</w:t>
            </w:r>
          </w:p>
        </w:tc>
        <w:tc>
          <w:tcPr>
            <w:tcW w:w="902" w:type="dxa"/>
            <w:vAlign w:val="center"/>
          </w:tcPr>
          <w:p w14:paraId="0DB81180"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10,1 %</w:t>
            </w:r>
          </w:p>
        </w:tc>
      </w:tr>
      <w:tr w:rsidR="005B15B7" w:rsidRPr="009306D5" w14:paraId="063C9060"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0DC31604" w14:textId="77777777" w:rsidR="005B15B7" w:rsidRPr="009306D5" w:rsidRDefault="005B15B7">
            <w:pPr>
              <w:rPr>
                <w:rFonts w:cs="Times New Roman"/>
                <w:noProof/>
                <w:sz w:val="16"/>
                <w:szCs w:val="16"/>
              </w:rPr>
            </w:pPr>
            <w:r w:rsidRPr="009306D5">
              <w:rPr>
                <w:noProof/>
                <w:sz w:val="16"/>
                <w:szCs w:val="16"/>
              </w:rPr>
              <w:t>Kreeka</w:t>
            </w:r>
          </w:p>
        </w:tc>
        <w:tc>
          <w:tcPr>
            <w:tcW w:w="901" w:type="dxa"/>
            <w:vAlign w:val="center"/>
          </w:tcPr>
          <w:p w14:paraId="103058F2"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5 374</w:t>
            </w:r>
          </w:p>
        </w:tc>
        <w:tc>
          <w:tcPr>
            <w:tcW w:w="851" w:type="dxa"/>
            <w:vAlign w:val="center"/>
          </w:tcPr>
          <w:p w14:paraId="29D0E5F3"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27,3 %</w:t>
            </w:r>
          </w:p>
        </w:tc>
        <w:tc>
          <w:tcPr>
            <w:tcW w:w="901" w:type="dxa"/>
            <w:vAlign w:val="center"/>
          </w:tcPr>
          <w:p w14:paraId="4E12714B"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6 730</w:t>
            </w:r>
          </w:p>
        </w:tc>
        <w:tc>
          <w:tcPr>
            <w:tcW w:w="851" w:type="dxa"/>
            <w:vAlign w:val="center"/>
          </w:tcPr>
          <w:p w14:paraId="3491382B"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31,5 %</w:t>
            </w:r>
          </w:p>
        </w:tc>
        <w:tc>
          <w:tcPr>
            <w:tcW w:w="901" w:type="dxa"/>
            <w:vAlign w:val="center"/>
          </w:tcPr>
          <w:p w14:paraId="42248F01"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6 237</w:t>
            </w:r>
          </w:p>
        </w:tc>
        <w:tc>
          <w:tcPr>
            <w:tcW w:w="902" w:type="dxa"/>
            <w:vAlign w:val="center"/>
          </w:tcPr>
          <w:p w14:paraId="0F8EFAD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29,0 %</w:t>
            </w:r>
          </w:p>
        </w:tc>
        <w:tc>
          <w:tcPr>
            <w:tcW w:w="901" w:type="dxa"/>
            <w:vAlign w:val="center"/>
          </w:tcPr>
          <w:p w14:paraId="7B3A165E"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5 350</w:t>
            </w:r>
          </w:p>
        </w:tc>
        <w:tc>
          <w:tcPr>
            <w:tcW w:w="902" w:type="dxa"/>
            <w:vAlign w:val="center"/>
          </w:tcPr>
          <w:p w14:paraId="7E79158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25,8 %</w:t>
            </w:r>
          </w:p>
        </w:tc>
      </w:tr>
      <w:tr w:rsidR="005B15B7" w:rsidRPr="009306D5" w14:paraId="4DB40CEA"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5C7B77BC" w14:textId="77777777" w:rsidR="005B15B7" w:rsidRPr="009306D5" w:rsidRDefault="005B15B7">
            <w:pPr>
              <w:rPr>
                <w:rFonts w:cs="Times New Roman"/>
                <w:noProof/>
                <w:sz w:val="16"/>
                <w:szCs w:val="16"/>
              </w:rPr>
            </w:pPr>
            <w:r w:rsidRPr="009306D5">
              <w:rPr>
                <w:noProof/>
                <w:sz w:val="16"/>
                <w:szCs w:val="16"/>
              </w:rPr>
              <w:t>Hispaania</w:t>
            </w:r>
          </w:p>
        </w:tc>
        <w:tc>
          <w:tcPr>
            <w:tcW w:w="901" w:type="dxa"/>
            <w:vAlign w:val="center"/>
          </w:tcPr>
          <w:p w14:paraId="07AD3E5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4 577</w:t>
            </w:r>
          </w:p>
        </w:tc>
        <w:tc>
          <w:tcPr>
            <w:tcW w:w="851" w:type="dxa"/>
            <w:vAlign w:val="center"/>
          </w:tcPr>
          <w:p w14:paraId="1C3E522D"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6,1 %</w:t>
            </w:r>
          </w:p>
        </w:tc>
        <w:tc>
          <w:tcPr>
            <w:tcW w:w="901" w:type="dxa"/>
            <w:vAlign w:val="center"/>
          </w:tcPr>
          <w:p w14:paraId="1DE33A6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5 411</w:t>
            </w:r>
          </w:p>
        </w:tc>
        <w:tc>
          <w:tcPr>
            <w:tcW w:w="851" w:type="dxa"/>
            <w:vAlign w:val="center"/>
          </w:tcPr>
          <w:p w14:paraId="314441C8"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6,8 %</w:t>
            </w:r>
          </w:p>
        </w:tc>
        <w:tc>
          <w:tcPr>
            <w:tcW w:w="901" w:type="dxa"/>
            <w:vAlign w:val="center"/>
          </w:tcPr>
          <w:p w14:paraId="229C709F"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5 252</w:t>
            </w:r>
          </w:p>
        </w:tc>
        <w:tc>
          <w:tcPr>
            <w:tcW w:w="902" w:type="dxa"/>
            <w:vAlign w:val="center"/>
          </w:tcPr>
          <w:p w14:paraId="66994AD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6,3 %</w:t>
            </w:r>
          </w:p>
        </w:tc>
        <w:tc>
          <w:tcPr>
            <w:tcW w:w="901" w:type="dxa"/>
            <w:vAlign w:val="center"/>
          </w:tcPr>
          <w:p w14:paraId="21DA0EF3"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5 840</w:t>
            </w:r>
          </w:p>
        </w:tc>
        <w:tc>
          <w:tcPr>
            <w:tcW w:w="902" w:type="dxa"/>
            <w:vAlign w:val="center"/>
          </w:tcPr>
          <w:p w14:paraId="457C541F"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6,9 %</w:t>
            </w:r>
          </w:p>
        </w:tc>
      </w:tr>
      <w:tr w:rsidR="005B15B7" w:rsidRPr="009306D5" w14:paraId="5A9BCD5D"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0F605D2E" w14:textId="77777777" w:rsidR="005B15B7" w:rsidRPr="009306D5" w:rsidRDefault="005B15B7">
            <w:pPr>
              <w:rPr>
                <w:rFonts w:cs="Times New Roman"/>
                <w:noProof/>
                <w:sz w:val="16"/>
                <w:szCs w:val="16"/>
              </w:rPr>
            </w:pPr>
            <w:r w:rsidRPr="009306D5">
              <w:rPr>
                <w:noProof/>
                <w:sz w:val="16"/>
                <w:szCs w:val="16"/>
              </w:rPr>
              <w:t>Prantsusmaa</w:t>
            </w:r>
          </w:p>
        </w:tc>
        <w:tc>
          <w:tcPr>
            <w:tcW w:w="901" w:type="dxa"/>
            <w:vAlign w:val="center"/>
          </w:tcPr>
          <w:p w14:paraId="7EE35DF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14 852</w:t>
            </w:r>
          </w:p>
        </w:tc>
        <w:tc>
          <w:tcPr>
            <w:tcW w:w="851" w:type="dxa"/>
            <w:vAlign w:val="center"/>
          </w:tcPr>
          <w:p w14:paraId="7398A5AB"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8,8 %</w:t>
            </w:r>
          </w:p>
        </w:tc>
        <w:tc>
          <w:tcPr>
            <w:tcW w:w="901" w:type="dxa"/>
            <w:vAlign w:val="center"/>
          </w:tcPr>
          <w:p w14:paraId="42188257"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15 329</w:t>
            </w:r>
          </w:p>
        </w:tc>
        <w:tc>
          <w:tcPr>
            <w:tcW w:w="851" w:type="dxa"/>
            <w:vAlign w:val="center"/>
          </w:tcPr>
          <w:p w14:paraId="414D08C4"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8,6 %</w:t>
            </w:r>
          </w:p>
        </w:tc>
        <w:tc>
          <w:tcPr>
            <w:tcW w:w="901" w:type="dxa"/>
            <w:vAlign w:val="center"/>
          </w:tcPr>
          <w:p w14:paraId="435613C8"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14 428</w:t>
            </w:r>
          </w:p>
        </w:tc>
        <w:tc>
          <w:tcPr>
            <w:tcW w:w="902" w:type="dxa"/>
            <w:vAlign w:val="center"/>
          </w:tcPr>
          <w:p w14:paraId="5841AB8F"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7,9 %</w:t>
            </w:r>
          </w:p>
        </w:tc>
        <w:tc>
          <w:tcPr>
            <w:tcW w:w="901" w:type="dxa"/>
            <w:vAlign w:val="center"/>
          </w:tcPr>
          <w:p w14:paraId="6A5F66D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13 858</w:t>
            </w:r>
          </w:p>
        </w:tc>
        <w:tc>
          <w:tcPr>
            <w:tcW w:w="902" w:type="dxa"/>
            <w:vAlign w:val="center"/>
          </w:tcPr>
          <w:p w14:paraId="68FA04E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7,4 %</w:t>
            </w:r>
          </w:p>
        </w:tc>
      </w:tr>
      <w:tr w:rsidR="005B15B7" w:rsidRPr="009306D5" w14:paraId="54B7D844"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26225DC0" w14:textId="77777777" w:rsidR="005B15B7" w:rsidRPr="009306D5" w:rsidRDefault="005B15B7">
            <w:pPr>
              <w:rPr>
                <w:rFonts w:cs="Times New Roman"/>
                <w:noProof/>
                <w:sz w:val="16"/>
                <w:szCs w:val="16"/>
              </w:rPr>
            </w:pPr>
            <w:r w:rsidRPr="009306D5">
              <w:rPr>
                <w:noProof/>
                <w:sz w:val="16"/>
                <w:szCs w:val="16"/>
              </w:rPr>
              <w:t>Horvaatia</w:t>
            </w:r>
          </w:p>
        </w:tc>
        <w:tc>
          <w:tcPr>
            <w:tcW w:w="901" w:type="dxa"/>
            <w:vAlign w:val="center"/>
          </w:tcPr>
          <w:p w14:paraId="0F7356FC"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553</w:t>
            </w:r>
          </w:p>
        </w:tc>
        <w:tc>
          <w:tcPr>
            <w:tcW w:w="851" w:type="dxa"/>
            <w:vAlign w:val="center"/>
          </w:tcPr>
          <w:p w14:paraId="56DCB8EB"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8,4 %</w:t>
            </w:r>
          </w:p>
        </w:tc>
        <w:tc>
          <w:tcPr>
            <w:tcW w:w="901" w:type="dxa"/>
            <w:vAlign w:val="center"/>
          </w:tcPr>
          <w:p w14:paraId="6CAEF220"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482</w:t>
            </w:r>
          </w:p>
        </w:tc>
        <w:tc>
          <w:tcPr>
            <w:tcW w:w="851" w:type="dxa"/>
            <w:vAlign w:val="center"/>
          </w:tcPr>
          <w:p w14:paraId="0E8B9EE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6,9 %</w:t>
            </w:r>
          </w:p>
        </w:tc>
        <w:tc>
          <w:tcPr>
            <w:tcW w:w="901" w:type="dxa"/>
            <w:vAlign w:val="center"/>
          </w:tcPr>
          <w:p w14:paraId="1D5BBF5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553</w:t>
            </w:r>
          </w:p>
        </w:tc>
        <w:tc>
          <w:tcPr>
            <w:tcW w:w="902" w:type="dxa"/>
            <w:vAlign w:val="center"/>
          </w:tcPr>
          <w:p w14:paraId="63C821A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7,4 %</w:t>
            </w:r>
          </w:p>
        </w:tc>
        <w:tc>
          <w:tcPr>
            <w:tcW w:w="901" w:type="dxa"/>
            <w:vAlign w:val="center"/>
          </w:tcPr>
          <w:p w14:paraId="0FBFF49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77</w:t>
            </w:r>
          </w:p>
        </w:tc>
        <w:tc>
          <w:tcPr>
            <w:tcW w:w="902" w:type="dxa"/>
            <w:vAlign w:val="center"/>
          </w:tcPr>
          <w:p w14:paraId="5216EE1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1,0 %</w:t>
            </w:r>
          </w:p>
        </w:tc>
      </w:tr>
      <w:tr w:rsidR="005B15B7" w:rsidRPr="009306D5" w14:paraId="783CF22B"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2BF09D98" w14:textId="77777777" w:rsidR="005B15B7" w:rsidRPr="009306D5" w:rsidRDefault="005B15B7">
            <w:pPr>
              <w:rPr>
                <w:rFonts w:cs="Times New Roman"/>
                <w:noProof/>
                <w:sz w:val="16"/>
                <w:szCs w:val="16"/>
              </w:rPr>
            </w:pPr>
            <w:r w:rsidRPr="009306D5">
              <w:rPr>
                <w:noProof/>
                <w:sz w:val="16"/>
                <w:szCs w:val="16"/>
              </w:rPr>
              <w:t>Itaalia</w:t>
            </w:r>
          </w:p>
        </w:tc>
        <w:tc>
          <w:tcPr>
            <w:tcW w:w="901" w:type="dxa"/>
            <w:vAlign w:val="center"/>
          </w:tcPr>
          <w:p w14:paraId="48DA917B"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36 852</w:t>
            </w:r>
          </w:p>
        </w:tc>
        <w:tc>
          <w:tcPr>
            <w:tcW w:w="851" w:type="dxa"/>
            <w:vAlign w:val="center"/>
          </w:tcPr>
          <w:p w14:paraId="040BFD8B"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26,5 %</w:t>
            </w:r>
          </w:p>
        </w:tc>
        <w:tc>
          <w:tcPr>
            <w:tcW w:w="901" w:type="dxa"/>
            <w:vAlign w:val="center"/>
          </w:tcPr>
          <w:p w14:paraId="5B0A7983"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32 611</w:t>
            </w:r>
          </w:p>
        </w:tc>
        <w:tc>
          <w:tcPr>
            <w:tcW w:w="851" w:type="dxa"/>
            <w:vAlign w:val="center"/>
          </w:tcPr>
          <w:p w14:paraId="3BE48363"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23,3 %</w:t>
            </w:r>
          </w:p>
        </w:tc>
        <w:tc>
          <w:tcPr>
            <w:tcW w:w="901" w:type="dxa"/>
            <w:vAlign w:val="center"/>
          </w:tcPr>
          <w:p w14:paraId="48913CEA"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32 415</w:t>
            </w:r>
          </w:p>
        </w:tc>
        <w:tc>
          <w:tcPr>
            <w:tcW w:w="902" w:type="dxa"/>
            <w:vAlign w:val="center"/>
          </w:tcPr>
          <w:p w14:paraId="06DAAF95"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22,9 %</w:t>
            </w:r>
          </w:p>
        </w:tc>
        <w:tc>
          <w:tcPr>
            <w:tcW w:w="901" w:type="dxa"/>
            <w:vAlign w:val="center"/>
          </w:tcPr>
          <w:p w14:paraId="0E8EA10D"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30 106</w:t>
            </w:r>
          </w:p>
        </w:tc>
        <w:tc>
          <w:tcPr>
            <w:tcW w:w="902" w:type="dxa"/>
            <w:vAlign w:val="center"/>
          </w:tcPr>
          <w:p w14:paraId="10C532DD"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21,3 %</w:t>
            </w:r>
          </w:p>
        </w:tc>
      </w:tr>
      <w:tr w:rsidR="005B15B7" w:rsidRPr="009306D5" w14:paraId="07AA8122"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55234A10" w14:textId="77777777" w:rsidR="005B15B7" w:rsidRPr="009306D5" w:rsidRDefault="005B15B7">
            <w:pPr>
              <w:rPr>
                <w:rFonts w:cs="Times New Roman"/>
                <w:noProof/>
                <w:sz w:val="16"/>
                <w:szCs w:val="16"/>
              </w:rPr>
            </w:pPr>
            <w:r w:rsidRPr="009306D5">
              <w:rPr>
                <w:noProof/>
                <w:sz w:val="16"/>
                <w:szCs w:val="16"/>
              </w:rPr>
              <w:t>Küpros</w:t>
            </w:r>
          </w:p>
        </w:tc>
        <w:tc>
          <w:tcPr>
            <w:tcW w:w="901" w:type="dxa"/>
            <w:vAlign w:val="center"/>
          </w:tcPr>
          <w:p w14:paraId="45DD3E20"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47</w:t>
            </w:r>
          </w:p>
        </w:tc>
        <w:tc>
          <w:tcPr>
            <w:tcW w:w="851" w:type="dxa"/>
            <w:vAlign w:val="center"/>
          </w:tcPr>
          <w:p w14:paraId="53A52432"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2,7 %</w:t>
            </w:r>
          </w:p>
        </w:tc>
        <w:tc>
          <w:tcPr>
            <w:tcW w:w="901" w:type="dxa"/>
            <w:vAlign w:val="center"/>
          </w:tcPr>
          <w:p w14:paraId="016A7273"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169</w:t>
            </w:r>
          </w:p>
        </w:tc>
        <w:tc>
          <w:tcPr>
            <w:tcW w:w="851" w:type="dxa"/>
            <w:vAlign w:val="center"/>
          </w:tcPr>
          <w:p w14:paraId="6BB568E9"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9,4 %</w:t>
            </w:r>
          </w:p>
        </w:tc>
        <w:tc>
          <w:tcPr>
            <w:tcW w:w="901" w:type="dxa"/>
            <w:vAlign w:val="center"/>
          </w:tcPr>
          <w:p w14:paraId="2986A942"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171</w:t>
            </w:r>
          </w:p>
        </w:tc>
        <w:tc>
          <w:tcPr>
            <w:tcW w:w="902" w:type="dxa"/>
            <w:vAlign w:val="center"/>
          </w:tcPr>
          <w:p w14:paraId="2E181CAC"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8,6 %</w:t>
            </w:r>
          </w:p>
        </w:tc>
        <w:tc>
          <w:tcPr>
            <w:tcW w:w="901" w:type="dxa"/>
            <w:vAlign w:val="center"/>
          </w:tcPr>
          <w:p w14:paraId="6E10C833"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54</w:t>
            </w:r>
          </w:p>
        </w:tc>
        <w:tc>
          <w:tcPr>
            <w:tcW w:w="902" w:type="dxa"/>
            <w:vAlign w:val="center"/>
          </w:tcPr>
          <w:p w14:paraId="14DD44F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2,7 %</w:t>
            </w:r>
          </w:p>
        </w:tc>
      </w:tr>
      <w:tr w:rsidR="005B15B7" w:rsidRPr="009306D5" w14:paraId="5E169494"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3328B5F1" w14:textId="77777777" w:rsidR="005B15B7" w:rsidRPr="009306D5" w:rsidRDefault="005B15B7">
            <w:pPr>
              <w:rPr>
                <w:rFonts w:cs="Times New Roman"/>
                <w:noProof/>
                <w:sz w:val="16"/>
                <w:szCs w:val="16"/>
              </w:rPr>
            </w:pPr>
            <w:r w:rsidRPr="009306D5">
              <w:rPr>
                <w:noProof/>
                <w:sz w:val="16"/>
                <w:szCs w:val="16"/>
              </w:rPr>
              <w:t>Läti</w:t>
            </w:r>
          </w:p>
        </w:tc>
        <w:tc>
          <w:tcPr>
            <w:tcW w:w="901" w:type="dxa"/>
            <w:vAlign w:val="center"/>
          </w:tcPr>
          <w:p w14:paraId="3BD8A80E"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309</w:t>
            </w:r>
          </w:p>
        </w:tc>
        <w:tc>
          <w:tcPr>
            <w:tcW w:w="851" w:type="dxa"/>
            <w:vAlign w:val="center"/>
          </w:tcPr>
          <w:p w14:paraId="01B40232"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13,2 %</w:t>
            </w:r>
          </w:p>
        </w:tc>
        <w:tc>
          <w:tcPr>
            <w:tcW w:w="901" w:type="dxa"/>
            <w:vAlign w:val="center"/>
          </w:tcPr>
          <w:p w14:paraId="71C4FB3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402</w:t>
            </w:r>
          </w:p>
        </w:tc>
        <w:tc>
          <w:tcPr>
            <w:tcW w:w="851" w:type="dxa"/>
            <w:vAlign w:val="center"/>
          </w:tcPr>
          <w:p w14:paraId="2CE6A95B"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15,7 %</w:t>
            </w:r>
          </w:p>
        </w:tc>
        <w:tc>
          <w:tcPr>
            <w:tcW w:w="901" w:type="dxa"/>
            <w:vAlign w:val="center"/>
          </w:tcPr>
          <w:p w14:paraId="27FBC4FA"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277</w:t>
            </w:r>
          </w:p>
        </w:tc>
        <w:tc>
          <w:tcPr>
            <w:tcW w:w="902" w:type="dxa"/>
            <w:vAlign w:val="center"/>
          </w:tcPr>
          <w:p w14:paraId="00C07827"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10,2 %</w:t>
            </w:r>
          </w:p>
        </w:tc>
        <w:tc>
          <w:tcPr>
            <w:tcW w:w="901" w:type="dxa"/>
            <w:vAlign w:val="center"/>
          </w:tcPr>
          <w:p w14:paraId="72CE0EA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237</w:t>
            </w:r>
          </w:p>
        </w:tc>
        <w:tc>
          <w:tcPr>
            <w:tcW w:w="902" w:type="dxa"/>
            <w:vAlign w:val="center"/>
          </w:tcPr>
          <w:p w14:paraId="661566D3"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8,3 %</w:t>
            </w:r>
          </w:p>
        </w:tc>
      </w:tr>
      <w:tr w:rsidR="005B15B7" w:rsidRPr="009306D5" w14:paraId="5475BC3B"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234EC922" w14:textId="77777777" w:rsidR="005B15B7" w:rsidRPr="009306D5" w:rsidRDefault="005B15B7">
            <w:pPr>
              <w:rPr>
                <w:rFonts w:cs="Times New Roman"/>
                <w:noProof/>
                <w:sz w:val="16"/>
                <w:szCs w:val="16"/>
              </w:rPr>
            </w:pPr>
            <w:r w:rsidRPr="009306D5">
              <w:rPr>
                <w:noProof/>
                <w:sz w:val="16"/>
                <w:szCs w:val="16"/>
              </w:rPr>
              <w:t>Leedu</w:t>
            </w:r>
          </w:p>
        </w:tc>
        <w:tc>
          <w:tcPr>
            <w:tcW w:w="901" w:type="dxa"/>
            <w:vAlign w:val="center"/>
          </w:tcPr>
          <w:p w14:paraId="2086EF40"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1 070</w:t>
            </w:r>
          </w:p>
        </w:tc>
        <w:tc>
          <w:tcPr>
            <w:tcW w:w="851" w:type="dxa"/>
            <w:vAlign w:val="center"/>
          </w:tcPr>
          <w:p w14:paraId="7395322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26,1 %</w:t>
            </w:r>
          </w:p>
        </w:tc>
        <w:tc>
          <w:tcPr>
            <w:tcW w:w="901" w:type="dxa"/>
            <w:vAlign w:val="center"/>
          </w:tcPr>
          <w:p w14:paraId="3DB2F6F0"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1 116</w:t>
            </w:r>
          </w:p>
        </w:tc>
        <w:tc>
          <w:tcPr>
            <w:tcW w:w="851" w:type="dxa"/>
            <w:vAlign w:val="center"/>
          </w:tcPr>
          <w:p w14:paraId="15B82224"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25,2 %</w:t>
            </w:r>
          </w:p>
        </w:tc>
        <w:tc>
          <w:tcPr>
            <w:tcW w:w="901" w:type="dxa"/>
            <w:vAlign w:val="center"/>
          </w:tcPr>
          <w:p w14:paraId="54028775"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1 137</w:t>
            </w:r>
          </w:p>
        </w:tc>
        <w:tc>
          <w:tcPr>
            <w:tcW w:w="902" w:type="dxa"/>
            <w:vAlign w:val="center"/>
          </w:tcPr>
          <w:p w14:paraId="00137F2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24,4 %</w:t>
            </w:r>
          </w:p>
        </w:tc>
        <w:tc>
          <w:tcPr>
            <w:tcW w:w="901" w:type="dxa"/>
            <w:vAlign w:val="center"/>
          </w:tcPr>
          <w:p w14:paraId="0702BBDD"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1 048</w:t>
            </w:r>
          </w:p>
        </w:tc>
        <w:tc>
          <w:tcPr>
            <w:tcW w:w="902" w:type="dxa"/>
            <w:vAlign w:val="center"/>
          </w:tcPr>
          <w:p w14:paraId="0EEDD0F3"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21,4 %</w:t>
            </w:r>
          </w:p>
        </w:tc>
      </w:tr>
      <w:tr w:rsidR="005B15B7" w:rsidRPr="009306D5" w14:paraId="67D978FB"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43C315CB" w14:textId="77777777" w:rsidR="005B15B7" w:rsidRPr="009306D5" w:rsidRDefault="005B15B7">
            <w:pPr>
              <w:rPr>
                <w:rFonts w:cs="Times New Roman"/>
                <w:noProof/>
                <w:sz w:val="16"/>
                <w:szCs w:val="16"/>
              </w:rPr>
            </w:pPr>
            <w:r w:rsidRPr="009306D5">
              <w:rPr>
                <w:noProof/>
                <w:sz w:val="16"/>
                <w:szCs w:val="16"/>
              </w:rPr>
              <w:t>Luksemburg</w:t>
            </w:r>
          </w:p>
        </w:tc>
        <w:tc>
          <w:tcPr>
            <w:tcW w:w="901" w:type="dxa"/>
            <w:vAlign w:val="center"/>
          </w:tcPr>
          <w:p w14:paraId="2E27E5C3"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589</w:t>
            </w:r>
          </w:p>
        </w:tc>
        <w:tc>
          <w:tcPr>
            <w:tcW w:w="851" w:type="dxa"/>
            <w:vAlign w:val="center"/>
          </w:tcPr>
          <w:p w14:paraId="4BA63B9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15,8 %</w:t>
            </w:r>
          </w:p>
        </w:tc>
        <w:tc>
          <w:tcPr>
            <w:tcW w:w="901" w:type="dxa"/>
            <w:vAlign w:val="center"/>
          </w:tcPr>
          <w:p w14:paraId="4348C9DA"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226</w:t>
            </w:r>
          </w:p>
        </w:tc>
        <w:tc>
          <w:tcPr>
            <w:tcW w:w="851" w:type="dxa"/>
            <w:vAlign w:val="center"/>
          </w:tcPr>
          <w:p w14:paraId="5A747A4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6,3 %</w:t>
            </w:r>
          </w:p>
        </w:tc>
        <w:tc>
          <w:tcPr>
            <w:tcW w:w="901" w:type="dxa"/>
            <w:vAlign w:val="center"/>
          </w:tcPr>
          <w:p w14:paraId="4184A81A"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333</w:t>
            </w:r>
          </w:p>
        </w:tc>
        <w:tc>
          <w:tcPr>
            <w:tcW w:w="902" w:type="dxa"/>
            <w:vAlign w:val="center"/>
          </w:tcPr>
          <w:p w14:paraId="1931B5E7"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8,5 %</w:t>
            </w:r>
          </w:p>
        </w:tc>
        <w:tc>
          <w:tcPr>
            <w:tcW w:w="901" w:type="dxa"/>
            <w:vAlign w:val="center"/>
          </w:tcPr>
          <w:p w14:paraId="231C2B32"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267</w:t>
            </w:r>
          </w:p>
        </w:tc>
        <w:tc>
          <w:tcPr>
            <w:tcW w:w="902" w:type="dxa"/>
            <w:vAlign w:val="center"/>
          </w:tcPr>
          <w:p w14:paraId="0AB1F38F"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6,6 %</w:t>
            </w:r>
          </w:p>
        </w:tc>
      </w:tr>
      <w:tr w:rsidR="005B15B7" w:rsidRPr="009306D5" w14:paraId="15FA6CE7"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1D0332B1" w14:textId="77777777" w:rsidR="005B15B7" w:rsidRPr="009306D5" w:rsidRDefault="005B15B7">
            <w:pPr>
              <w:rPr>
                <w:rFonts w:cs="Times New Roman"/>
                <w:noProof/>
                <w:sz w:val="16"/>
                <w:szCs w:val="16"/>
              </w:rPr>
            </w:pPr>
            <w:r w:rsidRPr="009306D5">
              <w:rPr>
                <w:noProof/>
                <w:sz w:val="16"/>
                <w:szCs w:val="16"/>
              </w:rPr>
              <w:t>Ungari</w:t>
            </w:r>
          </w:p>
        </w:tc>
        <w:tc>
          <w:tcPr>
            <w:tcW w:w="901" w:type="dxa"/>
            <w:vAlign w:val="center"/>
          </w:tcPr>
          <w:p w14:paraId="1EBC6D4B"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1 748</w:t>
            </w:r>
          </w:p>
        </w:tc>
        <w:tc>
          <w:tcPr>
            <w:tcW w:w="851" w:type="dxa"/>
            <w:vAlign w:val="center"/>
          </w:tcPr>
          <w:p w14:paraId="3DB9AA8A"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14,2 %</w:t>
            </w:r>
          </w:p>
        </w:tc>
        <w:tc>
          <w:tcPr>
            <w:tcW w:w="901" w:type="dxa"/>
            <w:vAlign w:val="center"/>
          </w:tcPr>
          <w:p w14:paraId="16D0573D"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1 891</w:t>
            </w:r>
          </w:p>
        </w:tc>
        <w:tc>
          <w:tcPr>
            <w:tcW w:w="851" w:type="dxa"/>
            <w:vAlign w:val="center"/>
          </w:tcPr>
          <w:p w14:paraId="51AF703D"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13,9 %</w:t>
            </w:r>
          </w:p>
        </w:tc>
        <w:tc>
          <w:tcPr>
            <w:tcW w:w="901" w:type="dxa"/>
            <w:vAlign w:val="center"/>
          </w:tcPr>
          <w:p w14:paraId="5271AD06"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1 261</w:t>
            </w:r>
          </w:p>
        </w:tc>
        <w:tc>
          <w:tcPr>
            <w:tcW w:w="902" w:type="dxa"/>
            <w:vAlign w:val="center"/>
          </w:tcPr>
          <w:p w14:paraId="6E07A95A"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8,9 %</w:t>
            </w:r>
          </w:p>
        </w:tc>
        <w:tc>
          <w:tcPr>
            <w:tcW w:w="901" w:type="dxa"/>
            <w:vAlign w:val="center"/>
          </w:tcPr>
          <w:p w14:paraId="36F8CA4C"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1 483</w:t>
            </w:r>
          </w:p>
        </w:tc>
        <w:tc>
          <w:tcPr>
            <w:tcW w:w="902" w:type="dxa"/>
            <w:vAlign w:val="center"/>
          </w:tcPr>
          <w:p w14:paraId="01758EF8"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9,6 %</w:t>
            </w:r>
          </w:p>
        </w:tc>
      </w:tr>
      <w:tr w:rsidR="005B15B7" w:rsidRPr="009306D5" w14:paraId="2E1249AE"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4330A539" w14:textId="77777777" w:rsidR="005B15B7" w:rsidRPr="009306D5" w:rsidRDefault="005B15B7">
            <w:pPr>
              <w:rPr>
                <w:rFonts w:cs="Times New Roman"/>
                <w:noProof/>
                <w:sz w:val="16"/>
                <w:szCs w:val="16"/>
              </w:rPr>
            </w:pPr>
            <w:r w:rsidRPr="009306D5">
              <w:rPr>
                <w:noProof/>
                <w:sz w:val="16"/>
                <w:szCs w:val="16"/>
              </w:rPr>
              <w:t>Malta</w:t>
            </w:r>
          </w:p>
        </w:tc>
        <w:tc>
          <w:tcPr>
            <w:tcW w:w="901" w:type="dxa"/>
            <w:vAlign w:val="center"/>
          </w:tcPr>
          <w:p w14:paraId="3C3F4FBD"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244</w:t>
            </w:r>
          </w:p>
        </w:tc>
        <w:tc>
          <w:tcPr>
            <w:tcW w:w="851" w:type="dxa"/>
            <w:vAlign w:val="center"/>
          </w:tcPr>
          <w:p w14:paraId="63E2E784"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25,6 %</w:t>
            </w:r>
          </w:p>
        </w:tc>
        <w:tc>
          <w:tcPr>
            <w:tcW w:w="901" w:type="dxa"/>
            <w:vAlign w:val="center"/>
          </w:tcPr>
          <w:p w14:paraId="12D8955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225</w:t>
            </w:r>
          </w:p>
        </w:tc>
        <w:tc>
          <w:tcPr>
            <w:tcW w:w="851" w:type="dxa"/>
            <w:vAlign w:val="center"/>
          </w:tcPr>
          <w:p w14:paraId="19E5CAAD"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21,7 %</w:t>
            </w:r>
          </w:p>
        </w:tc>
        <w:tc>
          <w:tcPr>
            <w:tcW w:w="901" w:type="dxa"/>
            <w:vAlign w:val="center"/>
          </w:tcPr>
          <w:p w14:paraId="1F9D1EC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203</w:t>
            </w:r>
          </w:p>
        </w:tc>
        <w:tc>
          <w:tcPr>
            <w:tcW w:w="902" w:type="dxa"/>
            <w:vAlign w:val="center"/>
          </w:tcPr>
          <w:p w14:paraId="69B34AAE"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18,1 %</w:t>
            </w:r>
          </w:p>
        </w:tc>
        <w:tc>
          <w:tcPr>
            <w:tcW w:w="901" w:type="dxa"/>
            <w:vAlign w:val="center"/>
          </w:tcPr>
          <w:p w14:paraId="1E44D57F"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287</w:t>
            </w:r>
          </w:p>
        </w:tc>
        <w:tc>
          <w:tcPr>
            <w:tcW w:w="902" w:type="dxa"/>
            <w:vAlign w:val="center"/>
          </w:tcPr>
          <w:p w14:paraId="51BF2C4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23,5 %</w:t>
            </w:r>
          </w:p>
        </w:tc>
      </w:tr>
      <w:tr w:rsidR="005B15B7" w:rsidRPr="009306D5" w14:paraId="5180504C"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0EA1604C" w14:textId="77777777" w:rsidR="005B15B7" w:rsidRPr="009306D5" w:rsidRDefault="005B15B7">
            <w:pPr>
              <w:rPr>
                <w:rFonts w:cs="Times New Roman"/>
                <w:noProof/>
                <w:sz w:val="16"/>
                <w:szCs w:val="16"/>
              </w:rPr>
            </w:pPr>
            <w:r w:rsidRPr="009306D5">
              <w:rPr>
                <w:noProof/>
                <w:sz w:val="16"/>
                <w:szCs w:val="16"/>
              </w:rPr>
              <w:t>Madalmaad</w:t>
            </w:r>
          </w:p>
        </w:tc>
        <w:tc>
          <w:tcPr>
            <w:tcW w:w="901" w:type="dxa"/>
            <w:vAlign w:val="center"/>
          </w:tcPr>
          <w:p w14:paraId="5FF7ED0B"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2 651</w:t>
            </w:r>
          </w:p>
        </w:tc>
        <w:tc>
          <w:tcPr>
            <w:tcW w:w="851" w:type="dxa"/>
            <w:vAlign w:val="center"/>
          </w:tcPr>
          <w:p w14:paraId="454DA9F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5,3 %</w:t>
            </w:r>
          </w:p>
        </w:tc>
        <w:tc>
          <w:tcPr>
            <w:tcW w:w="901" w:type="dxa"/>
            <w:vAlign w:val="center"/>
          </w:tcPr>
          <w:p w14:paraId="4F7F5DCC"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3 190</w:t>
            </w:r>
          </w:p>
        </w:tc>
        <w:tc>
          <w:tcPr>
            <w:tcW w:w="851" w:type="dxa"/>
            <w:vAlign w:val="center"/>
          </w:tcPr>
          <w:p w14:paraId="643E43DB"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6,0 %</w:t>
            </w:r>
          </w:p>
        </w:tc>
        <w:tc>
          <w:tcPr>
            <w:tcW w:w="901" w:type="dxa"/>
            <w:vAlign w:val="center"/>
          </w:tcPr>
          <w:p w14:paraId="43BE263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3 039</w:t>
            </w:r>
          </w:p>
        </w:tc>
        <w:tc>
          <w:tcPr>
            <w:tcW w:w="902" w:type="dxa"/>
            <w:vAlign w:val="center"/>
          </w:tcPr>
          <w:p w14:paraId="70CCD6E8"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5,5 %</w:t>
            </w:r>
          </w:p>
        </w:tc>
        <w:tc>
          <w:tcPr>
            <w:tcW w:w="901" w:type="dxa"/>
            <w:vAlign w:val="center"/>
          </w:tcPr>
          <w:p w14:paraId="7D5D74B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2 660</w:t>
            </w:r>
          </w:p>
        </w:tc>
        <w:tc>
          <w:tcPr>
            <w:tcW w:w="902" w:type="dxa"/>
            <w:vAlign w:val="center"/>
          </w:tcPr>
          <w:p w14:paraId="0552B898"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4,4 %</w:t>
            </w:r>
          </w:p>
        </w:tc>
      </w:tr>
      <w:tr w:rsidR="005B15B7" w:rsidRPr="009306D5" w14:paraId="0A090BA7"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42954C79" w14:textId="77777777" w:rsidR="005B15B7" w:rsidRPr="009306D5" w:rsidRDefault="005B15B7">
            <w:pPr>
              <w:rPr>
                <w:rFonts w:cs="Times New Roman"/>
                <w:noProof/>
                <w:sz w:val="16"/>
                <w:szCs w:val="16"/>
              </w:rPr>
            </w:pPr>
            <w:r w:rsidRPr="009306D5">
              <w:rPr>
                <w:noProof/>
                <w:sz w:val="16"/>
                <w:szCs w:val="16"/>
              </w:rPr>
              <w:t>Austria</w:t>
            </w:r>
          </w:p>
        </w:tc>
        <w:tc>
          <w:tcPr>
            <w:tcW w:w="901" w:type="dxa"/>
            <w:vAlign w:val="center"/>
          </w:tcPr>
          <w:p w14:paraId="74A3A821"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2 466</w:t>
            </w:r>
          </w:p>
        </w:tc>
        <w:tc>
          <w:tcPr>
            <w:tcW w:w="851" w:type="dxa"/>
            <w:vAlign w:val="center"/>
          </w:tcPr>
          <w:p w14:paraId="4575E297"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8,3 %</w:t>
            </w:r>
          </w:p>
        </w:tc>
        <w:tc>
          <w:tcPr>
            <w:tcW w:w="901" w:type="dxa"/>
            <w:vAlign w:val="center"/>
          </w:tcPr>
          <w:p w14:paraId="5682843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2 605</w:t>
            </w:r>
          </w:p>
        </w:tc>
        <w:tc>
          <w:tcPr>
            <w:tcW w:w="851" w:type="dxa"/>
            <w:vAlign w:val="center"/>
          </w:tcPr>
          <w:p w14:paraId="6816DEC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8,4 %</w:t>
            </w:r>
          </w:p>
        </w:tc>
        <w:tc>
          <w:tcPr>
            <w:tcW w:w="901" w:type="dxa"/>
            <w:vAlign w:val="center"/>
          </w:tcPr>
          <w:p w14:paraId="506DB6AF"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3 033</w:t>
            </w:r>
          </w:p>
        </w:tc>
        <w:tc>
          <w:tcPr>
            <w:tcW w:w="902" w:type="dxa"/>
            <w:vAlign w:val="center"/>
          </w:tcPr>
          <w:p w14:paraId="1C064678"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9,4 %</w:t>
            </w:r>
          </w:p>
        </w:tc>
        <w:tc>
          <w:tcPr>
            <w:tcW w:w="901" w:type="dxa"/>
            <w:vAlign w:val="center"/>
          </w:tcPr>
          <w:p w14:paraId="37CA3CD7"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2 895</w:t>
            </w:r>
          </w:p>
        </w:tc>
        <w:tc>
          <w:tcPr>
            <w:tcW w:w="902" w:type="dxa"/>
            <w:vAlign w:val="center"/>
          </w:tcPr>
          <w:p w14:paraId="648CD660"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8,7 %</w:t>
            </w:r>
          </w:p>
        </w:tc>
      </w:tr>
      <w:tr w:rsidR="005B15B7" w:rsidRPr="009306D5" w14:paraId="494A6848"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1810B2ED" w14:textId="77777777" w:rsidR="005B15B7" w:rsidRPr="009306D5" w:rsidRDefault="005B15B7">
            <w:pPr>
              <w:rPr>
                <w:rFonts w:cs="Times New Roman"/>
                <w:noProof/>
                <w:sz w:val="16"/>
                <w:szCs w:val="16"/>
              </w:rPr>
            </w:pPr>
            <w:r w:rsidRPr="009306D5">
              <w:rPr>
                <w:noProof/>
                <w:sz w:val="16"/>
                <w:szCs w:val="16"/>
              </w:rPr>
              <w:t>Poola</w:t>
            </w:r>
          </w:p>
        </w:tc>
        <w:tc>
          <w:tcPr>
            <w:tcW w:w="901" w:type="dxa"/>
            <w:vAlign w:val="center"/>
          </w:tcPr>
          <w:p w14:paraId="53ACFCD9"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7 880</w:t>
            </w:r>
          </w:p>
        </w:tc>
        <w:tc>
          <w:tcPr>
            <w:tcW w:w="851" w:type="dxa"/>
            <w:vAlign w:val="center"/>
          </w:tcPr>
          <w:p w14:paraId="2E6CE700"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20,3 %</w:t>
            </w:r>
          </w:p>
        </w:tc>
        <w:tc>
          <w:tcPr>
            <w:tcW w:w="901" w:type="dxa"/>
            <w:vAlign w:val="center"/>
          </w:tcPr>
          <w:p w14:paraId="22E6C07F"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6 810</w:t>
            </w:r>
          </w:p>
        </w:tc>
        <w:tc>
          <w:tcPr>
            <w:tcW w:w="851" w:type="dxa"/>
            <w:vAlign w:val="center"/>
          </w:tcPr>
          <w:p w14:paraId="09738548"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15,8 %</w:t>
            </w:r>
          </w:p>
        </w:tc>
        <w:tc>
          <w:tcPr>
            <w:tcW w:w="901" w:type="dxa"/>
            <w:vAlign w:val="center"/>
          </w:tcPr>
          <w:p w14:paraId="2FCCD706"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5 288</w:t>
            </w:r>
          </w:p>
        </w:tc>
        <w:tc>
          <w:tcPr>
            <w:tcW w:w="902" w:type="dxa"/>
            <w:vAlign w:val="center"/>
          </w:tcPr>
          <w:p w14:paraId="6061E00A"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11,6 %</w:t>
            </w:r>
          </w:p>
        </w:tc>
        <w:tc>
          <w:tcPr>
            <w:tcW w:w="901" w:type="dxa"/>
            <w:vAlign w:val="center"/>
          </w:tcPr>
          <w:p w14:paraId="25DCB7D3"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5 379</w:t>
            </w:r>
          </w:p>
        </w:tc>
        <w:tc>
          <w:tcPr>
            <w:tcW w:w="902" w:type="dxa"/>
            <w:vAlign w:val="center"/>
          </w:tcPr>
          <w:p w14:paraId="1F84EB7A"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11,3 %</w:t>
            </w:r>
          </w:p>
        </w:tc>
      </w:tr>
      <w:tr w:rsidR="005B15B7" w:rsidRPr="009306D5" w14:paraId="4D8CC19D"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468F7E81" w14:textId="77777777" w:rsidR="005B15B7" w:rsidRPr="009306D5" w:rsidRDefault="005B15B7">
            <w:pPr>
              <w:rPr>
                <w:rFonts w:cs="Times New Roman"/>
                <w:noProof/>
                <w:sz w:val="16"/>
                <w:szCs w:val="16"/>
              </w:rPr>
            </w:pPr>
            <w:r w:rsidRPr="009306D5">
              <w:rPr>
                <w:noProof/>
                <w:sz w:val="16"/>
                <w:szCs w:val="16"/>
              </w:rPr>
              <w:t>Portugal</w:t>
            </w:r>
          </w:p>
        </w:tc>
        <w:tc>
          <w:tcPr>
            <w:tcW w:w="901" w:type="dxa"/>
            <w:vAlign w:val="center"/>
          </w:tcPr>
          <w:p w14:paraId="09F4E75E"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2 123</w:t>
            </w:r>
          </w:p>
        </w:tc>
        <w:tc>
          <w:tcPr>
            <w:tcW w:w="851" w:type="dxa"/>
            <w:vAlign w:val="center"/>
          </w:tcPr>
          <w:p w14:paraId="135CC61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11,9 %</w:t>
            </w:r>
          </w:p>
        </w:tc>
        <w:tc>
          <w:tcPr>
            <w:tcW w:w="901" w:type="dxa"/>
            <w:vAlign w:val="center"/>
          </w:tcPr>
          <w:p w14:paraId="6927F1A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1 847</w:t>
            </w:r>
          </w:p>
        </w:tc>
        <w:tc>
          <w:tcPr>
            <w:tcW w:w="851" w:type="dxa"/>
            <w:vAlign w:val="center"/>
          </w:tcPr>
          <w:p w14:paraId="3C6EDF0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9,9 %</w:t>
            </w:r>
          </w:p>
        </w:tc>
        <w:tc>
          <w:tcPr>
            <w:tcW w:w="901" w:type="dxa"/>
            <w:vAlign w:val="center"/>
          </w:tcPr>
          <w:p w14:paraId="046EC1F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1 759</w:t>
            </w:r>
          </w:p>
        </w:tc>
        <w:tc>
          <w:tcPr>
            <w:tcW w:w="902" w:type="dxa"/>
            <w:vAlign w:val="center"/>
          </w:tcPr>
          <w:p w14:paraId="28142A4D"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9,0 %</w:t>
            </w:r>
          </w:p>
        </w:tc>
        <w:tc>
          <w:tcPr>
            <w:tcW w:w="901" w:type="dxa"/>
            <w:vAlign w:val="center"/>
          </w:tcPr>
          <w:p w14:paraId="28A79255"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1 609</w:t>
            </w:r>
          </w:p>
        </w:tc>
        <w:tc>
          <w:tcPr>
            <w:tcW w:w="902" w:type="dxa"/>
            <w:vAlign w:val="center"/>
          </w:tcPr>
          <w:p w14:paraId="3FA58FD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7,9 %</w:t>
            </w:r>
          </w:p>
        </w:tc>
      </w:tr>
      <w:tr w:rsidR="005B15B7" w:rsidRPr="009306D5" w14:paraId="14835D82"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2BEC83F2" w14:textId="77777777" w:rsidR="005B15B7" w:rsidRPr="009306D5" w:rsidRDefault="005B15B7">
            <w:pPr>
              <w:rPr>
                <w:rFonts w:cs="Times New Roman"/>
                <w:noProof/>
                <w:sz w:val="16"/>
                <w:szCs w:val="16"/>
              </w:rPr>
            </w:pPr>
            <w:r w:rsidRPr="009306D5">
              <w:rPr>
                <w:noProof/>
                <w:sz w:val="16"/>
                <w:szCs w:val="16"/>
              </w:rPr>
              <w:t>Rumeenia</w:t>
            </w:r>
          </w:p>
        </w:tc>
        <w:tc>
          <w:tcPr>
            <w:tcW w:w="901" w:type="dxa"/>
            <w:vAlign w:val="center"/>
          </w:tcPr>
          <w:p w14:paraId="2B8EA193"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6 453</w:t>
            </w:r>
          </w:p>
        </w:tc>
        <w:tc>
          <w:tcPr>
            <w:tcW w:w="851" w:type="dxa"/>
            <w:vAlign w:val="center"/>
          </w:tcPr>
          <w:p w14:paraId="19D942E5"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37,0 %</w:t>
            </w:r>
          </w:p>
        </w:tc>
        <w:tc>
          <w:tcPr>
            <w:tcW w:w="901" w:type="dxa"/>
            <w:vAlign w:val="center"/>
          </w:tcPr>
          <w:p w14:paraId="3EE81166"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6 797</w:t>
            </w:r>
          </w:p>
        </w:tc>
        <w:tc>
          <w:tcPr>
            <w:tcW w:w="851" w:type="dxa"/>
            <w:vAlign w:val="center"/>
          </w:tcPr>
          <w:p w14:paraId="67F05776"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36,8 %</w:t>
            </w:r>
          </w:p>
        </w:tc>
        <w:tc>
          <w:tcPr>
            <w:tcW w:w="901" w:type="dxa"/>
            <w:vAlign w:val="center"/>
          </w:tcPr>
          <w:p w14:paraId="0A5828C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6 258</w:t>
            </w:r>
          </w:p>
        </w:tc>
        <w:tc>
          <w:tcPr>
            <w:tcW w:w="902" w:type="dxa"/>
            <w:vAlign w:val="center"/>
          </w:tcPr>
          <w:p w14:paraId="73221FA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32,7 %</w:t>
            </w:r>
          </w:p>
        </w:tc>
        <w:tc>
          <w:tcPr>
            <w:tcW w:w="901" w:type="dxa"/>
            <w:vAlign w:val="center"/>
          </w:tcPr>
          <w:p w14:paraId="7F24578C"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7 411</w:t>
            </w:r>
          </w:p>
        </w:tc>
        <w:tc>
          <w:tcPr>
            <w:tcW w:w="902" w:type="dxa"/>
            <w:vAlign w:val="center"/>
          </w:tcPr>
          <w:p w14:paraId="303FA400"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34,9 %</w:t>
            </w:r>
          </w:p>
        </w:tc>
      </w:tr>
      <w:tr w:rsidR="005B15B7" w:rsidRPr="009306D5" w14:paraId="1208F1E3"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0EA6FEF9" w14:textId="77777777" w:rsidR="005B15B7" w:rsidRPr="009306D5" w:rsidRDefault="005B15B7">
            <w:pPr>
              <w:rPr>
                <w:rFonts w:cs="Times New Roman"/>
                <w:noProof/>
                <w:sz w:val="16"/>
                <w:szCs w:val="16"/>
              </w:rPr>
            </w:pPr>
            <w:r w:rsidRPr="009306D5">
              <w:rPr>
                <w:noProof/>
                <w:sz w:val="16"/>
                <w:szCs w:val="16"/>
              </w:rPr>
              <w:t>Sloveenia</w:t>
            </w:r>
          </w:p>
        </w:tc>
        <w:tc>
          <w:tcPr>
            <w:tcW w:w="901" w:type="dxa"/>
            <w:vAlign w:val="center"/>
          </w:tcPr>
          <w:p w14:paraId="37905985"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186</w:t>
            </w:r>
          </w:p>
        </w:tc>
        <w:tc>
          <w:tcPr>
            <w:tcW w:w="851" w:type="dxa"/>
            <w:vAlign w:val="center"/>
          </w:tcPr>
          <w:p w14:paraId="37C70C9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5,3 %</w:t>
            </w:r>
          </w:p>
        </w:tc>
        <w:tc>
          <w:tcPr>
            <w:tcW w:w="901" w:type="dxa"/>
            <w:vAlign w:val="center"/>
          </w:tcPr>
          <w:p w14:paraId="6A3B15C8"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142</w:t>
            </w:r>
          </w:p>
        </w:tc>
        <w:tc>
          <w:tcPr>
            <w:tcW w:w="851" w:type="dxa"/>
            <w:vAlign w:val="center"/>
          </w:tcPr>
          <w:p w14:paraId="77BF8F71"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3,9 %</w:t>
            </w:r>
          </w:p>
        </w:tc>
        <w:tc>
          <w:tcPr>
            <w:tcW w:w="901" w:type="dxa"/>
            <w:vAlign w:val="center"/>
          </w:tcPr>
          <w:p w14:paraId="0AEED093"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163</w:t>
            </w:r>
          </w:p>
        </w:tc>
        <w:tc>
          <w:tcPr>
            <w:tcW w:w="902" w:type="dxa"/>
            <w:vAlign w:val="center"/>
          </w:tcPr>
          <w:p w14:paraId="06C447E3"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4,1 %</w:t>
            </w:r>
          </w:p>
        </w:tc>
        <w:tc>
          <w:tcPr>
            <w:tcW w:w="901" w:type="dxa"/>
            <w:vAlign w:val="center"/>
          </w:tcPr>
          <w:p w14:paraId="3306709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298</w:t>
            </w:r>
          </w:p>
        </w:tc>
        <w:tc>
          <w:tcPr>
            <w:tcW w:w="902" w:type="dxa"/>
            <w:vAlign w:val="center"/>
          </w:tcPr>
          <w:p w14:paraId="1919E8E9"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7,1 %</w:t>
            </w:r>
          </w:p>
        </w:tc>
      </w:tr>
      <w:tr w:rsidR="005B15B7" w:rsidRPr="009306D5" w14:paraId="1BD2CA85"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C3450A0" w14:textId="77777777" w:rsidR="005B15B7" w:rsidRPr="009306D5" w:rsidRDefault="005B15B7">
            <w:pPr>
              <w:rPr>
                <w:rFonts w:cs="Times New Roman"/>
                <w:noProof/>
                <w:sz w:val="16"/>
                <w:szCs w:val="16"/>
              </w:rPr>
            </w:pPr>
            <w:r w:rsidRPr="009306D5">
              <w:rPr>
                <w:noProof/>
                <w:sz w:val="16"/>
                <w:szCs w:val="16"/>
              </w:rPr>
              <w:t>Slovakkia</w:t>
            </w:r>
          </w:p>
        </w:tc>
        <w:tc>
          <w:tcPr>
            <w:tcW w:w="901" w:type="dxa"/>
            <w:vAlign w:val="center"/>
          </w:tcPr>
          <w:p w14:paraId="7E060F0B"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1 360</w:t>
            </w:r>
          </w:p>
        </w:tc>
        <w:tc>
          <w:tcPr>
            <w:tcW w:w="851" w:type="dxa"/>
            <w:vAlign w:val="center"/>
          </w:tcPr>
          <w:p w14:paraId="497C223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20,0 %</w:t>
            </w:r>
          </w:p>
        </w:tc>
        <w:tc>
          <w:tcPr>
            <w:tcW w:w="901" w:type="dxa"/>
            <w:vAlign w:val="center"/>
          </w:tcPr>
          <w:p w14:paraId="3A387BC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1 206</w:t>
            </w:r>
          </w:p>
        </w:tc>
        <w:tc>
          <w:tcPr>
            <w:tcW w:w="851" w:type="dxa"/>
            <w:vAlign w:val="center"/>
          </w:tcPr>
          <w:p w14:paraId="23F07FAB"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16,9 %</w:t>
            </w:r>
          </w:p>
        </w:tc>
        <w:tc>
          <w:tcPr>
            <w:tcW w:w="901" w:type="dxa"/>
            <w:vAlign w:val="center"/>
          </w:tcPr>
          <w:p w14:paraId="5C5E93D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1 414</w:t>
            </w:r>
          </w:p>
        </w:tc>
        <w:tc>
          <w:tcPr>
            <w:tcW w:w="902" w:type="dxa"/>
            <w:vAlign w:val="center"/>
          </w:tcPr>
          <w:p w14:paraId="3359AAD1"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18,3 %</w:t>
            </w:r>
          </w:p>
        </w:tc>
        <w:tc>
          <w:tcPr>
            <w:tcW w:w="901" w:type="dxa"/>
            <w:vAlign w:val="center"/>
          </w:tcPr>
          <w:p w14:paraId="11FAF15D"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1 313</w:t>
            </w:r>
          </w:p>
        </w:tc>
        <w:tc>
          <w:tcPr>
            <w:tcW w:w="902" w:type="dxa"/>
            <w:vAlign w:val="center"/>
          </w:tcPr>
          <w:p w14:paraId="630A43AA"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16,1 %</w:t>
            </w:r>
          </w:p>
        </w:tc>
      </w:tr>
      <w:tr w:rsidR="005B15B7" w:rsidRPr="009306D5" w14:paraId="2DC032FF"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00B00A2A" w14:textId="77777777" w:rsidR="005B15B7" w:rsidRPr="009306D5" w:rsidRDefault="005B15B7">
            <w:pPr>
              <w:rPr>
                <w:rFonts w:cs="Times New Roman"/>
                <w:noProof/>
                <w:sz w:val="16"/>
                <w:szCs w:val="16"/>
              </w:rPr>
            </w:pPr>
            <w:r w:rsidRPr="009306D5">
              <w:rPr>
                <w:noProof/>
                <w:sz w:val="16"/>
                <w:szCs w:val="16"/>
              </w:rPr>
              <w:t>Soome</w:t>
            </w:r>
          </w:p>
        </w:tc>
        <w:tc>
          <w:tcPr>
            <w:tcW w:w="901" w:type="dxa"/>
            <w:vAlign w:val="center"/>
          </w:tcPr>
          <w:p w14:paraId="7C82A96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985</w:t>
            </w:r>
          </w:p>
        </w:tc>
        <w:tc>
          <w:tcPr>
            <w:tcW w:w="851" w:type="dxa"/>
            <w:vAlign w:val="center"/>
          </w:tcPr>
          <w:p w14:paraId="3BAA8EF8"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4,8 %</w:t>
            </w:r>
          </w:p>
        </w:tc>
        <w:tc>
          <w:tcPr>
            <w:tcW w:w="901" w:type="dxa"/>
            <w:vAlign w:val="center"/>
          </w:tcPr>
          <w:p w14:paraId="193B9357"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1 320</w:t>
            </w:r>
          </w:p>
        </w:tc>
        <w:tc>
          <w:tcPr>
            <w:tcW w:w="851" w:type="dxa"/>
            <w:vAlign w:val="center"/>
          </w:tcPr>
          <w:p w14:paraId="1D9042E1"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6,1 %</w:t>
            </w:r>
          </w:p>
        </w:tc>
        <w:tc>
          <w:tcPr>
            <w:tcW w:w="901" w:type="dxa"/>
            <w:vAlign w:val="center"/>
          </w:tcPr>
          <w:p w14:paraId="42627626"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884</w:t>
            </w:r>
          </w:p>
        </w:tc>
        <w:tc>
          <w:tcPr>
            <w:tcW w:w="902" w:type="dxa"/>
            <w:vAlign w:val="center"/>
          </w:tcPr>
          <w:p w14:paraId="565B636C"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4,0 %</w:t>
            </w:r>
          </w:p>
        </w:tc>
        <w:tc>
          <w:tcPr>
            <w:tcW w:w="901" w:type="dxa"/>
            <w:vAlign w:val="center"/>
          </w:tcPr>
          <w:p w14:paraId="0B021B5A"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646</w:t>
            </w:r>
          </w:p>
        </w:tc>
        <w:tc>
          <w:tcPr>
            <w:tcW w:w="902" w:type="dxa"/>
            <w:vAlign w:val="center"/>
          </w:tcPr>
          <w:p w14:paraId="6ADFFB7F"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2,9 %</w:t>
            </w:r>
          </w:p>
        </w:tc>
      </w:tr>
      <w:tr w:rsidR="005B15B7" w:rsidRPr="009306D5" w14:paraId="63E8F474"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41711DDA" w14:textId="77777777" w:rsidR="005B15B7" w:rsidRPr="009306D5" w:rsidRDefault="005B15B7">
            <w:pPr>
              <w:rPr>
                <w:rFonts w:cs="Times New Roman"/>
                <w:noProof/>
                <w:sz w:val="16"/>
                <w:szCs w:val="16"/>
              </w:rPr>
            </w:pPr>
            <w:r w:rsidRPr="009306D5">
              <w:rPr>
                <w:noProof/>
                <w:sz w:val="16"/>
                <w:szCs w:val="16"/>
              </w:rPr>
              <w:t>Rootsi</w:t>
            </w:r>
          </w:p>
        </w:tc>
        <w:tc>
          <w:tcPr>
            <w:tcW w:w="901" w:type="dxa"/>
            <w:vAlign w:val="center"/>
          </w:tcPr>
          <w:p w14:paraId="2B931D65"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1 228</w:t>
            </w:r>
          </w:p>
        </w:tc>
        <w:tc>
          <w:tcPr>
            <w:tcW w:w="851" w:type="dxa"/>
            <w:vAlign w:val="center"/>
          </w:tcPr>
          <w:p w14:paraId="45DB866E"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2,8 %</w:t>
            </w:r>
          </w:p>
        </w:tc>
        <w:tc>
          <w:tcPr>
            <w:tcW w:w="901" w:type="dxa"/>
            <w:vAlign w:val="center"/>
          </w:tcPr>
          <w:p w14:paraId="11C10288"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1 713</w:t>
            </w:r>
          </w:p>
        </w:tc>
        <w:tc>
          <w:tcPr>
            <w:tcW w:w="851" w:type="dxa"/>
            <w:vAlign w:val="center"/>
          </w:tcPr>
          <w:p w14:paraId="348AC358"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3,7 %</w:t>
            </w:r>
          </w:p>
        </w:tc>
        <w:tc>
          <w:tcPr>
            <w:tcW w:w="901" w:type="dxa"/>
            <w:vAlign w:val="center"/>
          </w:tcPr>
          <w:p w14:paraId="4A74D9B0"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1 483</w:t>
            </w:r>
          </w:p>
        </w:tc>
        <w:tc>
          <w:tcPr>
            <w:tcW w:w="902" w:type="dxa"/>
            <w:vAlign w:val="center"/>
          </w:tcPr>
          <w:p w14:paraId="7FD0232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3,3 %</w:t>
            </w:r>
          </w:p>
        </w:tc>
        <w:tc>
          <w:tcPr>
            <w:tcW w:w="901" w:type="dxa"/>
            <w:vAlign w:val="center"/>
          </w:tcPr>
          <w:p w14:paraId="6EE196C9"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597</w:t>
            </w:r>
          </w:p>
        </w:tc>
        <w:tc>
          <w:tcPr>
            <w:tcW w:w="902" w:type="dxa"/>
            <w:vAlign w:val="center"/>
          </w:tcPr>
          <w:p w14:paraId="5F629487"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1,4 %</w:t>
            </w:r>
          </w:p>
        </w:tc>
      </w:tr>
      <w:tr w:rsidR="005B15B7" w:rsidRPr="009306D5" w14:paraId="512A04BD"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AF6F82E" w14:textId="77777777" w:rsidR="005B15B7" w:rsidRPr="009306D5" w:rsidRDefault="005B15B7">
            <w:pPr>
              <w:rPr>
                <w:rFonts w:cs="Times New Roman"/>
                <w:noProof/>
                <w:sz w:val="16"/>
                <w:szCs w:val="16"/>
              </w:rPr>
            </w:pPr>
            <w:r w:rsidRPr="009306D5">
              <w:rPr>
                <w:noProof/>
                <w:sz w:val="16"/>
                <w:szCs w:val="16"/>
              </w:rPr>
              <w:t>Ühendkuningriik</w:t>
            </w:r>
          </w:p>
        </w:tc>
        <w:tc>
          <w:tcPr>
            <w:tcW w:w="901" w:type="dxa"/>
            <w:vAlign w:val="center"/>
          </w:tcPr>
          <w:p w14:paraId="6F9BE815"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20 102</w:t>
            </w:r>
          </w:p>
        </w:tc>
        <w:tc>
          <w:tcPr>
            <w:tcW w:w="851" w:type="dxa"/>
            <w:vAlign w:val="center"/>
          </w:tcPr>
          <w:p w14:paraId="4B2352B5"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10,7 %</w:t>
            </w:r>
          </w:p>
        </w:tc>
        <w:tc>
          <w:tcPr>
            <w:tcW w:w="901" w:type="dxa"/>
            <w:vAlign w:val="center"/>
          </w:tcPr>
          <w:p w14:paraId="2528C4F2"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20 714</w:t>
            </w:r>
          </w:p>
        </w:tc>
        <w:tc>
          <w:tcPr>
            <w:tcW w:w="851" w:type="dxa"/>
            <w:vAlign w:val="center"/>
          </w:tcPr>
          <w:p w14:paraId="28182D91"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11,3 %</w:t>
            </w:r>
          </w:p>
        </w:tc>
        <w:tc>
          <w:tcPr>
            <w:tcW w:w="901" w:type="dxa"/>
            <w:vAlign w:val="center"/>
          </w:tcPr>
          <w:p w14:paraId="4298C940"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19 835</w:t>
            </w:r>
          </w:p>
        </w:tc>
        <w:tc>
          <w:tcPr>
            <w:tcW w:w="902" w:type="dxa"/>
            <w:vAlign w:val="center"/>
          </w:tcPr>
          <w:p w14:paraId="7A6D7137"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10,5 %</w:t>
            </w:r>
          </w:p>
        </w:tc>
        <w:tc>
          <w:tcPr>
            <w:tcW w:w="901" w:type="dxa"/>
            <w:vAlign w:val="center"/>
          </w:tcPr>
          <w:p w14:paraId="539D4A6F"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17 176</w:t>
            </w:r>
          </w:p>
        </w:tc>
        <w:tc>
          <w:tcPr>
            <w:tcW w:w="902" w:type="dxa"/>
            <w:vAlign w:val="center"/>
          </w:tcPr>
          <w:p w14:paraId="543D5D1D" w14:textId="77777777" w:rsidR="005B15B7" w:rsidRPr="009306D5" w:rsidRDefault="005B15B7">
            <w:pPr>
              <w:jc w:val="right"/>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8,9 %</w:t>
            </w:r>
          </w:p>
        </w:tc>
      </w:tr>
      <w:tr w:rsidR="005B15B7" w:rsidRPr="009306D5" w14:paraId="0C229B63"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5404B361" w14:textId="77777777" w:rsidR="005B15B7" w:rsidRPr="009306D5" w:rsidRDefault="005B15B7">
            <w:pPr>
              <w:rPr>
                <w:rFonts w:cs="Times New Roman"/>
                <w:noProof/>
                <w:sz w:val="16"/>
                <w:szCs w:val="16"/>
              </w:rPr>
            </w:pPr>
            <w:r w:rsidRPr="009306D5">
              <w:rPr>
                <w:noProof/>
                <w:sz w:val="16"/>
                <w:szCs w:val="16"/>
              </w:rPr>
              <w:t>EL</w:t>
            </w:r>
          </w:p>
        </w:tc>
        <w:tc>
          <w:tcPr>
            <w:tcW w:w="901" w:type="dxa"/>
            <w:vAlign w:val="center"/>
          </w:tcPr>
          <w:p w14:paraId="53627F95"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144 452</w:t>
            </w:r>
          </w:p>
        </w:tc>
        <w:tc>
          <w:tcPr>
            <w:tcW w:w="851" w:type="dxa"/>
            <w:vAlign w:val="center"/>
          </w:tcPr>
          <w:p w14:paraId="04C54DD3" w14:textId="22009465"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12,1 %</w:t>
            </w:r>
          </w:p>
        </w:tc>
        <w:tc>
          <w:tcPr>
            <w:tcW w:w="901" w:type="dxa"/>
            <w:vAlign w:val="center"/>
          </w:tcPr>
          <w:p w14:paraId="20475133"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145 698</w:t>
            </w:r>
          </w:p>
        </w:tc>
        <w:tc>
          <w:tcPr>
            <w:tcW w:w="851" w:type="dxa"/>
            <w:vAlign w:val="center"/>
          </w:tcPr>
          <w:p w14:paraId="6B02D82F" w14:textId="7D2673CC"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11,5 %</w:t>
            </w:r>
          </w:p>
        </w:tc>
        <w:tc>
          <w:tcPr>
            <w:tcW w:w="901" w:type="dxa"/>
            <w:vAlign w:val="center"/>
          </w:tcPr>
          <w:p w14:paraId="672C67ED"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141 059</w:t>
            </w:r>
          </w:p>
        </w:tc>
        <w:tc>
          <w:tcPr>
            <w:tcW w:w="902" w:type="dxa"/>
            <w:vAlign w:val="center"/>
          </w:tcPr>
          <w:p w14:paraId="2D9BDBD2" w14:textId="579C66CE"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11,1 %</w:t>
            </w:r>
          </w:p>
        </w:tc>
        <w:tc>
          <w:tcPr>
            <w:tcW w:w="901" w:type="dxa"/>
            <w:vAlign w:val="center"/>
          </w:tcPr>
          <w:p w14:paraId="4F4CD045" w14:textId="77777777"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134 436</w:t>
            </w:r>
          </w:p>
        </w:tc>
        <w:tc>
          <w:tcPr>
            <w:tcW w:w="902" w:type="dxa"/>
            <w:vAlign w:val="center"/>
          </w:tcPr>
          <w:p w14:paraId="50DEBDC2" w14:textId="0A554776" w:rsidR="005B15B7" w:rsidRPr="009306D5" w:rsidRDefault="005B15B7">
            <w:pPr>
              <w:jc w:val="right"/>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10,3 %</w:t>
            </w:r>
          </w:p>
        </w:tc>
      </w:tr>
    </w:tbl>
    <w:p w14:paraId="26AFEBA0"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 xml:space="preserve">Allikas: Euroopa Komisjon (2021) – ELi käibemaksulõhe </w:t>
      </w:r>
    </w:p>
    <w:p w14:paraId="45EF179D" w14:textId="77777777" w:rsidR="005B15B7" w:rsidRPr="009306D5" w:rsidRDefault="005B15B7" w:rsidP="005B15B7">
      <w:pPr>
        <w:rPr>
          <w:rFonts w:cs="Times New Roman"/>
          <w:noProof/>
          <w:sz w:val="20"/>
        </w:rPr>
      </w:pPr>
      <w:r w:rsidRPr="009306D5">
        <w:rPr>
          <w:noProof/>
          <w:sz w:val="20"/>
        </w:rPr>
        <w:t>28-st liikmesriigist 25 on lisanud käibemaksulõhe hinnangud oma erinevatesse meetoditesse ebatäpse aruandluse taseme jälgimiseks (erandiks on Malta, Rootsi ja Saksamaa). 14 liikmesriiki kasutavad nii siseriiklikke kui ka komisjoni hinnanguid, samal ajal kui kaheksa liikmesriiki, nimelt Tšehhi, Iirimaa, Hispaania, Luksemburg, Ungari, Madalmaad, Austria ja Portugal tuginevad üksnes ELi andmetele. Bulgaaria, Eesti ja Ühendkuningriik kasutavad ainult oma sisehinnanguid. Komisjon jääb eelmises aruandes esitatud soovituse juurde, et liikmesriigid peaksid investeerima või jätkama investeerimist oma käibemaksulõhe hindamisse ja seda üksikasjalikumalt analüüsima. Ülevaade käibemaksulõhest võimaldab riikide poliitikakujundajatel hinnata oma poliitikameetmete mõju ja kohandada neid, et suurendada käibemaksunõuete täitmist.</w:t>
      </w:r>
    </w:p>
    <w:p w14:paraId="0069CE9C" w14:textId="77777777" w:rsidR="005B15B7" w:rsidRPr="009306D5" w:rsidRDefault="005B15B7" w:rsidP="005B15B7">
      <w:pPr>
        <w:rPr>
          <w:rFonts w:cs="Times New Roman"/>
          <w:noProof/>
          <w:sz w:val="20"/>
        </w:rPr>
      </w:pPr>
      <w:r w:rsidRPr="009306D5">
        <w:rPr>
          <w:noProof/>
          <w:sz w:val="20"/>
        </w:rPr>
        <w:t>Mõned liikmesriigid (11/28) jagasid oma siseriiklikke käibemaksulõhe hinnanguid. Üldiselt ei olnud sisehinnangute ja komisjoni hinnangute vahel suuri erinevusi (keskmiselt 1–2 protsendipunkti). Seegi näitab komisjoni avaldatud iga-aastaste andmete täpsust.</w:t>
      </w:r>
    </w:p>
    <w:p w14:paraId="7627F1B6" w14:textId="77777777" w:rsidR="005B15B7" w:rsidRPr="009306D5" w:rsidRDefault="005B15B7" w:rsidP="005B15B7">
      <w:pPr>
        <w:rPr>
          <w:rFonts w:cs="Times New Roman"/>
          <w:noProof/>
          <w:sz w:val="20"/>
        </w:rPr>
      </w:pPr>
      <w:r w:rsidRPr="009306D5">
        <w:rPr>
          <w:noProof/>
          <w:sz w:val="20"/>
        </w:rPr>
        <w:t>Peaaegu kõik liikmesriigid leiavad, et käibemaksulõhe uuringud ja hinnangud on kasulikud käibemaksukohustuste aruandluse ebatäpsuse taseme paremaks mõistmiseks, kuid kõik ei pea neid samavõrra kasulikuks. Tasub märkida, et liikmesriigid, kes ei investeeri käibemaksulõhe hindamisse kuigi palju, peavad neid uuringuid kasulikuks, kuid vähemal määral.</w:t>
      </w:r>
    </w:p>
    <w:p w14:paraId="7570D86A" w14:textId="0A9D744C" w:rsidR="005B15B7" w:rsidRPr="009306D5" w:rsidRDefault="005B15B7" w:rsidP="00FE0EC3">
      <w:pPr>
        <w:pStyle w:val="Caption"/>
      </w:pPr>
      <w:bookmarkStart w:id="72" w:name="_Toc62138772"/>
      <w:bookmarkStart w:id="73" w:name="_Toc95816230"/>
      <w:r w:rsidRPr="009306D5">
        <w:t>Joonis </w:t>
      </w:r>
      <w:r w:rsidRPr="009306D5">
        <w:fldChar w:fldCharType="begin"/>
      </w:r>
      <w:r w:rsidRPr="009306D5">
        <w:instrText xml:space="preserve"> SEQ Figure \* ARABIC </w:instrText>
      </w:r>
      <w:r w:rsidRPr="009306D5">
        <w:fldChar w:fldCharType="separate"/>
      </w:r>
      <w:r w:rsidR="008A2E1E" w:rsidRPr="009306D5">
        <w:t>3</w:t>
      </w:r>
      <w:r w:rsidRPr="009306D5">
        <w:fldChar w:fldCharType="end"/>
      </w:r>
      <w:r w:rsidRPr="009306D5">
        <w:t>. Käibemaksulõhe hinnangute tajutav kasulikkus seoses liikmesriikide maksuhaldurite tööga maksukuulekuse valdkonnas</w:t>
      </w:r>
      <w:bookmarkEnd w:id="72"/>
      <w:bookmarkEnd w:id="73"/>
    </w:p>
    <w:p w14:paraId="2EE5A03B" w14:textId="5F67DFB7" w:rsidR="00E85267" w:rsidRPr="009306D5" w:rsidRDefault="00E85267" w:rsidP="008A2E1E">
      <w:pPr>
        <w:pStyle w:val="Question"/>
        <w:rPr>
          <w:noProof/>
        </w:rPr>
      </w:pPr>
      <w:r w:rsidRPr="009306D5">
        <w:rPr>
          <w:noProof/>
        </w:rPr>
        <w:t>Küsimus 4.8. „Mil määral aitasid käibemaksulõhe uuringud/hinnangud teie maksuhalduritel paremini keskenduda tulevasele maksukuulekusalasele tööle?“</w:t>
      </w:r>
    </w:p>
    <w:p w14:paraId="2780CC30" w14:textId="59165B6C" w:rsidR="00467FAC" w:rsidRPr="009306D5" w:rsidRDefault="001C71DA" w:rsidP="00467FAC">
      <w:pPr>
        <w:pStyle w:val="FIgure"/>
        <w:rPr>
          <w:lang w:eastAsia="en-US"/>
        </w:rPr>
      </w:pPr>
      <w:r w:rsidRPr="009306D5">
        <w:rPr>
          <w:lang w:val="en-GB"/>
        </w:rPr>
        <w:drawing>
          <wp:inline distT="0" distB="0" distL="0" distR="0" wp14:anchorId="49BE190C" wp14:editId="1921AF62">
            <wp:extent cx="5760085" cy="2038985"/>
            <wp:effectExtent l="0" t="0" r="0" b="0"/>
            <wp:docPr id="3" name="Chart 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12DDF2" w14:textId="77777777" w:rsidR="00467FAC" w:rsidRPr="009306D5" w:rsidRDefault="00467FAC" w:rsidP="00467FAC">
      <w:pPr>
        <w:pStyle w:val="FIgure"/>
        <w:rPr>
          <w:lang w:eastAsia="en-US"/>
        </w:rPr>
      </w:pPr>
    </w:p>
    <w:p w14:paraId="687AE9EF" w14:textId="2EA16E57" w:rsidR="005B15B7" w:rsidRPr="009306D5" w:rsidRDefault="005B15B7" w:rsidP="00DA4F5A">
      <w:pPr>
        <w:pStyle w:val="Question"/>
        <w:rPr>
          <w:noProof/>
          <w:sz w:val="16"/>
          <w:szCs w:val="16"/>
        </w:rPr>
      </w:pPr>
      <w:r w:rsidRPr="009306D5">
        <w:rPr>
          <w:noProof/>
          <w:sz w:val="16"/>
          <w:szCs w:val="16"/>
        </w:rPr>
        <w:t>Allikas:</w:t>
      </w:r>
      <w:r w:rsidRPr="009306D5">
        <w:rPr>
          <w:noProof/>
          <w:sz w:val="16"/>
          <w:szCs w:val="16"/>
        </w:rPr>
        <w:tab/>
        <w:t>Euroopa Komisjon (2019). Käibemaksu haldamist, kogumist ja kontrolli käsitlev uuring</w:t>
      </w:r>
    </w:p>
    <w:p w14:paraId="4E6D6EC2" w14:textId="77777777" w:rsidR="005B15B7" w:rsidRPr="009306D5" w:rsidRDefault="005B15B7" w:rsidP="000D13AA">
      <w:pPr>
        <w:pStyle w:val="Heading2"/>
        <w:numPr>
          <w:ilvl w:val="1"/>
          <w:numId w:val="35"/>
        </w:numPr>
        <w:rPr>
          <w:noProof/>
        </w:rPr>
      </w:pPr>
      <w:bookmarkStart w:id="74" w:name="_Toc62138821"/>
      <w:bookmarkStart w:id="75" w:name="_Toc65836444"/>
      <w:bookmarkStart w:id="76" w:name="_Toc66116385"/>
      <w:bookmarkStart w:id="77" w:name="_Toc66202054"/>
      <w:bookmarkStart w:id="78" w:name="_Toc67414231"/>
      <w:bookmarkStart w:id="79" w:name="_Toc67415158"/>
      <w:bookmarkStart w:id="80" w:name="_Toc67415323"/>
      <w:bookmarkStart w:id="81" w:name="_Toc67415603"/>
      <w:bookmarkStart w:id="82" w:name="_Toc67415881"/>
      <w:bookmarkStart w:id="83" w:name="_Toc69994924"/>
      <w:bookmarkStart w:id="84" w:name="_Toc82790275"/>
      <w:bookmarkStart w:id="85" w:name="_Toc82792844"/>
      <w:bookmarkStart w:id="86" w:name="_Toc90291239"/>
      <w:bookmarkStart w:id="87" w:name="_Toc95812953"/>
      <w:bookmarkEnd w:id="71"/>
      <w:r w:rsidRPr="009306D5">
        <w:rPr>
          <w:noProof/>
        </w:rPr>
        <w:t>Käibemaksulõhe mõju omavahenditele</w:t>
      </w:r>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573EE8C2" w14:textId="43386DA5" w:rsidR="005B15B7" w:rsidRPr="009306D5" w:rsidRDefault="005B15B7" w:rsidP="005B15B7">
      <w:pPr>
        <w:rPr>
          <w:rFonts w:cs="Times New Roman"/>
          <w:noProof/>
          <w:sz w:val="20"/>
        </w:rPr>
      </w:pPr>
      <w:r w:rsidRPr="009306D5">
        <w:rPr>
          <w:noProof/>
          <w:sz w:val="20"/>
        </w:rPr>
        <w:t>Liidu eelarve käibemaksupõhiseid omavahendeid kogutakse iga liikmesriigi käibemaksubaasilt. Esmalt ühtlustatakse käibemaksubaasid ELi eeskirjade kohaselt enne tasumisele kuuluvate käibemaksupõhiste omavahendite arvutamist</w:t>
      </w:r>
      <w:r w:rsidRPr="009306D5">
        <w:rPr>
          <w:rStyle w:val="FootnoteReference"/>
          <w:rFonts w:cs="Times New Roman"/>
          <w:noProof/>
          <w:sz w:val="20"/>
        </w:rPr>
        <w:footnoteReference w:id="10"/>
      </w:r>
      <w:r w:rsidRPr="009306D5">
        <w:rPr>
          <w:noProof/>
          <w:sz w:val="20"/>
        </w:rPr>
        <w:t>. Seejärel kohaldatakse sama protsendimäära iga liikmesriigi ühtlustatud maksubaasi suhtes; ülempiir on siiski 50 % liikmesriigi kogurahvatulust</w:t>
      </w:r>
      <w:r w:rsidRPr="009306D5">
        <w:rPr>
          <w:rStyle w:val="FootnoteReference"/>
          <w:rFonts w:cs="Times New Roman"/>
          <w:noProof/>
          <w:sz w:val="20"/>
        </w:rPr>
        <w:footnoteReference w:id="11"/>
      </w:r>
      <w:r w:rsidRPr="009306D5">
        <w:rPr>
          <w:noProof/>
          <w:sz w:val="20"/>
        </w:rPr>
        <w:t>.</w:t>
      </w:r>
    </w:p>
    <w:p w14:paraId="237443FA" w14:textId="4DDA0CCB" w:rsidR="005B15B7" w:rsidRPr="009306D5" w:rsidRDefault="005B15B7" w:rsidP="005B15B7">
      <w:pPr>
        <w:rPr>
          <w:rFonts w:cs="Times New Roman"/>
          <w:noProof/>
          <w:sz w:val="20"/>
        </w:rPr>
      </w:pPr>
      <w:r w:rsidRPr="009306D5">
        <w:rPr>
          <w:noProof/>
          <w:sz w:val="20"/>
        </w:rPr>
        <w:t>Liikmesriikide käibemaksuhalduse tulemuslikkus mõjutab otseselt ELi tulusid. Kuna ühtlustatud maksubaasi kindlaksmääramiseks kasutatakse iga liikmesriigi kogutud neto-käibemaksutulu, mõjutab käibemaksulõhe nii liikmesriikide tulu kui ka ELi käibemaksupõhiste omavahendite summasid. Õiguslikust seisukohast on Euroopa Kohus osutanud selgele seosele liikmesriikide käibemaksu kogumise ja vastavate vahendite kättesaadavuse vahel ELi eelarves</w:t>
      </w:r>
      <w:r w:rsidRPr="009306D5">
        <w:rPr>
          <w:rStyle w:val="FootnoteReference"/>
          <w:rFonts w:cs="Times New Roman"/>
          <w:noProof/>
          <w:sz w:val="20"/>
        </w:rPr>
        <w:footnoteReference w:id="12"/>
      </w:r>
      <w:r w:rsidRPr="009306D5">
        <w:rPr>
          <w:noProof/>
          <w:sz w:val="20"/>
        </w:rPr>
        <w:t>.</w:t>
      </w:r>
    </w:p>
    <w:p w14:paraId="3E609E12" w14:textId="7739B15D" w:rsidR="005B15B7" w:rsidRPr="009306D5" w:rsidRDefault="005B15B7" w:rsidP="005B15B7">
      <w:pPr>
        <w:rPr>
          <w:rFonts w:cs="Times New Roman"/>
          <w:noProof/>
          <w:sz w:val="20"/>
        </w:rPr>
      </w:pPr>
      <w:r w:rsidRPr="009306D5">
        <w:rPr>
          <w:noProof/>
          <w:sz w:val="20"/>
        </w:rPr>
        <w:t>Käibemaksupõhiste osamaksete osakaal on aja jooksul vähenenud ja käibemaksupõhiste omavahendite mis tahes vähenemist tuleb kompenseerida iga liikmesriigi poolt makstavate kogurahvatulul põhinevate osamaksete</w:t>
      </w:r>
      <w:r w:rsidRPr="009306D5">
        <w:rPr>
          <w:rStyle w:val="FootnoteReference"/>
          <w:rFonts w:cs="Times New Roman"/>
          <w:noProof/>
          <w:sz w:val="20"/>
        </w:rPr>
        <w:footnoteReference w:id="13"/>
      </w:r>
      <w:r w:rsidRPr="009306D5">
        <w:rPr>
          <w:noProof/>
          <w:sz w:val="20"/>
        </w:rPr>
        <w:t xml:space="preserve"> vastava suurendamisega.</w:t>
      </w:r>
    </w:p>
    <w:p w14:paraId="1B9CE09F" w14:textId="77777777" w:rsidR="005B15B7" w:rsidRPr="009306D5" w:rsidRDefault="005B15B7" w:rsidP="005B15B7">
      <w:pPr>
        <w:rPr>
          <w:rFonts w:cs="Times New Roman"/>
          <w:noProof/>
          <w:sz w:val="20"/>
        </w:rPr>
      </w:pPr>
      <w:r w:rsidRPr="009306D5">
        <w:rPr>
          <w:noProof/>
          <w:sz w:val="20"/>
        </w:rPr>
        <w:t>Käibemaksulõhe näitajaid liikmesriikides võib vaadelda erinevate nurkade alt, nagu lõhe protsent või selle suurus absoluutväärtuses, mis kõik annavad tulude alalaekumisest samasuguse üldpildi.</w:t>
      </w:r>
    </w:p>
    <w:p w14:paraId="6C62038F" w14:textId="6E8FD37E" w:rsidR="005B15B7" w:rsidRPr="009306D5" w:rsidRDefault="005B15B7" w:rsidP="00FE0EC3">
      <w:pPr>
        <w:pStyle w:val="Caption"/>
      </w:pPr>
      <w:bookmarkStart w:id="88" w:name="_Toc95816231"/>
      <w:r w:rsidRPr="009306D5">
        <w:t>Joonis </w:t>
      </w:r>
      <w:r w:rsidRPr="009306D5">
        <w:fldChar w:fldCharType="begin"/>
      </w:r>
      <w:r w:rsidRPr="009306D5">
        <w:instrText xml:space="preserve"> SEQ Figure \* ARABIC </w:instrText>
      </w:r>
      <w:r w:rsidRPr="009306D5">
        <w:fldChar w:fldCharType="separate"/>
      </w:r>
      <w:r w:rsidR="008A2E1E" w:rsidRPr="009306D5">
        <w:t>4</w:t>
      </w:r>
      <w:r w:rsidRPr="009306D5">
        <w:fldChar w:fldCharType="end"/>
      </w:r>
      <w:r w:rsidRPr="009306D5">
        <w:t xml:space="preserve">. </w:t>
      </w:r>
      <w:bookmarkStart w:id="89" w:name="_Toc62138773"/>
      <w:r w:rsidRPr="009306D5">
        <w:t>Käibemaksulõhe</w:t>
      </w:r>
      <w:bookmarkEnd w:id="89"/>
      <w:r w:rsidRPr="009306D5">
        <w:t xml:space="preserve"> keskmine väärtus ELis aruandeperioodil</w:t>
      </w:r>
      <w:bookmarkEnd w:id="88"/>
    </w:p>
    <w:p w14:paraId="072F6FF3" w14:textId="77777777" w:rsidR="005B15B7" w:rsidRPr="009306D5" w:rsidRDefault="005B15B7" w:rsidP="008A2E1E">
      <w:pPr>
        <w:pStyle w:val="Question"/>
        <w:rPr>
          <w:noProof/>
        </w:rPr>
      </w:pPr>
      <w:r w:rsidRPr="009306D5">
        <w:rPr>
          <w:b/>
          <w:bCs/>
          <w:noProof/>
        </w:rPr>
        <w:t>a.</w:t>
      </w:r>
      <w:r w:rsidRPr="009306D5">
        <w:rPr>
          <w:noProof/>
        </w:rPr>
        <w:t xml:space="preserve"> Käibemaksulõhe protsendina käibemaksu kogukohustusest</w:t>
      </w:r>
      <w:r w:rsidRPr="009306D5">
        <w:rPr>
          <w:noProof/>
        </w:rPr>
        <w:tab/>
      </w:r>
      <w:r w:rsidRPr="009306D5">
        <w:rPr>
          <w:b/>
          <w:bCs/>
          <w:noProof/>
        </w:rPr>
        <w:t>b.</w:t>
      </w:r>
      <w:r w:rsidRPr="009306D5">
        <w:rPr>
          <w:noProof/>
        </w:rPr>
        <w:t xml:space="preserve"> Käibemaksulõhe miljonites eurodes</w:t>
      </w:r>
    </w:p>
    <w:p w14:paraId="41E67F70" w14:textId="32631CA6" w:rsidR="005B15B7" w:rsidRPr="009306D5" w:rsidRDefault="00831E0D" w:rsidP="00EF59B5">
      <w:pPr>
        <w:pStyle w:val="FIgure"/>
        <w:rPr>
          <w:rFonts w:cs="Times New Roman"/>
          <w:sz w:val="20"/>
        </w:rPr>
      </w:pPr>
      <w:r w:rsidRPr="009306D5">
        <w:rPr>
          <w:lang w:val="en-GB"/>
        </w:rPr>
        <w:drawing>
          <wp:inline distT="0" distB="0" distL="0" distR="0" wp14:anchorId="54DE9D64" wp14:editId="7BC3E72B">
            <wp:extent cx="2847975" cy="20116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2011680"/>
                    </a:xfrm>
                    <a:prstGeom prst="rect">
                      <a:avLst/>
                    </a:prstGeom>
                    <a:noFill/>
                    <a:ln>
                      <a:noFill/>
                    </a:ln>
                  </pic:spPr>
                </pic:pic>
              </a:graphicData>
            </a:graphic>
          </wp:inline>
        </w:drawing>
      </w:r>
      <w:r w:rsidRPr="009306D5">
        <w:rPr>
          <w:sz w:val="20"/>
        </w:rPr>
        <w:t xml:space="preserve"> </w:t>
      </w:r>
      <w:r w:rsidRPr="009306D5">
        <w:rPr>
          <w:lang w:val="en-GB"/>
        </w:rPr>
        <w:drawing>
          <wp:inline distT="0" distB="0" distL="0" distR="0" wp14:anchorId="56D9CD2F" wp14:editId="6F21A082">
            <wp:extent cx="2865600" cy="201240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5600" cy="2012400"/>
                    </a:xfrm>
                    <a:prstGeom prst="rect">
                      <a:avLst/>
                    </a:prstGeom>
                    <a:noFill/>
                    <a:ln>
                      <a:noFill/>
                    </a:ln>
                  </pic:spPr>
                </pic:pic>
              </a:graphicData>
            </a:graphic>
          </wp:inline>
        </w:drawing>
      </w:r>
    </w:p>
    <w:p w14:paraId="42B3D470" w14:textId="77777777" w:rsidR="005B15B7" w:rsidRPr="009306D5" w:rsidRDefault="005B15B7" w:rsidP="005B15B7">
      <w:pPr>
        <w:pStyle w:val="Source"/>
        <w:rPr>
          <w:rFonts w:ascii="Times New Roman" w:eastAsiaTheme="minorHAnsi" w:hAnsi="Times New Roman"/>
          <w:i w:val="0"/>
          <w:noProof/>
        </w:rPr>
      </w:pPr>
      <w:r w:rsidRPr="009306D5">
        <w:rPr>
          <w:rFonts w:ascii="Times New Roman" w:hAnsi="Times New Roman"/>
          <w:noProof/>
        </w:rPr>
        <w:t>Allikas: Euroopa Komisjon (2021) – ELi käibemaksulõhe</w:t>
      </w:r>
    </w:p>
    <w:p w14:paraId="07E9A3FC" w14:textId="77777777" w:rsidR="005B15B7" w:rsidRPr="009306D5" w:rsidRDefault="005B15B7" w:rsidP="000D13AA">
      <w:pPr>
        <w:pStyle w:val="Heading2"/>
        <w:numPr>
          <w:ilvl w:val="1"/>
          <w:numId w:val="35"/>
        </w:numPr>
        <w:rPr>
          <w:noProof/>
        </w:rPr>
      </w:pPr>
      <w:bookmarkStart w:id="90" w:name="_Toc65836445"/>
      <w:bookmarkStart w:id="91" w:name="_Toc66116386"/>
      <w:bookmarkStart w:id="92" w:name="_Toc66202055"/>
      <w:bookmarkStart w:id="93" w:name="_Toc67414232"/>
      <w:bookmarkStart w:id="94" w:name="_Toc67415159"/>
      <w:bookmarkStart w:id="95" w:name="_Toc67415324"/>
      <w:bookmarkStart w:id="96" w:name="_Toc67415604"/>
      <w:bookmarkStart w:id="97" w:name="_Toc67415882"/>
      <w:bookmarkStart w:id="98" w:name="_Toc69994925"/>
      <w:bookmarkStart w:id="99" w:name="_Toc82790276"/>
      <w:bookmarkStart w:id="100" w:name="_Toc82792845"/>
      <w:bookmarkStart w:id="101" w:name="_Toc90291240"/>
      <w:bookmarkStart w:id="102" w:name="_Toc95812954"/>
      <w:r w:rsidRPr="009306D5">
        <w:rPr>
          <w:noProof/>
        </w:rPr>
        <w:t>Käibemaksu haldamine ja maksukuulekusega seotud koormus ettevõtjate jaoks</w:t>
      </w:r>
      <w:bookmarkEnd w:id="90"/>
      <w:bookmarkEnd w:id="91"/>
      <w:bookmarkEnd w:id="92"/>
      <w:bookmarkEnd w:id="93"/>
      <w:bookmarkEnd w:id="94"/>
      <w:bookmarkEnd w:id="95"/>
      <w:bookmarkEnd w:id="96"/>
      <w:bookmarkEnd w:id="97"/>
      <w:bookmarkEnd w:id="98"/>
      <w:bookmarkEnd w:id="99"/>
      <w:bookmarkEnd w:id="100"/>
      <w:bookmarkEnd w:id="101"/>
      <w:bookmarkEnd w:id="102"/>
    </w:p>
    <w:p w14:paraId="29449F1D" w14:textId="77777777" w:rsidR="005B15B7" w:rsidRPr="009306D5" w:rsidRDefault="005B15B7" w:rsidP="005B15B7">
      <w:pPr>
        <w:rPr>
          <w:rFonts w:cs="Times New Roman"/>
          <w:noProof/>
          <w:sz w:val="20"/>
        </w:rPr>
      </w:pPr>
      <w:r w:rsidRPr="009306D5">
        <w:rPr>
          <w:noProof/>
          <w:sz w:val="20"/>
        </w:rPr>
        <w:t>Kuigi käibemaksu põhimõtted on ühtlustatud, saab eeskirju kehtestada ja rakendada eri liikmesriikides erinevalt, nii et ettevõtjate koormus nõuete täitmisel on väga erinev.</w:t>
      </w:r>
    </w:p>
    <w:p w14:paraId="4898E796" w14:textId="7238A0B1" w:rsidR="005B15B7" w:rsidRPr="009306D5" w:rsidRDefault="005B15B7" w:rsidP="005B15B7">
      <w:pPr>
        <w:rPr>
          <w:rFonts w:cs="Times New Roman"/>
          <w:noProof/>
          <w:sz w:val="20"/>
        </w:rPr>
      </w:pPr>
      <w:r w:rsidRPr="009306D5">
        <w:rPr>
          <w:noProof/>
          <w:sz w:val="20"/>
        </w:rPr>
        <w:t>Maksuhaldurite töö tõhusus ja tulemuslikkus mõjutavad nii maksuhalduse kulusid valitsuste jaoks kui ka ettevõtjate maksukuulekusega seotud kulusid. Kuna käibemaks moodustab suure osa ettevõtjate halduskoormusest, on sama oluline parandada käibemaksu haldamise kvaliteeti. Käibemaksukohustuslaste halduskoormuse hindamine jääb aga käesolevas aruandes käsitletud küsimuste ringist välja.</w:t>
      </w:r>
    </w:p>
    <w:p w14:paraId="2CF94D58" w14:textId="01799A4B" w:rsidR="005B15B7" w:rsidRPr="009306D5" w:rsidRDefault="005B15B7" w:rsidP="00FE0EC3">
      <w:pPr>
        <w:pStyle w:val="Recommendation"/>
      </w:pPr>
      <w:bookmarkStart w:id="103" w:name="_Toc95816189"/>
      <w:r w:rsidRPr="009306D5">
        <w:t xml:space="preserve">Soovitus </w:t>
      </w:r>
      <w:r w:rsidRPr="009306D5">
        <w:fldChar w:fldCharType="begin"/>
      </w:r>
      <w:r w:rsidRPr="009306D5">
        <w:instrText>SEQ Recommendation \* ARABIC</w:instrText>
      </w:r>
      <w:r w:rsidRPr="009306D5">
        <w:fldChar w:fldCharType="separate"/>
      </w:r>
      <w:bookmarkStart w:id="104" w:name="_Toc65778286"/>
      <w:bookmarkStart w:id="105" w:name="_Toc66116339"/>
      <w:r w:rsidR="008A2E1E" w:rsidRPr="009306D5">
        <w:t>1</w:t>
      </w:r>
      <w:r w:rsidRPr="009306D5">
        <w:fldChar w:fldCharType="end"/>
      </w:r>
      <w:r w:rsidRPr="009306D5">
        <w:t xml:space="preserve">. </w:t>
      </w:r>
      <w:bookmarkStart w:id="106" w:name="_Toc65673315"/>
      <w:r w:rsidRPr="009306D5">
        <w:t>Arvutada siseriiklik käibemaksulõhe ja selle komponendid (varifirmade ühendusesisesed pettused, e-kaubandus jne) ja neid analüüsida</w:t>
      </w:r>
      <w:bookmarkEnd w:id="106"/>
      <w:bookmarkEnd w:id="104"/>
      <w:bookmarkEnd w:id="105"/>
      <w:r w:rsidRPr="009306D5">
        <w:t>.</w:t>
      </w:r>
      <w:bookmarkEnd w:id="103"/>
    </w:p>
    <w:p w14:paraId="7318F95D" w14:textId="77777777" w:rsidR="005B15B7" w:rsidRPr="009306D5" w:rsidRDefault="005B15B7" w:rsidP="000D13AA">
      <w:pPr>
        <w:pStyle w:val="Heading1"/>
        <w:numPr>
          <w:ilvl w:val="0"/>
          <w:numId w:val="35"/>
        </w:numPr>
        <w:rPr>
          <w:noProof/>
        </w:rPr>
      </w:pPr>
      <w:bookmarkStart w:id="107" w:name="_Toc69994926"/>
      <w:bookmarkStart w:id="108" w:name="_Toc62138822"/>
      <w:bookmarkStart w:id="109" w:name="_Toc65836446"/>
      <w:bookmarkStart w:id="110" w:name="_Toc66116387"/>
      <w:bookmarkStart w:id="111" w:name="_Toc66202056"/>
      <w:bookmarkStart w:id="112" w:name="_Toc67414233"/>
      <w:bookmarkStart w:id="113" w:name="_Toc67415160"/>
      <w:bookmarkStart w:id="114" w:name="_Toc67415325"/>
      <w:bookmarkStart w:id="115" w:name="_Toc67415605"/>
      <w:bookmarkStart w:id="116" w:name="_Toc67415883"/>
      <w:bookmarkStart w:id="117" w:name="_Toc82790277"/>
      <w:bookmarkStart w:id="118" w:name="_Toc82792846"/>
      <w:bookmarkStart w:id="119" w:name="_Toc90291241"/>
      <w:bookmarkStart w:id="120" w:name="_Toc95812955"/>
      <w:r w:rsidRPr="009306D5">
        <w:rPr>
          <w:noProof/>
        </w:rPr>
        <w:t>Käibemaksukohustuslasena registreerimine ja riskianalüüs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023612B" w14:textId="5D3A18EE" w:rsidR="005B15B7" w:rsidRPr="009306D5" w:rsidRDefault="005B15B7" w:rsidP="005B15B7">
      <w:pPr>
        <w:rPr>
          <w:rFonts w:cs="Times New Roman"/>
          <w:noProof/>
          <w:sz w:val="20"/>
        </w:rPr>
      </w:pPr>
      <w:r w:rsidRPr="009306D5">
        <w:rPr>
          <w:noProof/>
          <w:sz w:val="20"/>
        </w:rPr>
        <w:t>Maksukohustuslaste (ettevõtjad, üksikisikud ja muud käibemaksukohustuslasena registreeritud üksused) registreerimine ja registreerimisnumber on käibemaksu haldamisel oluline esimene samm, mis tugevdab vajalikke haldusprotsesse, kui teave registreerimisandmebaasis on täielik, täpne ja ajakohane. Registreerimisel kantakse käibemaksukohustuslased riiklikesse käibemaksuandmebaasidesse.</w:t>
      </w:r>
    </w:p>
    <w:p w14:paraId="0853762E" w14:textId="77777777" w:rsidR="005B15B7" w:rsidRPr="009306D5" w:rsidRDefault="005B15B7" w:rsidP="005B15B7">
      <w:pPr>
        <w:rPr>
          <w:rFonts w:cs="Times New Roman"/>
          <w:noProof/>
          <w:sz w:val="20"/>
        </w:rPr>
      </w:pPr>
      <w:r w:rsidRPr="009306D5">
        <w:rPr>
          <w:noProof/>
          <w:sz w:val="20"/>
        </w:rPr>
        <w:t>Eelmises aruandes soovitas komisjon liikmesriikidel:</w:t>
      </w:r>
    </w:p>
    <w:p w14:paraId="04E98819" w14:textId="77777777" w:rsidR="005B15B7" w:rsidRPr="009306D5" w:rsidRDefault="005B15B7" w:rsidP="000D13AA">
      <w:pPr>
        <w:pStyle w:val="ListParagraph"/>
        <w:numPr>
          <w:ilvl w:val="0"/>
          <w:numId w:val="21"/>
        </w:numPr>
        <w:rPr>
          <w:noProof/>
          <w:sz w:val="20"/>
        </w:rPr>
      </w:pPr>
      <w:r w:rsidRPr="009306D5">
        <w:rPr>
          <w:noProof/>
          <w:sz w:val="20"/>
        </w:rPr>
        <w:t>investeerida rohkem maksumaksjate, eriti välismaalastest maksumaksjate aitamisse nende käibemaksukohustuslasena registreerimise kohustuste täitmisel (4. soovitus);</w:t>
      </w:r>
    </w:p>
    <w:p w14:paraId="0E16E234" w14:textId="77777777" w:rsidR="005B15B7" w:rsidRPr="009306D5" w:rsidRDefault="005B15B7" w:rsidP="000D13AA">
      <w:pPr>
        <w:pStyle w:val="ListParagraph"/>
        <w:numPr>
          <w:ilvl w:val="0"/>
          <w:numId w:val="21"/>
        </w:numPr>
        <w:rPr>
          <w:noProof/>
          <w:sz w:val="20"/>
        </w:rPr>
      </w:pPr>
      <w:r w:rsidRPr="009306D5">
        <w:rPr>
          <w:noProof/>
          <w:sz w:val="20"/>
        </w:rPr>
        <w:t>läbi mõelda käibemaksukohustuslasena registreerimise numbrite ja VIESis registreerimise numbrite andmise (5. soovitus);</w:t>
      </w:r>
    </w:p>
    <w:p w14:paraId="1EF0A46F" w14:textId="77777777" w:rsidR="005B15B7" w:rsidRPr="009306D5" w:rsidRDefault="005B15B7" w:rsidP="000D13AA">
      <w:pPr>
        <w:pStyle w:val="ListParagraph"/>
        <w:numPr>
          <w:ilvl w:val="0"/>
          <w:numId w:val="21"/>
        </w:numPr>
        <w:rPr>
          <w:noProof/>
          <w:sz w:val="20"/>
        </w:rPr>
      </w:pPr>
      <w:r w:rsidRPr="009306D5">
        <w:rPr>
          <w:noProof/>
          <w:sz w:val="20"/>
        </w:rPr>
        <w:t>kontrollida käibemaksukohustuslasena ja VIESis registreerimise andmeid süsteemsemalt (6. soovitus).</w:t>
      </w:r>
    </w:p>
    <w:p w14:paraId="10E0EB01" w14:textId="77777777" w:rsidR="005B15B7" w:rsidRPr="009306D5" w:rsidRDefault="005B15B7" w:rsidP="000D13AA">
      <w:pPr>
        <w:pStyle w:val="Heading2"/>
        <w:numPr>
          <w:ilvl w:val="1"/>
          <w:numId w:val="33"/>
        </w:numPr>
        <w:rPr>
          <w:noProof/>
        </w:rPr>
      </w:pPr>
      <w:bookmarkStart w:id="121" w:name="_Toc62138824"/>
      <w:bookmarkStart w:id="122" w:name="_Toc65836448"/>
      <w:bookmarkStart w:id="123" w:name="_Toc66116389"/>
      <w:bookmarkStart w:id="124" w:name="_Toc66202058"/>
      <w:bookmarkStart w:id="125" w:name="_Toc67414235"/>
      <w:bookmarkStart w:id="126" w:name="_Toc67415161"/>
      <w:bookmarkStart w:id="127" w:name="_Toc67415326"/>
      <w:bookmarkStart w:id="128" w:name="_Toc67415606"/>
      <w:bookmarkStart w:id="129" w:name="_Toc67415884"/>
      <w:bookmarkStart w:id="130" w:name="_Toc69994927"/>
      <w:bookmarkStart w:id="131" w:name="_Toc82790278"/>
      <w:bookmarkStart w:id="132" w:name="_Toc82792847"/>
      <w:bookmarkStart w:id="133" w:name="_Toc90291242"/>
      <w:bookmarkStart w:id="134" w:name="_Toc95812956"/>
      <w:r w:rsidRPr="009306D5">
        <w:rPr>
          <w:noProof/>
        </w:rPr>
        <w:t>Maksumaksjate aitamine tõhusama kommunikatsiooniga</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1FA42D14" w14:textId="2D0FAE5F" w:rsidR="005B15B7" w:rsidRPr="009306D5" w:rsidRDefault="005B15B7" w:rsidP="005B15B7">
      <w:pPr>
        <w:rPr>
          <w:rFonts w:cs="Times New Roman"/>
          <w:noProof/>
          <w:sz w:val="20"/>
        </w:rPr>
      </w:pPr>
      <w:r w:rsidRPr="009306D5">
        <w:rPr>
          <w:noProof/>
          <w:sz w:val="20"/>
        </w:rPr>
        <w:t>Kuna eelmises aruandes soovitati liikmesriikidel investeerida rohkem maksumaksjate aitamisse nende käibemaksukohustuslasena registreerimise kohustuste täitmisel, lisati selles küsimuses tehtud edusammude hindamiseks järelküsimus. Liikmesriigid märkisid oma vastustes, et veebipõhise registreerimise võimalus on suures osas kättesaadav ning et maksumaksjaid teavitatakse veebipõhisest registreerimisest ja sellega seotud kohustustest.</w:t>
      </w:r>
    </w:p>
    <w:p w14:paraId="78621614" w14:textId="0A404EDF" w:rsidR="005B15B7" w:rsidRPr="009306D5" w:rsidRDefault="005B15B7" w:rsidP="00FE0EC3">
      <w:pPr>
        <w:pStyle w:val="Caption"/>
        <w:rPr>
          <w:rStyle w:val="Emphasis"/>
          <w:color w:val="0E101A"/>
        </w:rPr>
      </w:pPr>
      <w:bookmarkStart w:id="135" w:name="_Toc62138775"/>
      <w:bookmarkStart w:id="136" w:name="_Toc95816232"/>
      <w:r w:rsidRPr="009306D5">
        <w:t>Joonis </w:t>
      </w:r>
      <w:r w:rsidRPr="009306D5">
        <w:fldChar w:fldCharType="begin"/>
      </w:r>
      <w:r w:rsidRPr="009306D5">
        <w:instrText xml:space="preserve"> SEQ Figure \* ARABIC </w:instrText>
      </w:r>
      <w:r w:rsidRPr="009306D5">
        <w:fldChar w:fldCharType="separate"/>
      </w:r>
      <w:r w:rsidR="008A2E1E" w:rsidRPr="009306D5">
        <w:t>5</w:t>
      </w:r>
      <w:r w:rsidRPr="009306D5">
        <w:fldChar w:fldCharType="end"/>
      </w:r>
      <w:r w:rsidRPr="009306D5">
        <w:t xml:space="preserve">. </w:t>
      </w:r>
      <w:r w:rsidRPr="009306D5">
        <w:rPr>
          <w:rStyle w:val="Emphasis"/>
          <w:color w:val="0E101A"/>
        </w:rPr>
        <w:t>Veebipõhine teave käibemaksukohustuslasena registreerimise kohustuste kohta</w:t>
      </w:r>
      <w:bookmarkEnd w:id="135"/>
      <w:bookmarkEnd w:id="136"/>
    </w:p>
    <w:p w14:paraId="65EB188D" w14:textId="2AE6E25E" w:rsidR="008F09B2" w:rsidRPr="009306D5" w:rsidRDefault="008F09B2" w:rsidP="00AF428F">
      <w:pPr>
        <w:pStyle w:val="Question"/>
        <w:rPr>
          <w:noProof/>
        </w:rPr>
      </w:pPr>
      <w:r w:rsidRPr="009306D5">
        <w:rPr>
          <w:noProof/>
        </w:rPr>
        <w:t>Küsimus 3.3. „Kas maksuhaldur teavitab maksumaksjaid nende käibemaksukohustuslasena registreerimise kohustustest ja registreerimismenetlusest veebipõhiselt (näiteks veebilehe, rakenduse vms kaudu)?“</w:t>
      </w:r>
    </w:p>
    <w:p w14:paraId="28321FF8" w14:textId="6EFA03E7" w:rsidR="005B15B7" w:rsidRPr="009306D5" w:rsidRDefault="00D30A80" w:rsidP="00D21000">
      <w:pPr>
        <w:pStyle w:val="FIgure"/>
        <w:rPr>
          <w:rFonts w:cs="Times New Roman"/>
          <w:i/>
          <w:sz w:val="18"/>
          <w:szCs w:val="18"/>
          <w:lang w:eastAsia="en-US"/>
        </w:rPr>
      </w:pPr>
      <w:r w:rsidRPr="009306D5">
        <w:rPr>
          <w:lang w:val="en-GB"/>
        </w:rPr>
        <w:drawing>
          <wp:inline distT="0" distB="0" distL="0" distR="0" wp14:anchorId="6424DB52" wp14:editId="4986E10E">
            <wp:extent cx="5760085" cy="1739265"/>
            <wp:effectExtent l="0" t="0" r="0" b="0"/>
            <wp:docPr id="4" name="Chart 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306D5">
        <w:rPr>
          <w:rFonts w:cs="Times New Roman"/>
          <w:i/>
          <w:sz w:val="18"/>
          <w:szCs w:val="18"/>
          <w:lang w:eastAsia="en-US"/>
        </w:rPr>
        <w:t xml:space="preserve"> </w:t>
      </w:r>
      <w:r w:rsidR="005B15B7" w:rsidRPr="009306D5">
        <w:rPr>
          <w:rFonts w:cs="Times New Roman"/>
          <w:i/>
          <w:sz w:val="18"/>
          <w:szCs w:val="18"/>
          <w:lang w:eastAsia="en-US"/>
        </w:rPr>
        <w:t>Allikas:</w:t>
      </w:r>
      <w:r w:rsidR="005B15B7" w:rsidRPr="009306D5">
        <w:rPr>
          <w:rFonts w:cs="Times New Roman"/>
          <w:i/>
          <w:sz w:val="18"/>
          <w:szCs w:val="18"/>
          <w:lang w:eastAsia="en-US"/>
        </w:rPr>
        <w:tab/>
        <w:t>Euroopa Komisjon (2019). Käibemaksu haldamist, kogumist ja kontrolli käsitlev uuring</w:t>
      </w:r>
    </w:p>
    <w:p w14:paraId="2601224B" w14:textId="3A1D546E" w:rsidR="005B15B7" w:rsidRPr="009306D5" w:rsidRDefault="005B15B7" w:rsidP="00FE0EC3">
      <w:pPr>
        <w:pStyle w:val="Caption"/>
      </w:pPr>
      <w:bookmarkStart w:id="137" w:name="_Toc95816233"/>
      <w:r w:rsidRPr="009306D5">
        <w:t>Joonis </w:t>
      </w:r>
      <w:r w:rsidRPr="009306D5">
        <w:fldChar w:fldCharType="begin"/>
      </w:r>
      <w:r w:rsidRPr="009306D5">
        <w:instrText xml:space="preserve"> SEQ Figure \* ARABIC </w:instrText>
      </w:r>
      <w:r w:rsidRPr="009306D5">
        <w:fldChar w:fldCharType="separate"/>
      </w:r>
      <w:r w:rsidR="008A2E1E" w:rsidRPr="009306D5">
        <w:t>6</w:t>
      </w:r>
      <w:r w:rsidRPr="009306D5">
        <w:fldChar w:fldCharType="end"/>
      </w:r>
      <w:r w:rsidRPr="009306D5">
        <w:t>. Veebipõhise registreerimise võimaluse kättesaadavus ELi liikmesriikides</w:t>
      </w:r>
      <w:bookmarkEnd w:id="137"/>
    </w:p>
    <w:p w14:paraId="49A8BF65" w14:textId="31EF78DC" w:rsidR="007C74C6" w:rsidRPr="009306D5" w:rsidRDefault="007C74C6" w:rsidP="00AF428F">
      <w:pPr>
        <w:pStyle w:val="Question"/>
        <w:rPr>
          <w:noProof/>
        </w:rPr>
      </w:pPr>
      <w:r w:rsidRPr="009306D5">
        <w:rPr>
          <w:noProof/>
        </w:rPr>
        <w:t>Küsimus 3.8. „Veebipõhine registreerimine ...“</w:t>
      </w:r>
    </w:p>
    <w:p w14:paraId="148D6FBD" w14:textId="1C78993A" w:rsidR="005B15B7" w:rsidRPr="009306D5" w:rsidRDefault="00F54C21" w:rsidP="00EF59B5">
      <w:pPr>
        <w:pStyle w:val="FIgure"/>
        <w:rPr>
          <w:sz w:val="20"/>
        </w:rPr>
      </w:pPr>
      <w:r w:rsidRPr="009306D5">
        <w:rPr>
          <w:lang w:val="en-GB"/>
        </w:rPr>
        <w:drawing>
          <wp:inline distT="0" distB="0" distL="0" distR="0" wp14:anchorId="599AFE6A" wp14:editId="2C36C889">
            <wp:extent cx="5760085" cy="1324610"/>
            <wp:effectExtent l="0" t="0" r="0" b="8890"/>
            <wp:docPr id="5" name="Chart 5">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E03AF" w:rsidRPr="009306D5">
        <w:t xml:space="preserve"> </w:t>
      </w:r>
    </w:p>
    <w:p w14:paraId="11046CFF"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71D6231D" w14:textId="59C71C01" w:rsidR="005B15B7" w:rsidRPr="009306D5" w:rsidRDefault="005B15B7" w:rsidP="00FE0EC3">
      <w:pPr>
        <w:pStyle w:val="Recommendation"/>
      </w:pPr>
      <w:bookmarkStart w:id="138" w:name="_Toc65673316"/>
      <w:bookmarkStart w:id="139" w:name="_Toc95816190"/>
      <w:r w:rsidRPr="009306D5">
        <w:t xml:space="preserve">Soovitus </w:t>
      </w:r>
      <w:r w:rsidRPr="009306D5">
        <w:fldChar w:fldCharType="begin"/>
      </w:r>
      <w:r w:rsidRPr="009306D5">
        <w:instrText>SEQ Recommendation \* ARABIC</w:instrText>
      </w:r>
      <w:r w:rsidRPr="009306D5">
        <w:fldChar w:fldCharType="separate"/>
      </w:r>
      <w:bookmarkStart w:id="140" w:name="_Toc65778287"/>
      <w:bookmarkStart w:id="141" w:name="_Toc66116340"/>
      <w:r w:rsidR="008A2E1E" w:rsidRPr="009306D5">
        <w:t>2</w:t>
      </w:r>
      <w:r w:rsidRPr="009306D5">
        <w:fldChar w:fldCharType="end"/>
      </w:r>
      <w:r w:rsidRPr="009306D5">
        <w:t>. Teavitada maksumaksjaid veebis nende käibemaksualastest kohustustest ja näha ette veebipõhine registreerimine.</w:t>
      </w:r>
      <w:bookmarkEnd w:id="138"/>
      <w:bookmarkEnd w:id="140"/>
      <w:bookmarkEnd w:id="141"/>
      <w:bookmarkEnd w:id="139"/>
    </w:p>
    <w:p w14:paraId="3F0DFD61" w14:textId="77777777" w:rsidR="005B15B7" w:rsidRPr="009306D5" w:rsidRDefault="005B15B7" w:rsidP="000D13AA">
      <w:pPr>
        <w:pStyle w:val="Heading2"/>
        <w:numPr>
          <w:ilvl w:val="1"/>
          <w:numId w:val="33"/>
        </w:numPr>
        <w:rPr>
          <w:noProof/>
        </w:rPr>
      </w:pPr>
      <w:bookmarkStart w:id="142" w:name="_Toc65836449"/>
      <w:bookmarkStart w:id="143" w:name="_Toc66116390"/>
      <w:bookmarkStart w:id="144" w:name="_Toc66202059"/>
      <w:bookmarkStart w:id="145" w:name="_Toc67414236"/>
      <w:bookmarkStart w:id="146" w:name="_Toc67415162"/>
      <w:bookmarkStart w:id="147" w:name="_Toc67415327"/>
      <w:bookmarkStart w:id="148" w:name="_Toc67415607"/>
      <w:bookmarkStart w:id="149" w:name="_Toc67415885"/>
      <w:bookmarkStart w:id="150" w:name="_Toc62138825"/>
      <w:bookmarkStart w:id="151" w:name="_Toc69994928"/>
      <w:bookmarkStart w:id="152" w:name="_Toc82790279"/>
      <w:bookmarkStart w:id="153" w:name="_Toc82792848"/>
      <w:bookmarkStart w:id="154" w:name="_Toc90291243"/>
      <w:bookmarkStart w:id="155" w:name="_Toc95812957"/>
      <w:r w:rsidRPr="009306D5">
        <w:rPr>
          <w:noProof/>
        </w:rPr>
        <w:t>Käibemaksukohustuslasena registreeritud maksumaksjate andmebaasi täielikkus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6BE572B" w14:textId="352BBD28" w:rsidR="005B15B7" w:rsidRPr="009306D5" w:rsidRDefault="005B15B7" w:rsidP="005B15B7">
      <w:pPr>
        <w:rPr>
          <w:rFonts w:cs="Times New Roman"/>
          <w:noProof/>
          <w:sz w:val="20"/>
        </w:rPr>
      </w:pPr>
      <w:r w:rsidRPr="009306D5">
        <w:rPr>
          <w:noProof/>
          <w:sz w:val="20"/>
        </w:rPr>
        <w:t>Tuleb leida tasakaal ühelt poolt majandustegevuse alustamist toetava käibemaksukohustuslasena registreerimise lihtsuse ja teiselt poolt käibemaksupettustevastase võitluse vahel. Majandustegevusega tegelemine on ELi liikmesriigis võimalik juba siis, kui ettevõtjal on olemas aktiivne käibemaksukohustuslasena registreerimise number, isegi kui tal ei ole vastavas riigis püsivat tegevuskohta. Taotlejate hoolikas hindamine registreerimise etapis on seega oluline samm võimalike pettusejuhtumite tuvastamisel.</w:t>
      </w:r>
    </w:p>
    <w:p w14:paraId="1F22D9CD" w14:textId="3226931D" w:rsidR="005B15B7" w:rsidRPr="009306D5" w:rsidRDefault="005B15B7" w:rsidP="005B15B7">
      <w:pPr>
        <w:rPr>
          <w:rFonts w:cs="Times New Roman"/>
          <w:noProof/>
          <w:sz w:val="20"/>
        </w:rPr>
      </w:pPr>
      <w:r w:rsidRPr="009306D5">
        <w:rPr>
          <w:noProof/>
          <w:sz w:val="20"/>
        </w:rPr>
        <w:t>Võitlus käibemaksupettustega võib teatavatel tingimustel nõuda käibemaksukohustuslasena registreerimise numbri taotluse tagasilükkamist. Registreerimismenetlus peaks sisaldama riskianalüüsi</w:t>
      </w:r>
      <w:r w:rsidRPr="009306D5">
        <w:rPr>
          <w:rStyle w:val="FootnoteReference"/>
          <w:rFonts w:cs="Times New Roman"/>
          <w:noProof/>
          <w:sz w:val="20"/>
        </w:rPr>
        <w:footnoteReference w:id="14"/>
      </w:r>
      <w:r w:rsidRPr="009306D5">
        <w:rPr>
          <w:noProof/>
          <w:sz w:val="20"/>
        </w:rPr>
        <w:t xml:space="preserve"> elementi, mis põhineb taotleja poolt registreerimise etapis esitatud teabel, mida võrreldakse kolmandatelt isikutelt saadud teabega ja mida vajaduse korral filtreeritakse pärast koos maksumaksjaga toimuvat selgitusprotsessi.</w:t>
      </w:r>
    </w:p>
    <w:p w14:paraId="170A4466" w14:textId="6A0473BB" w:rsidR="005B15B7" w:rsidRPr="009306D5" w:rsidRDefault="005B15B7" w:rsidP="005B15B7">
      <w:pPr>
        <w:rPr>
          <w:rFonts w:cs="Times New Roman"/>
          <w:noProof/>
          <w:sz w:val="20"/>
        </w:rPr>
      </w:pPr>
      <w:r w:rsidRPr="009306D5">
        <w:rPr>
          <w:noProof/>
          <w:sz w:val="20"/>
        </w:rPr>
        <w:t>Liikmesriigid peaksid tagama, et nende käibemaksuandmebaasides säilitatav teave on täielik, täpne ja et seda ajakohastatakse korrapäraselt. Selle saavutamiseks peaks neil olema registreerimiseks mitmekülgne IT-allsüsteem, mis on ühendatud maksuhalduri teiste IT-allsüsteemidega ja võimaldab neil peatada käibedeklaratsioonide vastuvõtmise, väljastada meeldetuletusi, anda hinnanguid ja võtta muid meetmeid ajutiselt mitteaktiivsete maksumaksjate suhtes. Neil peaks olema võimalik saada käibemaksukohustuslasena registreerimisega seotud haldusteavet ja korrapäraselt uurida, mil määral tagab VIESi andmebaas selle kehtivuse kindluse.</w:t>
      </w:r>
    </w:p>
    <w:p w14:paraId="7FEEB5FF" w14:textId="4C131056" w:rsidR="005B15B7" w:rsidRPr="009306D5" w:rsidRDefault="005B15B7" w:rsidP="005B15B7">
      <w:pPr>
        <w:rPr>
          <w:rFonts w:cs="Times New Roman"/>
          <w:noProof/>
          <w:sz w:val="20"/>
        </w:rPr>
      </w:pPr>
      <w:r w:rsidRPr="009306D5">
        <w:rPr>
          <w:noProof/>
          <w:sz w:val="20"/>
        </w:rPr>
        <w:t>Käibemaksukohustuslasena registreerimise andmebaaside usaldusväärsuse kindlakstegemiseks esitas komisjon küsimusi ka maksumaksjate arvu, käibemaksukohustuslasena registreerimise ja väikese ühe akna süsteemi (MOSS) kaudu registreerimise, tehtud registreerimiskontrollide ning eeldatavate käibemaksudeklaratsioonide ja käibem</w:t>
      </w:r>
      <w:r w:rsidR="0032421A" w:rsidRPr="009306D5">
        <w:rPr>
          <w:noProof/>
          <w:sz w:val="20"/>
        </w:rPr>
        <w:t>a</w:t>
      </w:r>
      <w:r w:rsidRPr="009306D5">
        <w:rPr>
          <w:noProof/>
          <w:sz w:val="20"/>
        </w:rPr>
        <w:t>ksutulude kohta</w:t>
      </w:r>
      <w:r w:rsidRPr="009306D5">
        <w:rPr>
          <w:rStyle w:val="FootnoteReference"/>
          <w:rFonts w:cs="Times New Roman"/>
          <w:bCs/>
          <w:noProof/>
          <w:sz w:val="20"/>
        </w:rPr>
        <w:footnoteReference w:id="15"/>
      </w:r>
      <w:r w:rsidRPr="009306D5">
        <w:rPr>
          <w:noProof/>
          <w:sz w:val="20"/>
        </w:rPr>
        <w:t>.</w:t>
      </w:r>
    </w:p>
    <w:p w14:paraId="03C8F9A4" w14:textId="77777777" w:rsidR="005B15B7" w:rsidRPr="009306D5" w:rsidRDefault="005B15B7" w:rsidP="005B15B7">
      <w:pPr>
        <w:rPr>
          <w:rFonts w:cs="Times New Roman"/>
          <w:noProof/>
          <w:sz w:val="20"/>
        </w:rPr>
      </w:pPr>
      <w:r w:rsidRPr="009306D5">
        <w:rPr>
          <w:noProof/>
          <w:sz w:val="20"/>
        </w:rPr>
        <w:t>Eelmises aruandes tunnistati, et liikmesriikides on kehtestatud registreerimiskord ja et veebipõhine registreerimine muutub üha populaarsemaks. Lisaks on mõnes liikmesriigis olemas ühtse kontaktpunkti kaudu registreerimise võimalus ning käibemaksukohustuslasena registreerimise protsessi on kaasatud mitmed asutused, näiteks kaubanduskojad. Liikmesriikidelt küsiti maksuhaldurite ja ettevõtjate registreerimise eest vastutavate mitmesuguste asutuste vahelise automaatse teabevahetuse kohta.</w:t>
      </w:r>
    </w:p>
    <w:p w14:paraId="501DC1BF" w14:textId="47D8C2B9" w:rsidR="005B15B7" w:rsidRPr="009306D5" w:rsidRDefault="005B15B7" w:rsidP="00FE0EC3">
      <w:pPr>
        <w:pStyle w:val="Caption"/>
      </w:pPr>
      <w:bookmarkStart w:id="156" w:name="_Toc62138776"/>
      <w:bookmarkStart w:id="157" w:name="_Toc95816234"/>
      <w:r w:rsidRPr="009306D5">
        <w:t>Joonis </w:t>
      </w:r>
      <w:r w:rsidRPr="009306D5">
        <w:fldChar w:fldCharType="begin"/>
      </w:r>
      <w:r w:rsidRPr="009306D5">
        <w:instrText xml:space="preserve"> SEQ Figure \* ARABIC </w:instrText>
      </w:r>
      <w:r w:rsidRPr="009306D5">
        <w:fldChar w:fldCharType="separate"/>
      </w:r>
      <w:r w:rsidR="008A2E1E" w:rsidRPr="009306D5">
        <w:t>7</w:t>
      </w:r>
      <w:r w:rsidRPr="009306D5">
        <w:fldChar w:fldCharType="end"/>
      </w:r>
      <w:r w:rsidRPr="009306D5">
        <w:t>. Automaatne teabevahetus maksuhaldurite ja liikmesriikide muude registreerimise eest vastutavate asutuste vahel</w:t>
      </w:r>
      <w:bookmarkEnd w:id="156"/>
      <w:bookmarkEnd w:id="157"/>
    </w:p>
    <w:p w14:paraId="7FC2DBF0" w14:textId="62624DFC" w:rsidR="00C95C1D" w:rsidRPr="009306D5" w:rsidRDefault="00C95C1D" w:rsidP="00FE0EC3">
      <w:pPr>
        <w:pStyle w:val="Question"/>
        <w:rPr>
          <w:noProof/>
        </w:rPr>
      </w:pPr>
      <w:r w:rsidRPr="009306D5">
        <w:rPr>
          <w:noProof/>
        </w:rPr>
        <w:t>Küsimus 3.2. „3.2. Kas maksuhalduri ja [ettevõtjate registreerimise eest vastutavate] asutuste [näiteks kaubanduskoda] vahel toimub automaatne teabevahetus?“</w:t>
      </w:r>
    </w:p>
    <w:p w14:paraId="652306C8" w14:textId="080170A8" w:rsidR="00D21000" w:rsidRPr="009306D5" w:rsidRDefault="0060442A" w:rsidP="00D21000">
      <w:pPr>
        <w:pStyle w:val="FIgure"/>
        <w:rPr>
          <w:lang w:eastAsia="en-US"/>
        </w:rPr>
      </w:pPr>
      <w:r w:rsidRPr="009306D5">
        <w:rPr>
          <w:lang w:val="en-GB"/>
        </w:rPr>
        <w:drawing>
          <wp:inline distT="0" distB="0" distL="0" distR="0" wp14:anchorId="3A4B857E" wp14:editId="57A37DC3">
            <wp:extent cx="5760085" cy="2421890"/>
            <wp:effectExtent l="0" t="0" r="0" b="0"/>
            <wp:docPr id="6" name="Chart 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5CF98F" w14:textId="235A956C" w:rsidR="005B15B7" w:rsidRPr="009306D5" w:rsidRDefault="00D21000" w:rsidP="00D21000">
      <w:pPr>
        <w:pStyle w:val="FIgure"/>
        <w:rPr>
          <w:rFonts w:cs="Times New Roman"/>
          <w:i/>
          <w:sz w:val="16"/>
          <w:szCs w:val="16"/>
          <w:lang w:eastAsia="en-US"/>
        </w:rPr>
      </w:pPr>
      <w:r w:rsidRPr="009306D5">
        <w:rPr>
          <w:rFonts w:cs="Times New Roman"/>
          <w:i/>
          <w:sz w:val="16"/>
          <w:szCs w:val="16"/>
          <w:lang w:eastAsia="en-US"/>
        </w:rPr>
        <w:t>A</w:t>
      </w:r>
      <w:r w:rsidR="005B15B7" w:rsidRPr="009306D5">
        <w:rPr>
          <w:rFonts w:cs="Times New Roman"/>
          <w:i/>
          <w:sz w:val="16"/>
          <w:szCs w:val="16"/>
          <w:lang w:eastAsia="en-US"/>
        </w:rPr>
        <w:t>llikas:</w:t>
      </w:r>
      <w:r w:rsidR="005B15B7" w:rsidRPr="009306D5">
        <w:rPr>
          <w:rFonts w:cs="Times New Roman"/>
          <w:i/>
          <w:sz w:val="16"/>
          <w:szCs w:val="16"/>
          <w:lang w:eastAsia="en-US"/>
        </w:rPr>
        <w:tab/>
        <w:t>Euroopa Komisjon (2019). Käibemaksu haldamist, kogumist ja kontrolli käsitlev uuring</w:t>
      </w:r>
    </w:p>
    <w:p w14:paraId="43DEA749" w14:textId="77777777" w:rsidR="005B15B7" w:rsidRPr="009306D5" w:rsidRDefault="005B15B7" w:rsidP="005B15B7">
      <w:pPr>
        <w:rPr>
          <w:rFonts w:cs="Times New Roman"/>
          <w:noProof/>
          <w:sz w:val="20"/>
        </w:rPr>
      </w:pPr>
      <w:r w:rsidRPr="009306D5">
        <w:rPr>
          <w:noProof/>
          <w:sz w:val="20"/>
        </w:rPr>
        <w:t>Käibemaksuandmebaaside täielikkuse ja täpsuse tagamiseks on oluline asjaomaste andmebaaside suurem integreerimine ja reaalne teabevahetus liikmesriigi asjaomaste asutuste vahel.</w:t>
      </w:r>
    </w:p>
    <w:p w14:paraId="445E75C0" w14:textId="4BD72011" w:rsidR="00B1461C" w:rsidRPr="009306D5" w:rsidRDefault="005B15B7" w:rsidP="00FE0EC3">
      <w:pPr>
        <w:pStyle w:val="Recommendation"/>
        <w:rPr>
          <w:iCs/>
        </w:rPr>
      </w:pPr>
      <w:bookmarkStart w:id="158" w:name="_Toc95816191"/>
      <w:r w:rsidRPr="009306D5">
        <w:t xml:space="preserve">Soovitus </w:t>
      </w:r>
      <w:r w:rsidRPr="009306D5">
        <w:fldChar w:fldCharType="begin"/>
      </w:r>
      <w:r w:rsidRPr="009306D5">
        <w:instrText>SEQ Recommendation \* ARABIC</w:instrText>
      </w:r>
      <w:r w:rsidRPr="009306D5">
        <w:fldChar w:fldCharType="separate"/>
      </w:r>
      <w:bookmarkStart w:id="159" w:name="_Toc65778288"/>
      <w:bookmarkStart w:id="160" w:name="_Toc66116341"/>
      <w:r w:rsidR="008A2E1E" w:rsidRPr="009306D5">
        <w:t>3</w:t>
      </w:r>
      <w:r w:rsidRPr="009306D5">
        <w:fldChar w:fldCharType="end"/>
      </w:r>
      <w:r w:rsidRPr="009306D5">
        <w:t xml:space="preserve">. </w:t>
      </w:r>
      <w:bookmarkStart w:id="161" w:name="_Toc65673317"/>
      <w:r w:rsidRPr="009306D5">
        <w:t>Parandada automaatset teabevahetust maksuhaldurite ja muude riiklike asutuste vahel</w:t>
      </w:r>
      <w:bookmarkEnd w:id="161"/>
      <w:bookmarkEnd w:id="159"/>
      <w:bookmarkEnd w:id="160"/>
      <w:r w:rsidRPr="009306D5">
        <w:t>.</w:t>
      </w:r>
      <w:bookmarkEnd w:id="158"/>
    </w:p>
    <w:p w14:paraId="3CDD49DC" w14:textId="77777777" w:rsidR="005B15B7" w:rsidRPr="009306D5" w:rsidRDefault="005B15B7" w:rsidP="005B15B7">
      <w:pPr>
        <w:spacing w:after="0"/>
        <w:rPr>
          <w:rFonts w:cs="Times New Roman"/>
          <w:noProof/>
          <w:sz w:val="20"/>
        </w:rPr>
      </w:pPr>
      <w:bookmarkStart w:id="162" w:name="_Toc62138777"/>
      <w:r w:rsidRPr="009306D5">
        <w:rPr>
          <w:noProof/>
          <w:sz w:val="20"/>
        </w:rPr>
        <w:t>Liikmesriikide registreerimisandmebaasid peaksid sisaldama miinimumteavet maksumaksja kohta, et täita täielikkuse ja täpsuse nõuet. Enamik asjakohastest üksikasjadest maksumaksja kohta peaks olema käibemaksuandmebaasis alates registreerimise hetkest.</w:t>
      </w:r>
    </w:p>
    <w:p w14:paraId="106749A7" w14:textId="33AD429D" w:rsidR="005B15B7" w:rsidRPr="009306D5" w:rsidRDefault="005B15B7" w:rsidP="00FE0EC3">
      <w:pPr>
        <w:pStyle w:val="Caption"/>
      </w:pPr>
      <w:bookmarkStart w:id="163" w:name="_Toc95816235"/>
      <w:r w:rsidRPr="009306D5">
        <w:t>Joonis </w:t>
      </w:r>
      <w:r w:rsidRPr="009306D5">
        <w:fldChar w:fldCharType="begin"/>
      </w:r>
      <w:r w:rsidRPr="009306D5">
        <w:instrText xml:space="preserve"> SEQ Figure \* ARABIC </w:instrText>
      </w:r>
      <w:r w:rsidRPr="009306D5">
        <w:fldChar w:fldCharType="separate"/>
      </w:r>
      <w:r w:rsidR="008A2E1E" w:rsidRPr="009306D5">
        <w:t>8</w:t>
      </w:r>
      <w:r w:rsidRPr="009306D5">
        <w:fldChar w:fldCharType="end"/>
      </w:r>
      <w:r w:rsidRPr="009306D5">
        <w:t>. Nõutav teave uue käibemaksukohustuslasena registreerimiseks ELi liikmesriikides</w:t>
      </w:r>
      <w:bookmarkEnd w:id="162"/>
      <w:bookmarkEnd w:id="163"/>
    </w:p>
    <w:p w14:paraId="3FF7ED3C" w14:textId="2EE5C455" w:rsidR="00F65E82" w:rsidRPr="009306D5" w:rsidRDefault="00F65E82" w:rsidP="00903D74">
      <w:pPr>
        <w:pStyle w:val="Question"/>
        <w:rPr>
          <w:noProof/>
        </w:rPr>
      </w:pPr>
      <w:r w:rsidRPr="009306D5">
        <w:rPr>
          <w:noProof/>
        </w:rPr>
        <w:t>Küsimus 3.4. „Millist teavet nõutakse uue maksukohustuslase registreerimisel (v.a MOSS)? (Vastuseid võib olla mitu)“</w:t>
      </w:r>
    </w:p>
    <w:p w14:paraId="65813F24" w14:textId="458E2B08" w:rsidR="005B15B7" w:rsidRPr="009306D5" w:rsidRDefault="005C4F4C" w:rsidP="00EF59B5">
      <w:pPr>
        <w:pStyle w:val="FIgure"/>
      </w:pPr>
      <w:r w:rsidRPr="009306D5">
        <w:rPr>
          <w:lang w:val="en-GB"/>
        </w:rPr>
        <w:drawing>
          <wp:inline distT="0" distB="0" distL="0" distR="0" wp14:anchorId="7A159CC2" wp14:editId="7263F09C">
            <wp:extent cx="5760085" cy="3829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3829685"/>
                    </a:xfrm>
                    <a:prstGeom prst="rect">
                      <a:avLst/>
                    </a:prstGeom>
                  </pic:spPr>
                </pic:pic>
              </a:graphicData>
            </a:graphic>
          </wp:inline>
        </w:drawing>
      </w:r>
      <w:r w:rsidR="00DE03AF" w:rsidRPr="009306D5">
        <w:t xml:space="preserve"> </w:t>
      </w:r>
    </w:p>
    <w:p w14:paraId="2A60401D" w14:textId="77777777" w:rsidR="005B15B7" w:rsidRPr="009306D5" w:rsidRDefault="005B15B7" w:rsidP="005B15B7">
      <w:pPr>
        <w:pStyle w:val="Source"/>
        <w:rPr>
          <w:rFonts w:ascii="Times New Roman" w:hAnsi="Times New Roman"/>
          <w:i w:val="0"/>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498871ED" w14:textId="56E4F100" w:rsidR="005B15B7" w:rsidRPr="009306D5" w:rsidRDefault="005B15B7" w:rsidP="005B15B7">
      <w:pPr>
        <w:rPr>
          <w:rFonts w:cs="Times New Roman"/>
          <w:noProof/>
          <w:sz w:val="20"/>
        </w:rPr>
      </w:pPr>
      <w:r w:rsidRPr="009306D5">
        <w:rPr>
          <w:noProof/>
          <w:sz w:val="20"/>
        </w:rPr>
        <w:t>Üldiselt hallatakse käibemaksukohustuste andmebaase liikmesriikides hästi. Need sisaldavad enamikku asjakohaseid üksikasju maksumaksjate kohta ning neis sisalduv teave on piisav tõhusaks suhtlemiseks maksumaksjatega. Enamikus liikmesriikides (24/28) on uue käibemaksukohustuslase registreerimisel nõutavad enamik andmevälju. Kümme liikmesriiki, nimelt Taani, Iirimaa, Kreeka, Horvaatia, Küpros, Leedu, Ungari, Austria, Portugal ja Ühendkuningriik, nõudsid kõiki andmevälju. Enamik liikmesriike, kes ei lisa oma andmebaasi minimaalselt nõutavaid välju, nõuavad muid välju või andmeid, nagu pangakonto andmed, eeldatav käive, seadusliku esindaja (seaduslike esindajate) isikuandmed, rahastamisallikad ja andmed töötajate kohta. Tõhusust on võimalik suurendada, kui lisada need väljad kohe registreerimise hetkel ja sisestada need kohe andmebaasi. See säästaks liikmesriikide maksuhaldureid vajadusest hankida täiendavat teavet individuaalsete päringute kaudu.</w:t>
      </w:r>
    </w:p>
    <w:p w14:paraId="19202F60" w14:textId="09B2FE79" w:rsidR="00B1461C" w:rsidRPr="009306D5" w:rsidRDefault="005B15B7" w:rsidP="00FE0EC3">
      <w:pPr>
        <w:pStyle w:val="Recommendation"/>
      </w:pPr>
      <w:bookmarkStart w:id="164" w:name="_Toc95816192"/>
      <w:r w:rsidRPr="009306D5">
        <w:t xml:space="preserve">Soovitus </w:t>
      </w:r>
      <w:r w:rsidRPr="009306D5">
        <w:fldChar w:fldCharType="begin"/>
      </w:r>
      <w:r w:rsidRPr="009306D5">
        <w:instrText>SEQ Recommendation \* ARABIC</w:instrText>
      </w:r>
      <w:r w:rsidRPr="009306D5">
        <w:fldChar w:fldCharType="separate"/>
      </w:r>
      <w:bookmarkStart w:id="165" w:name="_Toc65778289"/>
      <w:bookmarkStart w:id="166" w:name="_Toc66116342"/>
      <w:r w:rsidR="008A2E1E" w:rsidRPr="009306D5">
        <w:t>4</w:t>
      </w:r>
      <w:r w:rsidRPr="009306D5">
        <w:fldChar w:fldCharType="end"/>
      </w:r>
      <w:r w:rsidRPr="009306D5">
        <w:t xml:space="preserve">. </w:t>
      </w:r>
      <w:bookmarkStart w:id="167" w:name="_Toc65673318"/>
      <w:r w:rsidRPr="009306D5">
        <w:t>Hallata käibemaksuandmebaasi nii, et see oleks täpne ja täielik</w:t>
      </w:r>
      <w:bookmarkEnd w:id="167"/>
      <w:bookmarkEnd w:id="165"/>
      <w:bookmarkEnd w:id="166"/>
      <w:r w:rsidRPr="009306D5">
        <w:t>.</w:t>
      </w:r>
      <w:bookmarkEnd w:id="164"/>
    </w:p>
    <w:p w14:paraId="6E60BEE7" w14:textId="77777777" w:rsidR="005B15B7" w:rsidRPr="009306D5" w:rsidRDefault="005B15B7" w:rsidP="005B15B7">
      <w:pPr>
        <w:rPr>
          <w:rFonts w:cs="Times New Roman"/>
          <w:noProof/>
          <w:sz w:val="20"/>
        </w:rPr>
      </w:pPr>
      <w:r w:rsidRPr="009306D5">
        <w:rPr>
          <w:noProof/>
          <w:sz w:val="20"/>
        </w:rPr>
        <w:t>Analüüs ei näidanud süstemaatilist seost käibemaksulõhe ja selliste näitajate vahel nagu registreeritud maksumaksjate arv, käibemaksukohustuslasena registreeritud ettevõtjate arv ja registreerimisel nõutav teave. Mõningane seos võib olla käibemaksulõhe suuruse ja maksumaksja kohta kogutud käibemaksu keskmise väärtuse vahel. Liikmesriikides, kus on suurim tulu käibemaksukohustuslasena registreeritud maksumaksja kohta (Luksemburg, Iirimaa, Taani ja Ühendkuningriik), näib olevat käibemaksulõhe suhteliselt väiksem.</w:t>
      </w:r>
    </w:p>
    <w:p w14:paraId="10889643" w14:textId="789B809F" w:rsidR="005B15B7" w:rsidRPr="009306D5" w:rsidRDefault="00882B22" w:rsidP="005B15B7">
      <w:pPr>
        <w:rPr>
          <w:rFonts w:cs="Times New Roman"/>
          <w:noProof/>
          <w:sz w:val="20"/>
        </w:rPr>
      </w:pPr>
      <w:r w:rsidRPr="009306D5">
        <w:rPr>
          <w:noProof/>
          <w:sz w:val="20"/>
        </w:rPr>
        <w:t xml:space="preserve">Joonisel </w:t>
      </w:r>
      <w:r w:rsidR="00394A78" w:rsidRPr="009306D5">
        <w:rPr>
          <w:noProof/>
          <w:sz w:val="20"/>
        </w:rPr>
        <w:t>9</w:t>
      </w:r>
      <w:r w:rsidR="005B15B7" w:rsidRPr="009306D5">
        <w:rPr>
          <w:noProof/>
          <w:sz w:val="20"/>
        </w:rPr>
        <w:t xml:space="preserve"> on näidatud, mil määral liikmesriigid teevad käibemaksukohustuslasena registreerimise kontrolle ja kontrollivad, kas registreerimistaotlused on autentsed ja kas taotlejad vastavad registreerimise õiguslikele nõuetele.</w:t>
      </w:r>
    </w:p>
    <w:p w14:paraId="62F94302" w14:textId="57DA1027" w:rsidR="005B15B7" w:rsidRPr="009306D5" w:rsidRDefault="005B15B7" w:rsidP="00FE0EC3">
      <w:pPr>
        <w:pStyle w:val="Caption"/>
      </w:pPr>
      <w:bookmarkStart w:id="168" w:name="_Toc95816236"/>
      <w:bookmarkStart w:id="169" w:name="_Toc62138778"/>
      <w:r w:rsidRPr="009306D5">
        <w:t>Joonis </w:t>
      </w:r>
      <w:r w:rsidRPr="009306D5">
        <w:fldChar w:fldCharType="begin"/>
      </w:r>
      <w:r w:rsidRPr="009306D5">
        <w:instrText xml:space="preserve"> SEQ Figure \* ARABIC </w:instrText>
      </w:r>
      <w:r w:rsidRPr="009306D5">
        <w:fldChar w:fldCharType="separate"/>
      </w:r>
      <w:r w:rsidR="008A2E1E" w:rsidRPr="009306D5">
        <w:t>9</w:t>
      </w:r>
      <w:r w:rsidRPr="009306D5">
        <w:fldChar w:fldCharType="end"/>
      </w:r>
      <w:r w:rsidRPr="009306D5">
        <w:t>. Käibemaksukohustuslasena registreerimise kontroll ja eelkontroll</w:t>
      </w:r>
      <w:bookmarkEnd w:id="168"/>
    </w:p>
    <w:p w14:paraId="0F8C8630" w14:textId="49F20EE9" w:rsidR="005B15B7" w:rsidRPr="009306D5" w:rsidRDefault="005B15B7" w:rsidP="00903D74">
      <w:pPr>
        <w:pStyle w:val="Question"/>
        <w:rPr>
          <w:noProof/>
        </w:rPr>
      </w:pPr>
      <w:r w:rsidRPr="009306D5">
        <w:rPr>
          <w:b/>
          <w:noProof/>
        </w:rPr>
        <w:t>a.</w:t>
      </w:r>
      <w:r w:rsidRPr="009306D5">
        <w:rPr>
          <w:noProof/>
        </w:rPr>
        <w:t xml:space="preserve"> Küsimus 3.5. „Millist teavet nõutakse uue maksukohustuslase registreerimisel (v.a MOSS)?</w:t>
      </w:r>
      <w:r w:rsidRPr="009306D5">
        <w:rPr>
          <w:noProof/>
        </w:rPr>
        <w:cr/>
      </w:r>
      <w:r w:rsidRPr="009306D5">
        <w:rPr>
          <w:noProof/>
        </w:rPr>
        <w:br/>
        <w:t>(Vastuseid võib olla mitu)“</w:t>
      </w:r>
    </w:p>
    <w:p w14:paraId="1D04867A" w14:textId="21DF4D08" w:rsidR="005B15B7" w:rsidRPr="009306D5" w:rsidRDefault="00C34499" w:rsidP="00EF59B5">
      <w:pPr>
        <w:pStyle w:val="FIgure"/>
        <w:rPr>
          <w:sz w:val="20"/>
        </w:rPr>
      </w:pPr>
      <w:r w:rsidRPr="009306D5">
        <w:rPr>
          <w:lang w:val="en-GB"/>
        </w:rPr>
        <w:drawing>
          <wp:inline distT="0" distB="0" distL="0" distR="0" wp14:anchorId="0E9AFA36" wp14:editId="146C0B0E">
            <wp:extent cx="5760085" cy="1159510"/>
            <wp:effectExtent l="0" t="0" r="0" b="2540"/>
            <wp:docPr id="14" name="Chart 1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E03AF" w:rsidRPr="009306D5">
        <w:t xml:space="preserve"> </w:t>
      </w:r>
    </w:p>
    <w:p w14:paraId="51A7C226" w14:textId="27FE70E2" w:rsidR="005B15B7" w:rsidRPr="009306D5" w:rsidRDefault="005B15B7" w:rsidP="00903D74">
      <w:pPr>
        <w:pStyle w:val="Question"/>
        <w:rPr>
          <w:noProof/>
        </w:rPr>
      </w:pPr>
      <w:r w:rsidRPr="009306D5">
        <w:rPr>
          <w:b/>
          <w:bCs/>
          <w:noProof/>
        </w:rPr>
        <w:t>b.</w:t>
      </w:r>
      <w:r w:rsidRPr="009306D5">
        <w:rPr>
          <w:noProof/>
        </w:rPr>
        <w:t xml:space="preserve"> Küsimus 3.6. „Kas teie maksuhaldurid teevad enne käibemaksukohustuslasena registreerimist eelkontrolli? </w:t>
      </w:r>
      <w:r w:rsidRPr="009306D5">
        <w:rPr>
          <w:noProof/>
        </w:rPr>
        <w:cr/>
      </w:r>
      <w:r w:rsidRPr="009306D5">
        <w:rPr>
          <w:noProof/>
        </w:rPr>
        <w:br/>
        <w:t>(Vastuseid võib olla mitu)</w:t>
      </w:r>
      <w:bookmarkEnd w:id="169"/>
      <w:r w:rsidRPr="009306D5">
        <w:rPr>
          <w:noProof/>
        </w:rPr>
        <w:t>“</w:t>
      </w:r>
    </w:p>
    <w:p w14:paraId="2BCFFEC0" w14:textId="3FA6759E" w:rsidR="005B15B7" w:rsidRPr="009306D5" w:rsidRDefault="006D0193" w:rsidP="00EF59B5">
      <w:pPr>
        <w:pStyle w:val="FIgure"/>
        <w:rPr>
          <w:sz w:val="20"/>
        </w:rPr>
      </w:pPr>
      <w:r w:rsidRPr="009306D5">
        <w:rPr>
          <w:lang w:val="en-GB"/>
        </w:rPr>
        <w:drawing>
          <wp:inline distT="0" distB="0" distL="0" distR="0" wp14:anchorId="6FFAFD72" wp14:editId="0CCA4226">
            <wp:extent cx="5760085" cy="2003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003425"/>
                    </a:xfrm>
                    <a:prstGeom prst="rect">
                      <a:avLst/>
                    </a:prstGeom>
                  </pic:spPr>
                </pic:pic>
              </a:graphicData>
            </a:graphic>
          </wp:inline>
        </w:drawing>
      </w:r>
      <w:r w:rsidR="00903D74" w:rsidRPr="009306D5">
        <w:t xml:space="preserve"> </w:t>
      </w:r>
    </w:p>
    <w:p w14:paraId="656CE882"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1E20BE7C" w14:textId="77777777" w:rsidR="005B15B7" w:rsidRPr="009306D5" w:rsidRDefault="005B15B7" w:rsidP="005B15B7">
      <w:pPr>
        <w:rPr>
          <w:rFonts w:cs="Times New Roman"/>
          <w:noProof/>
          <w:sz w:val="20"/>
        </w:rPr>
      </w:pPr>
      <w:r w:rsidRPr="009306D5">
        <w:rPr>
          <w:noProof/>
          <w:sz w:val="20"/>
        </w:rPr>
        <w:t>Üldiselt kasutavad liikmesriigid riskinäitajaid; kontrolle tehakse süstemaatiliselt ja need võivad vajaduse korral hõlmata kontrollkäike maksumaksja valdustesse. Kehtestatud on menetlused, millega tagatakse, et registreerimistaotlused on autentsed ja et taotlejad vastavad õiguslikele nõuetele.</w:t>
      </w:r>
    </w:p>
    <w:p w14:paraId="69386D2B" w14:textId="77777777" w:rsidR="005B15B7" w:rsidRPr="009306D5" w:rsidRDefault="005B15B7" w:rsidP="005B15B7">
      <w:pPr>
        <w:rPr>
          <w:rFonts w:cs="Times New Roman"/>
          <w:noProof/>
          <w:sz w:val="20"/>
        </w:rPr>
      </w:pPr>
      <w:r w:rsidRPr="009306D5">
        <w:rPr>
          <w:noProof/>
          <w:sz w:val="20"/>
        </w:rPr>
        <w:t>Kreeka, Itaalia, Küpros, Malta ja Portugal võiksid siiski saada kasu suuremast järjepidevusest eelkontrollide korraldamisel. Tšehhil ja Hispaanial soovitatakse taotleja isikut paremini kontrollida ning Bulgaaria, Tšehhi, Hispaania, Malta, Madalmaad, Rumeenia ja Rootsi võiksid vaadata läbi oma käibemaksukohustuslasena registreerimise õiguslikku kontrolli käsitlevad sätted.</w:t>
      </w:r>
    </w:p>
    <w:p w14:paraId="34C0E775" w14:textId="77777777" w:rsidR="005B15B7" w:rsidRPr="009306D5" w:rsidRDefault="005B15B7" w:rsidP="005B15B7">
      <w:pPr>
        <w:rPr>
          <w:rFonts w:cs="Times New Roman"/>
          <w:noProof/>
          <w:sz w:val="20"/>
        </w:rPr>
      </w:pPr>
      <w:r w:rsidRPr="009306D5">
        <w:rPr>
          <w:noProof/>
          <w:sz w:val="20"/>
        </w:rPr>
        <w:t>Mõned liikmesriigid teatasid muudest eelkontrollidest. Need põhinevad erinevatel allikatel, näiteks dokumentide analüüsil, avalikul teabel, registreerimiseelsetel kohapealsetel kontrollkäikudel ja karistusregistritel. Samuti on tavapärased teistele riigiametitele esitatavad teabenõuded, intervjuud/kohtumised juhatuse liikmete või nende volitatud esindajatega või spetsiaalsete küsimustike kasutamine riskihindamiseks. Hea tava võiks olla ka maksustamise ja käibemaksuga seotud tolliriski kriteeriumide koostalitlusvõime tagamine (nt tolliprotseduuriga 42 seotud signaalid võivad osutada ka käibemaksupettuse ohule).</w:t>
      </w:r>
    </w:p>
    <w:p w14:paraId="677C4F5D" w14:textId="77777777" w:rsidR="005B15B7" w:rsidRPr="009306D5" w:rsidRDefault="005B15B7" w:rsidP="005B15B7">
      <w:pPr>
        <w:rPr>
          <w:rFonts w:cs="Times New Roman"/>
          <w:noProof/>
          <w:sz w:val="20"/>
        </w:rPr>
      </w:pPr>
      <w:r w:rsidRPr="009306D5">
        <w:rPr>
          <w:noProof/>
          <w:sz w:val="20"/>
        </w:rPr>
        <w:t>Mitmes vastuses viidati haldus- ja rahvusvahelisele koostööle kui täiendavale teabeallikale kontrollimisel.</w:t>
      </w:r>
    </w:p>
    <w:p w14:paraId="26FD9727" w14:textId="4EB52FBA" w:rsidR="005B15B7" w:rsidRPr="009306D5" w:rsidRDefault="005B15B7" w:rsidP="00FE0EC3">
      <w:pPr>
        <w:pStyle w:val="Recommendation"/>
      </w:pPr>
      <w:bookmarkStart w:id="170" w:name="_Toc95816193"/>
      <w:r w:rsidRPr="009306D5">
        <w:t xml:space="preserve">Soovitus </w:t>
      </w:r>
      <w:r w:rsidRPr="009306D5">
        <w:fldChar w:fldCharType="begin"/>
      </w:r>
      <w:r w:rsidRPr="009306D5">
        <w:instrText>SEQ Recommendation \* ARABIC</w:instrText>
      </w:r>
      <w:r w:rsidRPr="009306D5">
        <w:fldChar w:fldCharType="separate"/>
      </w:r>
      <w:bookmarkStart w:id="171" w:name="_Toc65778290"/>
      <w:bookmarkStart w:id="172" w:name="_Toc66116343"/>
      <w:r w:rsidR="008A2E1E" w:rsidRPr="009306D5">
        <w:t>5</w:t>
      </w:r>
      <w:r w:rsidRPr="009306D5">
        <w:fldChar w:fldCharType="end"/>
      </w:r>
      <w:r w:rsidRPr="009306D5">
        <w:t xml:space="preserve">. </w:t>
      </w:r>
      <w:bookmarkStart w:id="173" w:name="_Toc65673319"/>
      <w:r w:rsidRPr="009306D5">
        <w:t>Teha õiguslikke ja isikusamasuse tõendamise kontrolle ning riskinäitajatel põhinevaid süstemaatilisi eelkontrolle</w:t>
      </w:r>
      <w:bookmarkEnd w:id="173"/>
      <w:bookmarkEnd w:id="171"/>
      <w:bookmarkEnd w:id="172"/>
      <w:r w:rsidRPr="009306D5">
        <w:t>.</w:t>
      </w:r>
      <w:bookmarkEnd w:id="170"/>
    </w:p>
    <w:p w14:paraId="699C6A03" w14:textId="0C3B063B" w:rsidR="005B15B7" w:rsidRPr="009306D5" w:rsidRDefault="005B15B7" w:rsidP="005B15B7">
      <w:pPr>
        <w:rPr>
          <w:rFonts w:cs="Times New Roman"/>
          <w:noProof/>
          <w:sz w:val="20"/>
        </w:rPr>
      </w:pPr>
      <w:r w:rsidRPr="009306D5">
        <w:rPr>
          <w:noProof/>
          <w:sz w:val="20"/>
        </w:rPr>
        <w:t xml:space="preserve">Tagasilükatud käibemaksukohustuslasena registreerimise taotluste osakaal näitab teataval määral riskihindamisprotsessi kvaliteeti ning varieerub 0 %-st Itaalias kuni &gt; </w:t>
      </w:r>
      <w:r w:rsidR="005526D2" w:rsidRPr="009306D5">
        <w:rPr>
          <w:noProof/>
          <w:sz w:val="20"/>
        </w:rPr>
        <w:t>2</w:t>
      </w:r>
      <w:r w:rsidRPr="009306D5">
        <w:rPr>
          <w:noProof/>
          <w:sz w:val="20"/>
        </w:rPr>
        <w:t>0</w:t>
      </w:r>
      <w:r w:rsidR="008C277E" w:rsidRPr="009306D5">
        <w:rPr>
          <w:noProof/>
          <w:sz w:val="20"/>
        </w:rPr>
        <w:t xml:space="preserve"> </w:t>
      </w:r>
      <w:r w:rsidRPr="009306D5">
        <w:rPr>
          <w:noProof/>
          <w:sz w:val="20"/>
        </w:rPr>
        <w:t>%-ni Lätis ja Leedus. Liikmesriikides, kus tagasilükatud käibemaksukohustuslasena registreerimise taotluste arv on väike, on käibemaksulõhe tavaliselt suurem ja kõrgema tagasilükkamismääraga liikmesriikidel on selles osas paremad tulemused. Näiteks Itaalia ja Kreeka vastasid vastavalt „null“ ja „andmed ei ole kättesaadavad“; Rumeenias vähenes tagasilükatud käibemaksukohustuslasena registreerimise taotluste osakaal 14,5 %-lt 2016. aastal 2,2 %-le 2019. aastal</w:t>
      </w:r>
      <w:r w:rsidRPr="009306D5">
        <w:rPr>
          <w:rStyle w:val="FootnoteReference"/>
          <w:rFonts w:cs="Times New Roman"/>
          <w:noProof/>
          <w:sz w:val="20"/>
        </w:rPr>
        <w:footnoteReference w:id="16"/>
      </w:r>
      <w:r w:rsidRPr="009306D5">
        <w:rPr>
          <w:noProof/>
          <w:sz w:val="20"/>
        </w:rPr>
        <w:t>.</w:t>
      </w:r>
    </w:p>
    <w:p w14:paraId="309BF3CB" w14:textId="77777777" w:rsidR="005B15B7" w:rsidRPr="009306D5" w:rsidRDefault="005B15B7" w:rsidP="005B15B7">
      <w:pPr>
        <w:rPr>
          <w:rFonts w:cs="Times New Roman"/>
          <w:noProof/>
          <w:sz w:val="20"/>
        </w:rPr>
      </w:pPr>
      <w:r w:rsidRPr="009306D5">
        <w:rPr>
          <w:noProof/>
          <w:sz w:val="20"/>
        </w:rPr>
        <w:t>Liikmesriikidele võib olla abiks registreerimistaotluste, eelkõige tagasilükatud taotluste säilitamine asutuse mälusüsteemis, et parandada teadmisi taotleja õigustatud huvi kohta majandustegevusega tegelemiseks ja sellealase suutlikkuse kohta.</w:t>
      </w:r>
    </w:p>
    <w:p w14:paraId="69E49281" w14:textId="6398BAB3" w:rsidR="005B15B7" w:rsidRPr="009306D5" w:rsidRDefault="005B15B7" w:rsidP="00FE0EC3">
      <w:pPr>
        <w:pStyle w:val="Caption"/>
      </w:pPr>
      <w:bookmarkStart w:id="174" w:name="_Toc62138779"/>
      <w:bookmarkStart w:id="175" w:name="_Toc95816237"/>
      <w:r w:rsidRPr="009306D5">
        <w:t>Joonis </w:t>
      </w:r>
      <w:r w:rsidRPr="009306D5">
        <w:fldChar w:fldCharType="begin"/>
      </w:r>
      <w:r w:rsidRPr="009306D5">
        <w:instrText xml:space="preserve"> SEQ Figure \* ARABIC </w:instrText>
      </w:r>
      <w:r w:rsidRPr="009306D5">
        <w:fldChar w:fldCharType="separate"/>
      </w:r>
      <w:r w:rsidR="008A2E1E" w:rsidRPr="009306D5">
        <w:t>10</w:t>
      </w:r>
      <w:r w:rsidRPr="009306D5">
        <w:fldChar w:fldCharType="end"/>
      </w:r>
      <w:r w:rsidRPr="009306D5">
        <w:t>. Tagasilükatud registreerimistaotluste kohta andmete säilitamine</w:t>
      </w:r>
      <w:bookmarkEnd w:id="174"/>
      <w:bookmarkEnd w:id="175"/>
    </w:p>
    <w:p w14:paraId="620E28AC" w14:textId="4144BAD2" w:rsidR="00BC2EA7" w:rsidRPr="009306D5" w:rsidRDefault="00BC2EA7" w:rsidP="00903D74">
      <w:pPr>
        <w:pStyle w:val="Question"/>
        <w:rPr>
          <w:noProof/>
        </w:rPr>
      </w:pPr>
      <w:r w:rsidRPr="009306D5">
        <w:rPr>
          <w:noProof/>
        </w:rPr>
        <w:t>Küsimus 3.7. Kas teie haldusasutus säilitab andmed taotlejate kohta, kelle registreerimistaotlus on tagasi lükatud?</w:t>
      </w:r>
    </w:p>
    <w:p w14:paraId="00D53DF4" w14:textId="06B5398C" w:rsidR="005B15B7" w:rsidRPr="009306D5" w:rsidRDefault="00D3781D" w:rsidP="00EF59B5">
      <w:pPr>
        <w:pStyle w:val="FIgure"/>
        <w:rPr>
          <w:sz w:val="20"/>
        </w:rPr>
      </w:pPr>
      <w:r w:rsidRPr="009306D5">
        <w:rPr>
          <w:lang w:val="en-GB"/>
        </w:rPr>
        <w:drawing>
          <wp:inline distT="0" distB="0" distL="0" distR="0" wp14:anchorId="716D57B8" wp14:editId="3C69E167">
            <wp:extent cx="5760085" cy="1186180"/>
            <wp:effectExtent l="0" t="0" r="0" b="0"/>
            <wp:docPr id="20" name="Chart 20">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903D74" w:rsidRPr="009306D5">
        <w:t xml:space="preserve"> </w:t>
      </w:r>
    </w:p>
    <w:p w14:paraId="0FB65A03"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61A7EA8C" w14:textId="77777777" w:rsidR="005B15B7" w:rsidRPr="009306D5" w:rsidRDefault="005B15B7" w:rsidP="005B15B7">
      <w:pPr>
        <w:rPr>
          <w:rFonts w:cs="Times New Roman"/>
          <w:noProof/>
          <w:sz w:val="20"/>
        </w:rPr>
      </w:pPr>
      <w:r w:rsidRPr="009306D5">
        <w:rPr>
          <w:noProof/>
          <w:sz w:val="20"/>
        </w:rPr>
        <w:t>Enamik liikmesriike (19/28) säilitab andmed taotlejate kohta, kelle registreerimistaotlus on tagasi lükatud. Kõik liikmesriigid peaksid seda head tava järgima, sh vajadusel kaaluma muudatust liikmesriigi õigusaktides.</w:t>
      </w:r>
    </w:p>
    <w:p w14:paraId="56488316" w14:textId="46505B26" w:rsidR="00B1461C" w:rsidRPr="009306D5" w:rsidRDefault="005B15B7" w:rsidP="00FE0EC3">
      <w:pPr>
        <w:pStyle w:val="Recommendation"/>
      </w:pPr>
      <w:bookmarkStart w:id="176" w:name="_Toc95816194"/>
      <w:r w:rsidRPr="009306D5">
        <w:t xml:space="preserve">Soovitus </w:t>
      </w:r>
      <w:r w:rsidRPr="009306D5">
        <w:fldChar w:fldCharType="begin"/>
      </w:r>
      <w:r w:rsidRPr="009306D5">
        <w:instrText>SEQ Recommendation \* ARABIC</w:instrText>
      </w:r>
      <w:r w:rsidRPr="009306D5">
        <w:fldChar w:fldCharType="separate"/>
      </w:r>
      <w:bookmarkStart w:id="177" w:name="_Toc65778291"/>
      <w:bookmarkStart w:id="178" w:name="_Toc66116344"/>
      <w:r w:rsidR="008A2E1E" w:rsidRPr="009306D5">
        <w:t>6</w:t>
      </w:r>
      <w:r w:rsidRPr="009306D5">
        <w:fldChar w:fldCharType="end"/>
      </w:r>
      <w:r w:rsidRPr="009306D5">
        <w:t xml:space="preserve">. </w:t>
      </w:r>
      <w:bookmarkStart w:id="179" w:name="_Toc65673320"/>
      <w:r w:rsidRPr="009306D5">
        <w:t>Säilitada andmed taotlejate kohta, kelle registreerimistaotlus on tagasi lükatud</w:t>
      </w:r>
      <w:bookmarkEnd w:id="179"/>
      <w:bookmarkEnd w:id="177"/>
      <w:bookmarkEnd w:id="178"/>
      <w:r w:rsidRPr="009306D5">
        <w:t>.</w:t>
      </w:r>
      <w:bookmarkEnd w:id="176"/>
    </w:p>
    <w:p w14:paraId="3A6C2598" w14:textId="77777777" w:rsidR="005B15B7" w:rsidRPr="009306D5" w:rsidRDefault="005B15B7" w:rsidP="005B15B7">
      <w:pPr>
        <w:rPr>
          <w:rFonts w:cs="Times New Roman"/>
          <w:noProof/>
          <w:sz w:val="20"/>
        </w:rPr>
      </w:pPr>
      <w:r w:rsidRPr="009306D5">
        <w:rPr>
          <w:noProof/>
          <w:sz w:val="20"/>
        </w:rPr>
        <w:t>Enamik liikmesriike võrdleb käibemaksukohustuslasena registreerimise andmebaasis hoitavat teavet kolmandate isikute teabeallikatega, näiteks muude valitsuse registritega, et parandada oma andmebaaside terviklikkust ja täpsust. See on hea tava ning liikmesriigid peaksid järgima Taani, Eesti, Iirimaa, Kreeka, Prantsusmaa, Horvaatia, Läti, Leedu, Luksemburgi, Rumeenia ja Rootsi eeskuju.</w:t>
      </w:r>
    </w:p>
    <w:p w14:paraId="61EAFD61" w14:textId="368B0E30" w:rsidR="005B15B7" w:rsidRPr="009306D5" w:rsidRDefault="005B15B7" w:rsidP="00FE0EC3">
      <w:pPr>
        <w:pStyle w:val="Caption"/>
      </w:pPr>
      <w:bookmarkStart w:id="180" w:name="_Toc62138780"/>
      <w:bookmarkStart w:id="181" w:name="_Toc95816238"/>
      <w:r w:rsidRPr="009306D5">
        <w:t>Joonis </w:t>
      </w:r>
      <w:r w:rsidRPr="009306D5">
        <w:fldChar w:fldCharType="begin"/>
      </w:r>
      <w:r w:rsidRPr="009306D5">
        <w:instrText xml:space="preserve"> SEQ Figure \* ARABIC </w:instrText>
      </w:r>
      <w:r w:rsidRPr="009306D5">
        <w:fldChar w:fldCharType="separate"/>
      </w:r>
      <w:r w:rsidR="008A2E1E" w:rsidRPr="009306D5">
        <w:t>11</w:t>
      </w:r>
      <w:r w:rsidRPr="009306D5">
        <w:fldChar w:fldCharType="end"/>
      </w:r>
      <w:r w:rsidRPr="009306D5">
        <w:t>. Käibemaksukohustuslasena registreerimise andmete võrdlemine kolmandate isikute teabeallikatega</w:t>
      </w:r>
      <w:bookmarkEnd w:id="180"/>
      <w:bookmarkEnd w:id="181"/>
    </w:p>
    <w:p w14:paraId="30E10232" w14:textId="4540121A" w:rsidR="00810379" w:rsidRPr="009306D5" w:rsidRDefault="00810379" w:rsidP="00903D74">
      <w:pPr>
        <w:pStyle w:val="Question"/>
        <w:rPr>
          <w:noProof/>
        </w:rPr>
      </w:pPr>
      <w:r w:rsidRPr="009306D5">
        <w:rPr>
          <w:noProof/>
        </w:rPr>
        <w:t>Küsimus 3.9. „Kas käibemaksukohustuslasena registreerimise andmebaasis hoitavat teavet võrreldakse kolmandate isikute teabeallikatega (nt muud valitsusregistrid, näiteks äriregister), et tagada teabe ajakohasus?“</w:t>
      </w:r>
    </w:p>
    <w:p w14:paraId="0F0755D2" w14:textId="24063CB6" w:rsidR="005B15B7" w:rsidRPr="009306D5" w:rsidRDefault="005F56C0" w:rsidP="00EF59B5">
      <w:pPr>
        <w:pStyle w:val="FIgure"/>
        <w:rPr>
          <w:sz w:val="20"/>
        </w:rPr>
      </w:pPr>
      <w:r w:rsidRPr="009306D5">
        <w:rPr>
          <w:lang w:val="en-GB"/>
        </w:rPr>
        <w:drawing>
          <wp:inline distT="0" distB="0" distL="0" distR="0" wp14:anchorId="1E53D1E2" wp14:editId="3CD85F75">
            <wp:extent cx="5760085" cy="1520825"/>
            <wp:effectExtent l="0" t="0" r="0" b="3175"/>
            <wp:docPr id="21" name="Chart 2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903D74" w:rsidRPr="009306D5">
        <w:t xml:space="preserve"> </w:t>
      </w:r>
    </w:p>
    <w:p w14:paraId="27741C20"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2C67D25D" w14:textId="1F930CDE" w:rsidR="005B15B7" w:rsidRPr="009306D5" w:rsidRDefault="005B15B7" w:rsidP="00FE0EC3">
      <w:pPr>
        <w:pStyle w:val="Recommendation"/>
      </w:pPr>
      <w:bookmarkStart w:id="182" w:name="_Toc95816195"/>
      <w:r w:rsidRPr="009306D5">
        <w:t xml:space="preserve">Soovitus </w:t>
      </w:r>
      <w:r w:rsidRPr="009306D5">
        <w:fldChar w:fldCharType="begin"/>
      </w:r>
      <w:r w:rsidRPr="009306D5">
        <w:instrText>SEQ Recommendation \* ARABIC</w:instrText>
      </w:r>
      <w:r w:rsidRPr="009306D5">
        <w:fldChar w:fldCharType="separate"/>
      </w:r>
      <w:bookmarkStart w:id="183" w:name="_Toc65778292"/>
      <w:bookmarkStart w:id="184" w:name="_Toc66116345"/>
      <w:r w:rsidR="008A2E1E" w:rsidRPr="009306D5">
        <w:t>7</w:t>
      </w:r>
      <w:r w:rsidRPr="009306D5">
        <w:fldChar w:fldCharType="end"/>
      </w:r>
      <w:r w:rsidRPr="009306D5">
        <w:t xml:space="preserve">. </w:t>
      </w:r>
      <w:bookmarkStart w:id="185" w:name="_Toc65673321"/>
      <w:r w:rsidRPr="009306D5">
        <w:t>Võrrelda käibemaksukohustuslasena registreerimise andmebaasis hoitavat teavet kolmandate isikute teabeallikatega</w:t>
      </w:r>
      <w:bookmarkEnd w:id="185"/>
      <w:bookmarkEnd w:id="183"/>
      <w:bookmarkEnd w:id="184"/>
      <w:r w:rsidRPr="009306D5">
        <w:t>.</w:t>
      </w:r>
      <w:bookmarkEnd w:id="182"/>
    </w:p>
    <w:p w14:paraId="25FE125A" w14:textId="77777777" w:rsidR="005B15B7" w:rsidRPr="009306D5" w:rsidRDefault="005B15B7" w:rsidP="005B15B7">
      <w:pPr>
        <w:spacing w:before="240"/>
        <w:rPr>
          <w:rFonts w:cs="Times New Roman"/>
          <w:noProof/>
          <w:sz w:val="20"/>
        </w:rPr>
      </w:pPr>
      <w:bookmarkStart w:id="186" w:name="_Toc62138781"/>
      <w:r w:rsidRPr="009306D5">
        <w:rPr>
          <w:noProof/>
          <w:sz w:val="20"/>
        </w:rPr>
        <w:t>Lisaks püüdis komisjon saada rohkem teavet selliste menetluste olemasolu ja laadi kohta, mida kasutatakse selleks, et tuvastada ettevõtjaid ja üksikisikuid, kes on kohustatud end registreerima, kuid ei tee seda, ning nende menetluste tulemuste kohta, mis on sama olulised. Esimesele küsimusele „jah“ vastanud maksuhalduritel on kasutusel erinevad menetlused registreerimata ettevõtjate tuvastamiseks.</w:t>
      </w:r>
    </w:p>
    <w:p w14:paraId="1F12D4FF" w14:textId="0F8E319E" w:rsidR="005B15B7" w:rsidRPr="009306D5" w:rsidRDefault="005B15B7" w:rsidP="00FE0EC3">
      <w:pPr>
        <w:pStyle w:val="Caption"/>
      </w:pPr>
      <w:bookmarkStart w:id="187" w:name="_Toc95816239"/>
      <w:r w:rsidRPr="009306D5">
        <w:t>Joonis </w:t>
      </w:r>
      <w:r w:rsidRPr="009306D5">
        <w:fldChar w:fldCharType="begin"/>
      </w:r>
      <w:r w:rsidRPr="009306D5">
        <w:instrText xml:space="preserve"> SEQ Figure \* ARABIC </w:instrText>
      </w:r>
      <w:r w:rsidRPr="009306D5">
        <w:fldChar w:fldCharType="separate"/>
      </w:r>
      <w:r w:rsidR="008A2E1E" w:rsidRPr="009306D5">
        <w:t>12</w:t>
      </w:r>
      <w:r w:rsidRPr="009306D5">
        <w:fldChar w:fldCharType="end"/>
      </w:r>
      <w:r w:rsidRPr="009306D5">
        <w:t>. Menetlused selliste maksumaksjate tuvastamiseks, kes ei ole end registreerinud, ja märkimisväärse arvu registreerimata ettevõtjatega majandussektorite tuvastamiseks</w:t>
      </w:r>
      <w:bookmarkEnd w:id="186"/>
      <w:bookmarkEnd w:id="187"/>
    </w:p>
    <w:p w14:paraId="444ADE38" w14:textId="4BA3A93E" w:rsidR="0070162C" w:rsidRPr="009306D5" w:rsidRDefault="000A7146" w:rsidP="00903D74">
      <w:pPr>
        <w:pStyle w:val="Question"/>
        <w:rPr>
          <w:noProof/>
        </w:rPr>
      </w:pPr>
      <w:r w:rsidRPr="009306D5">
        <w:rPr>
          <w:noProof/>
        </w:rPr>
        <w:t xml:space="preserve">Küsimus 3.11.a. „Täpsustage, mis laadi algatusi teie maksuhaldurid kasutasid. </w:t>
      </w:r>
      <w:r w:rsidRPr="009306D5">
        <w:rPr>
          <w:noProof/>
        </w:rPr>
        <w:cr/>
      </w:r>
      <w:r w:rsidRPr="009306D5">
        <w:rPr>
          <w:noProof/>
        </w:rPr>
        <w:br/>
        <w:t>(Vastuseid võib olla mitu)“</w:t>
      </w:r>
    </w:p>
    <w:p w14:paraId="30820D5C" w14:textId="148B95AB" w:rsidR="005B15B7" w:rsidRPr="009306D5" w:rsidRDefault="00DA331A" w:rsidP="00EF59B5">
      <w:pPr>
        <w:pStyle w:val="FIgure"/>
        <w:rPr>
          <w:rFonts w:eastAsia="Arial Unicode MS"/>
          <w:color w:val="000000"/>
          <w:bdr w:val="none" w:sz="0" w:space="0" w:color="auto" w:frame="1"/>
        </w:rPr>
      </w:pPr>
      <w:r w:rsidRPr="009306D5">
        <w:rPr>
          <w:lang w:val="en-GB"/>
        </w:rPr>
        <w:drawing>
          <wp:inline distT="0" distB="0" distL="0" distR="0" wp14:anchorId="49F975A5" wp14:editId="1CF563A4">
            <wp:extent cx="5760085" cy="2376805"/>
            <wp:effectExtent l="0" t="0" r="0" b="4445"/>
            <wp:docPr id="22" name="Chart 22">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03D74" w:rsidRPr="009306D5">
        <w:t xml:space="preserve"> </w:t>
      </w:r>
    </w:p>
    <w:p w14:paraId="08474A48"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31F9670D" w14:textId="291713AD" w:rsidR="005B15B7" w:rsidRPr="009306D5" w:rsidRDefault="00C86B03" w:rsidP="005B15B7">
      <w:pPr>
        <w:pStyle w:val="ListParagraph"/>
        <w:ind w:left="0"/>
        <w:rPr>
          <w:noProof/>
          <w:sz w:val="20"/>
        </w:rPr>
      </w:pPr>
      <w:r w:rsidRPr="009306D5">
        <w:rPr>
          <w:noProof/>
          <w:sz w:val="20"/>
        </w:rPr>
        <w:fldChar w:fldCharType="begin"/>
      </w:r>
      <w:r w:rsidRPr="009306D5">
        <w:rPr>
          <w:noProof/>
          <w:sz w:val="20"/>
        </w:rPr>
        <w:instrText xml:space="preserve"> REF _Ref88475759 \h </w:instrText>
      </w:r>
      <w:r w:rsidR="000175E8" w:rsidRPr="009306D5">
        <w:rPr>
          <w:noProof/>
          <w:sz w:val="20"/>
        </w:rPr>
        <w:instrText xml:space="preserve"> \* MERGEFORMAT </w:instrText>
      </w:r>
      <w:r w:rsidRPr="009306D5">
        <w:rPr>
          <w:noProof/>
          <w:sz w:val="20"/>
        </w:rPr>
      </w:r>
      <w:r w:rsidRPr="009306D5">
        <w:rPr>
          <w:noProof/>
          <w:sz w:val="20"/>
        </w:rPr>
        <w:fldChar w:fldCharType="separate"/>
      </w:r>
      <w:r w:rsidR="009370F5" w:rsidRPr="009306D5">
        <w:rPr>
          <w:noProof/>
          <w:sz w:val="20"/>
        </w:rPr>
        <w:t>Joonis</w:t>
      </w:r>
      <w:r w:rsidR="008A2E1E" w:rsidRPr="009306D5">
        <w:rPr>
          <w:noProof/>
          <w:sz w:val="20"/>
        </w:rPr>
        <w:t> 13</w:t>
      </w:r>
      <w:r w:rsidRPr="009306D5">
        <w:rPr>
          <w:noProof/>
          <w:sz w:val="20"/>
        </w:rPr>
        <w:fldChar w:fldCharType="end"/>
      </w:r>
      <w:r w:rsidRPr="009306D5">
        <w:rPr>
          <w:noProof/>
        </w:rPr>
        <w:t xml:space="preserve"> </w:t>
      </w:r>
      <w:r w:rsidRPr="009306D5">
        <w:rPr>
          <w:noProof/>
          <w:sz w:val="20"/>
        </w:rPr>
        <w:t>annab rohkem teavet asjaomaste majandussektorite kohta.</w:t>
      </w:r>
    </w:p>
    <w:p w14:paraId="47F32EB8" w14:textId="3E8E92CD" w:rsidR="005B15B7" w:rsidRPr="009306D5" w:rsidRDefault="005B15B7" w:rsidP="00FE0EC3">
      <w:pPr>
        <w:pStyle w:val="Caption"/>
      </w:pPr>
      <w:bookmarkStart w:id="188" w:name="_Ref88475759"/>
      <w:bookmarkStart w:id="189" w:name="_Toc95816240"/>
      <w:r w:rsidRPr="009306D5">
        <w:t>Joonis </w:t>
      </w:r>
      <w:r w:rsidRPr="009306D5">
        <w:fldChar w:fldCharType="begin"/>
      </w:r>
      <w:r w:rsidRPr="009306D5">
        <w:instrText xml:space="preserve"> SEQ Figure \* ARABIC </w:instrText>
      </w:r>
      <w:r w:rsidRPr="009306D5">
        <w:fldChar w:fldCharType="separate"/>
      </w:r>
      <w:r w:rsidR="008A2E1E" w:rsidRPr="009306D5">
        <w:t>13</w:t>
      </w:r>
      <w:r w:rsidRPr="009306D5">
        <w:fldChar w:fldCharType="end"/>
      </w:r>
      <w:bookmarkEnd w:id="188"/>
      <w:r w:rsidRPr="009306D5">
        <w:t>. Menetlused selliste maksumaksjate tuvastamiseks, kes ei ole end registreerinud, ja märkimisväärse arvu registreerimata ettevõtjatega majandussektorite tuvastamiseks</w:t>
      </w:r>
      <w:bookmarkEnd w:id="189"/>
    </w:p>
    <w:p w14:paraId="0D29E3FF" w14:textId="6DCE6BB0" w:rsidR="00C86B03" w:rsidRPr="009306D5" w:rsidRDefault="00C86B03" w:rsidP="00903D74">
      <w:pPr>
        <w:pStyle w:val="Question"/>
        <w:rPr>
          <w:noProof/>
        </w:rPr>
      </w:pPr>
      <w:r w:rsidRPr="009306D5">
        <w:rPr>
          <w:noProof/>
        </w:rPr>
        <w:t>Küsimus 3.11.b. „Milliste majandussektorite puhul tuvastasid teie maksuhaldurid nende algatuste põhjal märkimisväärse arvu registreerimata ettevõtjaid? (Vastuseid võib olla mitu)“</w:t>
      </w:r>
    </w:p>
    <w:p w14:paraId="5754303E" w14:textId="20A016B4" w:rsidR="005B15B7" w:rsidRPr="009306D5" w:rsidRDefault="00DA331A" w:rsidP="00EF59B5">
      <w:pPr>
        <w:pStyle w:val="FIgure"/>
        <w:rPr>
          <w:rFonts w:eastAsia="Arial Unicode MS"/>
          <w:color w:val="000000"/>
          <w:bdr w:val="none" w:sz="0" w:space="0" w:color="auto" w:frame="1"/>
        </w:rPr>
      </w:pPr>
      <w:r w:rsidRPr="009306D5">
        <w:rPr>
          <w:lang w:val="en-GB"/>
        </w:rPr>
        <w:drawing>
          <wp:inline distT="0" distB="0" distL="0" distR="0" wp14:anchorId="3893C28B" wp14:editId="03EBF88C">
            <wp:extent cx="5760085" cy="4486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4486910"/>
                    </a:xfrm>
                    <a:prstGeom prst="rect">
                      <a:avLst/>
                    </a:prstGeom>
                  </pic:spPr>
                </pic:pic>
              </a:graphicData>
            </a:graphic>
          </wp:inline>
        </w:drawing>
      </w:r>
      <w:r w:rsidR="00903D74" w:rsidRPr="009306D5">
        <w:t xml:space="preserve"> </w:t>
      </w:r>
    </w:p>
    <w:p w14:paraId="53CBADD6"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47D8D97C" w14:textId="48319A11" w:rsidR="005B15B7" w:rsidRPr="009306D5" w:rsidRDefault="005B15B7" w:rsidP="00FE0EC3">
      <w:pPr>
        <w:pStyle w:val="Recommendation"/>
      </w:pPr>
      <w:bookmarkStart w:id="190" w:name="_Toc95816196"/>
      <w:r w:rsidRPr="009306D5">
        <w:t xml:space="preserve">Soovitus </w:t>
      </w:r>
      <w:r w:rsidRPr="009306D5">
        <w:fldChar w:fldCharType="begin"/>
      </w:r>
      <w:r w:rsidRPr="009306D5">
        <w:instrText>SEQ Recommendation \* ARABIC</w:instrText>
      </w:r>
      <w:r w:rsidRPr="009306D5">
        <w:fldChar w:fldCharType="separate"/>
      </w:r>
      <w:bookmarkStart w:id="191" w:name="_Toc65778293"/>
      <w:bookmarkStart w:id="192" w:name="_Toc66116346"/>
      <w:r w:rsidR="008A2E1E" w:rsidRPr="009306D5">
        <w:t>8</w:t>
      </w:r>
      <w:r w:rsidRPr="009306D5">
        <w:fldChar w:fldCharType="end"/>
      </w:r>
      <w:r w:rsidRPr="009306D5">
        <w:t xml:space="preserve">. </w:t>
      </w:r>
      <w:bookmarkStart w:id="193" w:name="_Toc65673322"/>
      <w:r w:rsidRPr="009306D5">
        <w:t>Kehtestada menetlused selliste maksumaksjate tuvastamiseks, kes ei ole end registreerinud, ja keskenduda märkimisväärse arvu registreerimata ettevõtjatega majandussektoritele</w:t>
      </w:r>
      <w:bookmarkEnd w:id="193"/>
      <w:bookmarkEnd w:id="191"/>
      <w:bookmarkEnd w:id="192"/>
      <w:r w:rsidRPr="009306D5">
        <w:t>.</w:t>
      </w:r>
      <w:bookmarkEnd w:id="190"/>
    </w:p>
    <w:p w14:paraId="651C55B8" w14:textId="77777777" w:rsidR="005B15B7" w:rsidRPr="009306D5" w:rsidRDefault="005B15B7" w:rsidP="005B15B7">
      <w:pPr>
        <w:rPr>
          <w:rFonts w:cs="Times New Roman"/>
          <w:noProof/>
          <w:sz w:val="20"/>
        </w:rPr>
      </w:pPr>
      <w:r w:rsidRPr="009306D5">
        <w:rPr>
          <w:noProof/>
          <w:sz w:val="20"/>
        </w:rPr>
        <w:t>Nagu eelmises aruandes märgitud, liiguvad liikmesriigid järk-järgult riskihindamisel põhineva registreerimismenetluse suunas. Selleks, et hinnata, kas see põhjustab käibemaksukohustuslase ja VIESi registreerimisnumbreid taotlevatele maksumaksjatele märkimisväärseid viivitusi, võrreldi taotluse menetlemiseks kuluvat aega eelmise perioodi andmetega.</w:t>
      </w:r>
    </w:p>
    <w:p w14:paraId="0B114E5C" w14:textId="3FFE24A0" w:rsidR="005B15B7" w:rsidRPr="009306D5" w:rsidRDefault="005B15B7" w:rsidP="00FE0EC3">
      <w:pPr>
        <w:pStyle w:val="Caption"/>
      </w:pPr>
      <w:bookmarkStart w:id="194" w:name="_Toc62138782"/>
      <w:bookmarkStart w:id="195" w:name="_Toc95816241"/>
      <w:r w:rsidRPr="009306D5">
        <w:t>Joonis </w:t>
      </w:r>
      <w:r w:rsidRPr="009306D5">
        <w:fldChar w:fldCharType="begin"/>
      </w:r>
      <w:r w:rsidRPr="009306D5">
        <w:instrText xml:space="preserve"> SEQ Figure \* ARABIC </w:instrText>
      </w:r>
      <w:r w:rsidRPr="009306D5">
        <w:fldChar w:fldCharType="separate"/>
      </w:r>
      <w:r w:rsidR="008A2E1E" w:rsidRPr="009306D5">
        <w:t>14</w:t>
      </w:r>
      <w:r w:rsidRPr="009306D5">
        <w:fldChar w:fldCharType="end"/>
      </w:r>
      <w:r w:rsidRPr="009306D5">
        <w:t>. Aeg (päevades), mis kulub käibemaksukohustuslasena registreerimise numbri ja VIESi registreerimisnumbri saamiseks ELi liikmesriikides</w:t>
      </w:r>
      <w:bookmarkEnd w:id="194"/>
      <w:bookmarkEnd w:id="195"/>
    </w:p>
    <w:p w14:paraId="47D3C84A" w14:textId="63E8AC4D" w:rsidR="002F169E" w:rsidRPr="009306D5" w:rsidRDefault="002F169E" w:rsidP="00903D74">
      <w:pPr>
        <w:pStyle w:val="Question"/>
        <w:rPr>
          <w:noProof/>
        </w:rPr>
      </w:pPr>
      <w:r w:rsidRPr="009306D5">
        <w:rPr>
          <w:noProof/>
        </w:rPr>
        <w:t>Küsimus 2.2.g. „Minimaalne päevade arv, mis kulub, et saada [...]“</w:t>
      </w:r>
    </w:p>
    <w:p w14:paraId="31F7E315" w14:textId="6401C841" w:rsidR="005B15B7" w:rsidRPr="009306D5" w:rsidRDefault="00D21000" w:rsidP="00EF59B5">
      <w:pPr>
        <w:pStyle w:val="FIgure"/>
        <w:rPr>
          <w:sz w:val="20"/>
        </w:rPr>
      </w:pPr>
      <w:r w:rsidRPr="009306D5">
        <w:rPr>
          <w:lang w:val="en-GB"/>
        </w:rPr>
        <w:drawing>
          <wp:inline distT="0" distB="0" distL="0" distR="0" wp14:anchorId="6CBFB1D8" wp14:editId="21C4CF1C">
            <wp:extent cx="5760085" cy="2070180"/>
            <wp:effectExtent l="0" t="0" r="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2070180"/>
                    </a:xfrm>
                    <a:prstGeom prst="rect">
                      <a:avLst/>
                    </a:prstGeom>
                    <a:noFill/>
                    <a:ln>
                      <a:noFill/>
                    </a:ln>
                  </pic:spPr>
                </pic:pic>
              </a:graphicData>
            </a:graphic>
          </wp:inline>
        </w:drawing>
      </w:r>
      <w:r w:rsidR="00903D74" w:rsidRPr="009306D5">
        <w:t xml:space="preserve"> </w:t>
      </w:r>
    </w:p>
    <w:p w14:paraId="0DCF774C"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6B2049D7" w14:textId="77777777" w:rsidR="005B15B7" w:rsidRPr="009306D5" w:rsidRDefault="005B15B7" w:rsidP="005B15B7">
      <w:pPr>
        <w:rPr>
          <w:rFonts w:cs="Times New Roman"/>
          <w:noProof/>
          <w:sz w:val="20"/>
        </w:rPr>
      </w:pPr>
      <w:r w:rsidRPr="009306D5">
        <w:rPr>
          <w:noProof/>
          <w:sz w:val="20"/>
        </w:rPr>
        <w:t>Pikema perioodi vaade kinnitab varasemaid järeldusi: riskihindamisel põhinev lähenemisviis ei pikenda registreerimisprotsessi märkimisväärselt ning maksuhaldurid liiguvad selles suunas, et koondada käibemaksukohustuslasena registreerimise number ja VIESi registreerimisnumber ühe kordumatu tunnuse alla.</w:t>
      </w:r>
    </w:p>
    <w:p w14:paraId="50BDB5E4" w14:textId="05795B62" w:rsidR="005B15B7" w:rsidRPr="009306D5" w:rsidRDefault="005B15B7" w:rsidP="00FE0EC3">
      <w:pPr>
        <w:pStyle w:val="Recommendation"/>
      </w:pPr>
      <w:bookmarkStart w:id="196" w:name="_Toc95816197"/>
      <w:r w:rsidRPr="009306D5">
        <w:t xml:space="preserve">Soovitus </w:t>
      </w:r>
      <w:r w:rsidRPr="009306D5">
        <w:fldChar w:fldCharType="begin"/>
      </w:r>
      <w:r w:rsidRPr="009306D5">
        <w:instrText>SEQ Recommendation \* ARABIC</w:instrText>
      </w:r>
      <w:r w:rsidRPr="009306D5">
        <w:fldChar w:fldCharType="separate"/>
      </w:r>
      <w:bookmarkStart w:id="197" w:name="_Toc65778294"/>
      <w:bookmarkStart w:id="198" w:name="_Toc66116347"/>
      <w:r w:rsidR="008A2E1E" w:rsidRPr="009306D5">
        <w:t>9</w:t>
      </w:r>
      <w:r w:rsidRPr="009306D5">
        <w:fldChar w:fldCharType="end"/>
      </w:r>
      <w:r w:rsidRPr="009306D5">
        <w:t xml:space="preserve">. </w:t>
      </w:r>
      <w:bookmarkStart w:id="199" w:name="_Toc65673323"/>
      <w:r w:rsidRPr="009306D5">
        <w:t>Lisada registreerimisprotsessi riskihindamismenetlus</w:t>
      </w:r>
      <w:bookmarkEnd w:id="199"/>
      <w:bookmarkEnd w:id="197"/>
      <w:bookmarkEnd w:id="198"/>
      <w:r w:rsidRPr="009306D5">
        <w:t>.</w:t>
      </w:r>
      <w:bookmarkEnd w:id="196"/>
    </w:p>
    <w:p w14:paraId="18F7BE2D" w14:textId="7DFEE18A" w:rsidR="005B15B7" w:rsidRPr="009306D5" w:rsidRDefault="005B15B7" w:rsidP="7925FA3B">
      <w:pPr>
        <w:rPr>
          <w:rFonts w:cs="Times New Roman"/>
          <w:noProof/>
          <w:sz w:val="20"/>
          <w:szCs w:val="20"/>
        </w:rPr>
      </w:pPr>
      <w:r w:rsidRPr="009306D5">
        <w:rPr>
          <w:noProof/>
          <w:sz w:val="20"/>
          <w:szCs w:val="20"/>
        </w:rPr>
        <w:t>Käibemaksusüsteemi kohaselt on ELi-sisesed kaubatarned tarneliikmesriigis käibemaksust vabastatud, kui need tehakse teises liikmesriigis asuvale maksukohustuslasele. Liikmesriik, kus maksumaksja asub, arvestab sisendkäibemaksu. Seega peab iga maksukohustuslane, kes kaupa sel viisil võõrandab, saama kontrollida, kas tema teises liikmesriigis asuvad kliendid on maksukohustuslased ja neil on kehtiv käibemaksukohustuslasena registreerimise number.</w:t>
      </w:r>
    </w:p>
    <w:p w14:paraId="73478FB9" w14:textId="16E0AD5A" w:rsidR="005B15B7" w:rsidRPr="009306D5" w:rsidRDefault="005B15B7" w:rsidP="005B15B7">
      <w:pPr>
        <w:rPr>
          <w:rFonts w:cs="Times New Roman"/>
          <w:noProof/>
          <w:sz w:val="20"/>
        </w:rPr>
      </w:pPr>
      <w:r w:rsidRPr="009306D5">
        <w:rPr>
          <w:noProof/>
          <w:sz w:val="20"/>
        </w:rPr>
        <w:t>Selleks peab iga maksuhaldur elektroonilist andmebaasi, mis sisaldab liikmesriigis asuvate kauplejate käibemaksukohustuslasena registreerimise andmeid, sealhulgas käibemaksukohustuslasena registreerimise numbrit, kaupleja nime ja aadressi. Elektrooniline VIES loodi selleks, et võimaldada riiklikel maksuhalduritel vahetada andmeid ELi-siseste tarnete kohta. Maksumaksjad võivad külastada VIESi veebiandmebaasi, et saada kinnitust oma kaubanduspartnerite käibemaksukohustuslasena registreerimise numbrite kohta.</w:t>
      </w:r>
    </w:p>
    <w:p w14:paraId="1B61A212" w14:textId="2E35D734" w:rsidR="005B15B7" w:rsidRPr="009306D5" w:rsidRDefault="005B15B7" w:rsidP="7925FA3B">
      <w:pPr>
        <w:rPr>
          <w:rFonts w:cs="Times New Roman"/>
          <w:noProof/>
          <w:sz w:val="20"/>
          <w:szCs w:val="20"/>
        </w:rPr>
      </w:pPr>
      <w:r w:rsidRPr="009306D5">
        <w:rPr>
          <w:noProof/>
          <w:sz w:val="20"/>
          <w:szCs w:val="20"/>
        </w:rPr>
        <w:t>Selleks</w:t>
      </w:r>
      <w:r w:rsidR="009370F5" w:rsidRPr="009306D5">
        <w:rPr>
          <w:noProof/>
          <w:sz w:val="20"/>
          <w:szCs w:val="20"/>
        </w:rPr>
        <w:t xml:space="preserve"> </w:t>
      </w:r>
      <w:r w:rsidRPr="009306D5">
        <w:rPr>
          <w:noProof/>
          <w:sz w:val="20"/>
          <w:szCs w:val="20"/>
        </w:rPr>
        <w:t>et hinnata, mil määral on arvesse võetud soovitust süstemaatilisemalt kontrollida käibemaksukohustuslasena registreerimise andmete/VIESi sisestatud registreerimisandmete kehtivust, küsiti liikmesriikidelt, kas nad teevad pärast VIESis registreerimist järelkontrolli.</w:t>
      </w:r>
    </w:p>
    <w:p w14:paraId="0B935BBE" w14:textId="0E241689" w:rsidR="005B15B7" w:rsidRPr="009306D5" w:rsidRDefault="005B15B7" w:rsidP="00FE0EC3">
      <w:pPr>
        <w:pStyle w:val="Caption"/>
      </w:pPr>
      <w:bookmarkStart w:id="200" w:name="_Toc62138783"/>
      <w:bookmarkStart w:id="201" w:name="_Toc95816242"/>
      <w:r w:rsidRPr="009306D5">
        <w:t>Joonis </w:t>
      </w:r>
      <w:r w:rsidRPr="009306D5">
        <w:fldChar w:fldCharType="begin"/>
      </w:r>
      <w:r w:rsidRPr="009306D5">
        <w:instrText xml:space="preserve"> SEQ Figure \* ARABIC </w:instrText>
      </w:r>
      <w:r w:rsidRPr="009306D5">
        <w:fldChar w:fldCharType="separate"/>
      </w:r>
      <w:r w:rsidR="008A2E1E" w:rsidRPr="009306D5">
        <w:t>15</w:t>
      </w:r>
      <w:r w:rsidRPr="009306D5">
        <w:fldChar w:fldCharType="end"/>
      </w:r>
      <w:r w:rsidRPr="009306D5">
        <w:t>. VIESi registreerimisnumbrite järelkontroll ELi liikmesriikides</w:t>
      </w:r>
      <w:bookmarkEnd w:id="200"/>
      <w:bookmarkEnd w:id="201"/>
    </w:p>
    <w:p w14:paraId="2F333B47" w14:textId="632E89D2" w:rsidR="005B15B7" w:rsidRPr="009306D5" w:rsidRDefault="005B15B7" w:rsidP="00903D74">
      <w:pPr>
        <w:pStyle w:val="Question"/>
        <w:rPr>
          <w:noProof/>
        </w:rPr>
      </w:pPr>
      <w:r w:rsidRPr="009306D5">
        <w:rPr>
          <w:b/>
          <w:bCs/>
          <w:iCs/>
          <w:noProof/>
        </w:rPr>
        <w:t>a.</w:t>
      </w:r>
      <w:r w:rsidRPr="009306D5">
        <w:rPr>
          <w:noProof/>
        </w:rPr>
        <w:t xml:space="preserve"> Küsimus 3.12. „Kas pärast VIESis registreerimist viiakse läbi kehtivuse järelkontroll?“</w:t>
      </w:r>
    </w:p>
    <w:p w14:paraId="5B75CF8F" w14:textId="3303B2F9" w:rsidR="005B15B7" w:rsidRPr="009306D5" w:rsidRDefault="003F564B" w:rsidP="00EF59B5">
      <w:pPr>
        <w:pStyle w:val="FIgure"/>
        <w:rPr>
          <w:i/>
        </w:rPr>
      </w:pPr>
      <w:r w:rsidRPr="009306D5">
        <w:t xml:space="preserve"> </w:t>
      </w:r>
      <w:r w:rsidR="00C540C9" w:rsidRPr="009306D5">
        <w:rPr>
          <w:lang w:val="en-GB"/>
        </w:rPr>
        <w:drawing>
          <wp:inline distT="0" distB="0" distL="0" distR="0" wp14:anchorId="2FF5CD7B" wp14:editId="272786E1">
            <wp:extent cx="5760085" cy="1678940"/>
            <wp:effectExtent l="0" t="0" r="0" b="0"/>
            <wp:docPr id="30" name="Chart 30">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9306D5">
        <w:t xml:space="preserve"> </w:t>
      </w:r>
    </w:p>
    <w:p w14:paraId="51A886B3" w14:textId="75EC86EA" w:rsidR="005B15B7" w:rsidRPr="009306D5" w:rsidRDefault="005B15B7" w:rsidP="00903D74">
      <w:pPr>
        <w:pStyle w:val="Question"/>
        <w:rPr>
          <w:noProof/>
        </w:rPr>
      </w:pPr>
      <w:r w:rsidRPr="009306D5">
        <w:rPr>
          <w:b/>
          <w:bCs/>
          <w:noProof/>
        </w:rPr>
        <w:t>b.</w:t>
      </w:r>
      <w:r w:rsidRPr="009306D5">
        <w:rPr>
          <w:noProof/>
        </w:rPr>
        <w:t xml:space="preserve"> Küsimus 3.13. „Kas teie maksuhaldurid eemaldavad pettuse korral VIESi identifitseerimisnumbri VIESi süsteemist?“ </w:t>
      </w:r>
    </w:p>
    <w:p w14:paraId="4944747E" w14:textId="1630350A" w:rsidR="005B15B7" w:rsidRPr="009306D5" w:rsidRDefault="00C540C9" w:rsidP="00EF59B5">
      <w:pPr>
        <w:pStyle w:val="FIgure"/>
        <w:rPr>
          <w:i/>
          <w:sz w:val="20"/>
        </w:rPr>
      </w:pPr>
      <w:r w:rsidRPr="009306D5">
        <w:rPr>
          <w:lang w:val="en-GB"/>
        </w:rPr>
        <w:drawing>
          <wp:inline distT="0" distB="0" distL="0" distR="0" wp14:anchorId="526F711C" wp14:editId="3EDC8EAB">
            <wp:extent cx="5760085" cy="1959610"/>
            <wp:effectExtent l="0" t="0" r="0" b="2540"/>
            <wp:docPr id="28" name="Chart 28">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076EF4" w:rsidRPr="009306D5">
        <w:t xml:space="preserve"> </w:t>
      </w:r>
    </w:p>
    <w:p w14:paraId="6235DC17" w14:textId="77777777" w:rsidR="005B15B7" w:rsidRPr="009306D5" w:rsidRDefault="005B15B7" w:rsidP="005B15B7">
      <w:pPr>
        <w:pStyle w:val="Source"/>
        <w:rPr>
          <w:rFonts w:ascii="Times New Roman" w:hAnsi="Times New Roman"/>
          <w:i w:val="0"/>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474941C9" w14:textId="3251EE73" w:rsidR="005B15B7" w:rsidRPr="009306D5" w:rsidRDefault="005B15B7" w:rsidP="7925FA3B">
      <w:pPr>
        <w:rPr>
          <w:rFonts w:cs="Times New Roman"/>
          <w:noProof/>
          <w:sz w:val="20"/>
          <w:szCs w:val="20"/>
        </w:rPr>
      </w:pPr>
      <w:r w:rsidRPr="009306D5">
        <w:rPr>
          <w:noProof/>
          <w:sz w:val="20"/>
          <w:szCs w:val="20"/>
        </w:rPr>
        <w:t>Nõukogu määruse (EL) nr 904/2010 artikli 22 kohaselt on liikmesriigid kohustatud tegema registreerimisjärgseid kontrolle, kui enne registreerimist toimub vaid eelkontroll. Vaid väike osa liikmesriike (18 %) vastas, et nad ei kontrolli neid andmeid; eelmise aruande andmetel oli maksuhaldureid, kes ei rakendanud registreerimisjärgseid kontrollmenetlusi, üle 30 %.</w:t>
      </w:r>
    </w:p>
    <w:p w14:paraId="606D9748" w14:textId="77777777" w:rsidR="005B15B7" w:rsidRPr="009306D5" w:rsidRDefault="005B15B7" w:rsidP="005B15B7">
      <w:pPr>
        <w:rPr>
          <w:rFonts w:cs="Times New Roman"/>
          <w:noProof/>
          <w:sz w:val="20"/>
        </w:rPr>
      </w:pPr>
      <w:r w:rsidRPr="009306D5">
        <w:rPr>
          <w:noProof/>
          <w:sz w:val="20"/>
        </w:rPr>
        <w:t>Kahekümnes liikmesriigis kehtivad sätted, mis võimaldavad pettuse korral VIESi numbri eemaldada, mida komisjon peab heaks tavaks. Taani ja Küpros märkisid, et nad ei kontrolli VIESi numbri kehtivust pärast registreerimist ning Bulgaaria, Eesti, Poola, Slovakkia ja Soome teatasid, et nad ei eemalda VIESi numbreid pettuse korral. Saksamaa, Rootsi ja Ühendkuningriik märkisid, et nad ei kontrolli VIESi numbri kehtivust pärast registreerimist ega eemalda seda pettuse korral.</w:t>
      </w:r>
    </w:p>
    <w:p w14:paraId="67518822" w14:textId="77777777" w:rsidR="005B15B7" w:rsidRPr="009306D5" w:rsidRDefault="005B15B7" w:rsidP="005B15B7">
      <w:pPr>
        <w:rPr>
          <w:rFonts w:cs="Times New Roman"/>
          <w:noProof/>
          <w:sz w:val="20"/>
        </w:rPr>
      </w:pPr>
      <w:r w:rsidRPr="009306D5">
        <w:rPr>
          <w:noProof/>
          <w:sz w:val="20"/>
        </w:rPr>
        <w:t>Liikmesriikidel soovitatakse järgida enamuse eeskuju. Käibemaksusüsteem toetab ELi siseturgu ning käibemaksupettuste ahel on tavaliselt pikk ja hõlmab kahte või enamat riiki; mõnikord on vaja võtta meetmeid riigi kauplejate vastu, et vältida käibemaksupettuse „eksportimist“ teise liikmesriiki.</w:t>
      </w:r>
    </w:p>
    <w:p w14:paraId="1456242C" w14:textId="0E00B5FF" w:rsidR="00B1461C" w:rsidRPr="009306D5" w:rsidRDefault="005B15B7" w:rsidP="00FE0EC3">
      <w:pPr>
        <w:pStyle w:val="Recommendation"/>
      </w:pPr>
      <w:bookmarkStart w:id="202" w:name="_Toc95816198"/>
      <w:r w:rsidRPr="009306D5">
        <w:t xml:space="preserve">Soovitus </w:t>
      </w:r>
      <w:r w:rsidRPr="009306D5">
        <w:fldChar w:fldCharType="begin"/>
      </w:r>
      <w:r w:rsidRPr="009306D5">
        <w:instrText>SEQ Recommendation \* ARABIC</w:instrText>
      </w:r>
      <w:r w:rsidRPr="009306D5">
        <w:fldChar w:fldCharType="separate"/>
      </w:r>
      <w:bookmarkStart w:id="203" w:name="_Toc65778295"/>
      <w:bookmarkStart w:id="204" w:name="_Toc66116348"/>
      <w:r w:rsidR="008A2E1E" w:rsidRPr="009306D5">
        <w:t>10</w:t>
      </w:r>
      <w:r w:rsidRPr="009306D5">
        <w:fldChar w:fldCharType="end"/>
      </w:r>
      <w:r w:rsidRPr="009306D5">
        <w:t xml:space="preserve">. </w:t>
      </w:r>
      <w:bookmarkStart w:id="205" w:name="_Toc65673324"/>
      <w:r w:rsidRPr="009306D5">
        <w:t>Teha VIESi registreerimisnumbrite järelkontroll ja analüüsida VIESi numbri kehtivuse peatamise või numbri eemaldamise võimalust pettuse korral</w:t>
      </w:r>
      <w:bookmarkEnd w:id="205"/>
      <w:bookmarkEnd w:id="203"/>
      <w:bookmarkEnd w:id="204"/>
      <w:r w:rsidRPr="009306D5">
        <w:t>.</w:t>
      </w:r>
      <w:bookmarkEnd w:id="202"/>
    </w:p>
    <w:p w14:paraId="6862FCBF" w14:textId="5D11D61E" w:rsidR="005B15B7" w:rsidRPr="009306D5" w:rsidRDefault="005B15B7" w:rsidP="005B15B7">
      <w:pPr>
        <w:rPr>
          <w:rFonts w:cs="Times New Roman"/>
          <w:noProof/>
          <w:sz w:val="20"/>
        </w:rPr>
      </w:pPr>
      <w:r w:rsidRPr="009306D5">
        <w:rPr>
          <w:noProof/>
          <w:sz w:val="20"/>
        </w:rPr>
        <w:t>Edukas maksuhaldur peaks jälgima käibemaksukohustuslasena registreerimise protsessi ja hindama käibemaksunõuete täitmise meetmete tulemusi. IT-l on siinkohal väga oluline roll maksuhaldurite abistamisel andmete ristkontrollimisel, riskide tuvastamisel ja analüüsimisel. Seepärast tuleks registreerimisteave siduda muude IT-allsüsteemidega, mis on seotud deklaratsioonide esitamise ja maksu tasumise, kogumise ja auditeerimisega, ning koostada otsustusprotsessi toetav juhtimisteave.</w:t>
      </w:r>
    </w:p>
    <w:p w14:paraId="38872752" w14:textId="711988F5" w:rsidR="005B15B7" w:rsidRPr="009306D5" w:rsidRDefault="005B15B7" w:rsidP="00FE0EC3">
      <w:pPr>
        <w:pStyle w:val="Caption"/>
      </w:pPr>
      <w:bookmarkStart w:id="206" w:name="_Toc95816243"/>
      <w:r w:rsidRPr="009306D5">
        <w:t>Joonis </w:t>
      </w:r>
      <w:r w:rsidRPr="009306D5">
        <w:fldChar w:fldCharType="begin"/>
      </w:r>
      <w:r w:rsidRPr="009306D5">
        <w:instrText xml:space="preserve"> SEQ Figure \* ARABIC </w:instrText>
      </w:r>
      <w:r w:rsidRPr="009306D5">
        <w:fldChar w:fldCharType="separate"/>
      </w:r>
      <w:r w:rsidR="008A2E1E" w:rsidRPr="009306D5">
        <w:t>16</w:t>
      </w:r>
      <w:r w:rsidRPr="009306D5">
        <w:fldChar w:fldCharType="end"/>
      </w:r>
      <w:r w:rsidRPr="009306D5">
        <w:t>. Registreerimise IT-allsüsteemi põhikomponentide analüüs</w:t>
      </w:r>
      <w:bookmarkEnd w:id="206"/>
    </w:p>
    <w:p w14:paraId="33FC38E6" w14:textId="02D372C9" w:rsidR="005B15B7" w:rsidRPr="009306D5" w:rsidRDefault="00B538AC" w:rsidP="00EF59B5">
      <w:pPr>
        <w:pStyle w:val="FIgure"/>
      </w:pPr>
      <w:r w:rsidRPr="009306D5">
        <w:rPr>
          <w:lang w:val="en-GB"/>
        </w:rPr>
        <w:drawing>
          <wp:inline distT="0" distB="0" distL="0" distR="0" wp14:anchorId="04E72BB7" wp14:editId="3330B464">
            <wp:extent cx="5760085" cy="3877310"/>
            <wp:effectExtent l="0" t="0" r="0" b="8890"/>
            <wp:docPr id="225" name="Chart 225">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DE54FD" w:rsidRPr="009306D5">
        <w:t xml:space="preserve"> </w:t>
      </w:r>
    </w:p>
    <w:p w14:paraId="6E1FADAA" w14:textId="77777777" w:rsidR="005B15B7" w:rsidRPr="009306D5" w:rsidRDefault="005B15B7" w:rsidP="005B15B7">
      <w:pPr>
        <w:pStyle w:val="Source"/>
        <w:rPr>
          <w:rFonts w:ascii="Times New Roman" w:hAnsi="Times New Roman"/>
          <w:i w:val="0"/>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505631FE" w14:textId="759D5E40" w:rsidR="005B15B7" w:rsidRPr="009306D5" w:rsidRDefault="005B15B7" w:rsidP="005B15B7">
      <w:pPr>
        <w:rPr>
          <w:rFonts w:cs="Times New Roman"/>
          <w:noProof/>
          <w:sz w:val="20"/>
        </w:rPr>
      </w:pPr>
      <w:r w:rsidRPr="009306D5">
        <w:rPr>
          <w:noProof/>
          <w:sz w:val="20"/>
        </w:rPr>
        <w:t>Kuna komisjon ei saa otseselt hinnata sisemiste allsüsteemide omavahelist seotust, küsiti liikmesriikidelt, kas nende maksuhaldurite kasutatav käibemaksukohustuslasena registreerimise IT-allsüsteem on liidestatud teiste IT-allsüsteemidega. Enamik (90 %) kinnitas, et see on nii; ainult Tšehhis, Eestis, Küprosel ja Maltal sellised liidesed puuduvad.</w:t>
      </w:r>
    </w:p>
    <w:p w14:paraId="15C8B205" w14:textId="77777777" w:rsidR="005B15B7" w:rsidRPr="009306D5" w:rsidRDefault="005B15B7" w:rsidP="005B15B7">
      <w:pPr>
        <w:rPr>
          <w:rFonts w:cs="Times New Roman"/>
          <w:noProof/>
          <w:sz w:val="20"/>
        </w:rPr>
      </w:pPr>
      <w:r w:rsidRPr="009306D5">
        <w:rPr>
          <w:noProof/>
          <w:sz w:val="20"/>
        </w:rPr>
        <w:t>Lisaks vastasid Taani, Eesti, Iirimaa, Kreeka ja Horvaatia „jah“ enamikule küsimustele, mille eesmärk oli teha kindlaks tõhusa käibemaksu deklareerimise ja menetlemise IT-allsüsteemi olemasolu, samas kui Bulgaaria, Tšehhi, Itaalia, Malta, Madalmaad ja Poola märkisid, et neil on kasutusel vähemate komponentidega süsteem.</w:t>
      </w:r>
    </w:p>
    <w:p w14:paraId="4F622E00" w14:textId="7CFC26AC" w:rsidR="005B15B7" w:rsidRPr="009306D5" w:rsidRDefault="005B15B7" w:rsidP="00FE0EC3">
      <w:pPr>
        <w:pStyle w:val="Recommendation"/>
      </w:pPr>
      <w:bookmarkStart w:id="207" w:name="_Toc95816199"/>
      <w:r w:rsidRPr="009306D5">
        <w:t xml:space="preserve">Soovitus </w:t>
      </w:r>
      <w:r w:rsidRPr="009306D5">
        <w:fldChar w:fldCharType="begin"/>
      </w:r>
      <w:r w:rsidRPr="009306D5">
        <w:instrText>SEQ Recommendation \* ARABIC</w:instrText>
      </w:r>
      <w:r w:rsidRPr="009306D5">
        <w:fldChar w:fldCharType="separate"/>
      </w:r>
      <w:bookmarkStart w:id="208" w:name="_Toc65778296"/>
      <w:bookmarkStart w:id="209" w:name="_Toc66116349"/>
      <w:r w:rsidR="008A2E1E" w:rsidRPr="009306D5">
        <w:t>11</w:t>
      </w:r>
      <w:r w:rsidRPr="009306D5">
        <w:fldChar w:fldCharType="end"/>
      </w:r>
      <w:r w:rsidRPr="009306D5">
        <w:t xml:space="preserve">. </w:t>
      </w:r>
      <w:bookmarkStart w:id="210" w:name="_Toc65673325"/>
      <w:r w:rsidRPr="009306D5">
        <w:t>Siduda registreerimise IT-infosüsteem teiste maksuhalduri allsüsteemidega, nagu deklaratsioonide esitamise ja maksu tasumise, kogumise ja auditeerimise süsteemid</w:t>
      </w:r>
      <w:bookmarkEnd w:id="210"/>
      <w:bookmarkEnd w:id="208"/>
      <w:bookmarkEnd w:id="209"/>
      <w:r w:rsidRPr="009306D5">
        <w:t>.</w:t>
      </w:r>
      <w:bookmarkEnd w:id="207"/>
    </w:p>
    <w:p w14:paraId="048B9B15" w14:textId="77777777" w:rsidR="005B15B7" w:rsidRPr="009306D5" w:rsidRDefault="005B15B7" w:rsidP="005B15B7">
      <w:pPr>
        <w:rPr>
          <w:rFonts w:cs="Times New Roman"/>
          <w:noProof/>
          <w:sz w:val="20"/>
        </w:rPr>
      </w:pPr>
      <w:r w:rsidRPr="009306D5">
        <w:rPr>
          <w:noProof/>
          <w:sz w:val="20"/>
        </w:rPr>
        <w:t>Registreerimise hea tava osas on üldine tähelepanek, et liikmesriigid kalduvad liikuma integreeritud riskihindamissüsteemi poole ja looma veebipõhise kasutajaliidese, mille kaudu maksumaksjad saavad viivitamata teatada oma andmete mis tahes muutustest.</w:t>
      </w:r>
    </w:p>
    <w:p w14:paraId="7AC92960" w14:textId="119B15DE" w:rsidR="005B15B7" w:rsidRPr="009306D5" w:rsidRDefault="005B15B7" w:rsidP="00FE0EC3">
      <w:pPr>
        <w:pStyle w:val="Recommendation"/>
      </w:pPr>
      <w:bookmarkStart w:id="211" w:name="_Toc95816200"/>
      <w:r w:rsidRPr="009306D5">
        <w:t xml:space="preserve">Soovitus </w:t>
      </w:r>
      <w:r w:rsidRPr="009306D5">
        <w:fldChar w:fldCharType="begin"/>
      </w:r>
      <w:r w:rsidRPr="009306D5">
        <w:instrText>SEQ Recommendation \* ARABIC</w:instrText>
      </w:r>
      <w:r w:rsidRPr="009306D5">
        <w:fldChar w:fldCharType="separate"/>
      </w:r>
      <w:bookmarkStart w:id="212" w:name="_Toc65778297"/>
      <w:bookmarkStart w:id="213" w:name="_Toc66116350"/>
      <w:r w:rsidR="008A2E1E" w:rsidRPr="009306D5">
        <w:t>12</w:t>
      </w:r>
      <w:r w:rsidRPr="009306D5">
        <w:fldChar w:fldCharType="end"/>
      </w:r>
      <w:r w:rsidRPr="009306D5">
        <w:t xml:space="preserve">. </w:t>
      </w:r>
      <w:bookmarkStart w:id="214" w:name="_Toc65673326"/>
      <w:r w:rsidRPr="009306D5">
        <w:t>Võimaldada käibemaksukohustuslastel oma käibemaksuandmetele juurde pääseda, neid visualiseerida ja muuta turvalise veebiühenduse kaudu</w:t>
      </w:r>
      <w:bookmarkEnd w:id="214"/>
      <w:bookmarkEnd w:id="212"/>
      <w:bookmarkEnd w:id="213"/>
      <w:r w:rsidRPr="009306D5">
        <w:t>.</w:t>
      </w:r>
      <w:bookmarkEnd w:id="211"/>
    </w:p>
    <w:p w14:paraId="12454349" w14:textId="77777777" w:rsidR="005B15B7" w:rsidRPr="009306D5" w:rsidRDefault="005B15B7" w:rsidP="000D13AA">
      <w:pPr>
        <w:pStyle w:val="Heading1"/>
        <w:numPr>
          <w:ilvl w:val="0"/>
          <w:numId w:val="35"/>
        </w:numPr>
        <w:rPr>
          <w:noProof/>
        </w:rPr>
      </w:pPr>
      <w:bookmarkStart w:id="215" w:name="_Toc62138826"/>
      <w:bookmarkStart w:id="216" w:name="_Toc65836450"/>
      <w:bookmarkStart w:id="217" w:name="_Toc66116391"/>
      <w:bookmarkStart w:id="218" w:name="_Toc66202060"/>
      <w:bookmarkStart w:id="219" w:name="_Toc67414237"/>
      <w:bookmarkStart w:id="220" w:name="_Toc67415163"/>
      <w:bookmarkStart w:id="221" w:name="_Toc67415328"/>
      <w:bookmarkStart w:id="222" w:name="_Toc67415608"/>
      <w:bookmarkStart w:id="223" w:name="_Toc67415886"/>
      <w:bookmarkStart w:id="224" w:name="_Toc69994929"/>
      <w:bookmarkStart w:id="225" w:name="_Toc82790280"/>
      <w:bookmarkStart w:id="226" w:name="_Toc82792849"/>
      <w:bookmarkStart w:id="227" w:name="_Toc90291244"/>
      <w:bookmarkStart w:id="228" w:name="_Toc95812958"/>
      <w:r w:rsidRPr="009306D5">
        <w:rPr>
          <w:noProof/>
        </w:rPr>
        <w:t xml:space="preserve">Käibemaks, infotehnoloogia </w:t>
      </w:r>
      <w:bookmarkEnd w:id="215"/>
      <w:bookmarkEnd w:id="216"/>
      <w:bookmarkEnd w:id="217"/>
      <w:bookmarkEnd w:id="218"/>
      <w:bookmarkEnd w:id="219"/>
      <w:bookmarkEnd w:id="220"/>
      <w:bookmarkEnd w:id="221"/>
      <w:bookmarkEnd w:id="222"/>
      <w:bookmarkEnd w:id="223"/>
      <w:r w:rsidRPr="009306D5">
        <w:rPr>
          <w:noProof/>
        </w:rPr>
        <w:t>ja uued tehnoloogiad</w:t>
      </w:r>
      <w:bookmarkStart w:id="229" w:name="_Toc57740021"/>
      <w:bookmarkStart w:id="230" w:name="_Toc57740054"/>
      <w:bookmarkStart w:id="231" w:name="_Toc57740750"/>
      <w:bookmarkStart w:id="232" w:name="_Toc58240843"/>
      <w:bookmarkStart w:id="233" w:name="_Toc58340849"/>
      <w:bookmarkStart w:id="234" w:name="_Toc60924347"/>
      <w:bookmarkStart w:id="235" w:name="_Toc60924406"/>
      <w:bookmarkStart w:id="236" w:name="_Toc60927281"/>
      <w:bookmarkStart w:id="237" w:name="_Toc61340144"/>
      <w:bookmarkStart w:id="238" w:name="_Toc61627334"/>
      <w:bookmarkStart w:id="239" w:name="_Toc61630129"/>
      <w:bookmarkStart w:id="240" w:name="_Toc61863636"/>
      <w:bookmarkStart w:id="241" w:name="_Toc61889371"/>
      <w:bookmarkStart w:id="242" w:name="_Toc61948310"/>
      <w:bookmarkStart w:id="243" w:name="_Toc61948927"/>
      <w:bookmarkStart w:id="244" w:name="_Toc61948969"/>
      <w:bookmarkStart w:id="245" w:name="_Toc61949057"/>
      <w:bookmarkStart w:id="246" w:name="_Toc61949098"/>
      <w:bookmarkStart w:id="247" w:name="_Toc61949139"/>
      <w:bookmarkStart w:id="248" w:name="_Toc61949305"/>
      <w:bookmarkStart w:id="249" w:name="_Toc61949402"/>
      <w:bookmarkStart w:id="250" w:name="_Toc61949572"/>
      <w:bookmarkStart w:id="251" w:name="_Toc61949788"/>
      <w:bookmarkStart w:id="252" w:name="_Toc61949829"/>
      <w:bookmarkStart w:id="253" w:name="_Toc61949870"/>
      <w:bookmarkStart w:id="254" w:name="_Toc61963472"/>
      <w:bookmarkStart w:id="255" w:name="_Toc61969117"/>
      <w:bookmarkStart w:id="256" w:name="_Toc61970392"/>
      <w:bookmarkStart w:id="257" w:name="_Toc61976271"/>
      <w:bookmarkStart w:id="258" w:name="_Toc62113218"/>
      <w:bookmarkStart w:id="259" w:name="_Toc62113261"/>
      <w:bookmarkStart w:id="260" w:name="_Toc62124834"/>
      <w:bookmarkStart w:id="261" w:name="_Toc62128482"/>
      <w:bookmarkStart w:id="262" w:name="_Toc62131533"/>
      <w:bookmarkStart w:id="263" w:name="_Toc62138827"/>
      <w:bookmarkStart w:id="264" w:name="_Toc62139022"/>
      <w:bookmarkStart w:id="265" w:name="_Toc62139444"/>
      <w:bookmarkStart w:id="266" w:name="_Toc62144714"/>
      <w:bookmarkStart w:id="267" w:name="_Toc62240816"/>
      <w:bookmarkStart w:id="268" w:name="_Toc62240856"/>
      <w:bookmarkStart w:id="269" w:name="_Toc62240898"/>
      <w:bookmarkStart w:id="270" w:name="_Toc62241392"/>
      <w:bookmarkStart w:id="271" w:name="_Toc62560368"/>
      <w:bookmarkStart w:id="272" w:name="_Toc62560503"/>
      <w:bookmarkStart w:id="273" w:name="_Toc62561088"/>
      <w:bookmarkStart w:id="274" w:name="_Toc62562461"/>
      <w:bookmarkStart w:id="275" w:name="_Toc62562608"/>
      <w:bookmarkStart w:id="276" w:name="_Toc62563184"/>
      <w:bookmarkStart w:id="277" w:name="_Toc62563359"/>
      <w:bookmarkStart w:id="278" w:name="_Toc62575954"/>
      <w:bookmarkStart w:id="279" w:name="_Toc62576171"/>
      <w:bookmarkStart w:id="280" w:name="_Toc62576277"/>
      <w:bookmarkStart w:id="281" w:name="_Toc62578466"/>
      <w:bookmarkStart w:id="282" w:name="_Toc62654889"/>
      <w:bookmarkStart w:id="283" w:name="_Toc63325352"/>
      <w:bookmarkStart w:id="284" w:name="_Toc63350823"/>
      <w:bookmarkStart w:id="285" w:name="_Toc63417336"/>
      <w:bookmarkStart w:id="286" w:name="_Toc63693600"/>
      <w:bookmarkStart w:id="287" w:name="_Toc63870347"/>
      <w:bookmarkStart w:id="288" w:name="_Toc63945630"/>
      <w:bookmarkStart w:id="289" w:name="_Toc63945725"/>
      <w:bookmarkStart w:id="290" w:name="_Toc63946004"/>
      <w:bookmarkStart w:id="291" w:name="_Toc64048496"/>
      <w:bookmarkStart w:id="292" w:name="_Toc64049205"/>
      <w:bookmarkStart w:id="293" w:name="_Toc64275452"/>
      <w:bookmarkStart w:id="294" w:name="_Toc64283977"/>
      <w:bookmarkStart w:id="295" w:name="_Toc65773629"/>
      <w:bookmarkStart w:id="296" w:name="_Toc65773671"/>
      <w:bookmarkStart w:id="297" w:name="_Toc65773747"/>
      <w:bookmarkStart w:id="298" w:name="_Toc65774408"/>
      <w:bookmarkStart w:id="299" w:name="_Toc65774611"/>
      <w:bookmarkStart w:id="300" w:name="_Toc65774702"/>
      <w:bookmarkStart w:id="301" w:name="_Toc65776854"/>
      <w:bookmarkStart w:id="302" w:name="_Toc65836451"/>
      <w:bookmarkStart w:id="303" w:name="_Toc65858308"/>
      <w:bookmarkStart w:id="304" w:name="_Toc66113612"/>
      <w:bookmarkStart w:id="305" w:name="_Toc66113756"/>
      <w:bookmarkStart w:id="306" w:name="_Toc66114047"/>
      <w:bookmarkStart w:id="307" w:name="_Toc66114937"/>
      <w:bookmarkStart w:id="308" w:name="_Toc66115055"/>
      <w:bookmarkStart w:id="309" w:name="_Toc66115148"/>
      <w:bookmarkStart w:id="310" w:name="_Toc66115202"/>
      <w:bookmarkStart w:id="311" w:name="_Toc66115331"/>
      <w:bookmarkStart w:id="312" w:name="_Toc66115830"/>
      <w:bookmarkStart w:id="313" w:name="_Toc66116013"/>
      <w:bookmarkStart w:id="314" w:name="_Toc66116068"/>
      <w:bookmarkStart w:id="315" w:name="_Toc66116124"/>
      <w:bookmarkStart w:id="316" w:name="_Toc66116179"/>
      <w:bookmarkStart w:id="317" w:name="_Toc66116234"/>
      <w:bookmarkStart w:id="318" w:name="_Toc66116289"/>
      <w:bookmarkStart w:id="319" w:name="_Toc66116392"/>
      <w:bookmarkStart w:id="320" w:name="_Toc66117322"/>
      <w:bookmarkStart w:id="321" w:name="_Toc66117376"/>
      <w:bookmarkStart w:id="322" w:name="_Toc66117431"/>
      <w:bookmarkStart w:id="323" w:name="_Toc66199703"/>
      <w:bookmarkStart w:id="324" w:name="_Toc66201242"/>
      <w:bookmarkStart w:id="325" w:name="_Toc66200756"/>
      <w:bookmarkStart w:id="326" w:name="_Toc66201296"/>
      <w:bookmarkStart w:id="327" w:name="_Toc66201350"/>
      <w:bookmarkStart w:id="328" w:name="_Toc66201404"/>
      <w:bookmarkStart w:id="329" w:name="_Toc66201458"/>
      <w:bookmarkStart w:id="330" w:name="_Toc66201512"/>
      <w:bookmarkStart w:id="331" w:name="_Toc66201611"/>
      <w:bookmarkStart w:id="332" w:name="_Toc66201665"/>
      <w:bookmarkStart w:id="333" w:name="_Toc66202061"/>
      <w:bookmarkStart w:id="334" w:name="_Toc66202115"/>
      <w:bookmarkStart w:id="335" w:name="_Toc66202771"/>
      <w:bookmarkStart w:id="336" w:name="_Toc66204839"/>
      <w:bookmarkStart w:id="337" w:name="_Toc66729429"/>
      <w:bookmarkStart w:id="338" w:name="_Toc66881501"/>
      <w:bookmarkStart w:id="339" w:name="_Toc66881724"/>
      <w:bookmarkStart w:id="340" w:name="_Toc67413915"/>
      <w:bookmarkStart w:id="341" w:name="_Toc67413967"/>
      <w:bookmarkStart w:id="342" w:name="_Toc67414019"/>
      <w:bookmarkStart w:id="343" w:name="_Toc67414091"/>
      <w:bookmarkStart w:id="344" w:name="_Toc67414164"/>
      <w:bookmarkStart w:id="345" w:name="_Toc67414238"/>
      <w:bookmarkStart w:id="346" w:name="_Toc67414293"/>
      <w:bookmarkStart w:id="347" w:name="_Toc67414346"/>
      <w:bookmarkStart w:id="348" w:name="_Toc67414405"/>
      <w:bookmarkStart w:id="349" w:name="_Toc67414458"/>
      <w:bookmarkStart w:id="350" w:name="_Toc67414511"/>
      <w:bookmarkStart w:id="351" w:name="_Toc67414565"/>
      <w:bookmarkStart w:id="352" w:name="_Toc67414639"/>
      <w:bookmarkStart w:id="353" w:name="_Toc67414693"/>
      <w:bookmarkStart w:id="354" w:name="_Toc67414746"/>
      <w:bookmarkStart w:id="355" w:name="_Toc67414820"/>
      <w:bookmarkStart w:id="356" w:name="_Toc67414879"/>
      <w:bookmarkStart w:id="357" w:name="_Toc67414932"/>
      <w:bookmarkStart w:id="358" w:name="_Toc67415164"/>
      <w:bookmarkStart w:id="359" w:name="_Toc67415329"/>
      <w:bookmarkStart w:id="360" w:name="_Toc67415507"/>
      <w:bookmarkStart w:id="361" w:name="_Toc67415609"/>
      <w:bookmarkStart w:id="362" w:name="_Toc69834456"/>
      <w:bookmarkStart w:id="363" w:name="_Toc69895383"/>
      <w:bookmarkStart w:id="364" w:name="_Toc69908446"/>
      <w:bookmarkStart w:id="365" w:name="_Toc69993195"/>
      <w:bookmarkStart w:id="366" w:name="_Toc69993812"/>
      <w:bookmarkStart w:id="367" w:name="_Toc69994930"/>
      <w:bookmarkEnd w:id="224"/>
      <w:bookmarkEnd w:id="225"/>
      <w:bookmarkEnd w:id="226"/>
      <w:bookmarkEnd w:id="227"/>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228"/>
    </w:p>
    <w:p w14:paraId="0633014B" w14:textId="77777777" w:rsidR="005B15B7" w:rsidRPr="009306D5" w:rsidRDefault="005B15B7" w:rsidP="000D13AA">
      <w:pPr>
        <w:pStyle w:val="Heading2"/>
        <w:numPr>
          <w:ilvl w:val="1"/>
          <w:numId w:val="29"/>
        </w:numPr>
        <w:rPr>
          <w:noProof/>
        </w:rPr>
      </w:pPr>
      <w:bookmarkStart w:id="368" w:name="_Toc62138828"/>
      <w:bookmarkStart w:id="369" w:name="_Toc65836452"/>
      <w:bookmarkStart w:id="370" w:name="_Toc66116393"/>
      <w:bookmarkStart w:id="371" w:name="_Toc66202062"/>
      <w:bookmarkStart w:id="372" w:name="_Toc67414239"/>
      <w:bookmarkStart w:id="373" w:name="_Toc67415165"/>
      <w:bookmarkStart w:id="374" w:name="_Toc67415330"/>
      <w:bookmarkStart w:id="375" w:name="_Toc67415610"/>
      <w:bookmarkStart w:id="376" w:name="_Toc67415887"/>
      <w:bookmarkStart w:id="377" w:name="_Toc69994931"/>
      <w:bookmarkStart w:id="378" w:name="_Toc82790281"/>
      <w:bookmarkStart w:id="379" w:name="_Toc82792850"/>
      <w:bookmarkStart w:id="380" w:name="_Toc90291245"/>
      <w:bookmarkStart w:id="381" w:name="_Toc95812959"/>
      <w:r w:rsidRPr="009306D5">
        <w:rPr>
          <w:noProof/>
        </w:rPr>
        <w:t>E-kaubandus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6DC54F71" w14:textId="1050244D" w:rsidR="005B15B7" w:rsidRPr="009306D5" w:rsidRDefault="005B15B7" w:rsidP="005B15B7">
      <w:pPr>
        <w:rPr>
          <w:rFonts w:cs="Times New Roman"/>
          <w:noProof/>
          <w:sz w:val="20"/>
        </w:rPr>
      </w:pPr>
      <w:r w:rsidRPr="009306D5">
        <w:rPr>
          <w:noProof/>
          <w:sz w:val="20"/>
        </w:rPr>
        <w:t>E-kaubandus muudab kaubanduse kättesaadavamaks, kuid pakub ka teatavaid pettusevõimalusi. Euroopa Kontrollikoda märkis, et „paljud käibemaksu [...] kogumise probleemid vajavad lahendamist,“ ning palus komisjonil jälgida „ELi-sisese kaupade kaugmüügi ja väikese ühtse kontaktpunkti süsteemi (MOSS) toimimist“.</w:t>
      </w:r>
      <w:r w:rsidRPr="009306D5">
        <w:rPr>
          <w:rStyle w:val="FootnoteReference"/>
          <w:rFonts w:cs="Times New Roman"/>
          <w:noProof/>
          <w:sz w:val="20"/>
        </w:rPr>
        <w:footnoteReference w:id="17"/>
      </w:r>
    </w:p>
    <w:p w14:paraId="4585A0E8" w14:textId="77777777" w:rsidR="005B15B7" w:rsidRPr="009306D5" w:rsidRDefault="005B15B7" w:rsidP="005B15B7">
      <w:pPr>
        <w:rPr>
          <w:rFonts w:cs="Times New Roman"/>
          <w:noProof/>
          <w:sz w:val="20"/>
        </w:rPr>
      </w:pPr>
      <w:r w:rsidRPr="009306D5">
        <w:rPr>
          <w:noProof/>
          <w:sz w:val="20"/>
        </w:rPr>
        <w:t>Maksuhaldurid peaksid teadma oma maksumaksjaid ja pidama arvestust ettevõtjate kohta, kes müüvad klientidele kaupu ja teenuseid internetis (ettevõtjalt tarbijale). Siiski kinnitasid ainult pooled liikmesriigid (Belgia, Bulgaaria, Tšehhi, Taani, Iirimaa, Kreeka, Itaalia, Küpros, Läti, Leedu, Luksemburg, Ungari, Austria ja Slovakkia), et nad peavad arvet internetis kaupu või teenuseid müüvate käibemaksukohustuslasena registreeritud maksumaksjate üle.</w:t>
      </w:r>
    </w:p>
    <w:p w14:paraId="327AABB0" w14:textId="62230F49" w:rsidR="005B15B7" w:rsidRPr="009306D5" w:rsidRDefault="005B15B7" w:rsidP="00FE0EC3">
      <w:pPr>
        <w:pStyle w:val="Caption"/>
      </w:pPr>
      <w:bookmarkStart w:id="382" w:name="_Toc62138784"/>
      <w:bookmarkStart w:id="383" w:name="_Toc95816244"/>
      <w:r w:rsidRPr="009306D5">
        <w:t>Joonis </w:t>
      </w:r>
      <w:r w:rsidRPr="009306D5">
        <w:fldChar w:fldCharType="begin"/>
      </w:r>
      <w:r w:rsidRPr="009306D5">
        <w:instrText xml:space="preserve"> SEQ Figure \* ARABIC </w:instrText>
      </w:r>
      <w:r w:rsidRPr="009306D5">
        <w:fldChar w:fldCharType="separate"/>
      </w:r>
      <w:r w:rsidR="008A2E1E" w:rsidRPr="009306D5">
        <w:t>17</w:t>
      </w:r>
      <w:r w:rsidRPr="009306D5">
        <w:fldChar w:fldCharType="end"/>
      </w:r>
      <w:r w:rsidRPr="009306D5">
        <w:t>. Liikmesriigid, kes peavad arvet internetis kaupu või teenuseid müüvate käibemaksukohustuslasena registreeritud maksumaksjate üle</w:t>
      </w:r>
      <w:bookmarkEnd w:id="382"/>
      <w:bookmarkEnd w:id="383"/>
    </w:p>
    <w:p w14:paraId="1946AAAB" w14:textId="6D8D6AEC" w:rsidR="001F219C" w:rsidRPr="009306D5" w:rsidRDefault="001F219C" w:rsidP="00DE54FD">
      <w:pPr>
        <w:pStyle w:val="Question"/>
        <w:rPr>
          <w:noProof/>
        </w:rPr>
      </w:pPr>
      <w:r w:rsidRPr="009306D5">
        <w:rPr>
          <w:noProof/>
        </w:rPr>
        <w:t>Küsimus 3.14. „Kas teie maksuhaldurid peavad arvet internetis kaupu või teenuseid müüvate käibemaksukohustuslasena registreeritud maksumaksjate üle?“</w:t>
      </w:r>
    </w:p>
    <w:p w14:paraId="27195CC0" w14:textId="5650D90B" w:rsidR="005B15B7" w:rsidRPr="009306D5" w:rsidRDefault="00B538AC" w:rsidP="00EF59B5">
      <w:pPr>
        <w:pStyle w:val="FIgure"/>
        <w:rPr>
          <w:sz w:val="20"/>
        </w:rPr>
      </w:pPr>
      <w:r w:rsidRPr="009306D5">
        <w:rPr>
          <w:lang w:val="en-GB"/>
        </w:rPr>
        <w:drawing>
          <wp:inline distT="0" distB="0" distL="0" distR="0" wp14:anchorId="76A370A2" wp14:editId="71AE4D95">
            <wp:extent cx="5760085" cy="1483360"/>
            <wp:effectExtent l="0" t="0" r="0" b="2540"/>
            <wp:docPr id="227" name="Chart 227">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B43BD" w:rsidRPr="009306D5">
        <w:t xml:space="preserve"> </w:t>
      </w:r>
    </w:p>
    <w:p w14:paraId="1307F51D"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33531853" w14:textId="77777777" w:rsidR="005B15B7" w:rsidRPr="009306D5" w:rsidRDefault="005B15B7" w:rsidP="005B15B7">
      <w:pPr>
        <w:rPr>
          <w:rFonts w:cs="Times New Roman"/>
          <w:noProof/>
          <w:sz w:val="20"/>
        </w:rPr>
      </w:pPr>
      <w:r w:rsidRPr="009306D5">
        <w:rPr>
          <w:noProof/>
          <w:sz w:val="20"/>
        </w:rPr>
        <w:t>Lisaks on e-kaubanduses osalevate maksumaksjate arv (või hinnanguline arv) väga erinev, ulatudes enam kui 10 000 maksumaksjast Bulgaarias, Tšehhis, Kreekas ja Lätis kuni vähem kui 100 maksumaksjani Itaalias (71), Belgias (25) ja Austrias (5).</w:t>
      </w:r>
    </w:p>
    <w:p w14:paraId="15D90A3D" w14:textId="283D0A25" w:rsidR="005B15B7" w:rsidRPr="009306D5" w:rsidRDefault="005B15B7" w:rsidP="00FE0EC3">
      <w:pPr>
        <w:pStyle w:val="Recommendation"/>
      </w:pPr>
      <w:bookmarkStart w:id="384" w:name="_Toc95816201"/>
      <w:bookmarkStart w:id="385" w:name="_Toc65673327"/>
      <w:r w:rsidRPr="009306D5">
        <w:t xml:space="preserve">Soovitus </w:t>
      </w:r>
      <w:r w:rsidRPr="009306D5">
        <w:fldChar w:fldCharType="begin"/>
      </w:r>
      <w:r w:rsidRPr="009306D5">
        <w:instrText>SEQ Recommendation \* ARABIC</w:instrText>
      </w:r>
      <w:r w:rsidRPr="009306D5">
        <w:fldChar w:fldCharType="separate"/>
      </w:r>
      <w:bookmarkStart w:id="386" w:name="_Toc65778298"/>
      <w:bookmarkStart w:id="387" w:name="_Toc66116351"/>
      <w:r w:rsidR="008A2E1E" w:rsidRPr="009306D5">
        <w:t>13</w:t>
      </w:r>
      <w:r w:rsidRPr="009306D5">
        <w:fldChar w:fldCharType="end"/>
      </w:r>
      <w:r w:rsidRPr="009306D5">
        <w:t>. Luua e-kaubanduse maksumaksjate register või seda pidada</w:t>
      </w:r>
      <w:bookmarkEnd w:id="386"/>
      <w:bookmarkEnd w:id="387"/>
      <w:r w:rsidRPr="009306D5">
        <w:t>.</w:t>
      </w:r>
      <w:bookmarkEnd w:id="384"/>
    </w:p>
    <w:p w14:paraId="426A70B8" w14:textId="67137380" w:rsidR="005B15B7" w:rsidRPr="009306D5" w:rsidRDefault="005B15B7" w:rsidP="000D13AA">
      <w:pPr>
        <w:pStyle w:val="Heading2"/>
        <w:numPr>
          <w:ilvl w:val="1"/>
          <w:numId w:val="29"/>
        </w:numPr>
        <w:rPr>
          <w:noProof/>
        </w:rPr>
      </w:pPr>
      <w:bookmarkStart w:id="388" w:name="_Toc62138829"/>
      <w:bookmarkStart w:id="389" w:name="_Toc65836453"/>
      <w:bookmarkStart w:id="390" w:name="_Toc66116394"/>
      <w:bookmarkStart w:id="391" w:name="_Toc66202063"/>
      <w:bookmarkStart w:id="392" w:name="_Toc67414240"/>
      <w:bookmarkStart w:id="393" w:name="_Toc67415166"/>
      <w:bookmarkStart w:id="394" w:name="_Toc67415331"/>
      <w:bookmarkStart w:id="395" w:name="_Toc67415611"/>
      <w:bookmarkStart w:id="396" w:name="_Toc67415888"/>
      <w:bookmarkStart w:id="397" w:name="_Toc69994932"/>
      <w:bookmarkStart w:id="398" w:name="_Toc82790282"/>
      <w:bookmarkStart w:id="399" w:name="_Toc82792851"/>
      <w:bookmarkStart w:id="400" w:name="_Toc90291246"/>
      <w:bookmarkStart w:id="401" w:name="_Toc95812960"/>
      <w:bookmarkEnd w:id="385"/>
      <w:r w:rsidRPr="009306D5">
        <w:rPr>
          <w:noProof/>
        </w:rPr>
        <w:t>Väike ühe akna süsteem (MOSS)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08732348" w14:textId="41D9597A" w:rsidR="005B15B7" w:rsidRPr="009306D5" w:rsidRDefault="005B15B7" w:rsidP="005B15B7">
      <w:pPr>
        <w:rPr>
          <w:rFonts w:cs="Times New Roman"/>
          <w:noProof/>
          <w:sz w:val="20"/>
        </w:rPr>
      </w:pPr>
      <w:r w:rsidRPr="009306D5">
        <w:rPr>
          <w:noProof/>
          <w:sz w:val="20"/>
        </w:rPr>
        <w:t>Käibemaksu väike ühe akna süsteem on maksumaksjate jaoks vabatahtlik erikord, mis võimaldab neil arvestada käibemaksu mitme ELi liikmesriigi asemel ainult ühes ELi liikmesriigis. Seda kohaldatakse mittemaksukohustuslastele osutatavate piiriüleste telekommunikatsiooni- ning televisiooni- ja raadioringhäälingu teenuste ja digitaalteenuste suhtes. MOSS</w:t>
      </w:r>
      <w:r w:rsidRPr="009306D5">
        <w:rPr>
          <w:rStyle w:val="FootnoteReference"/>
          <w:rFonts w:cs="Times New Roman"/>
          <w:noProof/>
          <w:sz w:val="20"/>
        </w:rPr>
        <w:footnoteReference w:id="18"/>
      </w:r>
      <w:r w:rsidRPr="009306D5">
        <w:rPr>
          <w:noProof/>
          <w:sz w:val="20"/>
        </w:rPr>
        <w:t xml:space="preserve"> võimaldab selliste teenuste osutajatel esitada oma käibedeklaratsioone ja maksta kohaldatavat käibemaksu mitmele ELi liikmesriigile (tarbimisliikmesriigid) ühes ELi liikmesriigis (registreerimisliikmesriik) asuva veebipõhise süsteemi kaudu.</w:t>
      </w:r>
    </w:p>
    <w:p w14:paraId="441D2BDE" w14:textId="0BC24C3B" w:rsidR="005B15B7" w:rsidRPr="009306D5" w:rsidRDefault="005B15B7" w:rsidP="00FE0EC3">
      <w:pPr>
        <w:pStyle w:val="Caption"/>
      </w:pPr>
      <w:bookmarkStart w:id="402" w:name="_Toc62138785"/>
      <w:bookmarkStart w:id="403" w:name="_Toc95816245"/>
      <w:r w:rsidRPr="009306D5">
        <w:t>Joonis </w:t>
      </w:r>
      <w:r w:rsidRPr="009306D5">
        <w:fldChar w:fldCharType="begin"/>
      </w:r>
      <w:r w:rsidRPr="009306D5">
        <w:instrText xml:space="preserve"> SEQ Figure \* ARABIC </w:instrText>
      </w:r>
      <w:r w:rsidRPr="009306D5">
        <w:fldChar w:fldCharType="separate"/>
      </w:r>
      <w:r w:rsidR="008A2E1E" w:rsidRPr="009306D5">
        <w:t>18</w:t>
      </w:r>
      <w:r w:rsidRPr="009306D5">
        <w:fldChar w:fldCharType="end"/>
      </w:r>
      <w:r w:rsidRPr="009306D5">
        <w:t>. Väikeste ühe akna süsteemide (MOSSide) koguarvud 2019. aastal ELi liikmesriikides (hõlmab nii liidu kui ka liiduvälist korda)</w:t>
      </w:r>
      <w:bookmarkEnd w:id="402"/>
      <w:bookmarkEnd w:id="403"/>
      <w:r w:rsidRPr="009306D5">
        <w:t xml:space="preserve"> </w:t>
      </w:r>
    </w:p>
    <w:p w14:paraId="2E28ABA8" w14:textId="77777777" w:rsidR="005B15B7" w:rsidRPr="009306D5" w:rsidRDefault="005B15B7" w:rsidP="00DE54FD">
      <w:pPr>
        <w:pStyle w:val="Question"/>
        <w:rPr>
          <w:noProof/>
        </w:rPr>
      </w:pPr>
      <w:r w:rsidRPr="009306D5">
        <w:rPr>
          <w:b/>
          <w:bCs/>
          <w:noProof/>
        </w:rPr>
        <w:t>a</w:t>
      </w:r>
      <w:r w:rsidRPr="009306D5">
        <w:rPr>
          <w:noProof/>
        </w:rPr>
        <w:t>. Tarbimisliikmesriik</w:t>
      </w:r>
      <w:r w:rsidRPr="009306D5">
        <w:rPr>
          <w:noProof/>
        </w:rPr>
        <w:tab/>
      </w:r>
      <w:r w:rsidRPr="009306D5">
        <w:rPr>
          <w:b/>
          <w:bCs/>
          <w:iCs/>
          <w:noProof/>
        </w:rPr>
        <w:t>b.</w:t>
      </w:r>
      <w:r w:rsidRPr="009306D5">
        <w:rPr>
          <w:noProof/>
        </w:rPr>
        <w:t xml:space="preserve"> Registreerimisliikmesriik</w:t>
      </w:r>
    </w:p>
    <w:p w14:paraId="694E14DC" w14:textId="623AC0A8" w:rsidR="005B15B7" w:rsidRPr="009306D5" w:rsidRDefault="00DE54FD" w:rsidP="00EF59B5">
      <w:pPr>
        <w:pStyle w:val="FIgure"/>
        <w:rPr>
          <w:i/>
          <w:color w:val="595959" w:themeColor="text1" w:themeTint="A6"/>
          <w:sz w:val="20"/>
        </w:rPr>
      </w:pPr>
      <w:r w:rsidRPr="009306D5">
        <w:rPr>
          <w:lang w:val="en-GB"/>
        </w:rPr>
        <w:drawing>
          <wp:inline distT="0" distB="0" distL="0" distR="0" wp14:anchorId="25BFBDEB" wp14:editId="5BCD5E90">
            <wp:extent cx="2847975" cy="234251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7975" cy="2342515"/>
                    </a:xfrm>
                    <a:prstGeom prst="rect">
                      <a:avLst/>
                    </a:prstGeom>
                    <a:noFill/>
                    <a:ln>
                      <a:noFill/>
                    </a:ln>
                  </pic:spPr>
                </pic:pic>
              </a:graphicData>
            </a:graphic>
          </wp:inline>
        </w:drawing>
      </w:r>
      <w:r w:rsidRPr="009306D5">
        <w:rPr>
          <w:lang w:val="en-GB"/>
        </w:rPr>
        <w:drawing>
          <wp:inline distT="0" distB="0" distL="0" distR="0" wp14:anchorId="40316B7F" wp14:editId="2025B919">
            <wp:extent cx="2847975" cy="2342515"/>
            <wp:effectExtent l="0" t="0" r="952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7975" cy="2342515"/>
                    </a:xfrm>
                    <a:prstGeom prst="rect">
                      <a:avLst/>
                    </a:prstGeom>
                    <a:noFill/>
                    <a:ln>
                      <a:noFill/>
                    </a:ln>
                  </pic:spPr>
                </pic:pic>
              </a:graphicData>
            </a:graphic>
          </wp:inline>
        </w:drawing>
      </w:r>
    </w:p>
    <w:p w14:paraId="73832B0A" w14:textId="0848F87D" w:rsidR="005B15B7" w:rsidRPr="009306D5" w:rsidRDefault="00B81846" w:rsidP="005B15B7">
      <w:pPr>
        <w:pStyle w:val="Source"/>
        <w:rPr>
          <w:rFonts w:ascii="Times New Roman" w:hAnsi="Times New Roman"/>
          <w:noProof/>
          <w:sz w:val="20"/>
        </w:rPr>
      </w:pPr>
      <w:r w:rsidRPr="009306D5">
        <w:rPr>
          <w:rFonts w:ascii="Times New Roman" w:hAnsi="Times New Roman"/>
          <w:noProof/>
        </w:rPr>
        <w:t>Selgitus: väärtused on miljonites eurodes</w:t>
      </w:r>
      <w:r w:rsidRPr="009306D5">
        <w:rPr>
          <w:rFonts w:ascii="Times New Roman" w:hAnsi="Times New Roman"/>
          <w:noProof/>
        </w:rPr>
        <w:cr/>
      </w:r>
      <w:r w:rsidRPr="009306D5">
        <w:rPr>
          <w:rFonts w:ascii="Times New Roman" w:hAnsi="Times New Roman"/>
          <w:noProof/>
        </w:rPr>
        <w:br/>
        <w:t xml:space="preserve">Allikas: </w:t>
      </w:r>
      <w:r w:rsidRPr="009306D5">
        <w:rPr>
          <w:rFonts w:ascii="Times New Roman" w:hAnsi="Times New Roman"/>
          <w:noProof/>
        </w:rPr>
        <w:tab/>
        <w:t>Euroopa Komisjon (2021). Väikeste ühe akna süsteemide seire</w:t>
      </w:r>
    </w:p>
    <w:p w14:paraId="0A1706C9" w14:textId="5D2E9871" w:rsidR="005B15B7" w:rsidRPr="009306D5" w:rsidRDefault="005B15B7" w:rsidP="7925FA3B">
      <w:pPr>
        <w:rPr>
          <w:rFonts w:cs="Times New Roman"/>
          <w:noProof/>
          <w:sz w:val="20"/>
          <w:szCs w:val="20"/>
        </w:rPr>
      </w:pPr>
      <w:r w:rsidRPr="009306D5">
        <w:rPr>
          <w:noProof/>
          <w:sz w:val="20"/>
          <w:szCs w:val="20"/>
        </w:rPr>
        <w:t>MOSSi käivitamine 2015. aastal oli edukas. Registreerimisliikmesriigi ja tarbimisliikmesriikide vaheliste erinevuste tõttu on selle toimimiseks väga oluline, et kõik osalised saaksid üksteist usaldada. See usaldus põhineb liikmesriikide hoolsuskohustuste täitmisel, eelkõige seoses nende suhtlemisega erikorda kasutavate ettevõtjatega (soovitatavalt spetsiaalse kanali kaudu), registreerimisprotsessiga (ettevõtjate kontrollimine enne MOSSis registreerimist)</w:t>
      </w:r>
      <w:r w:rsidRPr="009306D5">
        <w:rPr>
          <w:rStyle w:val="FootnoteReference"/>
          <w:rFonts w:cs="Times New Roman"/>
          <w:noProof/>
          <w:sz w:val="20"/>
          <w:szCs w:val="20"/>
        </w:rPr>
        <w:footnoteReference w:id="19"/>
      </w:r>
      <w:r w:rsidRPr="009306D5">
        <w:rPr>
          <w:noProof/>
          <w:sz w:val="20"/>
          <w:szCs w:val="20"/>
        </w:rPr>
        <w:t xml:space="preserve"> ja kontrolliga (mis võib viia registrist kustutamiseni, nt mitteaktiivsete maksukohustuslaste puhul).</w:t>
      </w:r>
    </w:p>
    <w:p w14:paraId="306C1314" w14:textId="6D3E4A60" w:rsidR="005B15B7" w:rsidRPr="009306D5" w:rsidRDefault="005B15B7" w:rsidP="00FE0EC3">
      <w:pPr>
        <w:pStyle w:val="Caption"/>
      </w:pPr>
      <w:bookmarkStart w:id="404" w:name="_Toc62138786"/>
      <w:bookmarkStart w:id="405" w:name="_Toc95816246"/>
      <w:r w:rsidRPr="009306D5">
        <w:t>Joonis </w:t>
      </w:r>
      <w:r w:rsidRPr="009306D5">
        <w:fldChar w:fldCharType="begin"/>
      </w:r>
      <w:r w:rsidRPr="009306D5">
        <w:instrText xml:space="preserve"> SEQ Figure \* ARABIC </w:instrText>
      </w:r>
      <w:r w:rsidRPr="009306D5">
        <w:fldChar w:fldCharType="separate"/>
      </w:r>
      <w:r w:rsidR="008A2E1E" w:rsidRPr="009306D5">
        <w:t>19</w:t>
      </w:r>
      <w:r w:rsidRPr="009306D5">
        <w:fldChar w:fldCharType="end"/>
      </w:r>
      <w:r w:rsidRPr="009306D5">
        <w:t>. MOSS – käibemaksukohustuslasena registreerimise kontroll</w:t>
      </w:r>
      <w:bookmarkEnd w:id="404"/>
      <w:bookmarkEnd w:id="405"/>
    </w:p>
    <w:p w14:paraId="079084AD" w14:textId="3DF7CBA2" w:rsidR="00172F6F" w:rsidRPr="009306D5" w:rsidRDefault="00172F6F" w:rsidP="00426BDF">
      <w:pPr>
        <w:pStyle w:val="Question"/>
        <w:rPr>
          <w:noProof/>
        </w:rPr>
      </w:pPr>
      <w:r w:rsidRPr="009306D5">
        <w:rPr>
          <w:noProof/>
        </w:rPr>
        <w:t>Küsimus 2.4. „Milliseid süstemaatilisi kontrolle tehakse teie riigis (kui registreerimisliikmesriigis) MOSSis registreerimisel? (Vastuseid võib olla mitu)“</w:t>
      </w:r>
    </w:p>
    <w:p w14:paraId="3D24B9BC" w14:textId="0A92C68D" w:rsidR="005B15B7" w:rsidRPr="009306D5" w:rsidRDefault="00C945FF" w:rsidP="00EF59B5">
      <w:pPr>
        <w:pStyle w:val="FIgure"/>
        <w:rPr>
          <w:i/>
          <w:sz w:val="20"/>
        </w:rPr>
      </w:pPr>
      <w:r w:rsidRPr="009306D5">
        <w:rPr>
          <w:lang w:val="en-GB"/>
        </w:rPr>
        <w:drawing>
          <wp:inline distT="0" distB="0" distL="0" distR="0" wp14:anchorId="3BD7D5F5" wp14:editId="6A287DAA">
            <wp:extent cx="5760085" cy="389064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3890645"/>
                    </a:xfrm>
                    <a:prstGeom prst="rect">
                      <a:avLst/>
                    </a:prstGeom>
                  </pic:spPr>
                </pic:pic>
              </a:graphicData>
            </a:graphic>
          </wp:inline>
        </w:drawing>
      </w:r>
      <w:r w:rsidR="00155550" w:rsidRPr="009306D5">
        <w:t xml:space="preserve"> </w:t>
      </w:r>
    </w:p>
    <w:p w14:paraId="44F64879"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3747285E" w14:textId="2E75C778" w:rsidR="005B15B7" w:rsidRPr="009306D5" w:rsidRDefault="005B15B7" w:rsidP="00FE0EC3">
      <w:pPr>
        <w:pStyle w:val="Caption"/>
      </w:pPr>
      <w:bookmarkStart w:id="406" w:name="_Toc95816247"/>
      <w:r w:rsidRPr="009306D5">
        <w:t>Joonis </w:t>
      </w:r>
      <w:r w:rsidRPr="009306D5">
        <w:fldChar w:fldCharType="begin"/>
      </w:r>
      <w:r w:rsidRPr="009306D5">
        <w:instrText xml:space="preserve"> SEQ Figure \* ARABIC </w:instrText>
      </w:r>
      <w:r w:rsidRPr="009306D5">
        <w:fldChar w:fldCharType="separate"/>
      </w:r>
      <w:r w:rsidR="008A2E1E" w:rsidRPr="009306D5">
        <w:t>20</w:t>
      </w:r>
      <w:r w:rsidRPr="009306D5">
        <w:fldChar w:fldCharType="end"/>
      </w:r>
      <w:r w:rsidRPr="009306D5">
        <w:t>. MOSS – spetsiaalsed teabekanalid</w:t>
      </w:r>
      <w:bookmarkEnd w:id="406"/>
    </w:p>
    <w:p w14:paraId="636ABC1E" w14:textId="6B2686C9" w:rsidR="00155550" w:rsidRPr="009306D5" w:rsidRDefault="00155550" w:rsidP="00426BDF">
      <w:pPr>
        <w:pStyle w:val="Question"/>
        <w:rPr>
          <w:noProof/>
        </w:rPr>
      </w:pPr>
      <w:r w:rsidRPr="009306D5">
        <w:rPr>
          <w:noProof/>
        </w:rPr>
        <w:t>Küsimus 4.4. „Maksumaksjatele pakutavad teenused: teie maksuhalduritel [...] on spetsiaalne teabekanal“</w:t>
      </w:r>
    </w:p>
    <w:p w14:paraId="3FE472E5" w14:textId="296C3F5F" w:rsidR="005B15B7" w:rsidRPr="009306D5" w:rsidRDefault="00590AC2" w:rsidP="00EF59B5">
      <w:pPr>
        <w:pStyle w:val="FIgure"/>
        <w:rPr>
          <w:sz w:val="20"/>
        </w:rPr>
      </w:pPr>
      <w:r w:rsidRPr="009306D5">
        <w:rPr>
          <w:lang w:val="en-GB"/>
        </w:rPr>
        <w:drawing>
          <wp:inline distT="0" distB="0" distL="0" distR="0" wp14:anchorId="38C7D96F" wp14:editId="249C8F42">
            <wp:extent cx="5760085" cy="1959610"/>
            <wp:effectExtent l="0" t="0" r="0" b="2540"/>
            <wp:docPr id="231" name="Chart 231">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8B43BD" w:rsidRPr="009306D5">
        <w:t xml:space="preserve"> </w:t>
      </w:r>
    </w:p>
    <w:p w14:paraId="3A187F60"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58DB6AF4" w14:textId="5F9B072F" w:rsidR="005B15B7" w:rsidRPr="009306D5" w:rsidRDefault="005B15B7" w:rsidP="005B15B7">
      <w:pPr>
        <w:spacing w:before="240"/>
        <w:rPr>
          <w:rFonts w:cs="Times New Roman"/>
          <w:noProof/>
          <w:sz w:val="20"/>
        </w:rPr>
      </w:pPr>
      <w:r w:rsidRPr="009306D5">
        <w:rPr>
          <w:noProof/>
          <w:sz w:val="20"/>
        </w:rPr>
        <w:t>Enamik liikmesriike nõuab ainult põhiandmeid, näiteks kontaktandmeid (maksumaksja täisnimi, tegevuskoht ja postiaadress jne), asutamise/registreerimise kuupäeva, tegevuse laadi ja majandussektori liigitust. Seetõttu on neil mõnikord MOSSis registreeritud ettevõtjate kohta vaid piiratud teadmised.</w:t>
      </w:r>
    </w:p>
    <w:p w14:paraId="74A2EDC0" w14:textId="77777777" w:rsidR="005B15B7" w:rsidRPr="009306D5" w:rsidRDefault="005B15B7" w:rsidP="005B15B7">
      <w:pPr>
        <w:spacing w:before="240"/>
        <w:rPr>
          <w:rFonts w:cs="Times New Roman"/>
          <w:noProof/>
          <w:sz w:val="20"/>
        </w:rPr>
      </w:pPr>
      <w:r w:rsidRPr="009306D5">
        <w:rPr>
          <w:noProof/>
          <w:sz w:val="20"/>
        </w:rPr>
        <w:t>17 liikmesriiki (Belgia, Bulgaaria, Saksamaa, Iirimaa, Kreeka, Hispaania, Läti, Luksemburg, Ungari, Malta, Poola, Rumeenia, Sloveenia, Slovakkia, Soome, Rootsi ja Ühendkuningriik) koguvad ka muud teavet, näiteks:</w:t>
      </w:r>
    </w:p>
    <w:p w14:paraId="2987DA29" w14:textId="77777777" w:rsidR="005B15B7" w:rsidRPr="009306D5" w:rsidRDefault="005B15B7" w:rsidP="000D13AA">
      <w:pPr>
        <w:pStyle w:val="ListParagraph"/>
        <w:numPr>
          <w:ilvl w:val="0"/>
          <w:numId w:val="22"/>
        </w:numPr>
        <w:spacing w:before="240"/>
        <w:rPr>
          <w:noProof/>
          <w:sz w:val="20"/>
        </w:rPr>
      </w:pPr>
      <w:r w:rsidRPr="009306D5">
        <w:rPr>
          <w:noProof/>
          <w:sz w:val="20"/>
        </w:rPr>
        <w:t>varasemad registreeringud ja MOSSi erikorra kasutamine;</w:t>
      </w:r>
    </w:p>
    <w:p w14:paraId="5BC910AA" w14:textId="77777777" w:rsidR="005B15B7" w:rsidRPr="009306D5" w:rsidRDefault="005B15B7" w:rsidP="000D13AA">
      <w:pPr>
        <w:pStyle w:val="ListParagraph"/>
        <w:numPr>
          <w:ilvl w:val="0"/>
          <w:numId w:val="22"/>
        </w:numPr>
        <w:spacing w:before="240"/>
        <w:rPr>
          <w:noProof/>
          <w:sz w:val="20"/>
        </w:rPr>
      </w:pPr>
      <w:r w:rsidRPr="009306D5">
        <w:rPr>
          <w:noProof/>
          <w:sz w:val="20"/>
        </w:rPr>
        <w:t>päringud isikute kohta, kes on registrist kustutatud registreerimisriigi muutumise tõttu;</w:t>
      </w:r>
    </w:p>
    <w:p w14:paraId="4B912552" w14:textId="77777777" w:rsidR="005B15B7" w:rsidRPr="009306D5" w:rsidRDefault="005B15B7" w:rsidP="000D13AA">
      <w:pPr>
        <w:pStyle w:val="ListParagraph"/>
        <w:numPr>
          <w:ilvl w:val="0"/>
          <w:numId w:val="22"/>
        </w:numPr>
        <w:spacing w:before="240"/>
        <w:rPr>
          <w:noProof/>
          <w:sz w:val="20"/>
        </w:rPr>
      </w:pPr>
      <w:r w:rsidRPr="009306D5">
        <w:rPr>
          <w:noProof/>
          <w:sz w:val="20"/>
        </w:rPr>
        <w:t>tunnuskoodi alusel otsing mitme registreeringu (mitmes liikmesriigis) avastamiseks;</w:t>
      </w:r>
    </w:p>
    <w:p w14:paraId="1A519348" w14:textId="77777777" w:rsidR="005B15B7" w:rsidRPr="009306D5" w:rsidRDefault="005B15B7" w:rsidP="000D13AA">
      <w:pPr>
        <w:pStyle w:val="ListParagraph"/>
        <w:numPr>
          <w:ilvl w:val="0"/>
          <w:numId w:val="22"/>
        </w:numPr>
        <w:spacing w:before="240"/>
        <w:rPr>
          <w:noProof/>
          <w:sz w:val="20"/>
        </w:rPr>
      </w:pPr>
      <w:r w:rsidRPr="009306D5">
        <w:rPr>
          <w:noProof/>
          <w:sz w:val="20"/>
        </w:rPr>
        <w:t>kontroll, kas ettevõtjal on riigis püsiv tegevuskoht või mitte;</w:t>
      </w:r>
    </w:p>
    <w:p w14:paraId="468BF87D" w14:textId="77777777" w:rsidR="005B15B7" w:rsidRPr="009306D5" w:rsidRDefault="005B15B7" w:rsidP="000D13AA">
      <w:pPr>
        <w:pStyle w:val="ListParagraph"/>
        <w:numPr>
          <w:ilvl w:val="0"/>
          <w:numId w:val="22"/>
        </w:numPr>
        <w:spacing w:before="240"/>
        <w:rPr>
          <w:noProof/>
          <w:sz w:val="20"/>
        </w:rPr>
      </w:pPr>
      <w:r w:rsidRPr="009306D5">
        <w:rPr>
          <w:noProof/>
          <w:sz w:val="20"/>
        </w:rPr>
        <w:t>pangakonto andmed jne.</w:t>
      </w:r>
    </w:p>
    <w:p w14:paraId="02C8AA42" w14:textId="77777777" w:rsidR="005B15B7" w:rsidRPr="009306D5" w:rsidRDefault="005B15B7" w:rsidP="005B15B7">
      <w:pPr>
        <w:spacing w:before="240"/>
        <w:rPr>
          <w:rFonts w:cs="Times New Roman"/>
          <w:noProof/>
          <w:sz w:val="20"/>
        </w:rPr>
      </w:pPr>
      <w:r w:rsidRPr="009306D5">
        <w:rPr>
          <w:noProof/>
          <w:sz w:val="20"/>
        </w:rPr>
        <w:t>Mõned liikmesriigid (Sloveenia, Rootsi ja Ühendkuningriik) kontrollivad ka veebilehe või muude elektrooniliste teenuste levitamise vahendite olemasolu, kolmandate riikide avalikke registreid ja müüdavate kaupade / osutatavate teenuste liiki.</w:t>
      </w:r>
    </w:p>
    <w:p w14:paraId="67384718" w14:textId="6C437261" w:rsidR="005B15B7" w:rsidRPr="009306D5" w:rsidRDefault="005B15B7" w:rsidP="00FE0EC3">
      <w:pPr>
        <w:pStyle w:val="Recommendation"/>
      </w:pPr>
      <w:bookmarkStart w:id="407" w:name="_Toc95816202"/>
      <w:r w:rsidRPr="009306D5">
        <w:t xml:space="preserve">Soovitus </w:t>
      </w:r>
      <w:r w:rsidRPr="009306D5">
        <w:fldChar w:fldCharType="begin"/>
      </w:r>
      <w:r w:rsidRPr="009306D5">
        <w:instrText>SEQ Recommendation \* ARABIC</w:instrText>
      </w:r>
      <w:r w:rsidRPr="009306D5">
        <w:fldChar w:fldCharType="separate"/>
      </w:r>
      <w:bookmarkStart w:id="408" w:name="_Toc65778299"/>
      <w:bookmarkStart w:id="409" w:name="_Toc66116352"/>
      <w:r w:rsidR="008A2E1E" w:rsidRPr="009306D5">
        <w:t>14</w:t>
      </w:r>
      <w:r w:rsidRPr="009306D5">
        <w:fldChar w:fldCharType="end"/>
      </w:r>
      <w:r w:rsidRPr="009306D5">
        <w:t xml:space="preserve">. </w:t>
      </w:r>
      <w:bookmarkStart w:id="410" w:name="_Toc65673328"/>
      <w:r w:rsidRPr="009306D5">
        <w:t>Luua MOSSi jaoks spetsiaalne teabekanal ja teha MOSSis registreerimisel süstemaatiliselt eelkontrolle</w:t>
      </w:r>
      <w:bookmarkEnd w:id="410"/>
      <w:bookmarkEnd w:id="408"/>
      <w:bookmarkEnd w:id="409"/>
      <w:r w:rsidRPr="009306D5">
        <w:t>.</w:t>
      </w:r>
      <w:bookmarkEnd w:id="407"/>
    </w:p>
    <w:p w14:paraId="750C487F" w14:textId="77777777" w:rsidR="005B15B7" w:rsidRPr="009306D5" w:rsidRDefault="005B15B7" w:rsidP="005B15B7">
      <w:pPr>
        <w:spacing w:before="240"/>
        <w:rPr>
          <w:rFonts w:cs="Times New Roman"/>
          <w:noProof/>
          <w:sz w:val="20"/>
        </w:rPr>
      </w:pPr>
      <w:r w:rsidRPr="009306D5">
        <w:rPr>
          <w:noProof/>
          <w:sz w:val="20"/>
        </w:rPr>
        <w:t>Liikmesriikide vastustest nähtub, et MOSSi liidu korra alusel registreeritud ettevõtjate arv aastatel 2016</w:t>
      </w:r>
      <w:r w:rsidRPr="009306D5">
        <w:rPr>
          <w:noProof/>
          <w:color w:val="000000"/>
          <w:sz w:val="20"/>
        </w:rPr>
        <w:t>–</w:t>
      </w:r>
      <w:r w:rsidRPr="009306D5">
        <w:rPr>
          <w:noProof/>
          <w:sz w:val="20"/>
        </w:rPr>
        <w:t>2019 suurenes. Liiduvälise korra kasutajate suhteline kasv oli suurem, sest selles kajastub ka baasefekt ehk väike registreeringute arv analüüsitava perioodi alguses. Viimasel ajal näib, et MOSSis registreeritud maksumaksjate arvu kasvusuundumus hakkab langema, mis võib osutada suuremale rangusele mitteaktiivsete maksumaksjate registrist kustutamisel.</w:t>
      </w:r>
    </w:p>
    <w:p w14:paraId="73462CBD" w14:textId="19775FD6" w:rsidR="005B15B7" w:rsidRPr="009306D5" w:rsidRDefault="005B15B7" w:rsidP="00FE0EC3">
      <w:pPr>
        <w:pStyle w:val="Caption"/>
      </w:pPr>
      <w:bookmarkStart w:id="411" w:name="_Toc62138787"/>
      <w:bookmarkStart w:id="412" w:name="_Toc95816248"/>
      <w:r w:rsidRPr="009306D5">
        <w:t>Joonis </w:t>
      </w:r>
      <w:r w:rsidRPr="009306D5">
        <w:fldChar w:fldCharType="begin"/>
      </w:r>
      <w:r w:rsidRPr="009306D5">
        <w:instrText xml:space="preserve"> SEQ Figure \* ARABIC </w:instrText>
      </w:r>
      <w:r w:rsidRPr="009306D5">
        <w:fldChar w:fldCharType="separate"/>
      </w:r>
      <w:r w:rsidR="008A2E1E" w:rsidRPr="009306D5">
        <w:t>21</w:t>
      </w:r>
      <w:r w:rsidRPr="009306D5">
        <w:fldChar w:fldCharType="end"/>
      </w:r>
      <w:r w:rsidRPr="009306D5">
        <w:t>. MOSS – registreerimise / registrist kustutamise suundumused ELi tasandil (2016</w:t>
      </w:r>
      <w:r w:rsidRPr="009306D5">
        <w:rPr>
          <w:color w:val="000000"/>
        </w:rPr>
        <w:t>–</w:t>
      </w:r>
      <w:r w:rsidRPr="009306D5">
        <w:t>2019)</w:t>
      </w:r>
      <w:bookmarkEnd w:id="411"/>
      <w:bookmarkEnd w:id="412"/>
    </w:p>
    <w:p w14:paraId="662F518F" w14:textId="3A1BE206" w:rsidR="005B15B7" w:rsidRPr="009306D5" w:rsidRDefault="00426BDF" w:rsidP="00426BDF">
      <w:pPr>
        <w:pStyle w:val="Question"/>
        <w:rPr>
          <w:noProof/>
        </w:rPr>
      </w:pPr>
      <w:r w:rsidRPr="009306D5">
        <w:rPr>
          <w:noProof/>
        </w:rPr>
        <w:t>a. Liidu kord</w:t>
      </w:r>
    </w:p>
    <w:p w14:paraId="4058C160" w14:textId="47819455" w:rsidR="005B15B7" w:rsidRPr="009306D5" w:rsidRDefault="00D57F30" w:rsidP="00EF59B5">
      <w:pPr>
        <w:pStyle w:val="FIgure"/>
        <w:rPr>
          <w:i/>
          <w:sz w:val="20"/>
        </w:rPr>
      </w:pPr>
      <w:r w:rsidRPr="009306D5">
        <w:rPr>
          <w:lang w:val="en-GB"/>
        </w:rPr>
        <w:drawing>
          <wp:inline distT="0" distB="0" distL="0" distR="0" wp14:anchorId="0400002E" wp14:editId="6C43D681">
            <wp:extent cx="5760085" cy="1898060"/>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1898060"/>
                    </a:xfrm>
                    <a:prstGeom prst="rect">
                      <a:avLst/>
                    </a:prstGeom>
                    <a:noFill/>
                    <a:ln>
                      <a:noFill/>
                    </a:ln>
                  </pic:spPr>
                </pic:pic>
              </a:graphicData>
            </a:graphic>
          </wp:inline>
        </w:drawing>
      </w:r>
      <w:r w:rsidR="00426BDF" w:rsidRPr="009306D5">
        <w:t xml:space="preserve"> </w:t>
      </w:r>
    </w:p>
    <w:p w14:paraId="27FF6554" w14:textId="0E20328C" w:rsidR="005B15B7" w:rsidRPr="009306D5" w:rsidRDefault="00426BDF" w:rsidP="00426BDF">
      <w:pPr>
        <w:pStyle w:val="Question"/>
        <w:rPr>
          <w:noProof/>
        </w:rPr>
      </w:pPr>
      <w:r w:rsidRPr="009306D5">
        <w:rPr>
          <w:noProof/>
        </w:rPr>
        <w:t>b. Liiduväline kord</w:t>
      </w:r>
    </w:p>
    <w:p w14:paraId="0BDF1F1C" w14:textId="070C650C" w:rsidR="005B15B7" w:rsidRPr="009306D5" w:rsidRDefault="00D57F30" w:rsidP="00EF59B5">
      <w:pPr>
        <w:pStyle w:val="FIgure"/>
        <w:rPr>
          <w:i/>
          <w:sz w:val="20"/>
        </w:rPr>
      </w:pPr>
      <w:r w:rsidRPr="009306D5">
        <w:rPr>
          <w:lang w:val="en-GB"/>
        </w:rPr>
        <w:drawing>
          <wp:inline distT="0" distB="0" distL="0" distR="0" wp14:anchorId="752B917C" wp14:editId="388EBE50">
            <wp:extent cx="5760085" cy="1898060"/>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85" cy="1898060"/>
                    </a:xfrm>
                    <a:prstGeom prst="rect">
                      <a:avLst/>
                    </a:prstGeom>
                    <a:noFill/>
                    <a:ln>
                      <a:noFill/>
                    </a:ln>
                  </pic:spPr>
                </pic:pic>
              </a:graphicData>
            </a:graphic>
          </wp:inline>
        </w:drawing>
      </w:r>
      <w:r w:rsidR="00426BDF" w:rsidRPr="009306D5">
        <w:t xml:space="preserve"> </w:t>
      </w:r>
    </w:p>
    <w:p w14:paraId="09B9359D" w14:textId="647F1764"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(2020). MOSSi käibemaksustatistika</w:t>
      </w:r>
    </w:p>
    <w:p w14:paraId="214A839B" w14:textId="236752B5" w:rsidR="005B15B7" w:rsidRPr="009306D5" w:rsidRDefault="005B15B7" w:rsidP="005B15B7">
      <w:pPr>
        <w:spacing w:before="240"/>
        <w:rPr>
          <w:rFonts w:cs="Times New Roman"/>
          <w:noProof/>
          <w:sz w:val="20"/>
        </w:rPr>
      </w:pPr>
      <w:r w:rsidRPr="009306D5">
        <w:rPr>
          <w:noProof/>
          <w:sz w:val="20"/>
        </w:rPr>
        <w:t>Liikmesriikide suundumused on siiski erinevad: mõnes riigis, näiteks Eestis ja Madalmaades, täheldati perioodi jooksul märkimisväärset kasvu, samas kui teistes riikides (näiteks Saksamaal, Iirimaal, Prantsusmaal, Poolas ja Slovakkias) MOSSi registreeringute arv vähenes.</w:t>
      </w:r>
    </w:p>
    <w:p w14:paraId="59095AC8" w14:textId="35AE60A6" w:rsidR="005B15B7" w:rsidRPr="009306D5" w:rsidRDefault="005B15B7" w:rsidP="00FE0EC3">
      <w:pPr>
        <w:pStyle w:val="Caption"/>
      </w:pPr>
      <w:bookmarkStart w:id="413" w:name="_Toc62138788"/>
      <w:bookmarkStart w:id="414" w:name="_Toc95816249"/>
      <w:r w:rsidRPr="009306D5">
        <w:t>Joonis </w:t>
      </w:r>
      <w:r w:rsidRPr="009306D5">
        <w:fldChar w:fldCharType="begin"/>
      </w:r>
      <w:r w:rsidRPr="009306D5">
        <w:instrText xml:space="preserve"> SEQ Figure \* ARABIC </w:instrText>
      </w:r>
      <w:r w:rsidRPr="009306D5">
        <w:fldChar w:fldCharType="separate"/>
      </w:r>
      <w:r w:rsidR="008A2E1E" w:rsidRPr="009306D5">
        <w:t>22</w:t>
      </w:r>
      <w:r w:rsidRPr="009306D5">
        <w:fldChar w:fldCharType="end"/>
      </w:r>
      <w:r w:rsidRPr="009306D5">
        <w:t>. MOSSis registreerimise suundumused ELi liikmesriikides</w:t>
      </w:r>
      <w:bookmarkEnd w:id="413"/>
      <w:bookmarkEnd w:id="414"/>
    </w:p>
    <w:p w14:paraId="024AD310" w14:textId="7A3D7149" w:rsidR="005B15B7" w:rsidRPr="009306D5" w:rsidRDefault="003261A4" w:rsidP="00EF59B5">
      <w:pPr>
        <w:pStyle w:val="FIgure"/>
        <w:rPr>
          <w:rFonts w:cs="Times New Roman"/>
          <w:sz w:val="20"/>
        </w:rPr>
      </w:pPr>
      <w:r w:rsidRPr="009306D5">
        <w:rPr>
          <w:lang w:val="en-GB"/>
        </w:rPr>
        <w:drawing>
          <wp:inline distT="0" distB="0" distL="0" distR="0" wp14:anchorId="22300837" wp14:editId="4D69238B">
            <wp:extent cx="5760085" cy="1933575"/>
            <wp:effectExtent l="0" t="0" r="0" b="0"/>
            <wp:docPr id="236" name="Chart 236">
              <a:extLst xmlns:a="http://schemas.openxmlformats.org/drawingml/2006/main">
                <a:ext uri="{FF2B5EF4-FFF2-40B4-BE49-F238E27FC236}">
                  <a16:creationId xmlns:a16="http://schemas.microsoft.com/office/drawing/2014/main" i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E68E354" w14:textId="0A86642D" w:rsidR="00DA7AB3" w:rsidRPr="009306D5" w:rsidRDefault="00DA7AB3" w:rsidP="000D13AA">
      <w:pPr>
        <w:pStyle w:val="Source"/>
        <w:spacing w:after="0"/>
        <w:rPr>
          <w:rFonts w:ascii="Times New Roman" w:hAnsi="Times New Roman"/>
          <w:noProof/>
        </w:rPr>
      </w:pPr>
      <w:r w:rsidRPr="009306D5">
        <w:rPr>
          <w:rFonts w:ascii="Times New Roman" w:hAnsi="Times New Roman"/>
          <w:noProof/>
        </w:rPr>
        <w:t>Selgitus: veergudes võrreldakse MOSSi 2019. aasta registreeringuid keskmise MOSSi registreeringute arvuga ajavahemikul 2016–2019.</w:t>
      </w:r>
    </w:p>
    <w:p w14:paraId="0B8FB581" w14:textId="373F5E71" w:rsidR="005B15B7" w:rsidRPr="009306D5" w:rsidRDefault="00CA1673" w:rsidP="00CA1673">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(2020). MOSSi käibemaksustatistika</w:t>
      </w:r>
    </w:p>
    <w:p w14:paraId="2332BB2F" w14:textId="77777777" w:rsidR="005B15B7" w:rsidRPr="009306D5" w:rsidRDefault="005B15B7" w:rsidP="005B15B7">
      <w:pPr>
        <w:spacing w:before="240"/>
        <w:rPr>
          <w:rFonts w:cs="Times New Roman"/>
          <w:noProof/>
          <w:sz w:val="20"/>
        </w:rPr>
      </w:pPr>
      <w:r w:rsidRPr="009306D5">
        <w:rPr>
          <w:noProof/>
          <w:sz w:val="20"/>
        </w:rPr>
        <w:t>MOSSi registrist kustutamine toimub kas maksumaksja taotlusel või maksuhalduri algatusel. Andmed maksuhalduri algatusel toimuva registrist kustutamise kohta annavad hea ettekujutuse maksuhaldurite jõupingutustest säilitada MOSSi andmebaasi täpsus. Liikmesriikide vastused näitavad, et selles valdkonnas on tehtud vähe edusamme, eriti analüüsitud perioodi lõpu poole.</w:t>
      </w:r>
    </w:p>
    <w:p w14:paraId="6C43AFB6" w14:textId="07288381" w:rsidR="005B15B7" w:rsidRPr="009306D5" w:rsidRDefault="005B15B7" w:rsidP="00FE0EC3">
      <w:pPr>
        <w:pStyle w:val="Caption"/>
      </w:pPr>
      <w:bookmarkStart w:id="415" w:name="_Toc95816250"/>
      <w:r w:rsidRPr="009306D5">
        <w:t>Joonis </w:t>
      </w:r>
      <w:r w:rsidRPr="009306D5">
        <w:fldChar w:fldCharType="begin"/>
      </w:r>
      <w:r w:rsidRPr="009306D5">
        <w:instrText xml:space="preserve"> SEQ Figure \* ARABIC </w:instrText>
      </w:r>
      <w:r w:rsidRPr="009306D5">
        <w:fldChar w:fldCharType="separate"/>
      </w:r>
      <w:r w:rsidR="008A2E1E" w:rsidRPr="009306D5">
        <w:t>23</w:t>
      </w:r>
      <w:r w:rsidRPr="009306D5">
        <w:fldChar w:fldCharType="end"/>
      </w:r>
      <w:r w:rsidRPr="009306D5">
        <w:t>. MOSSi registrist kustutamine</w:t>
      </w:r>
      <w:bookmarkEnd w:id="415"/>
    </w:p>
    <w:p w14:paraId="7BB8CC2B" w14:textId="49D36CBF" w:rsidR="005B15B7" w:rsidRPr="009306D5" w:rsidRDefault="003261A4" w:rsidP="00EF59B5">
      <w:pPr>
        <w:pStyle w:val="FIgure"/>
        <w:rPr>
          <w:rFonts w:cs="Times New Roman"/>
          <w:sz w:val="20"/>
        </w:rPr>
      </w:pPr>
      <w:r w:rsidRPr="009306D5">
        <w:rPr>
          <w:lang w:val="en-GB"/>
        </w:rPr>
        <w:drawing>
          <wp:inline distT="0" distB="0" distL="0" distR="0" wp14:anchorId="4EFFAB2F" wp14:editId="4B124E3D">
            <wp:extent cx="5760085" cy="1905635"/>
            <wp:effectExtent l="0" t="0" r="0" b="0"/>
            <wp:docPr id="239" name="Chart 239">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B7D7731" w14:textId="0C5072A5" w:rsidR="005B15B7" w:rsidRPr="009306D5" w:rsidRDefault="00441909" w:rsidP="005B15B7">
      <w:pPr>
        <w:pStyle w:val="Source"/>
        <w:rPr>
          <w:rFonts w:ascii="Times New Roman" w:hAnsi="Times New Roman"/>
          <w:noProof/>
        </w:rPr>
      </w:pPr>
      <w:r w:rsidRPr="009306D5">
        <w:rPr>
          <w:rFonts w:ascii="Times New Roman" w:hAnsi="Times New Roman"/>
          <w:noProof/>
        </w:rPr>
        <w:t>Selgitus: veergudes on näidatud keskmine registrist kustutamiste osakaal registreeritud ettevõtjate koguarvust ajavahemikul 2016–2019.</w:t>
      </w:r>
      <w:r w:rsidRPr="009306D5">
        <w:rPr>
          <w:rFonts w:ascii="Times New Roman" w:hAnsi="Times New Roman"/>
          <w:noProof/>
        </w:rPr>
        <w:cr/>
      </w:r>
      <w:r w:rsidRPr="009306D5">
        <w:rPr>
          <w:rFonts w:ascii="Times New Roman" w:hAnsi="Times New Roman"/>
          <w:noProof/>
        </w:rPr>
        <w:br/>
        <w:t>Allikas:</w:t>
      </w:r>
      <w:r w:rsidRPr="009306D5">
        <w:rPr>
          <w:rFonts w:ascii="Times New Roman" w:hAnsi="Times New Roman"/>
          <w:noProof/>
        </w:rPr>
        <w:tab/>
        <w:t>Euroopa Komisjon (2020). MOSSi käibemaksustatistika</w:t>
      </w:r>
    </w:p>
    <w:p w14:paraId="17529075" w14:textId="77777777" w:rsidR="005B15B7" w:rsidRPr="009306D5" w:rsidRDefault="005B15B7" w:rsidP="005B15B7">
      <w:pPr>
        <w:spacing w:before="240"/>
        <w:rPr>
          <w:rFonts w:cs="Times New Roman"/>
          <w:noProof/>
          <w:sz w:val="20"/>
        </w:rPr>
      </w:pPr>
      <w:r w:rsidRPr="009306D5">
        <w:rPr>
          <w:noProof/>
          <w:sz w:val="20"/>
        </w:rPr>
        <w:t xml:space="preserve">Näitajad on siiski väga erinevad. Näib, et peaaegu pooled liikmesriigid (Taani, Eesti, Kreeka, Horvaatia, Itaalia, Leedu, Poola, Portugal, Rumeenia, Sloveenia, Slovakkia, Soome ja Rootsi) ei kustuta üldse ettevõtjaid </w:t>
      </w:r>
      <w:r w:rsidRPr="009306D5">
        <w:rPr>
          <w:i/>
          <w:iCs/>
          <w:noProof/>
          <w:sz w:val="20"/>
        </w:rPr>
        <w:t>ex officio</w:t>
      </w:r>
      <w:r w:rsidRPr="009306D5">
        <w:rPr>
          <w:noProof/>
          <w:sz w:val="20"/>
        </w:rPr>
        <w:t xml:space="preserve"> MOSSi registrist; teised (eelkõige Belgia, Hispaania, Tšehhi, Prantsusmaa, Ühendkuningriik, Küpros, Iirimaa ja Läti) puhastavad oma MOSSi andmebaase </w:t>
      </w:r>
      <w:r w:rsidRPr="009306D5">
        <w:rPr>
          <w:i/>
          <w:iCs/>
          <w:noProof/>
          <w:sz w:val="20"/>
        </w:rPr>
        <w:t>ex officio</w:t>
      </w:r>
      <w:r w:rsidRPr="009306D5">
        <w:rPr>
          <w:noProof/>
          <w:sz w:val="20"/>
        </w:rPr>
        <w:t xml:space="preserve"> registrist kustutamise teel.</w:t>
      </w:r>
    </w:p>
    <w:p w14:paraId="557CA382" w14:textId="4BFD448F" w:rsidR="005B15B7" w:rsidRPr="009306D5" w:rsidRDefault="005B15B7" w:rsidP="00FE0EC3">
      <w:pPr>
        <w:pStyle w:val="Recommendation"/>
      </w:pPr>
      <w:bookmarkStart w:id="416" w:name="_Toc95816203"/>
      <w:r w:rsidRPr="009306D5">
        <w:t xml:space="preserve">Soovitus </w:t>
      </w:r>
      <w:r w:rsidRPr="009306D5">
        <w:fldChar w:fldCharType="begin"/>
      </w:r>
      <w:r w:rsidRPr="009306D5">
        <w:instrText>SEQ Recommendation \* ARABIC</w:instrText>
      </w:r>
      <w:r w:rsidRPr="009306D5">
        <w:fldChar w:fldCharType="separate"/>
      </w:r>
      <w:bookmarkStart w:id="417" w:name="_Toc65778300"/>
      <w:bookmarkStart w:id="418" w:name="_Toc66116353"/>
      <w:r w:rsidR="008A2E1E" w:rsidRPr="009306D5">
        <w:t>15</w:t>
      </w:r>
      <w:r w:rsidRPr="009306D5">
        <w:fldChar w:fldCharType="end"/>
      </w:r>
      <w:r w:rsidRPr="009306D5">
        <w:t xml:space="preserve">. </w:t>
      </w:r>
      <w:bookmarkStart w:id="419" w:name="_Toc65673329"/>
      <w:r w:rsidRPr="009306D5">
        <w:t>Suurendada jõupingutusi MOSSi andmebaasi täpsuse tagamiseks</w:t>
      </w:r>
      <w:bookmarkEnd w:id="419"/>
      <w:bookmarkEnd w:id="417"/>
      <w:bookmarkEnd w:id="418"/>
      <w:r w:rsidRPr="009306D5">
        <w:t>.</w:t>
      </w:r>
      <w:bookmarkEnd w:id="416"/>
    </w:p>
    <w:p w14:paraId="29998540" w14:textId="77777777" w:rsidR="005B15B7" w:rsidRPr="009306D5" w:rsidRDefault="005B15B7" w:rsidP="005B15B7">
      <w:pPr>
        <w:spacing w:before="240"/>
        <w:rPr>
          <w:rFonts w:cs="Times New Roman"/>
          <w:noProof/>
          <w:sz w:val="20"/>
        </w:rPr>
      </w:pPr>
      <w:r w:rsidRPr="009306D5">
        <w:rPr>
          <w:noProof/>
          <w:sz w:val="20"/>
        </w:rPr>
        <w:t>Igale registreerimisele auditit ei järgne. Vastuste võrdlemisel liikmesriikide muude andmeallikatega ilmneb selgelt, et liikmesriigid ei auditeeri MOSSi maksukohustuslasi.</w:t>
      </w:r>
    </w:p>
    <w:p w14:paraId="0199A59F" w14:textId="0C9DD44C" w:rsidR="005B15B7" w:rsidRPr="009306D5" w:rsidRDefault="005B15B7" w:rsidP="00FE0EC3">
      <w:pPr>
        <w:pStyle w:val="Caption"/>
      </w:pPr>
      <w:bookmarkStart w:id="420" w:name="_Toc62138790"/>
      <w:bookmarkStart w:id="421" w:name="_Toc95816251"/>
      <w:r w:rsidRPr="009306D5">
        <w:t>Joonis </w:t>
      </w:r>
      <w:r w:rsidRPr="009306D5">
        <w:fldChar w:fldCharType="begin"/>
      </w:r>
      <w:r w:rsidRPr="009306D5">
        <w:instrText xml:space="preserve"> SEQ Figure \* ARABIC </w:instrText>
      </w:r>
      <w:r w:rsidRPr="009306D5">
        <w:fldChar w:fldCharType="separate"/>
      </w:r>
      <w:r w:rsidR="008A2E1E" w:rsidRPr="009306D5">
        <w:t>24</w:t>
      </w:r>
      <w:r w:rsidRPr="009306D5">
        <w:fldChar w:fldCharType="end"/>
      </w:r>
      <w:r w:rsidRPr="009306D5">
        <w:t>. MOSS-maksukohustuslaste suhtes 2019. aastal tehtud käibemaksuauditite arv</w:t>
      </w:r>
      <w:bookmarkEnd w:id="420"/>
      <w:bookmarkEnd w:id="421"/>
    </w:p>
    <w:p w14:paraId="7E736F2B" w14:textId="28890095" w:rsidR="005B15B7" w:rsidRPr="009306D5" w:rsidRDefault="003261A4" w:rsidP="00EF59B5">
      <w:pPr>
        <w:pStyle w:val="FIgure"/>
        <w:rPr>
          <w:rFonts w:cs="Times New Roman"/>
          <w:sz w:val="20"/>
        </w:rPr>
      </w:pPr>
      <w:r w:rsidRPr="009306D5">
        <w:rPr>
          <w:lang w:val="en-GB"/>
        </w:rPr>
        <w:drawing>
          <wp:inline distT="0" distB="0" distL="0" distR="0" wp14:anchorId="2AE82C05" wp14:editId="610ABE92">
            <wp:extent cx="5760085" cy="1938020"/>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85" cy="1938020"/>
                    </a:xfrm>
                    <a:prstGeom prst="rect">
                      <a:avLst/>
                    </a:prstGeom>
                  </pic:spPr>
                </pic:pic>
              </a:graphicData>
            </a:graphic>
          </wp:inline>
        </w:drawing>
      </w:r>
    </w:p>
    <w:p w14:paraId="2D7CBD7C" w14:textId="263D0441" w:rsidR="005B15B7" w:rsidRPr="009306D5" w:rsidRDefault="00CA1673"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(2020). MOSSi käibemaksustatistika</w:t>
      </w:r>
    </w:p>
    <w:p w14:paraId="257DFC9D" w14:textId="77777777" w:rsidR="005B15B7" w:rsidRPr="009306D5" w:rsidRDefault="005B15B7" w:rsidP="005B15B7">
      <w:pPr>
        <w:spacing w:before="240"/>
        <w:rPr>
          <w:rFonts w:cs="Times New Roman"/>
          <w:noProof/>
          <w:sz w:val="20"/>
        </w:rPr>
      </w:pPr>
      <w:r w:rsidRPr="009306D5">
        <w:rPr>
          <w:noProof/>
          <w:sz w:val="20"/>
        </w:rPr>
        <w:t>MOSSis registreeritud maksukohustuslaste suhtes läbiviidud auditite arv ELi liikmesriikides on väga väike, ulatudes 2019. aastal nii liidu kui ka liiduvälise korra registreerimis- ja tarbimisliikmesriikide hulgas üksnes 47ni, samal ajal kui ELi mediaan on null. See tähendab, et auditi korraldamine on ELi tasandil praegu erand ja üldiselt MOSSi maksukohustuslasi ei auditeerita.</w:t>
      </w:r>
    </w:p>
    <w:p w14:paraId="6D50E035" w14:textId="77777777" w:rsidR="005B15B7" w:rsidRPr="009306D5" w:rsidRDefault="005B15B7" w:rsidP="005B15B7">
      <w:pPr>
        <w:spacing w:before="240"/>
        <w:rPr>
          <w:rFonts w:cs="Times New Roman"/>
          <w:noProof/>
          <w:sz w:val="20"/>
        </w:rPr>
      </w:pPr>
      <w:r w:rsidRPr="009306D5">
        <w:rPr>
          <w:noProof/>
          <w:sz w:val="20"/>
        </w:rPr>
        <w:t>Ainult Belgia (seitse auditit registreerimisliikmesriigina ja neli auditit tarbimisliikmesriigina, liidu kord), Taani (14 auditit tarbimisliikmesriigina, liiduväline kord), Soome (seitse auditit registreerimisliikmesriigina, liiduväline kord) ja Hispaania (viis auditit tarbimisliikmesriigina, liidu kord) teatasid mõningasest tegevusest selles valdkonnas. Enamik liikmesriike (16/28) ei teinud 2019. aastal ühtegi MOSSi auditit. Mõned selgitasid, et neil ei ole võimalik seda arvu esitada, sest nad kasutavad kõigi maksude puhul täielikult integreeritud riskianalüüsi ja maksukuulekuse juhtimise korda, mistõttu MOSSi auditid ei ole riiklikus statistikas eraldi välja toodud.</w:t>
      </w:r>
    </w:p>
    <w:p w14:paraId="52B654E7" w14:textId="484C4558" w:rsidR="005B15B7" w:rsidRPr="009306D5" w:rsidRDefault="005B15B7" w:rsidP="00FE0EC3">
      <w:pPr>
        <w:pStyle w:val="Recommendation"/>
      </w:pPr>
      <w:bookmarkStart w:id="422" w:name="_Toc95816204"/>
      <w:r w:rsidRPr="009306D5">
        <w:t xml:space="preserve">Soovitus </w:t>
      </w:r>
      <w:r w:rsidRPr="009306D5">
        <w:fldChar w:fldCharType="begin"/>
      </w:r>
      <w:r w:rsidRPr="009306D5">
        <w:instrText>SEQ Recommendation \* ARABIC</w:instrText>
      </w:r>
      <w:r w:rsidRPr="009306D5">
        <w:fldChar w:fldCharType="separate"/>
      </w:r>
      <w:bookmarkStart w:id="423" w:name="_Toc65778301"/>
      <w:bookmarkStart w:id="424" w:name="_Toc66116354"/>
      <w:r w:rsidR="008A2E1E" w:rsidRPr="009306D5">
        <w:t>16</w:t>
      </w:r>
      <w:r w:rsidRPr="009306D5">
        <w:fldChar w:fldCharType="end"/>
      </w:r>
      <w:r w:rsidRPr="009306D5">
        <w:t xml:space="preserve">. </w:t>
      </w:r>
      <w:bookmarkStart w:id="425" w:name="_Toc65673330"/>
      <w:r w:rsidRPr="009306D5">
        <w:t>Parandada MOSSis registreeritud ettevõtjate suhtes auditeerimistegevust</w:t>
      </w:r>
      <w:bookmarkEnd w:id="425"/>
      <w:bookmarkEnd w:id="423"/>
      <w:bookmarkEnd w:id="424"/>
      <w:r w:rsidRPr="009306D5">
        <w:t>.</w:t>
      </w:r>
      <w:bookmarkEnd w:id="422"/>
    </w:p>
    <w:p w14:paraId="37E4014D" w14:textId="77777777" w:rsidR="005B15B7" w:rsidRPr="009306D5" w:rsidRDefault="005B15B7" w:rsidP="000D13AA">
      <w:pPr>
        <w:pStyle w:val="Heading2"/>
        <w:numPr>
          <w:ilvl w:val="1"/>
          <w:numId w:val="29"/>
        </w:numPr>
        <w:rPr>
          <w:noProof/>
        </w:rPr>
      </w:pPr>
      <w:bookmarkStart w:id="426" w:name="_Toc62138830"/>
      <w:bookmarkStart w:id="427" w:name="_Toc65836454"/>
      <w:bookmarkStart w:id="428" w:name="_Toc66116395"/>
      <w:bookmarkStart w:id="429" w:name="_Toc66202064"/>
      <w:bookmarkStart w:id="430" w:name="_Toc67414241"/>
      <w:bookmarkStart w:id="431" w:name="_Toc67415167"/>
      <w:bookmarkStart w:id="432" w:name="_Toc67415332"/>
      <w:bookmarkStart w:id="433" w:name="_Toc67415612"/>
      <w:bookmarkStart w:id="434" w:name="_Toc67415889"/>
      <w:bookmarkStart w:id="435" w:name="_Toc69994933"/>
      <w:bookmarkStart w:id="436" w:name="_Toc82790283"/>
      <w:bookmarkStart w:id="437" w:name="_Toc82792852"/>
      <w:bookmarkStart w:id="438" w:name="_Toc90291247"/>
      <w:bookmarkStart w:id="439" w:name="_Toc95812961"/>
      <w:r w:rsidRPr="009306D5">
        <w:rPr>
          <w:noProof/>
        </w:rPr>
        <w:t>Digitaliseerimine, infotehnoloogia ja andmeanalüüs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4112C994" w14:textId="77777777" w:rsidR="005B15B7" w:rsidRPr="009306D5" w:rsidRDefault="005B15B7" w:rsidP="005B15B7">
      <w:pPr>
        <w:rPr>
          <w:rFonts w:cs="Times New Roman"/>
          <w:noProof/>
          <w:sz w:val="20"/>
        </w:rPr>
      </w:pPr>
      <w:r w:rsidRPr="009306D5">
        <w:rPr>
          <w:noProof/>
          <w:sz w:val="20"/>
        </w:rPr>
        <w:t>Eelmises aruandes soovitas komisjon liikmesriikidel suurendada maksuasustuste digitaliseerimist ja automatiseerimist ning andmete vahetamist/jagamist (2. ja 11. soovitus). Järelmeetmena küsiti liikmesriikidelt, kas 2016.</w:t>
      </w:r>
      <w:r w:rsidRPr="009306D5">
        <w:rPr>
          <w:noProof/>
          <w:color w:val="000000"/>
          <w:sz w:val="20"/>
        </w:rPr>
        <w:t>–</w:t>
      </w:r>
      <w:r w:rsidRPr="009306D5">
        <w:rPr>
          <w:noProof/>
          <w:sz w:val="20"/>
        </w:rPr>
        <w:t>2019. aastal on nende maksuhalduses tehtud mõni oluline IT-alane täiustus (nt digitaliseerimisprojektid, uued funktsioonid).</w:t>
      </w:r>
    </w:p>
    <w:p w14:paraId="08CC0E1B" w14:textId="77777777" w:rsidR="005B15B7" w:rsidRPr="009306D5" w:rsidRDefault="005B15B7" w:rsidP="005B15B7">
      <w:pPr>
        <w:rPr>
          <w:rFonts w:cs="Times New Roman"/>
          <w:noProof/>
          <w:sz w:val="20"/>
        </w:rPr>
      </w:pPr>
      <w:r w:rsidRPr="009306D5">
        <w:rPr>
          <w:noProof/>
          <w:sz w:val="20"/>
        </w:rPr>
        <w:t>Enamik liikmesriike vastas jaatavalt, mis näib olevat korrelatsioonis individuaalsete tulemustega: 1) käibemaksulõhe keskmises vähendamises ja 2) käibemaksutulu keskmises suurendamises samal ajavahemikul.</w:t>
      </w:r>
    </w:p>
    <w:p w14:paraId="1745E566" w14:textId="13AA8416" w:rsidR="005B15B7" w:rsidRPr="009306D5" w:rsidRDefault="005B15B7" w:rsidP="00FE0EC3">
      <w:pPr>
        <w:pStyle w:val="Caption"/>
      </w:pPr>
      <w:bookmarkStart w:id="440" w:name="_Toc62138791"/>
      <w:bookmarkStart w:id="441" w:name="_Toc95816252"/>
      <w:r w:rsidRPr="009306D5">
        <w:t>Joonis </w:t>
      </w:r>
      <w:r w:rsidRPr="009306D5">
        <w:fldChar w:fldCharType="begin"/>
      </w:r>
      <w:r w:rsidRPr="009306D5">
        <w:instrText xml:space="preserve"> SEQ Figure \* ARABIC </w:instrText>
      </w:r>
      <w:r w:rsidRPr="009306D5">
        <w:fldChar w:fldCharType="separate"/>
      </w:r>
      <w:r w:rsidR="008A2E1E" w:rsidRPr="009306D5">
        <w:t>25</w:t>
      </w:r>
      <w:r w:rsidRPr="009306D5">
        <w:fldChar w:fldCharType="end"/>
      </w:r>
      <w:r w:rsidRPr="009306D5">
        <w:t>. Olulised IT-algatused ja keskmised käibemaksualased tulemused ELi liikmesriikides (2016</w:t>
      </w:r>
      <w:r w:rsidRPr="009306D5">
        <w:rPr>
          <w:color w:val="000000"/>
        </w:rPr>
        <w:t>–2</w:t>
      </w:r>
      <w:r w:rsidRPr="009306D5">
        <w:t>019)</w:t>
      </w:r>
      <w:bookmarkEnd w:id="440"/>
      <w:bookmarkEnd w:id="441"/>
    </w:p>
    <w:p w14:paraId="6F7E2762" w14:textId="77777777" w:rsidR="005B15B7" w:rsidRPr="009306D5" w:rsidRDefault="005B15B7" w:rsidP="00426BDF">
      <w:pPr>
        <w:pStyle w:val="Question"/>
        <w:rPr>
          <w:noProof/>
        </w:rPr>
      </w:pPr>
      <w:r w:rsidRPr="009306D5">
        <w:rPr>
          <w:b/>
          <w:bCs/>
          <w:iCs/>
          <w:noProof/>
        </w:rPr>
        <w:t>a.</w:t>
      </w:r>
      <w:r w:rsidRPr="009306D5">
        <w:rPr>
          <w:noProof/>
        </w:rPr>
        <w:t xml:space="preserve"> Küsimus 1.10. „Kas teie liikmesriigi maksuhalduses on ajavahemikul 2016</w:t>
      </w:r>
      <w:r w:rsidRPr="009306D5">
        <w:rPr>
          <w:noProof/>
          <w:color w:val="595959"/>
        </w:rPr>
        <w:t>–</w:t>
      </w:r>
      <w:r w:rsidRPr="009306D5">
        <w:rPr>
          <w:noProof/>
        </w:rPr>
        <w:t>2019 tehtud mõni oluline IT-alane täiustus (nt digitaliseerimisprojektid, uued funktsioonid)?“</w:t>
      </w:r>
    </w:p>
    <w:p w14:paraId="55B9D6AF" w14:textId="15357C4D" w:rsidR="005B15B7" w:rsidRPr="009306D5" w:rsidRDefault="00351F81" w:rsidP="00EF59B5">
      <w:pPr>
        <w:pStyle w:val="FIgure"/>
        <w:rPr>
          <w:sz w:val="20"/>
        </w:rPr>
      </w:pPr>
      <w:r w:rsidRPr="009306D5">
        <w:rPr>
          <w:lang w:val="en-GB"/>
        </w:rPr>
        <w:drawing>
          <wp:inline distT="0" distB="0" distL="0" distR="0" wp14:anchorId="3FEE579C" wp14:editId="1D8FCDCA">
            <wp:extent cx="5760085" cy="1959610"/>
            <wp:effectExtent l="0" t="0" r="0" b="2540"/>
            <wp:docPr id="243" name="Chart 243">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56DC99F" w14:textId="51FD313E" w:rsidR="005B15B7" w:rsidRPr="009306D5" w:rsidRDefault="005B15B7" w:rsidP="00426BDF">
      <w:pPr>
        <w:pStyle w:val="Question"/>
        <w:rPr>
          <w:noProof/>
        </w:rPr>
      </w:pPr>
      <w:r w:rsidRPr="009306D5">
        <w:rPr>
          <w:b/>
          <w:bCs/>
          <w:noProof/>
        </w:rPr>
        <w:t>b.</w:t>
      </w:r>
      <w:r w:rsidRPr="009306D5">
        <w:rPr>
          <w:noProof/>
        </w:rPr>
        <w:t xml:space="preserve"> Oluline IT-algatus („Jah“/„Ei“) </w:t>
      </w:r>
      <w:r w:rsidRPr="009306D5">
        <w:rPr>
          <w:i w:val="0"/>
          <w:noProof/>
        </w:rPr>
        <w:t>vs.</w:t>
      </w:r>
      <w:r w:rsidRPr="009306D5">
        <w:rPr>
          <w:noProof/>
        </w:rPr>
        <w:t xml:space="preserve"> muutused käibemaksutuludes ja käibemaksulõhes</w:t>
      </w:r>
    </w:p>
    <w:p w14:paraId="6FDCAEA0" w14:textId="05A838EE" w:rsidR="005B15B7" w:rsidRPr="009306D5" w:rsidRDefault="00351F81" w:rsidP="00EF59B5">
      <w:pPr>
        <w:pStyle w:val="FIgure"/>
        <w:rPr>
          <w:sz w:val="20"/>
        </w:rPr>
      </w:pPr>
      <w:r w:rsidRPr="009306D5">
        <w:rPr>
          <w:lang w:val="en-GB"/>
        </w:rPr>
        <w:drawing>
          <wp:inline distT="0" distB="0" distL="0" distR="0" wp14:anchorId="219CBF15" wp14:editId="2AE886C8">
            <wp:extent cx="5760085" cy="1668145"/>
            <wp:effectExtent l="0" t="0" r="0" b="8255"/>
            <wp:docPr id="244" name="Chart 244">
              <a:extLst xmlns:a="http://schemas.openxmlformats.org/drawingml/2006/main">
                <a:ext uri="{FF2B5EF4-FFF2-40B4-BE49-F238E27FC236}">
                  <a16:creationId xmlns:a16="http://schemas.microsoft.com/office/drawing/2014/main"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24367A"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084A8DA9" w14:textId="77777777" w:rsidR="005B15B7" w:rsidRPr="009306D5" w:rsidRDefault="005B15B7" w:rsidP="005B15B7">
      <w:pPr>
        <w:rPr>
          <w:rFonts w:cs="Times New Roman"/>
          <w:noProof/>
          <w:sz w:val="20"/>
        </w:rPr>
      </w:pPr>
      <w:r w:rsidRPr="009306D5">
        <w:rPr>
          <w:noProof/>
          <w:sz w:val="20"/>
        </w:rPr>
        <w:t xml:space="preserve">Näib, et IT-alased täiustused aitavad järjekindlamalt vähendada käibemaksulõhet ja suurendada käibemaksutulu. </w:t>
      </w:r>
      <w:r w:rsidRPr="009306D5">
        <w:rPr>
          <w:b/>
          <w:noProof/>
          <w:sz w:val="20"/>
        </w:rPr>
        <w:t>Liikmesriigid, kes teatasid IT märkimisväärsest paranemisest, olid käibemaksulõhe vähendamisel samal ajavahemikul peaaegu neli korda edukamad.</w:t>
      </w:r>
    </w:p>
    <w:p w14:paraId="2F294DBC" w14:textId="58B96307" w:rsidR="005B15B7" w:rsidRPr="009306D5" w:rsidRDefault="005B15B7" w:rsidP="005B15B7">
      <w:pPr>
        <w:rPr>
          <w:rFonts w:cs="Times New Roman"/>
          <w:noProof/>
          <w:sz w:val="20"/>
        </w:rPr>
      </w:pPr>
      <w:r w:rsidRPr="009306D5">
        <w:rPr>
          <w:noProof/>
          <w:sz w:val="20"/>
        </w:rPr>
        <w:t>IT märkimisväärsest paranemisest teatanud liikmesriikide käibemaksu kogumine kasvas analüüsitud perioodil keskmiselt 37 %. Need andmed sisaldavad aga siiski baasefekti mõju (liikmesriigid ei olnud analüüsi alguses IT-arenduses samal tasemel, mistõttu mõnel oli rohkem arenguruumi) ja ka muude parameetrite mõju, nagu käibemaksumäärade muutused perioodi jooksul.</w:t>
      </w:r>
    </w:p>
    <w:p w14:paraId="5E97F622" w14:textId="4DDCB116" w:rsidR="005B15B7" w:rsidRPr="009306D5" w:rsidRDefault="005B15B7" w:rsidP="005B15B7">
      <w:pPr>
        <w:widowControl w:val="0"/>
        <w:rPr>
          <w:rFonts w:cs="Times New Roman"/>
          <w:noProof/>
          <w:sz w:val="20"/>
        </w:rPr>
      </w:pPr>
      <w:r w:rsidRPr="009306D5">
        <w:rPr>
          <w:noProof/>
          <w:sz w:val="20"/>
        </w:rPr>
        <w:t xml:space="preserve">Varasemates käibemaksulõhe uuringutes (2018, 2020) koostatud ökonomeetrilised mudelid näitavad IT-kulude osakaalu statistilist tähtsust käibemaksulõhe suuruse selgitamisel. Baasstsenaariumi hinnanguliste tulemuste kohaselt nõuab käibemaksulõhe vähendamine 1 protsendipunkti võrra IT-kulude osakaalu suurendamist maksuhaldurite kogukuludes ligikaudu 5,4 protsendipunkti võrra. </w:t>
      </w:r>
    </w:p>
    <w:p w14:paraId="06CA66EF" w14:textId="26826FD6" w:rsidR="005B15B7" w:rsidRPr="009306D5" w:rsidRDefault="005B15B7" w:rsidP="005B15B7">
      <w:pPr>
        <w:widowControl w:val="0"/>
        <w:rPr>
          <w:rFonts w:cs="Times New Roman"/>
          <w:noProof/>
          <w:sz w:val="20"/>
        </w:rPr>
      </w:pPr>
      <w:r w:rsidRPr="009306D5">
        <w:rPr>
          <w:noProof/>
          <w:sz w:val="20"/>
        </w:rPr>
        <w:t>IT-kulude suurendamine ei ole aga siiski võluvits ja selle mõju on piiratud: teataval tasandil ei ole IT-investeeringute suurendamisel enam positiivset mõju. IT-kulude osakaalu ja käibemaksulõhe vahel saab täheldada kõverakujulist suhet. Kasu hakkab vähenema, kui IT-kulud moodustavad maksuhalduri kogukuludest ligikaudu 9,8 %.</w:t>
      </w:r>
    </w:p>
    <w:p w14:paraId="1DDBA243" w14:textId="77777777" w:rsidR="005B15B7" w:rsidRPr="009306D5" w:rsidRDefault="005B15B7" w:rsidP="005B15B7">
      <w:pPr>
        <w:widowControl w:val="0"/>
        <w:rPr>
          <w:rFonts w:cs="Times New Roman"/>
          <w:noProof/>
          <w:sz w:val="20"/>
        </w:rPr>
      </w:pPr>
      <w:r w:rsidRPr="009306D5">
        <w:rPr>
          <w:noProof/>
          <w:sz w:val="20"/>
        </w:rPr>
        <w:t>Maksuhalduritelt ja muudest allikatest (OECD) saadud andmete põhjal oli kogutud käibemaksu suurusega kohandatud IT-kogukulude (investeeringud ja hoolduskulud) osakaal suurem 10 liikmesriigis: Iirimaa, Soome, Läti, Ungari, Leedu, Bulgaaria, Tšehhi, Malta, Itaalia ja Poola (analüüsis koondatud „IT-kulude rühma“).</w:t>
      </w:r>
    </w:p>
    <w:p w14:paraId="0DECAA1A" w14:textId="27E36C04" w:rsidR="005B15B7" w:rsidRPr="009306D5" w:rsidRDefault="005B15B7" w:rsidP="00FE0EC3">
      <w:pPr>
        <w:pStyle w:val="Recommendation"/>
      </w:pPr>
      <w:bookmarkStart w:id="442" w:name="_Toc95816205"/>
      <w:r w:rsidRPr="009306D5">
        <w:t xml:space="preserve">Soovitus </w:t>
      </w:r>
      <w:r w:rsidRPr="009306D5">
        <w:fldChar w:fldCharType="begin"/>
      </w:r>
      <w:r w:rsidRPr="009306D5">
        <w:instrText>SEQ Recommendation \* ARABIC</w:instrText>
      </w:r>
      <w:r w:rsidRPr="009306D5">
        <w:fldChar w:fldCharType="separate"/>
      </w:r>
      <w:bookmarkStart w:id="443" w:name="_Toc65778302"/>
      <w:bookmarkStart w:id="444" w:name="_Toc66116355"/>
      <w:r w:rsidR="008A2E1E" w:rsidRPr="009306D5">
        <w:t>17</w:t>
      </w:r>
      <w:r w:rsidRPr="009306D5">
        <w:fldChar w:fldCharType="end"/>
      </w:r>
      <w:r w:rsidRPr="009306D5">
        <w:t xml:space="preserve">. </w:t>
      </w:r>
      <w:bookmarkStart w:id="445" w:name="_Toc65673331"/>
      <w:r w:rsidRPr="009306D5">
        <w:t>Investeerida olulistesse IT-täiendustesse, hooldades samal ajal olemasolevaid IT-süsteeme,</w:t>
      </w:r>
      <w:bookmarkEnd w:id="445"/>
      <w:r w:rsidRPr="009306D5">
        <w:t xml:space="preserve"> lähtudes üldisest vajaduste analüüsist</w:t>
      </w:r>
      <w:bookmarkEnd w:id="443"/>
      <w:bookmarkEnd w:id="444"/>
      <w:r w:rsidRPr="009306D5">
        <w:t>.</w:t>
      </w:r>
      <w:bookmarkEnd w:id="442"/>
    </w:p>
    <w:p w14:paraId="4B465F0B" w14:textId="72B34345" w:rsidR="005B15B7" w:rsidRPr="009306D5" w:rsidRDefault="005B15B7" w:rsidP="00FE0EC3">
      <w:pPr>
        <w:pStyle w:val="Caption"/>
      </w:pPr>
      <w:bookmarkStart w:id="446" w:name="_Toc62138792"/>
      <w:bookmarkStart w:id="447" w:name="_Toc95816253"/>
      <w:r w:rsidRPr="009306D5">
        <w:t>Joonis </w:t>
      </w:r>
      <w:r w:rsidRPr="009306D5">
        <w:fldChar w:fldCharType="begin"/>
      </w:r>
      <w:r w:rsidRPr="009306D5">
        <w:instrText xml:space="preserve"> SEQ Figure \* ARABIC </w:instrText>
      </w:r>
      <w:r w:rsidRPr="009306D5">
        <w:fldChar w:fldCharType="separate"/>
      </w:r>
      <w:r w:rsidR="008A2E1E" w:rsidRPr="009306D5">
        <w:t>26</w:t>
      </w:r>
      <w:r w:rsidRPr="009306D5">
        <w:fldChar w:fldCharType="end"/>
      </w:r>
      <w:r w:rsidRPr="009306D5">
        <w:t>. Käibemaksulõhe muutus (protsendipunktides) ja käibemaksutulu suurenemine (%) (2016</w:t>
      </w:r>
      <w:r w:rsidRPr="009306D5">
        <w:rPr>
          <w:color w:val="000000"/>
        </w:rPr>
        <w:t>–2</w:t>
      </w:r>
      <w:r w:rsidRPr="009306D5">
        <w:t>019)</w:t>
      </w:r>
      <w:bookmarkEnd w:id="446"/>
      <w:bookmarkEnd w:id="447"/>
    </w:p>
    <w:p w14:paraId="65B8FA4B" w14:textId="77777777" w:rsidR="005B15B7" w:rsidRPr="009306D5" w:rsidRDefault="005B15B7" w:rsidP="00426BDF">
      <w:pPr>
        <w:pStyle w:val="Question"/>
        <w:rPr>
          <w:noProof/>
        </w:rPr>
      </w:pPr>
      <w:r w:rsidRPr="009306D5">
        <w:rPr>
          <w:noProof/>
        </w:rPr>
        <w:t>10 suurimate IT-kuludega riigi rühm võrreldes ELi keskmisega</w:t>
      </w:r>
    </w:p>
    <w:p w14:paraId="0466EC29" w14:textId="2F763FF7" w:rsidR="005B15B7" w:rsidRPr="009306D5" w:rsidRDefault="00351F81" w:rsidP="00EF59B5">
      <w:pPr>
        <w:pStyle w:val="FIgure"/>
        <w:rPr>
          <w:rFonts w:cs="Times New Roman"/>
        </w:rPr>
      </w:pPr>
      <w:r w:rsidRPr="009306D5">
        <w:rPr>
          <w:lang w:val="en-GB"/>
        </w:rPr>
        <w:drawing>
          <wp:inline distT="0" distB="0" distL="0" distR="0" wp14:anchorId="6680C5F6" wp14:editId="056BB656">
            <wp:extent cx="5760085" cy="1762760"/>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85" cy="1762760"/>
                    </a:xfrm>
                    <a:prstGeom prst="rect">
                      <a:avLst/>
                    </a:prstGeom>
                  </pic:spPr>
                </pic:pic>
              </a:graphicData>
            </a:graphic>
          </wp:inline>
        </w:drawing>
      </w:r>
    </w:p>
    <w:p w14:paraId="7B7E9D5C"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4367C2AA" w14:textId="6CC25765" w:rsidR="005B15B7" w:rsidRPr="009306D5" w:rsidRDefault="005B15B7" w:rsidP="005B15B7">
      <w:pPr>
        <w:widowControl w:val="0"/>
        <w:rPr>
          <w:rFonts w:cs="Times New Roman"/>
          <w:noProof/>
          <w:sz w:val="20"/>
        </w:rPr>
      </w:pPr>
      <w:r w:rsidRPr="009306D5">
        <w:rPr>
          <w:noProof/>
          <w:sz w:val="20"/>
        </w:rPr>
        <w:t xml:space="preserve">Kui analüüsi korrata, võttes arvesse perioodi IT-kulude kogusummat, on </w:t>
      </w:r>
      <w:r w:rsidRPr="009306D5">
        <w:rPr>
          <w:b/>
          <w:bCs/>
          <w:noProof/>
          <w:sz w:val="20"/>
        </w:rPr>
        <w:t>kümne suurimate IT-investeeringutega liikmesriigi</w:t>
      </w:r>
      <w:r w:rsidRPr="009306D5">
        <w:rPr>
          <w:noProof/>
          <w:sz w:val="20"/>
        </w:rPr>
        <w:t xml:space="preserve"> tulemused oluliselt paremad nii </w:t>
      </w:r>
      <w:r w:rsidRPr="009306D5">
        <w:rPr>
          <w:b/>
          <w:bCs/>
          <w:noProof/>
          <w:sz w:val="20"/>
        </w:rPr>
        <w:t>käibemaksutulu</w:t>
      </w:r>
      <w:r w:rsidRPr="009306D5">
        <w:rPr>
          <w:noProof/>
          <w:sz w:val="20"/>
        </w:rPr>
        <w:t xml:space="preserve"> </w:t>
      </w:r>
      <w:r w:rsidRPr="009306D5">
        <w:rPr>
          <w:b/>
          <w:bCs/>
          <w:noProof/>
          <w:sz w:val="20"/>
        </w:rPr>
        <w:t>kasvu</w:t>
      </w:r>
      <w:r w:rsidRPr="009306D5">
        <w:rPr>
          <w:noProof/>
          <w:sz w:val="20"/>
        </w:rPr>
        <w:t xml:space="preserve"> (81 % suurem kasv) kui ka </w:t>
      </w:r>
      <w:r w:rsidRPr="009306D5">
        <w:rPr>
          <w:b/>
          <w:bCs/>
          <w:noProof/>
          <w:sz w:val="20"/>
        </w:rPr>
        <w:t>käibemaksulõhe vähenemise</w:t>
      </w:r>
      <w:r w:rsidRPr="009306D5">
        <w:rPr>
          <w:noProof/>
          <w:sz w:val="20"/>
        </w:rPr>
        <w:t xml:space="preserve"> (kahekordne vähenemine protsendipunktides) osas. Siingi tuleb aga märkida, et IT-kulud ja eriti IT-investeeringud ei jaotu lineaarselt ning võivad aastate lõikes märkimisväärselt varieeruda.</w:t>
      </w:r>
    </w:p>
    <w:p w14:paraId="7EA3D17D" w14:textId="769FBB58" w:rsidR="005B15B7" w:rsidRPr="009306D5" w:rsidRDefault="005B15B7" w:rsidP="005B15B7">
      <w:pPr>
        <w:widowControl w:val="0"/>
        <w:rPr>
          <w:rFonts w:cs="Times New Roman"/>
          <w:noProof/>
          <w:sz w:val="20"/>
        </w:rPr>
      </w:pPr>
      <w:r w:rsidRPr="009306D5">
        <w:rPr>
          <w:noProof/>
          <w:sz w:val="20"/>
        </w:rPr>
        <w:t>Maksuhaldurite digitaliseerimise kulude kaks põhikomponenti on IT-kulud (investeeringud ja hoolduskulud) ja personalikulud (IT-spetsialistid). Aastatel 2016</w:t>
      </w:r>
      <w:r w:rsidRPr="009306D5">
        <w:rPr>
          <w:noProof/>
          <w:color w:val="000000"/>
          <w:sz w:val="20"/>
        </w:rPr>
        <w:t>–2</w:t>
      </w:r>
      <w:r w:rsidRPr="009306D5">
        <w:rPr>
          <w:noProof/>
          <w:sz w:val="20"/>
        </w:rPr>
        <w:t>019 kasvas IT-valdkonna personal ELis keskmiselt 13%; Bulgaarias, Ungaris, Soomes, Rumeenias ja Hispaanias oli IT-töötajaid (täistööajale taandatud töötajad) keskmisest rohkem. Küprosel, Horvaatias, Eestis, Hispaanias, Rootsis ja eelkõige Poolas suurenes IT-töötajate arv sel ajavahemikul märkimisväärselt. IT-oskusi ei ole siiski võimalik hinnata, kuigi maksuhalduritel võiks oma strateegiate kohandamisel sellest kasu olla.</w:t>
      </w:r>
    </w:p>
    <w:p w14:paraId="6DA8B187" w14:textId="77777777" w:rsidR="005B15B7" w:rsidRPr="009306D5" w:rsidRDefault="005B15B7" w:rsidP="005B15B7">
      <w:pPr>
        <w:widowControl w:val="0"/>
        <w:rPr>
          <w:rFonts w:cs="Times New Roman"/>
          <w:noProof/>
          <w:sz w:val="20"/>
        </w:rPr>
      </w:pPr>
      <w:r w:rsidRPr="009306D5">
        <w:rPr>
          <w:noProof/>
          <w:sz w:val="20"/>
        </w:rPr>
        <w:t>Sõltuvalt mitmest sisemisest tegurist ja otsusest kasutavad ELi liikmesriigid erinevaid asutusesiseseid või sisse ostetud IT-arenduse mudeleid. Kumbki mudel ei ole ideaalne ning mõlemal on nii aja, riskide kui ka kulude osas eeliseid ja puudusi (nt kui maksuhaldurid kasutavad ettevõttesiseseid IT-arendajaid, võtavad nad enda kanda kogu oma suutlikkusega seotud riski, samas kui välise arendaja puhul nad seda ei tee).</w:t>
      </w:r>
    </w:p>
    <w:p w14:paraId="7BAF7177" w14:textId="75092C39" w:rsidR="005B15B7" w:rsidRPr="009306D5" w:rsidRDefault="005B15B7" w:rsidP="005B15B7">
      <w:pPr>
        <w:widowControl w:val="0"/>
        <w:rPr>
          <w:rFonts w:cs="Times New Roman"/>
          <w:noProof/>
          <w:sz w:val="20"/>
        </w:rPr>
      </w:pPr>
      <w:r w:rsidRPr="009306D5">
        <w:rPr>
          <w:noProof/>
          <w:sz w:val="20"/>
        </w:rPr>
        <w:t>Üldiselt suurendavad maksuhaldurid oma IT-kulusid ja palkavad rohkem IT-spetsialiste, mis tavaliselt tasub end ära. Seetõttu jääb komisjon oma varasema soovituse juurde suurendada digitaliseeritust ning investeerida andmete automatiseerimisse ja andmevahetusse.</w:t>
      </w:r>
    </w:p>
    <w:p w14:paraId="14A0D1F4" w14:textId="318C7BF1" w:rsidR="005B15B7" w:rsidRPr="009306D5" w:rsidRDefault="005B15B7" w:rsidP="00451A54">
      <w:pPr>
        <w:widowControl w:val="0"/>
        <w:tabs>
          <w:tab w:val="left" w:pos="8647"/>
        </w:tabs>
        <w:rPr>
          <w:rFonts w:cs="Times New Roman"/>
          <w:noProof/>
          <w:sz w:val="20"/>
        </w:rPr>
      </w:pPr>
      <w:r w:rsidRPr="009306D5">
        <w:rPr>
          <w:noProof/>
          <w:sz w:val="20"/>
        </w:rPr>
        <w:t>Nagu eelmises aruandes märgitud, võiksid liikmesriigid kasu saada ka tihedamast koostööst ja ühisinvesteeringutest ühilduvatesse IT-lahendustesse, mis aitavad vältida jõupingutuste ja süsteemide dubleerimist ning võimaldavad vähendada IT-kulusid</w:t>
      </w:r>
      <w:r w:rsidRPr="009306D5">
        <w:rPr>
          <w:rStyle w:val="FootnoteReference"/>
          <w:rFonts w:cs="Times New Roman"/>
          <w:noProof/>
          <w:sz w:val="20"/>
        </w:rPr>
        <w:footnoteReference w:id="20"/>
      </w:r>
      <w:r w:rsidRPr="009306D5">
        <w:rPr>
          <w:noProof/>
          <w:sz w:val="20"/>
        </w:rPr>
        <w:t>.</w:t>
      </w:r>
    </w:p>
    <w:p w14:paraId="78A32A85" w14:textId="0D240695" w:rsidR="005B15B7" w:rsidRPr="009306D5" w:rsidRDefault="005B15B7" w:rsidP="00FE0EC3">
      <w:pPr>
        <w:pStyle w:val="Recommendation"/>
      </w:pPr>
      <w:bookmarkStart w:id="448" w:name="_Toc95816206"/>
      <w:r w:rsidRPr="009306D5">
        <w:t xml:space="preserve">Soovitus </w:t>
      </w:r>
      <w:r w:rsidRPr="009306D5">
        <w:fldChar w:fldCharType="begin"/>
      </w:r>
      <w:r w:rsidRPr="009306D5">
        <w:instrText>SEQ Recommendation \* ARABIC</w:instrText>
      </w:r>
      <w:r w:rsidRPr="009306D5">
        <w:fldChar w:fldCharType="separate"/>
      </w:r>
      <w:bookmarkStart w:id="449" w:name="_Toc65778303"/>
      <w:bookmarkStart w:id="450" w:name="_Toc66116356"/>
      <w:r w:rsidR="008A2E1E" w:rsidRPr="009306D5">
        <w:t>18</w:t>
      </w:r>
      <w:r w:rsidRPr="009306D5">
        <w:fldChar w:fldCharType="end"/>
      </w:r>
      <w:r w:rsidRPr="009306D5">
        <w:t xml:space="preserve">. </w:t>
      </w:r>
      <w:bookmarkStart w:id="451" w:name="_Toc65673332"/>
      <w:r w:rsidRPr="009306D5">
        <w:t>Investeerida IT-töötajatesse, suurendades nende arvu ja täiendades nende oskusi</w:t>
      </w:r>
      <w:bookmarkEnd w:id="451"/>
      <w:bookmarkEnd w:id="449"/>
      <w:bookmarkEnd w:id="450"/>
      <w:r w:rsidRPr="009306D5">
        <w:t>.</w:t>
      </w:r>
      <w:bookmarkEnd w:id="448"/>
    </w:p>
    <w:p w14:paraId="26A328F4" w14:textId="77777777" w:rsidR="005B15B7" w:rsidRPr="009306D5" w:rsidRDefault="005B15B7" w:rsidP="005B15B7">
      <w:pPr>
        <w:rPr>
          <w:rFonts w:cs="Times New Roman"/>
          <w:noProof/>
          <w:sz w:val="20"/>
        </w:rPr>
      </w:pPr>
      <w:r w:rsidRPr="009306D5">
        <w:rPr>
          <w:noProof/>
          <w:sz w:val="20"/>
        </w:rPr>
        <w:t>Selleks, et saavutada maksukuulekuse püsivalt kõrge tase, tasakaalustavad ja kombineerivad liikmesriigid kahte elementi, viljeledes teatavat piitsa ja prääniku stiilis lähenemist: kuulekatele maksumaksjatele pakutavate teenuste parandamine (n-ö präänik) ja nõudeid eiravate maksumaksjate tuvastamine ja nende suhtes meetmete võtmine (n-ö piits). Neid kaht strateegilist tegevussuunda ühendab üks oluline tegur: andmed. Andmete tõhus kasutamine aitab teha kiiremaid, õiglasemaid ja teadlikumaid otsuseid, pakkuda maksumaksjatele paremaid teenuseid ja tuvastada maksumaksjaid, kes nõudeid ei täida.</w:t>
      </w:r>
    </w:p>
    <w:p w14:paraId="5C66DD33" w14:textId="77777777" w:rsidR="005B15B7" w:rsidRPr="009306D5" w:rsidRDefault="005B15B7" w:rsidP="005B15B7">
      <w:pPr>
        <w:rPr>
          <w:rFonts w:cs="Times New Roman"/>
          <w:noProof/>
          <w:sz w:val="20"/>
        </w:rPr>
      </w:pPr>
      <w:r w:rsidRPr="009306D5">
        <w:rPr>
          <w:noProof/>
          <w:sz w:val="20"/>
        </w:rPr>
        <w:t>Allpool esitatud analüüs algab 1) maksuhaldurite maksukuulekuse juhtimise kavadega, seejärel tulevad jutuks 2) maksumaksjatele pakutavad teenused ja lõpuks 3) andmed, mida maksuhaldur kasutab käibemaksukohustuse täitmise tagamiseks.</w:t>
      </w:r>
    </w:p>
    <w:p w14:paraId="7140CF15" w14:textId="77777777" w:rsidR="005B15B7" w:rsidRPr="009306D5" w:rsidRDefault="005B15B7" w:rsidP="000D13AA">
      <w:pPr>
        <w:pStyle w:val="Heading2"/>
        <w:numPr>
          <w:ilvl w:val="1"/>
          <w:numId w:val="29"/>
        </w:numPr>
        <w:rPr>
          <w:noProof/>
        </w:rPr>
      </w:pPr>
      <w:bookmarkStart w:id="452" w:name="_Toc57740026"/>
      <w:bookmarkStart w:id="453" w:name="_Toc57740059"/>
      <w:bookmarkStart w:id="454" w:name="_Toc57740755"/>
      <w:bookmarkStart w:id="455" w:name="_Toc58240848"/>
      <w:bookmarkStart w:id="456" w:name="_Toc58340854"/>
      <w:bookmarkStart w:id="457" w:name="_Toc60924352"/>
      <w:bookmarkStart w:id="458" w:name="_Toc60924411"/>
      <w:bookmarkStart w:id="459" w:name="_Toc60927286"/>
      <w:bookmarkStart w:id="460" w:name="_Toc61340149"/>
      <w:bookmarkStart w:id="461" w:name="_Toc61627339"/>
      <w:bookmarkStart w:id="462" w:name="_Toc61630134"/>
      <w:bookmarkStart w:id="463" w:name="_Toc61863641"/>
      <w:bookmarkStart w:id="464" w:name="_Toc61889376"/>
      <w:bookmarkStart w:id="465" w:name="_Toc61948315"/>
      <w:bookmarkStart w:id="466" w:name="_Toc61948932"/>
      <w:bookmarkStart w:id="467" w:name="_Toc61948974"/>
      <w:bookmarkStart w:id="468" w:name="_Toc61949062"/>
      <w:bookmarkStart w:id="469" w:name="_Toc61949103"/>
      <w:bookmarkStart w:id="470" w:name="_Toc61949144"/>
      <w:bookmarkStart w:id="471" w:name="_Toc61949310"/>
      <w:bookmarkStart w:id="472" w:name="_Toc61949407"/>
      <w:bookmarkStart w:id="473" w:name="_Toc61949577"/>
      <w:bookmarkStart w:id="474" w:name="_Toc61949793"/>
      <w:bookmarkStart w:id="475" w:name="_Toc61949834"/>
      <w:bookmarkStart w:id="476" w:name="_Toc61949875"/>
      <w:bookmarkStart w:id="477" w:name="_Toc61963477"/>
      <w:bookmarkStart w:id="478" w:name="_Toc61969122"/>
      <w:bookmarkStart w:id="479" w:name="_Toc61970397"/>
      <w:bookmarkStart w:id="480" w:name="_Toc61976276"/>
      <w:bookmarkStart w:id="481" w:name="_Toc62113223"/>
      <w:bookmarkStart w:id="482" w:name="_Toc62113266"/>
      <w:bookmarkStart w:id="483" w:name="_Toc62124839"/>
      <w:bookmarkStart w:id="484" w:name="_Toc62128487"/>
      <w:bookmarkStart w:id="485" w:name="_Toc62131538"/>
      <w:bookmarkStart w:id="486" w:name="_Toc62138832"/>
      <w:bookmarkStart w:id="487" w:name="_Toc62139027"/>
      <w:bookmarkStart w:id="488" w:name="_Toc62139449"/>
      <w:bookmarkStart w:id="489" w:name="_Toc62144719"/>
      <w:bookmarkStart w:id="490" w:name="_Toc62240821"/>
      <w:bookmarkStart w:id="491" w:name="_Toc62240861"/>
      <w:bookmarkStart w:id="492" w:name="_Toc62240903"/>
      <w:bookmarkStart w:id="493" w:name="_Toc62241397"/>
      <w:bookmarkStart w:id="494" w:name="_Toc62560373"/>
      <w:bookmarkStart w:id="495" w:name="_Toc62560508"/>
      <w:bookmarkStart w:id="496" w:name="_Toc62561093"/>
      <w:bookmarkStart w:id="497" w:name="_Toc62562466"/>
      <w:bookmarkStart w:id="498" w:name="_Toc62562613"/>
      <w:bookmarkStart w:id="499" w:name="_Toc62563189"/>
      <w:bookmarkStart w:id="500" w:name="_Toc62563364"/>
      <w:bookmarkStart w:id="501" w:name="_Toc62575959"/>
      <w:bookmarkStart w:id="502" w:name="_Toc62576176"/>
      <w:bookmarkStart w:id="503" w:name="_Toc62576282"/>
      <w:bookmarkStart w:id="504" w:name="_Toc62578471"/>
      <w:bookmarkStart w:id="505" w:name="_Toc62654894"/>
      <w:bookmarkStart w:id="506" w:name="_Toc63325357"/>
      <w:bookmarkStart w:id="507" w:name="_Toc63350828"/>
      <w:bookmarkStart w:id="508" w:name="_Toc63417341"/>
      <w:bookmarkStart w:id="509" w:name="_Toc63693605"/>
      <w:bookmarkStart w:id="510" w:name="_Toc63870352"/>
      <w:bookmarkStart w:id="511" w:name="_Toc63945634"/>
      <w:bookmarkStart w:id="512" w:name="_Toc63945729"/>
      <w:bookmarkStart w:id="513" w:name="_Toc63946008"/>
      <w:bookmarkStart w:id="514" w:name="_Toc64048500"/>
      <w:bookmarkStart w:id="515" w:name="_Toc64049209"/>
      <w:bookmarkStart w:id="516" w:name="_Toc64275456"/>
      <w:bookmarkStart w:id="517" w:name="_Toc64283981"/>
      <w:bookmarkStart w:id="518" w:name="_Toc65773633"/>
      <w:bookmarkStart w:id="519" w:name="_Toc65773675"/>
      <w:bookmarkStart w:id="520" w:name="_Toc65773751"/>
      <w:bookmarkStart w:id="521" w:name="_Toc65774412"/>
      <w:bookmarkStart w:id="522" w:name="_Toc65774615"/>
      <w:bookmarkStart w:id="523" w:name="_Toc65774706"/>
      <w:bookmarkStart w:id="524" w:name="_Toc65776858"/>
      <w:bookmarkStart w:id="525" w:name="_Toc65836455"/>
      <w:bookmarkStart w:id="526" w:name="_Toc65858312"/>
      <w:bookmarkStart w:id="527" w:name="_Toc66113616"/>
      <w:bookmarkStart w:id="528" w:name="_Toc66113760"/>
      <w:bookmarkStart w:id="529" w:name="_Toc66114941"/>
      <w:bookmarkStart w:id="530" w:name="_Toc66115059"/>
      <w:bookmarkStart w:id="531" w:name="_Toc66115152"/>
      <w:bookmarkStart w:id="532" w:name="_Toc66115206"/>
      <w:bookmarkStart w:id="533" w:name="_Toc66115335"/>
      <w:bookmarkStart w:id="534" w:name="_Toc66115834"/>
      <w:bookmarkStart w:id="535" w:name="_Toc66116017"/>
      <w:bookmarkStart w:id="536" w:name="_Toc66116072"/>
      <w:bookmarkStart w:id="537" w:name="_Toc66116128"/>
      <w:bookmarkStart w:id="538" w:name="_Toc66116183"/>
      <w:bookmarkStart w:id="539" w:name="_Toc66116238"/>
      <w:bookmarkStart w:id="540" w:name="_Toc66116293"/>
      <w:bookmarkStart w:id="541" w:name="_Toc66116396"/>
      <w:bookmarkStart w:id="542" w:name="_Toc66117326"/>
      <w:bookmarkStart w:id="543" w:name="_Toc66117380"/>
      <w:bookmarkStart w:id="544" w:name="_Toc66117435"/>
      <w:bookmarkStart w:id="545" w:name="_Toc66199707"/>
      <w:bookmarkStart w:id="546" w:name="_Toc66201246"/>
      <w:bookmarkStart w:id="547" w:name="_Toc66200760"/>
      <w:bookmarkStart w:id="548" w:name="_Toc66201300"/>
      <w:bookmarkStart w:id="549" w:name="_Toc66201354"/>
      <w:bookmarkStart w:id="550" w:name="_Toc66201408"/>
      <w:bookmarkStart w:id="551" w:name="_Toc66201462"/>
      <w:bookmarkStart w:id="552" w:name="_Toc66201516"/>
      <w:bookmarkStart w:id="553" w:name="_Toc66201615"/>
      <w:bookmarkStart w:id="554" w:name="_Toc66201669"/>
      <w:bookmarkStart w:id="555" w:name="_Toc66202065"/>
      <w:bookmarkStart w:id="556" w:name="_Toc66202119"/>
      <w:bookmarkStart w:id="557" w:name="_Toc66202775"/>
      <w:bookmarkStart w:id="558" w:name="_Toc66204843"/>
      <w:bookmarkStart w:id="559" w:name="_Toc66729433"/>
      <w:bookmarkStart w:id="560" w:name="_Toc66881505"/>
      <w:bookmarkStart w:id="561" w:name="_Toc66881728"/>
      <w:bookmarkStart w:id="562" w:name="_Toc67413919"/>
      <w:bookmarkStart w:id="563" w:name="_Toc67413971"/>
      <w:bookmarkStart w:id="564" w:name="_Toc67414023"/>
      <w:bookmarkStart w:id="565" w:name="_Toc67414095"/>
      <w:bookmarkStart w:id="566" w:name="_Toc67414168"/>
      <w:bookmarkStart w:id="567" w:name="_Toc67414242"/>
      <w:bookmarkStart w:id="568" w:name="_Toc67414297"/>
      <w:bookmarkStart w:id="569" w:name="_Toc67414350"/>
      <w:bookmarkStart w:id="570" w:name="_Toc67414409"/>
      <w:bookmarkStart w:id="571" w:name="_Toc67414462"/>
      <w:bookmarkStart w:id="572" w:name="_Toc67414515"/>
      <w:bookmarkStart w:id="573" w:name="_Toc67414569"/>
      <w:bookmarkStart w:id="574" w:name="_Toc67414643"/>
      <w:bookmarkStart w:id="575" w:name="_Toc67414697"/>
      <w:bookmarkStart w:id="576" w:name="_Toc67414750"/>
      <w:bookmarkStart w:id="577" w:name="_Toc67414824"/>
      <w:bookmarkStart w:id="578" w:name="_Toc67414883"/>
      <w:bookmarkStart w:id="579" w:name="_Toc67414936"/>
      <w:bookmarkStart w:id="580" w:name="_Toc67415168"/>
      <w:bookmarkStart w:id="581" w:name="_Toc67415333"/>
      <w:bookmarkStart w:id="582" w:name="_Toc67415511"/>
      <w:bookmarkStart w:id="583" w:name="_Toc67415613"/>
      <w:bookmarkStart w:id="584" w:name="_Toc62138833"/>
      <w:bookmarkStart w:id="585" w:name="_Toc65836456"/>
      <w:bookmarkStart w:id="586" w:name="_Toc66116397"/>
      <w:bookmarkStart w:id="587" w:name="_Toc66202066"/>
      <w:bookmarkStart w:id="588" w:name="_Toc67414243"/>
      <w:bookmarkStart w:id="589" w:name="_Toc67415169"/>
      <w:bookmarkStart w:id="590" w:name="_Toc67415334"/>
      <w:bookmarkStart w:id="591" w:name="_Toc67415614"/>
      <w:bookmarkStart w:id="592" w:name="_Toc67415890"/>
      <w:bookmarkStart w:id="593" w:name="_Toc69994934"/>
      <w:bookmarkStart w:id="594" w:name="_Toc82790284"/>
      <w:bookmarkStart w:id="595" w:name="_Toc82792853"/>
      <w:bookmarkStart w:id="596" w:name="_Toc90291248"/>
      <w:bookmarkStart w:id="597" w:name="_Toc95812962"/>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9306D5">
        <w:rPr>
          <w:noProof/>
        </w:rPr>
        <w:t>Maksukuulekuse juhtimise kavad</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5E554580" w14:textId="4F7A742F" w:rsidR="005B15B7" w:rsidRPr="009306D5" w:rsidRDefault="005B15B7" w:rsidP="005B15B7">
      <w:pPr>
        <w:rPr>
          <w:rFonts w:cs="Times New Roman"/>
          <w:noProof/>
          <w:sz w:val="20"/>
        </w:rPr>
      </w:pPr>
      <w:r w:rsidRPr="009306D5">
        <w:rPr>
          <w:noProof/>
          <w:sz w:val="20"/>
        </w:rPr>
        <w:t>Käibemaksuhaldus peab algama heast maksukuulekuse kavast. Maksukuulekuse kava on „kõrgetasemeline kava, mis koondab ühte dokumenti maksusüsteemis kindlaks tehtud kõige olulisemate maksukuulekuse riskide kirjelduse ja üksikasjaliku selgituse, kuidas maksuamet kavatseb nendele riskidele reageerida“ (IMF, 2010)</w:t>
      </w:r>
      <w:r w:rsidRPr="009306D5">
        <w:rPr>
          <w:rStyle w:val="FootnoteReference"/>
          <w:rFonts w:cs="Times New Roman"/>
          <w:noProof/>
          <w:sz w:val="20"/>
        </w:rPr>
        <w:footnoteReference w:id="21"/>
      </w:r>
      <w:r w:rsidRPr="009306D5">
        <w:rPr>
          <w:noProof/>
          <w:sz w:val="20"/>
        </w:rPr>
        <w:t>.</w:t>
      </w:r>
    </w:p>
    <w:p w14:paraId="0858167F" w14:textId="1E1259BA" w:rsidR="005B15B7" w:rsidRPr="009306D5" w:rsidRDefault="005B15B7" w:rsidP="005B15B7">
      <w:pPr>
        <w:rPr>
          <w:rFonts w:cs="Times New Roman"/>
          <w:noProof/>
          <w:sz w:val="20"/>
        </w:rPr>
      </w:pPr>
      <w:r w:rsidRPr="009306D5">
        <w:rPr>
          <w:noProof/>
          <w:sz w:val="20"/>
        </w:rPr>
        <w:t>Eelmises aruandes soovitas komisjon liikmesriikidel tagada, et „nende auditeerimisstrateegia on osa üldisest (käibe)maksukohustuse täitmise strateegiast, mitte eraldiseisev lähenemine“. Selle hindamine, kas liikmesriigid kõnealust nõuet täidavad, sõltub vastava dokumendi olemasolust, selle heakskiitmisest asjakohasel kõrgemal tasandil ja selle integreerimisest maksuhalduri iga-aastasesse tegevuskavasse.</w:t>
      </w:r>
    </w:p>
    <w:p w14:paraId="3663B531" w14:textId="4DB02061" w:rsidR="005B15B7" w:rsidRPr="009306D5" w:rsidRDefault="005B15B7" w:rsidP="00FE0EC3">
      <w:pPr>
        <w:pStyle w:val="Caption"/>
      </w:pPr>
      <w:bookmarkStart w:id="598" w:name="_Toc62138793"/>
      <w:bookmarkStart w:id="599" w:name="_Toc95816254"/>
      <w:r w:rsidRPr="009306D5">
        <w:t>Joonis </w:t>
      </w:r>
      <w:r w:rsidRPr="009306D5">
        <w:fldChar w:fldCharType="begin"/>
      </w:r>
      <w:r w:rsidRPr="009306D5">
        <w:instrText xml:space="preserve"> SEQ Figure \* ARABIC </w:instrText>
      </w:r>
      <w:r w:rsidRPr="009306D5">
        <w:fldChar w:fldCharType="separate"/>
      </w:r>
      <w:r w:rsidR="008A2E1E" w:rsidRPr="009306D5">
        <w:t>27</w:t>
      </w:r>
      <w:r w:rsidRPr="009306D5">
        <w:fldChar w:fldCharType="end"/>
      </w:r>
      <w:r w:rsidRPr="009306D5">
        <w:t>. Käibemaksualase maksukuulekuse parandamise kavad ELi liikmesriikides</w:t>
      </w:r>
      <w:bookmarkEnd w:id="598"/>
      <w:bookmarkEnd w:id="599"/>
    </w:p>
    <w:p w14:paraId="7703802B" w14:textId="01D162B5" w:rsidR="00764485" w:rsidRPr="009306D5" w:rsidRDefault="00764485" w:rsidP="00426BDF">
      <w:pPr>
        <w:pStyle w:val="Question"/>
        <w:rPr>
          <w:noProof/>
        </w:rPr>
      </w:pPr>
      <w:r w:rsidRPr="009306D5">
        <w:rPr>
          <w:noProof/>
        </w:rPr>
        <w:t>Küsimus 4.1. „Kas teie maksuhalduritel on maksukuulekuse parandamise kava?“</w:t>
      </w:r>
    </w:p>
    <w:p w14:paraId="2A2AF557" w14:textId="74228F06" w:rsidR="005B15B7" w:rsidRPr="009306D5" w:rsidRDefault="00590B29" w:rsidP="00EF59B5">
      <w:pPr>
        <w:pStyle w:val="FIgure"/>
        <w:rPr>
          <w:rFonts w:cs="Times New Roman"/>
          <w:sz w:val="20"/>
        </w:rPr>
      </w:pPr>
      <w:r w:rsidRPr="009306D5">
        <w:rPr>
          <w:lang w:val="en-GB"/>
        </w:rPr>
        <w:drawing>
          <wp:inline distT="0" distB="0" distL="0" distR="0" wp14:anchorId="6CD5D5A2" wp14:editId="338A42FB">
            <wp:extent cx="5760085" cy="1678940"/>
            <wp:effectExtent l="0" t="0" r="0" b="0"/>
            <wp:docPr id="248" name="Chart 248">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D12CA98"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64F307B4" w14:textId="7D59D748" w:rsidR="005B15B7" w:rsidRPr="009306D5" w:rsidRDefault="005B15B7" w:rsidP="005B15B7">
      <w:pPr>
        <w:rPr>
          <w:rFonts w:cs="Times New Roman"/>
          <w:noProof/>
          <w:sz w:val="20"/>
        </w:rPr>
      </w:pPr>
      <w:r w:rsidRPr="009306D5">
        <w:rPr>
          <w:noProof/>
          <w:sz w:val="20"/>
        </w:rPr>
        <w:t>Maksukuulekuskava olemasolu on samm õiges suunas. Kuid käibemaksu juhtimise protsessi jaoks on veelgi olulisem see, mis selles kavas seisab. Komisjon palus täiendavat teavet selle kohta, kas liikmesriikide maksukuulekuskavad sisaldavad kõige olulisemaid käibemaksunõuete täitmisega seotud riske ja nende vähendamise meetmeid, auditikavasid, leevendusmeetmeid ja muid elemente. Tulemused on kok</w:t>
      </w:r>
      <w:r w:rsidR="005F052C" w:rsidRPr="009306D5">
        <w:rPr>
          <w:noProof/>
          <w:sz w:val="20"/>
        </w:rPr>
        <w:t>kuvõtlikult es</w:t>
      </w:r>
      <w:r w:rsidR="00FE5E0C" w:rsidRPr="009306D5">
        <w:rPr>
          <w:noProof/>
          <w:sz w:val="20"/>
        </w:rPr>
        <w:t>itatud joonisel 2</w:t>
      </w:r>
      <w:r w:rsidR="006317C8" w:rsidRPr="009306D5">
        <w:rPr>
          <w:noProof/>
          <w:sz w:val="20"/>
        </w:rPr>
        <w:t>8</w:t>
      </w:r>
      <w:r w:rsidRPr="009306D5">
        <w:rPr>
          <w:noProof/>
          <w:sz w:val="20"/>
        </w:rPr>
        <w:t>.</w:t>
      </w:r>
    </w:p>
    <w:p w14:paraId="5A7B601A" w14:textId="185E455C" w:rsidR="005B15B7" w:rsidRPr="009306D5" w:rsidRDefault="005B15B7" w:rsidP="00FE0EC3">
      <w:pPr>
        <w:pStyle w:val="Caption"/>
      </w:pPr>
      <w:bookmarkStart w:id="600" w:name="_Toc62138794"/>
      <w:bookmarkStart w:id="601" w:name="_Toc95816255"/>
      <w:r w:rsidRPr="009306D5">
        <w:t>Joonis </w:t>
      </w:r>
      <w:r w:rsidRPr="009306D5">
        <w:fldChar w:fldCharType="begin"/>
      </w:r>
      <w:r w:rsidRPr="009306D5">
        <w:instrText xml:space="preserve"> SEQ Figure \* ARABIC </w:instrText>
      </w:r>
      <w:r w:rsidRPr="009306D5">
        <w:fldChar w:fldCharType="separate"/>
      </w:r>
      <w:r w:rsidR="008A2E1E" w:rsidRPr="009306D5">
        <w:t>28</w:t>
      </w:r>
      <w:r w:rsidRPr="009306D5">
        <w:fldChar w:fldCharType="end"/>
      </w:r>
      <w:r w:rsidRPr="009306D5">
        <w:t>. Maksukuulekuse kavad ELi liikmesriikides (sisu)</w:t>
      </w:r>
      <w:bookmarkEnd w:id="600"/>
      <w:bookmarkEnd w:id="601"/>
    </w:p>
    <w:p w14:paraId="1BA1B345" w14:textId="06DB02F7" w:rsidR="005A11D9" w:rsidRPr="009306D5" w:rsidRDefault="005A11D9" w:rsidP="00426BDF">
      <w:pPr>
        <w:pStyle w:val="Question"/>
        <w:rPr>
          <w:noProof/>
        </w:rPr>
      </w:pPr>
      <w:r w:rsidRPr="009306D5">
        <w:rPr>
          <w:noProof/>
        </w:rPr>
        <w:t>Küsimus 4.1.a. „Teie maksuhaldurite maksukuulekus kava [...] (Vastuseid võib olla mitu)“</w:t>
      </w:r>
    </w:p>
    <w:p w14:paraId="4A22ABDF" w14:textId="597729A8" w:rsidR="005B15B7" w:rsidRPr="009306D5" w:rsidRDefault="00590B29" w:rsidP="00EF59B5">
      <w:pPr>
        <w:pStyle w:val="FIgure"/>
      </w:pPr>
      <w:r w:rsidRPr="009306D5">
        <w:rPr>
          <w:lang w:val="en-GB"/>
        </w:rPr>
        <w:drawing>
          <wp:inline distT="0" distB="0" distL="0" distR="0" wp14:anchorId="4B85EE1E" wp14:editId="44CCB5B2">
            <wp:extent cx="5760085" cy="3847465"/>
            <wp:effectExtent l="0" t="0" r="0"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3847465"/>
                    </a:xfrm>
                    <a:prstGeom prst="rect">
                      <a:avLst/>
                    </a:prstGeom>
                  </pic:spPr>
                </pic:pic>
              </a:graphicData>
            </a:graphic>
          </wp:inline>
        </w:drawing>
      </w:r>
      <w:r w:rsidR="00426BDF" w:rsidRPr="009306D5">
        <w:t xml:space="preserve"> </w:t>
      </w:r>
    </w:p>
    <w:p w14:paraId="2F286F77"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3D48FFD2" w14:textId="77777777" w:rsidR="005B15B7" w:rsidRPr="009306D5" w:rsidRDefault="005B15B7" w:rsidP="005B15B7">
      <w:pPr>
        <w:rPr>
          <w:rFonts w:cs="Times New Roman"/>
          <w:noProof/>
          <w:sz w:val="20"/>
        </w:rPr>
      </w:pPr>
      <w:r w:rsidRPr="009306D5">
        <w:rPr>
          <w:noProof/>
          <w:sz w:val="20"/>
        </w:rPr>
        <w:t>Maksukuulekuskavasid käsitlevatele küsimustele antud vastuste põhjal märkisid kaheksa liikmesriiki, et nende maksukuulekuskavad on täiesti läbipaistvad/avalikud ja maksumaksjatele kättesaadavad. Kuus nendest liikmesriikidest (Iirimaa, Hispaania, Horvaatia, Itaalia, Madalmaad ja Slovakkia) läksid läbipaistvusega veelgi kaugemale, tehes dokumendid avalikult kättesaadavaks. Lisaks on mõned ELi liikmesriigid, näiteks Bulgaaria ja Hispaania, lisanud oma kavadesse kõik eespool nimetatud elemendid. Samal ajal vastasid Saksamaa, Luksemburg ja Portugal küsimusele „Kas teie maksuhalduritel on maksukuulekuse parandamise kava?“ eitavalt.</w:t>
      </w:r>
    </w:p>
    <w:p w14:paraId="348B0217" w14:textId="1B0D7687" w:rsidR="005B15B7" w:rsidRPr="009306D5" w:rsidRDefault="005B15B7" w:rsidP="00FE0EC3">
      <w:pPr>
        <w:pStyle w:val="Recommendation"/>
      </w:pPr>
      <w:bookmarkStart w:id="602" w:name="_Toc95816207"/>
      <w:r w:rsidRPr="009306D5">
        <w:t xml:space="preserve">Soovitus </w:t>
      </w:r>
      <w:r w:rsidRPr="009306D5">
        <w:fldChar w:fldCharType="begin"/>
      </w:r>
      <w:r w:rsidRPr="009306D5">
        <w:instrText>SEQ Recommendation \* ARABIC</w:instrText>
      </w:r>
      <w:r w:rsidRPr="009306D5">
        <w:fldChar w:fldCharType="separate"/>
      </w:r>
      <w:bookmarkStart w:id="603" w:name="_Toc65778304"/>
      <w:bookmarkStart w:id="604" w:name="_Toc66116357"/>
      <w:r w:rsidR="008A2E1E" w:rsidRPr="009306D5">
        <w:t>19</w:t>
      </w:r>
      <w:r w:rsidRPr="009306D5">
        <w:fldChar w:fldCharType="end"/>
      </w:r>
      <w:r w:rsidRPr="009306D5">
        <w:t xml:space="preserve">. </w:t>
      </w:r>
      <w:bookmarkStart w:id="605" w:name="_Toc65673333"/>
      <w:r w:rsidRPr="009306D5">
        <w:t>Leevendada riske maksukuulekuskava abil, mis hõlmab peamisi nõuetelevastavusega seotud ohte, ja jälgida korrapäraselt selle rakendamist</w:t>
      </w:r>
      <w:bookmarkEnd w:id="605"/>
      <w:bookmarkEnd w:id="603"/>
      <w:bookmarkEnd w:id="604"/>
      <w:r w:rsidRPr="009306D5">
        <w:t>.</w:t>
      </w:r>
      <w:bookmarkEnd w:id="602"/>
    </w:p>
    <w:p w14:paraId="53DC0E49" w14:textId="77777777" w:rsidR="005B15B7" w:rsidRPr="009306D5" w:rsidRDefault="005B15B7" w:rsidP="000D13AA">
      <w:pPr>
        <w:pStyle w:val="Heading2"/>
        <w:numPr>
          <w:ilvl w:val="1"/>
          <w:numId w:val="29"/>
        </w:numPr>
        <w:rPr>
          <w:noProof/>
        </w:rPr>
      </w:pPr>
      <w:bookmarkStart w:id="606" w:name="_Toc62138834"/>
      <w:bookmarkStart w:id="607" w:name="_Toc65836457"/>
      <w:bookmarkStart w:id="608" w:name="_Toc66116398"/>
      <w:bookmarkStart w:id="609" w:name="_Toc66202067"/>
      <w:bookmarkStart w:id="610" w:name="_Toc67414244"/>
      <w:bookmarkStart w:id="611" w:name="_Toc67415170"/>
      <w:bookmarkStart w:id="612" w:name="_Toc67415335"/>
      <w:bookmarkStart w:id="613" w:name="_Toc67415615"/>
      <w:bookmarkStart w:id="614" w:name="_Toc67415891"/>
      <w:bookmarkStart w:id="615" w:name="_Toc69994935"/>
      <w:bookmarkStart w:id="616" w:name="_Toc82790285"/>
      <w:bookmarkStart w:id="617" w:name="_Toc82792854"/>
      <w:bookmarkStart w:id="618" w:name="_Toc90291249"/>
      <w:bookmarkStart w:id="619" w:name="_Toc95812963"/>
      <w:r w:rsidRPr="009306D5">
        <w:rPr>
          <w:noProof/>
        </w:rPr>
        <w:t>Maksumaksjatele pakutavad teenused</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3C1CEFDF" w14:textId="264FB996" w:rsidR="005B15B7" w:rsidRPr="009306D5" w:rsidRDefault="005B15B7" w:rsidP="005B15B7">
      <w:pPr>
        <w:rPr>
          <w:rFonts w:cs="Times New Roman"/>
          <w:noProof/>
          <w:sz w:val="20"/>
        </w:rPr>
      </w:pPr>
      <w:r w:rsidRPr="009306D5">
        <w:rPr>
          <w:noProof/>
          <w:sz w:val="20"/>
        </w:rPr>
        <w:t>Maksumaksjatel peab olema lihtne juurdepääs teabele ja toetus, mida on vaja nõuete vabatahtlikuks täitmiseks mõistlike kuludega. „Maksumaksjatele pakutavate teenuste arendamine ja nende halduskoormuse vähendamine on üks parimaid käibemaksupettustevastaseid strateegiaid“ (IMF, Euroopa Komisjon, OECD, Maailmapank). Kuna käibemaksu haldamine võib olla väga keeruline, vajavad maksumaksjad asjakohast abi. Neil on õigus sobivatele teenustele, mis aitavad neil täita käibemaksukohustusi.</w:t>
      </w:r>
    </w:p>
    <w:p w14:paraId="3D2B0053" w14:textId="77777777" w:rsidR="005B15B7" w:rsidRPr="009306D5" w:rsidRDefault="005B15B7" w:rsidP="005B15B7">
      <w:pPr>
        <w:rPr>
          <w:rFonts w:cs="Times New Roman"/>
          <w:noProof/>
          <w:sz w:val="20"/>
        </w:rPr>
      </w:pPr>
      <w:r w:rsidRPr="009306D5">
        <w:rPr>
          <w:noProof/>
          <w:sz w:val="20"/>
        </w:rPr>
        <w:t>Komisjon küsitles liikmesriikide maksuhaldureid, kas neil on olemas maksumaksjat abistavad teenused, näiteks:</w:t>
      </w:r>
    </w:p>
    <w:p w14:paraId="35B8407A" w14:textId="77777777" w:rsidR="005B15B7" w:rsidRPr="009306D5" w:rsidRDefault="005B15B7" w:rsidP="000D13AA">
      <w:pPr>
        <w:pStyle w:val="ListParagraph"/>
        <w:numPr>
          <w:ilvl w:val="0"/>
          <w:numId w:val="23"/>
        </w:numPr>
        <w:rPr>
          <w:noProof/>
          <w:sz w:val="20"/>
        </w:rPr>
      </w:pPr>
      <w:r w:rsidRPr="009306D5">
        <w:rPr>
          <w:noProof/>
          <w:sz w:val="20"/>
        </w:rPr>
        <w:t>avalikkusele kättesaadav teenuste osutamise kanali strateegia või maksumaksjatele pakutavate teenuste kataloog;</w:t>
      </w:r>
    </w:p>
    <w:p w14:paraId="788E575E" w14:textId="77777777" w:rsidR="005B15B7" w:rsidRPr="009306D5" w:rsidRDefault="005B15B7" w:rsidP="000D13AA">
      <w:pPr>
        <w:pStyle w:val="ListParagraph"/>
        <w:numPr>
          <w:ilvl w:val="0"/>
          <w:numId w:val="23"/>
        </w:numPr>
        <w:rPr>
          <w:noProof/>
          <w:sz w:val="20"/>
        </w:rPr>
      </w:pPr>
      <w:r w:rsidRPr="009306D5">
        <w:rPr>
          <w:noProof/>
          <w:sz w:val="20"/>
        </w:rPr>
        <w:t>menetlused, millega tagatakse maksumaksjate regulaarne ja süstemaatiline teavitamine käibemaksueeskirjade muudatustest;</w:t>
      </w:r>
    </w:p>
    <w:p w14:paraId="07BAA331" w14:textId="77777777" w:rsidR="005B15B7" w:rsidRPr="009306D5" w:rsidRDefault="005B15B7" w:rsidP="000D13AA">
      <w:pPr>
        <w:pStyle w:val="ListParagraph"/>
        <w:numPr>
          <w:ilvl w:val="0"/>
          <w:numId w:val="23"/>
        </w:numPr>
        <w:rPr>
          <w:noProof/>
          <w:sz w:val="20"/>
        </w:rPr>
      </w:pPr>
      <w:r w:rsidRPr="009306D5">
        <w:rPr>
          <w:noProof/>
          <w:sz w:val="20"/>
        </w:rPr>
        <w:t>teave käibemaksueeskirjade kohta on kättesaadav võõrkeeltes;</w:t>
      </w:r>
    </w:p>
    <w:p w14:paraId="1E1353F6" w14:textId="77777777" w:rsidR="005B15B7" w:rsidRPr="009306D5" w:rsidRDefault="005B15B7" w:rsidP="000D13AA">
      <w:pPr>
        <w:pStyle w:val="ListParagraph"/>
        <w:numPr>
          <w:ilvl w:val="0"/>
          <w:numId w:val="23"/>
        </w:numPr>
        <w:rPr>
          <w:noProof/>
          <w:sz w:val="20"/>
        </w:rPr>
      </w:pPr>
      <w:r w:rsidRPr="009306D5">
        <w:rPr>
          <w:noProof/>
          <w:sz w:val="20"/>
        </w:rPr>
        <w:t>spetsiaalne teabekanal MOSSi jaoks;</w:t>
      </w:r>
    </w:p>
    <w:p w14:paraId="6688D0F1" w14:textId="77777777" w:rsidR="005B15B7" w:rsidRPr="009306D5" w:rsidRDefault="005B15B7" w:rsidP="000D13AA">
      <w:pPr>
        <w:pStyle w:val="ListParagraph"/>
        <w:numPr>
          <w:ilvl w:val="0"/>
          <w:numId w:val="23"/>
        </w:numPr>
        <w:rPr>
          <w:noProof/>
          <w:sz w:val="20"/>
        </w:rPr>
      </w:pPr>
      <w:r w:rsidRPr="009306D5">
        <w:rPr>
          <w:noProof/>
          <w:sz w:val="20"/>
        </w:rPr>
        <w:t>teenuse osutamise standardid maksumaksjate päringutele vastamiseks kuluva aja kohta;</w:t>
      </w:r>
    </w:p>
    <w:p w14:paraId="29C49FD1" w14:textId="77777777" w:rsidR="005B15B7" w:rsidRPr="009306D5" w:rsidRDefault="005B15B7" w:rsidP="000D13AA">
      <w:pPr>
        <w:pStyle w:val="ListParagraph"/>
        <w:numPr>
          <w:ilvl w:val="0"/>
          <w:numId w:val="23"/>
        </w:numPr>
        <w:rPr>
          <w:noProof/>
          <w:sz w:val="20"/>
        </w:rPr>
      </w:pPr>
      <w:r w:rsidRPr="009306D5">
        <w:rPr>
          <w:noProof/>
          <w:sz w:val="20"/>
        </w:rPr>
        <w:t>lihtsustatud arvestuse pidamise ja aruandluse kord väikestele maksumaksjatele.</w:t>
      </w:r>
    </w:p>
    <w:p w14:paraId="7733EED6" w14:textId="3E1615EC" w:rsidR="005B15B7" w:rsidRPr="009306D5" w:rsidRDefault="0012059D" w:rsidP="005B15B7">
      <w:pPr>
        <w:rPr>
          <w:rFonts w:cs="Times New Roman"/>
          <w:noProof/>
          <w:sz w:val="20"/>
        </w:rPr>
      </w:pPr>
      <w:r w:rsidRPr="009306D5">
        <w:rPr>
          <w:noProof/>
          <w:sz w:val="20"/>
        </w:rPr>
        <w:t>Joonise</w:t>
      </w:r>
      <w:r w:rsidR="0060323C" w:rsidRPr="009306D5">
        <w:rPr>
          <w:noProof/>
          <w:sz w:val="20"/>
        </w:rPr>
        <w:t>l</w:t>
      </w:r>
      <w:r w:rsidRPr="009306D5">
        <w:rPr>
          <w:noProof/>
          <w:sz w:val="20"/>
        </w:rPr>
        <w:t xml:space="preserve"> 29 esitatakse kokkuvõtlikult liikmesriikidelt saadud vastused.</w:t>
      </w:r>
    </w:p>
    <w:p w14:paraId="1E5E86BF" w14:textId="6A0F847F" w:rsidR="005B15B7" w:rsidRPr="009306D5" w:rsidRDefault="005B15B7" w:rsidP="00FE0EC3">
      <w:pPr>
        <w:pStyle w:val="Caption"/>
      </w:pPr>
      <w:bookmarkStart w:id="620" w:name="_Ref88506496"/>
      <w:bookmarkStart w:id="621" w:name="_Toc62138795"/>
      <w:bookmarkStart w:id="622" w:name="_Toc95816256"/>
      <w:r w:rsidRPr="009306D5">
        <w:t>Joonis </w:t>
      </w:r>
      <w:r w:rsidRPr="009306D5">
        <w:fldChar w:fldCharType="begin"/>
      </w:r>
      <w:r w:rsidRPr="009306D5">
        <w:instrText xml:space="preserve"> SEQ Figure \* ARABIC </w:instrText>
      </w:r>
      <w:r w:rsidRPr="009306D5">
        <w:fldChar w:fldCharType="separate"/>
      </w:r>
      <w:r w:rsidR="008A2E1E" w:rsidRPr="009306D5">
        <w:t>29</w:t>
      </w:r>
      <w:r w:rsidRPr="009306D5">
        <w:fldChar w:fldCharType="end"/>
      </w:r>
      <w:bookmarkEnd w:id="620"/>
      <w:r w:rsidRPr="009306D5">
        <w:t>: Maksumaksjatele pakutavad teenused ELi liikmesriikides</w:t>
      </w:r>
      <w:bookmarkEnd w:id="621"/>
      <w:bookmarkEnd w:id="622"/>
    </w:p>
    <w:p w14:paraId="37C0664D" w14:textId="1B7C5B11" w:rsidR="00B142A9" w:rsidRPr="009306D5" w:rsidRDefault="00B142A9" w:rsidP="00626AC7">
      <w:pPr>
        <w:pStyle w:val="Question"/>
        <w:rPr>
          <w:noProof/>
        </w:rPr>
      </w:pPr>
      <w:r w:rsidRPr="009306D5">
        <w:rPr>
          <w:noProof/>
        </w:rPr>
        <w:t>Küsimus 4.4: „Maksumaksjatele pakutavad teenused: „Teie maksuhaldurid [...] (Vastuseid võib olla mitu)“</w:t>
      </w:r>
    </w:p>
    <w:p w14:paraId="2B6422BB" w14:textId="1FD472A7" w:rsidR="005B15B7" w:rsidRPr="009306D5" w:rsidRDefault="00527446" w:rsidP="00EF59B5">
      <w:pPr>
        <w:pStyle w:val="FIgure"/>
      </w:pPr>
      <w:r w:rsidRPr="009306D5">
        <w:rPr>
          <w:lang w:val="en-GB"/>
        </w:rPr>
        <w:drawing>
          <wp:inline distT="0" distB="0" distL="0" distR="0" wp14:anchorId="343F3A79" wp14:editId="75C947BC">
            <wp:extent cx="5760085" cy="3275330"/>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3275330"/>
                    </a:xfrm>
                    <a:prstGeom prst="rect">
                      <a:avLst/>
                    </a:prstGeom>
                  </pic:spPr>
                </pic:pic>
              </a:graphicData>
            </a:graphic>
          </wp:inline>
        </w:drawing>
      </w:r>
      <w:r w:rsidR="00626AC7" w:rsidRPr="009306D5">
        <w:t xml:space="preserve"> </w:t>
      </w:r>
    </w:p>
    <w:p w14:paraId="3B953581"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663259F9" w14:textId="574644CB" w:rsidR="005B15B7" w:rsidRPr="009306D5" w:rsidRDefault="005B15B7" w:rsidP="005B15B7">
      <w:pPr>
        <w:rPr>
          <w:rFonts w:cs="Times New Roman"/>
          <w:noProof/>
          <w:sz w:val="20"/>
        </w:rPr>
      </w:pPr>
      <w:r w:rsidRPr="009306D5">
        <w:rPr>
          <w:noProof/>
          <w:sz w:val="20"/>
        </w:rPr>
        <w:t>Kõiki eespool loetletud teenuseid osutavad maksumaksjatele ainult Kreeka, Hispaania, Läti ja Portugal. Enamik liikmesriike pakub enamikku teenuseid, samas kui Tšehhi, Küpros, Poola, Rumeenia ja Soome osutavad maksumaksjatele teenuseid väiksemas valikus.</w:t>
      </w:r>
    </w:p>
    <w:p w14:paraId="34B28391" w14:textId="77777777" w:rsidR="005B15B7" w:rsidRPr="009306D5" w:rsidRDefault="005B15B7" w:rsidP="005B15B7">
      <w:pPr>
        <w:rPr>
          <w:rFonts w:cs="Times New Roman"/>
          <w:noProof/>
          <w:sz w:val="20"/>
        </w:rPr>
      </w:pPr>
      <w:r w:rsidRPr="009306D5">
        <w:rPr>
          <w:noProof/>
          <w:sz w:val="20"/>
        </w:rPr>
        <w:t>Maksuhalduri tegevus peab olema läbipaistev ja ta peab avaldama (nt oma veebisaidil) tulemusaruandeid maksumaksjatele teenuste osutamise kohta. Nii suureneb käibemaksukohustuslaste usaldus ja paranevad suhted maksuhalduriga. Komisjon küsis liikmesriikidelt maksumaksjatele teenuste osutamise tulemusaruannete avaldamise kohta aastatel 2016</w:t>
      </w:r>
      <w:r w:rsidRPr="009306D5">
        <w:rPr>
          <w:noProof/>
          <w:color w:val="000000"/>
          <w:sz w:val="20"/>
        </w:rPr>
        <w:t>–2</w:t>
      </w:r>
      <w:r w:rsidRPr="009306D5">
        <w:rPr>
          <w:noProof/>
          <w:sz w:val="20"/>
        </w:rPr>
        <w:t>019.</w:t>
      </w:r>
    </w:p>
    <w:p w14:paraId="3F6E30E9" w14:textId="0410B4AF" w:rsidR="005B15B7" w:rsidRPr="009306D5" w:rsidRDefault="005B15B7" w:rsidP="00FE0EC3">
      <w:pPr>
        <w:pStyle w:val="Caption"/>
      </w:pPr>
      <w:bookmarkStart w:id="623" w:name="_Toc95816257"/>
      <w:r w:rsidRPr="009306D5">
        <w:t>Joonis </w:t>
      </w:r>
      <w:r w:rsidRPr="009306D5">
        <w:fldChar w:fldCharType="begin"/>
      </w:r>
      <w:r w:rsidRPr="009306D5">
        <w:instrText xml:space="preserve"> SEQ Figure \* ARABIC </w:instrText>
      </w:r>
      <w:r w:rsidRPr="009306D5">
        <w:fldChar w:fldCharType="separate"/>
      </w:r>
      <w:r w:rsidR="008A2E1E" w:rsidRPr="009306D5">
        <w:t>30</w:t>
      </w:r>
      <w:r w:rsidRPr="009306D5">
        <w:fldChar w:fldCharType="end"/>
      </w:r>
      <w:r w:rsidRPr="009306D5">
        <w:t>. Maksumaksjatele teenuste osutamist käsitlevate tulemusaruannete avaldamine (2016–2019)</w:t>
      </w:r>
      <w:bookmarkEnd w:id="623"/>
    </w:p>
    <w:p w14:paraId="19D5E763" w14:textId="5B8F6FB4" w:rsidR="00E4409F" w:rsidRPr="009306D5" w:rsidRDefault="00E4409F" w:rsidP="00626AC7">
      <w:pPr>
        <w:pStyle w:val="Question"/>
        <w:rPr>
          <w:noProof/>
        </w:rPr>
      </w:pPr>
      <w:r w:rsidRPr="009306D5">
        <w:rPr>
          <w:noProof/>
        </w:rPr>
        <w:t>Küsimus 4.4. „Maksumaksjatele pakutavad teenused. Teie maksuhaldurid [...] avaldavad aruanded (nt oma veebisaidil) maksumaksjale teenuste osutamisel aastatel 2016–2019 saavutatud tulemuste kohta.“</w:t>
      </w:r>
    </w:p>
    <w:p w14:paraId="01572F51" w14:textId="49D6F805" w:rsidR="005B15B7" w:rsidRPr="009306D5" w:rsidRDefault="00527446" w:rsidP="00EF59B5">
      <w:pPr>
        <w:pStyle w:val="FIgure"/>
        <w:rPr>
          <w:sz w:val="20"/>
        </w:rPr>
      </w:pPr>
      <w:r w:rsidRPr="009306D5">
        <w:rPr>
          <w:lang w:val="en-GB"/>
        </w:rPr>
        <w:drawing>
          <wp:inline distT="0" distB="0" distL="0" distR="0" wp14:anchorId="56F5A61E" wp14:editId="27FA4DB0">
            <wp:extent cx="5760085" cy="1678940"/>
            <wp:effectExtent l="0" t="0" r="0" b="0"/>
            <wp:docPr id="251" name="Chart 25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8BEF3A5"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2095C3C8" w14:textId="740AAB1B" w:rsidR="005B15B7" w:rsidRPr="009306D5" w:rsidRDefault="005B15B7" w:rsidP="005B15B7">
      <w:pPr>
        <w:rPr>
          <w:rFonts w:cs="Times New Roman"/>
          <w:noProof/>
          <w:sz w:val="20"/>
        </w:rPr>
      </w:pPr>
      <w:r w:rsidRPr="009306D5">
        <w:rPr>
          <w:noProof/>
          <w:sz w:val="20"/>
        </w:rPr>
        <w:t>Komisjon uuris üksnes maksumaksjatele pakutavate teenuste olemasolu ega püüdnud täielikult hinnata antud abi kvaliteeti. Siiski külastati kõigi liikmesriikide veebisaite (vt</w:t>
      </w:r>
      <w:r w:rsidRPr="009306D5">
        <w:rPr>
          <w:noProof/>
        </w:rPr>
        <w:t xml:space="preserve"> </w:t>
      </w:r>
      <w:hyperlink w:anchor="_Annex_3:_List" w:history="1">
        <w:r w:rsidRPr="009306D5">
          <w:rPr>
            <w:rStyle w:val="Hyperlink"/>
            <w:noProof/>
            <w:sz w:val="20"/>
          </w:rPr>
          <w:t>3. lisa.</w:t>
        </w:r>
      </w:hyperlink>
      <w:r w:rsidR="009370F5" w:rsidRPr="009306D5">
        <w:rPr>
          <w:rStyle w:val="Hyperlink"/>
          <w:noProof/>
          <w:sz w:val="20"/>
        </w:rPr>
        <w:t xml:space="preserve"> </w:t>
      </w:r>
      <w:hyperlink w:anchor="_Annex_3:_List" w:history="1">
        <w:r w:rsidRPr="009306D5">
          <w:rPr>
            <w:rStyle w:val="Hyperlink"/>
            <w:noProof/>
            <w:sz w:val="20"/>
          </w:rPr>
          <w:t>Käibemaksukohustust käsitlevate veebilehtede loetelu</w:t>
        </w:r>
      </w:hyperlink>
      <w:r w:rsidRPr="009306D5">
        <w:rPr>
          <w:noProof/>
          <w:sz w:val="20"/>
        </w:rPr>
        <w:t>). Komisjon pani ennast välismaalasest maksumaksja olukorda ja püüdis internetis leida asjakohast käibemaksukohustuslasena registreerimise teavet.</w:t>
      </w:r>
    </w:p>
    <w:p w14:paraId="2C848F89" w14:textId="039B54B0" w:rsidR="005B15B7" w:rsidRPr="009306D5" w:rsidRDefault="007F560C" w:rsidP="005B15B7">
      <w:pPr>
        <w:rPr>
          <w:rFonts w:cs="Times New Roman"/>
          <w:noProof/>
          <w:sz w:val="20"/>
        </w:rPr>
      </w:pPr>
      <w:r w:rsidRPr="009306D5">
        <w:rPr>
          <w:noProof/>
          <w:sz w:val="20"/>
        </w:rPr>
        <w:t xml:space="preserve">Joonisel </w:t>
      </w:r>
      <w:r w:rsidR="00912D46" w:rsidRPr="009306D5">
        <w:rPr>
          <w:noProof/>
          <w:sz w:val="20"/>
        </w:rPr>
        <w:t>31</w:t>
      </w:r>
      <w:r w:rsidR="005B15B7" w:rsidRPr="009306D5">
        <w:rPr>
          <w:noProof/>
          <w:sz w:val="20"/>
        </w:rPr>
        <w:t xml:space="preserve"> esitatud kaalutud punktisummade puhul võetakse arvesse erinevaid mõõtmeid maksumaksjate teavitamisel käibemaksukohustuslasena registreerimise kohustustest, näiteks veebipõhise teabe olemasolu, selle kättesaadavus võõrkeeles ja arusaam teabe täielikkusest.</w:t>
      </w:r>
    </w:p>
    <w:p w14:paraId="74833B9E" w14:textId="67BAC7DC" w:rsidR="005B15B7" w:rsidRPr="009306D5" w:rsidRDefault="005B15B7" w:rsidP="00FE0EC3">
      <w:pPr>
        <w:pStyle w:val="Caption"/>
      </w:pPr>
      <w:bookmarkStart w:id="624" w:name="_Toc62138796"/>
      <w:bookmarkStart w:id="625" w:name="_Toc95816258"/>
      <w:r w:rsidRPr="009306D5">
        <w:t>Joonis </w:t>
      </w:r>
      <w:r w:rsidRPr="009306D5">
        <w:fldChar w:fldCharType="begin"/>
      </w:r>
      <w:r w:rsidRPr="009306D5">
        <w:instrText xml:space="preserve"> SEQ Figure \* ARABIC </w:instrText>
      </w:r>
      <w:r w:rsidRPr="009306D5">
        <w:fldChar w:fldCharType="separate"/>
      </w:r>
      <w:r w:rsidR="008A2E1E" w:rsidRPr="009306D5">
        <w:t>31</w:t>
      </w:r>
      <w:r w:rsidRPr="009306D5">
        <w:fldChar w:fldCharType="end"/>
      </w:r>
      <w:r w:rsidRPr="009306D5">
        <w:t>. Maksumaksjatele pakutavad teenused. Internetis kättesaadav teave käibemaksukohustuslasena registreerimise kohta</w:t>
      </w:r>
      <w:bookmarkEnd w:id="624"/>
      <w:bookmarkEnd w:id="625"/>
    </w:p>
    <w:p w14:paraId="69931179" w14:textId="0C1BF6F8" w:rsidR="005B15B7" w:rsidRPr="009306D5" w:rsidRDefault="001E531F" w:rsidP="00EF59B5">
      <w:pPr>
        <w:pStyle w:val="FIgure"/>
        <w:rPr>
          <w:rFonts w:cs="Times New Roman"/>
          <w:sz w:val="20"/>
        </w:rPr>
      </w:pPr>
      <w:r w:rsidRPr="009306D5">
        <w:rPr>
          <w:lang w:val="en-GB"/>
        </w:rPr>
        <w:drawing>
          <wp:inline distT="0" distB="0" distL="0" distR="0" wp14:anchorId="354E1977" wp14:editId="1CA655DE">
            <wp:extent cx="5760085" cy="28620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2862005"/>
                    </a:xfrm>
                    <a:prstGeom prst="rect">
                      <a:avLst/>
                    </a:prstGeom>
                    <a:noFill/>
                    <a:ln>
                      <a:noFill/>
                    </a:ln>
                  </pic:spPr>
                </pic:pic>
              </a:graphicData>
            </a:graphic>
          </wp:inline>
        </w:drawing>
      </w:r>
    </w:p>
    <w:p w14:paraId="4A1234EF"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378596D5" w14:textId="77777777" w:rsidR="005B15B7" w:rsidRPr="009306D5" w:rsidRDefault="005B15B7" w:rsidP="005B15B7">
      <w:pPr>
        <w:rPr>
          <w:rFonts w:cs="Times New Roman"/>
          <w:noProof/>
          <w:sz w:val="20"/>
        </w:rPr>
      </w:pPr>
      <w:r w:rsidRPr="009306D5">
        <w:rPr>
          <w:noProof/>
          <w:sz w:val="20"/>
        </w:rPr>
        <w:t>Üldiselt teavitavad liikmesriigid maksumaksjaid aktiivselt nende käibemaksukohustustest. Ainult Rumeenia vastas selles uuringus eitavalt. Väikesel arvul liikmesriikidel (Kreeka, Rumeenia, Ühendkuningriik ja osaliselt Bulgaaria, Iirimaa ja Küpros) oli võõrkeelset teavet vähe või ei olnud seda üldse. Tavaliselt kasutatakse maksumaksjate teavitamiseks võõrkeelena inglise keelt, mis selgitab Ühendkuningriigi suhteliselt madalat tulemust.</w:t>
      </w:r>
    </w:p>
    <w:p w14:paraId="1AF83356" w14:textId="7F44AB00" w:rsidR="005B15B7" w:rsidRPr="009306D5" w:rsidRDefault="005B15B7" w:rsidP="005B15B7">
      <w:pPr>
        <w:rPr>
          <w:rFonts w:cs="Times New Roman"/>
          <w:noProof/>
          <w:sz w:val="20"/>
        </w:rPr>
      </w:pPr>
      <w:r w:rsidRPr="009306D5">
        <w:rPr>
          <w:noProof/>
          <w:sz w:val="20"/>
        </w:rPr>
        <w:t>Liikmesriigid on teinud suuri edusamme käibemaksuteabe kaasavuse ja üldise veebilehel liikumise hõlpsuse osas; eriti paistavad silma Taani, Eesti, Iirimaa, Läti, Leedu, Madalmaad, Poola, Soome ja Ühendkuningriik.</w:t>
      </w:r>
    </w:p>
    <w:p w14:paraId="3ED6286F" w14:textId="77777777" w:rsidR="005B15B7" w:rsidRPr="009306D5" w:rsidRDefault="005B15B7" w:rsidP="005B15B7">
      <w:pPr>
        <w:rPr>
          <w:rFonts w:cs="Times New Roman"/>
          <w:noProof/>
          <w:sz w:val="20"/>
        </w:rPr>
      </w:pPr>
      <w:r w:rsidRPr="009306D5">
        <w:rPr>
          <w:noProof/>
          <w:sz w:val="20"/>
        </w:rPr>
        <w:t>Mõned liikmesriigid (Bulgaaria, Kreeka, Küpros, Rumeenia ning osaliselt Saksamaa, Prantsusmaa ja Slovakkia) on maha jäänud. Tuleb märkida, et parem ja kättesaadavam teave käibemaksukohustuste ja kohaldatavate õigusaktide kohta nõuab minimaalseid investeeringuid ja parandab suhteliselt lühikese aja jooksul maksukuulekust.</w:t>
      </w:r>
    </w:p>
    <w:p w14:paraId="38D9FB06" w14:textId="1A5F2640" w:rsidR="005B15B7" w:rsidRPr="009306D5" w:rsidRDefault="005B15B7" w:rsidP="00FE0EC3">
      <w:pPr>
        <w:pStyle w:val="Recommendation"/>
      </w:pPr>
      <w:bookmarkStart w:id="626" w:name="_Toc65673334"/>
      <w:bookmarkStart w:id="627" w:name="_Toc95816208"/>
      <w:r w:rsidRPr="009306D5">
        <w:t xml:space="preserve">Soovitus </w:t>
      </w:r>
      <w:r w:rsidRPr="009306D5">
        <w:fldChar w:fldCharType="begin"/>
      </w:r>
      <w:r w:rsidRPr="009306D5">
        <w:instrText>SEQ Recommendation \* ARABIC</w:instrText>
      </w:r>
      <w:r w:rsidRPr="009306D5">
        <w:fldChar w:fldCharType="separate"/>
      </w:r>
      <w:bookmarkStart w:id="628" w:name="_Toc65778305"/>
      <w:bookmarkStart w:id="629" w:name="_Toc66116358"/>
      <w:bookmarkStart w:id="630" w:name="_Toc70417966"/>
      <w:r w:rsidR="008A2E1E" w:rsidRPr="009306D5">
        <w:t>20</w:t>
      </w:r>
      <w:r w:rsidRPr="009306D5">
        <w:fldChar w:fldCharType="end"/>
      </w:r>
      <w:r w:rsidRPr="009306D5">
        <w:t>. Võtta käibemaksukohustuslaste suhtes teenusekeskne hoiak ja kasutada võimalust, mida pakub suhtlemine maksumaksjatega, kvaliteetsete käibemaksuhalduse teenuste pakkumiseks.</w:t>
      </w:r>
      <w:bookmarkEnd w:id="626"/>
      <w:bookmarkEnd w:id="628"/>
      <w:bookmarkEnd w:id="629"/>
      <w:bookmarkEnd w:id="630"/>
      <w:bookmarkEnd w:id="627"/>
    </w:p>
    <w:p w14:paraId="1D7FE0B6" w14:textId="77777777" w:rsidR="005B15B7" w:rsidRPr="009306D5" w:rsidRDefault="005B15B7" w:rsidP="000D13AA">
      <w:pPr>
        <w:pStyle w:val="Heading2"/>
        <w:numPr>
          <w:ilvl w:val="1"/>
          <w:numId w:val="29"/>
        </w:numPr>
        <w:rPr>
          <w:noProof/>
        </w:rPr>
      </w:pPr>
      <w:bookmarkStart w:id="631" w:name="_Toc62138835"/>
      <w:bookmarkStart w:id="632" w:name="_Toc65836458"/>
      <w:bookmarkStart w:id="633" w:name="_Toc66116399"/>
      <w:bookmarkStart w:id="634" w:name="_Toc66202068"/>
      <w:bookmarkStart w:id="635" w:name="_Toc67414245"/>
      <w:bookmarkStart w:id="636" w:name="_Toc67415171"/>
      <w:bookmarkStart w:id="637" w:name="_Toc67415336"/>
      <w:bookmarkStart w:id="638" w:name="_Toc67415616"/>
      <w:bookmarkStart w:id="639" w:name="_Toc67415892"/>
      <w:bookmarkStart w:id="640" w:name="_Toc69994936"/>
      <w:bookmarkStart w:id="641" w:name="_Toc82790286"/>
      <w:bookmarkStart w:id="642" w:name="_Toc82792855"/>
      <w:bookmarkStart w:id="643" w:name="_Toc90291250"/>
      <w:bookmarkStart w:id="644" w:name="_Toc95812964"/>
      <w:r w:rsidRPr="009306D5">
        <w:rPr>
          <w:noProof/>
        </w:rPr>
        <w:t>Andmete kasutamine käibemaksualase maksukuulekuse parandamiseks</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4DDC5D30" w14:textId="77777777" w:rsidR="005B15B7" w:rsidRPr="009306D5" w:rsidRDefault="005B15B7" w:rsidP="005B15B7">
      <w:pPr>
        <w:pStyle w:val="Heading3"/>
        <w:ind w:left="681" w:firstLine="227"/>
        <w:rPr>
          <w:rFonts w:ascii="Times New Roman" w:hAnsi="Times New Roman"/>
          <w:noProof/>
        </w:rPr>
      </w:pPr>
      <w:bookmarkStart w:id="645" w:name="_Toc65774619"/>
      <w:bookmarkStart w:id="646" w:name="_Toc65774710"/>
      <w:bookmarkStart w:id="647" w:name="_Toc65776862"/>
      <w:bookmarkStart w:id="648" w:name="_Toc65836459"/>
      <w:bookmarkStart w:id="649" w:name="_Toc65858316"/>
      <w:bookmarkStart w:id="650" w:name="_Toc66113620"/>
      <w:bookmarkStart w:id="651" w:name="_Toc66113764"/>
      <w:bookmarkStart w:id="652" w:name="_Toc66114055"/>
      <w:bookmarkStart w:id="653" w:name="_Toc66114945"/>
      <w:bookmarkStart w:id="654" w:name="_Toc66115063"/>
      <w:bookmarkStart w:id="655" w:name="_Toc66115156"/>
      <w:bookmarkStart w:id="656" w:name="_Toc66115210"/>
      <w:bookmarkStart w:id="657" w:name="_Toc66115339"/>
      <w:bookmarkStart w:id="658" w:name="_Toc66115838"/>
      <w:bookmarkStart w:id="659" w:name="_Toc66116021"/>
      <w:bookmarkStart w:id="660" w:name="_Toc66116076"/>
      <w:bookmarkStart w:id="661" w:name="_Toc66116132"/>
      <w:bookmarkStart w:id="662" w:name="_Toc66116187"/>
      <w:bookmarkStart w:id="663" w:name="_Toc66116242"/>
      <w:bookmarkStart w:id="664" w:name="_Toc66116297"/>
      <w:bookmarkStart w:id="665" w:name="_Toc66116400"/>
      <w:bookmarkStart w:id="666" w:name="_Toc66117330"/>
      <w:bookmarkStart w:id="667" w:name="_Toc66117384"/>
      <w:bookmarkStart w:id="668" w:name="_Toc66117439"/>
      <w:bookmarkStart w:id="669" w:name="_Toc66199711"/>
      <w:bookmarkStart w:id="670" w:name="_Toc66201250"/>
      <w:bookmarkStart w:id="671" w:name="_Toc66200764"/>
      <w:bookmarkStart w:id="672" w:name="_Toc66201304"/>
      <w:bookmarkStart w:id="673" w:name="_Toc66201358"/>
      <w:bookmarkStart w:id="674" w:name="_Toc66201412"/>
      <w:bookmarkStart w:id="675" w:name="_Toc66201466"/>
      <w:bookmarkStart w:id="676" w:name="_Toc66201520"/>
      <w:bookmarkStart w:id="677" w:name="_Toc66201619"/>
      <w:bookmarkStart w:id="678" w:name="_Toc66201673"/>
      <w:bookmarkStart w:id="679" w:name="_Toc66202069"/>
      <w:bookmarkStart w:id="680" w:name="_Toc66202123"/>
      <w:bookmarkStart w:id="681" w:name="_Toc66202779"/>
      <w:bookmarkStart w:id="682" w:name="_Toc66204847"/>
      <w:bookmarkStart w:id="683" w:name="_Toc66729437"/>
      <w:bookmarkStart w:id="684" w:name="_Toc66881509"/>
      <w:bookmarkStart w:id="685" w:name="_Toc66881732"/>
      <w:bookmarkStart w:id="686" w:name="_Toc67413923"/>
      <w:bookmarkStart w:id="687" w:name="_Toc67413975"/>
      <w:bookmarkStart w:id="688" w:name="_Toc67414027"/>
      <w:bookmarkStart w:id="689" w:name="_Toc67414099"/>
      <w:bookmarkStart w:id="690" w:name="_Toc67414172"/>
      <w:bookmarkStart w:id="691" w:name="_Toc67414246"/>
      <w:bookmarkStart w:id="692" w:name="_Toc67414301"/>
      <w:bookmarkStart w:id="693" w:name="_Toc67414354"/>
      <w:bookmarkStart w:id="694" w:name="_Toc67414413"/>
      <w:bookmarkStart w:id="695" w:name="_Toc67414466"/>
      <w:bookmarkStart w:id="696" w:name="_Toc67414519"/>
      <w:bookmarkStart w:id="697" w:name="_Toc67414573"/>
      <w:bookmarkStart w:id="698" w:name="_Toc67414647"/>
      <w:bookmarkStart w:id="699" w:name="_Toc67414701"/>
      <w:bookmarkStart w:id="700" w:name="_Toc67414754"/>
      <w:bookmarkStart w:id="701" w:name="_Toc67414828"/>
      <w:bookmarkStart w:id="702" w:name="_Toc67414887"/>
      <w:bookmarkStart w:id="703" w:name="_Toc67414940"/>
      <w:bookmarkStart w:id="704" w:name="_Toc67415172"/>
      <w:bookmarkStart w:id="705" w:name="_Toc67415337"/>
      <w:bookmarkStart w:id="706" w:name="_Toc67415515"/>
      <w:bookmarkStart w:id="707" w:name="_Toc67415617"/>
      <w:bookmarkStart w:id="708" w:name="_Toc65774620"/>
      <w:bookmarkStart w:id="709" w:name="_Toc65774711"/>
      <w:bookmarkStart w:id="710" w:name="_Toc65776863"/>
      <w:bookmarkStart w:id="711" w:name="_Toc65836460"/>
      <w:bookmarkStart w:id="712" w:name="_Toc65858317"/>
      <w:bookmarkStart w:id="713" w:name="_Toc66113621"/>
      <w:bookmarkStart w:id="714" w:name="_Toc66113765"/>
      <w:bookmarkStart w:id="715" w:name="_Toc66114946"/>
      <w:bookmarkStart w:id="716" w:name="_Toc66115064"/>
      <w:bookmarkStart w:id="717" w:name="_Toc66115157"/>
      <w:bookmarkStart w:id="718" w:name="_Toc66115211"/>
      <w:bookmarkStart w:id="719" w:name="_Toc66115340"/>
      <w:bookmarkStart w:id="720" w:name="_Toc66115839"/>
      <w:bookmarkStart w:id="721" w:name="_Toc66116022"/>
      <w:bookmarkStart w:id="722" w:name="_Toc66116077"/>
      <w:bookmarkStart w:id="723" w:name="_Toc66116133"/>
      <w:bookmarkStart w:id="724" w:name="_Toc66116188"/>
      <w:bookmarkStart w:id="725" w:name="_Toc66116243"/>
      <w:bookmarkStart w:id="726" w:name="_Toc66116298"/>
      <w:bookmarkStart w:id="727" w:name="_Toc66116401"/>
      <w:bookmarkStart w:id="728" w:name="_Toc66117331"/>
      <w:bookmarkStart w:id="729" w:name="_Toc66117385"/>
      <w:bookmarkStart w:id="730" w:name="_Toc66117440"/>
      <w:bookmarkStart w:id="731" w:name="_Toc66199712"/>
      <w:bookmarkStart w:id="732" w:name="_Toc66201251"/>
      <w:bookmarkStart w:id="733" w:name="_Toc66200765"/>
      <w:bookmarkStart w:id="734" w:name="_Toc66201305"/>
      <w:bookmarkStart w:id="735" w:name="_Toc66201359"/>
      <w:bookmarkStart w:id="736" w:name="_Toc66201413"/>
      <w:bookmarkStart w:id="737" w:name="_Toc66201467"/>
      <w:bookmarkStart w:id="738" w:name="_Toc66201521"/>
      <w:bookmarkStart w:id="739" w:name="_Toc66201620"/>
      <w:bookmarkStart w:id="740" w:name="_Toc66201674"/>
      <w:bookmarkStart w:id="741" w:name="_Toc66202070"/>
      <w:bookmarkStart w:id="742" w:name="_Toc66202124"/>
      <w:bookmarkStart w:id="743" w:name="_Toc66202780"/>
      <w:bookmarkStart w:id="744" w:name="_Toc66204848"/>
      <w:bookmarkStart w:id="745" w:name="_Toc66729438"/>
      <w:bookmarkStart w:id="746" w:name="_Toc66881510"/>
      <w:bookmarkStart w:id="747" w:name="_Toc66881733"/>
      <w:bookmarkStart w:id="748" w:name="_Toc67413924"/>
      <w:bookmarkStart w:id="749" w:name="_Toc67413976"/>
      <w:bookmarkStart w:id="750" w:name="_Toc67414028"/>
      <w:bookmarkStart w:id="751" w:name="_Toc67414100"/>
      <w:bookmarkStart w:id="752" w:name="_Toc67414173"/>
      <w:bookmarkStart w:id="753" w:name="_Toc67414247"/>
      <w:bookmarkStart w:id="754" w:name="_Toc67414302"/>
      <w:bookmarkStart w:id="755" w:name="_Toc67414355"/>
      <w:bookmarkStart w:id="756" w:name="_Toc67414414"/>
      <w:bookmarkStart w:id="757" w:name="_Toc67414467"/>
      <w:bookmarkStart w:id="758" w:name="_Toc67414520"/>
      <w:bookmarkStart w:id="759" w:name="_Toc67414574"/>
      <w:bookmarkStart w:id="760" w:name="_Toc67414648"/>
      <w:bookmarkStart w:id="761" w:name="_Toc67414702"/>
      <w:bookmarkStart w:id="762" w:name="_Toc67414755"/>
      <w:bookmarkStart w:id="763" w:name="_Toc67414829"/>
      <w:bookmarkStart w:id="764" w:name="_Toc67414888"/>
      <w:bookmarkStart w:id="765" w:name="_Toc67414941"/>
      <w:bookmarkStart w:id="766" w:name="_Toc67415173"/>
      <w:bookmarkStart w:id="767" w:name="_Toc67415338"/>
      <w:bookmarkStart w:id="768" w:name="_Toc67415516"/>
      <w:bookmarkStart w:id="769" w:name="_Toc67415618"/>
      <w:bookmarkStart w:id="770" w:name="_Toc65774621"/>
      <w:bookmarkStart w:id="771" w:name="_Toc65774712"/>
      <w:bookmarkStart w:id="772" w:name="_Toc65776864"/>
      <w:bookmarkStart w:id="773" w:name="_Toc65836461"/>
      <w:bookmarkStart w:id="774" w:name="_Toc65858318"/>
      <w:bookmarkStart w:id="775" w:name="_Toc66113622"/>
      <w:bookmarkStart w:id="776" w:name="_Toc66113766"/>
      <w:bookmarkStart w:id="777" w:name="_Toc66114947"/>
      <w:bookmarkStart w:id="778" w:name="_Toc66115065"/>
      <w:bookmarkStart w:id="779" w:name="_Toc66115158"/>
      <w:bookmarkStart w:id="780" w:name="_Toc66115212"/>
      <w:bookmarkStart w:id="781" w:name="_Toc66115341"/>
      <w:bookmarkStart w:id="782" w:name="_Toc66115840"/>
      <w:bookmarkStart w:id="783" w:name="_Toc66116023"/>
      <w:bookmarkStart w:id="784" w:name="_Toc66116078"/>
      <w:bookmarkStart w:id="785" w:name="_Toc66116134"/>
      <w:bookmarkStart w:id="786" w:name="_Toc66116189"/>
      <w:bookmarkStart w:id="787" w:name="_Toc66116244"/>
      <w:bookmarkStart w:id="788" w:name="_Toc66116299"/>
      <w:bookmarkStart w:id="789" w:name="_Toc66116402"/>
      <w:bookmarkStart w:id="790" w:name="_Toc66117332"/>
      <w:bookmarkStart w:id="791" w:name="_Toc66117386"/>
      <w:bookmarkStart w:id="792" w:name="_Toc66117441"/>
      <w:bookmarkStart w:id="793" w:name="_Toc66199713"/>
      <w:bookmarkStart w:id="794" w:name="_Toc66201252"/>
      <w:bookmarkStart w:id="795" w:name="_Toc66200766"/>
      <w:bookmarkStart w:id="796" w:name="_Toc66201306"/>
      <w:bookmarkStart w:id="797" w:name="_Toc66201360"/>
      <w:bookmarkStart w:id="798" w:name="_Toc66201414"/>
      <w:bookmarkStart w:id="799" w:name="_Toc66201468"/>
      <w:bookmarkStart w:id="800" w:name="_Toc66201522"/>
      <w:bookmarkStart w:id="801" w:name="_Toc66201621"/>
      <w:bookmarkStart w:id="802" w:name="_Toc66201675"/>
      <w:bookmarkStart w:id="803" w:name="_Toc66202071"/>
      <w:bookmarkStart w:id="804" w:name="_Toc66202125"/>
      <w:bookmarkStart w:id="805" w:name="_Toc66202781"/>
      <w:bookmarkStart w:id="806" w:name="_Toc66204849"/>
      <w:bookmarkStart w:id="807" w:name="_Toc66729439"/>
      <w:bookmarkStart w:id="808" w:name="_Toc66881511"/>
      <w:bookmarkStart w:id="809" w:name="_Toc66881734"/>
      <w:bookmarkStart w:id="810" w:name="_Toc67413925"/>
      <w:bookmarkStart w:id="811" w:name="_Toc67413977"/>
      <w:bookmarkStart w:id="812" w:name="_Toc67414029"/>
      <w:bookmarkStart w:id="813" w:name="_Toc67414101"/>
      <w:bookmarkStart w:id="814" w:name="_Toc67414174"/>
      <w:bookmarkStart w:id="815" w:name="_Toc67414248"/>
      <w:bookmarkStart w:id="816" w:name="_Toc67414303"/>
      <w:bookmarkStart w:id="817" w:name="_Toc67414356"/>
      <w:bookmarkStart w:id="818" w:name="_Toc67414415"/>
      <w:bookmarkStart w:id="819" w:name="_Toc67414468"/>
      <w:bookmarkStart w:id="820" w:name="_Toc67414521"/>
      <w:bookmarkStart w:id="821" w:name="_Toc67414575"/>
      <w:bookmarkStart w:id="822" w:name="_Toc67414649"/>
      <w:bookmarkStart w:id="823" w:name="_Toc67414703"/>
      <w:bookmarkStart w:id="824" w:name="_Toc67414756"/>
      <w:bookmarkStart w:id="825" w:name="_Toc67414830"/>
      <w:bookmarkStart w:id="826" w:name="_Toc67414889"/>
      <w:bookmarkStart w:id="827" w:name="_Toc67414942"/>
      <w:bookmarkStart w:id="828" w:name="_Toc67415174"/>
      <w:bookmarkStart w:id="829" w:name="_Toc67415339"/>
      <w:bookmarkStart w:id="830" w:name="_Toc67415517"/>
      <w:bookmarkStart w:id="831" w:name="_Toc67415619"/>
      <w:bookmarkStart w:id="832" w:name="_Toc65774622"/>
      <w:bookmarkStart w:id="833" w:name="_Toc65774713"/>
      <w:bookmarkStart w:id="834" w:name="_Toc65776865"/>
      <w:bookmarkStart w:id="835" w:name="_Toc65836462"/>
      <w:bookmarkStart w:id="836" w:name="_Toc65858319"/>
      <w:bookmarkStart w:id="837" w:name="_Toc66113623"/>
      <w:bookmarkStart w:id="838" w:name="_Toc66113767"/>
      <w:bookmarkStart w:id="839" w:name="_Toc66114948"/>
      <w:bookmarkStart w:id="840" w:name="_Toc66115066"/>
      <w:bookmarkStart w:id="841" w:name="_Toc66115159"/>
      <w:bookmarkStart w:id="842" w:name="_Toc66115213"/>
      <w:bookmarkStart w:id="843" w:name="_Toc66115342"/>
      <w:bookmarkStart w:id="844" w:name="_Toc66115841"/>
      <w:bookmarkStart w:id="845" w:name="_Toc66116024"/>
      <w:bookmarkStart w:id="846" w:name="_Toc66116079"/>
      <w:bookmarkStart w:id="847" w:name="_Toc66116135"/>
      <w:bookmarkStart w:id="848" w:name="_Toc66116190"/>
      <w:bookmarkStart w:id="849" w:name="_Toc66116245"/>
      <w:bookmarkStart w:id="850" w:name="_Toc66116300"/>
      <w:bookmarkStart w:id="851" w:name="_Toc66116403"/>
      <w:bookmarkStart w:id="852" w:name="_Toc66117333"/>
      <w:bookmarkStart w:id="853" w:name="_Toc66117387"/>
      <w:bookmarkStart w:id="854" w:name="_Toc66117442"/>
      <w:bookmarkStart w:id="855" w:name="_Toc66199714"/>
      <w:bookmarkStart w:id="856" w:name="_Toc66201253"/>
      <w:bookmarkStart w:id="857" w:name="_Toc66200767"/>
      <w:bookmarkStart w:id="858" w:name="_Toc66201307"/>
      <w:bookmarkStart w:id="859" w:name="_Toc66201361"/>
      <w:bookmarkStart w:id="860" w:name="_Toc66201415"/>
      <w:bookmarkStart w:id="861" w:name="_Toc66201469"/>
      <w:bookmarkStart w:id="862" w:name="_Toc66201523"/>
      <w:bookmarkStart w:id="863" w:name="_Toc66201622"/>
      <w:bookmarkStart w:id="864" w:name="_Toc66201676"/>
      <w:bookmarkStart w:id="865" w:name="_Toc66202072"/>
      <w:bookmarkStart w:id="866" w:name="_Toc66202126"/>
      <w:bookmarkStart w:id="867" w:name="_Toc66202782"/>
      <w:bookmarkStart w:id="868" w:name="_Toc66204850"/>
      <w:bookmarkStart w:id="869" w:name="_Toc66729440"/>
      <w:bookmarkStart w:id="870" w:name="_Toc66881512"/>
      <w:bookmarkStart w:id="871" w:name="_Toc66881735"/>
      <w:bookmarkStart w:id="872" w:name="_Toc67413926"/>
      <w:bookmarkStart w:id="873" w:name="_Toc67413978"/>
      <w:bookmarkStart w:id="874" w:name="_Toc67414030"/>
      <w:bookmarkStart w:id="875" w:name="_Toc67414102"/>
      <w:bookmarkStart w:id="876" w:name="_Toc67414175"/>
      <w:bookmarkStart w:id="877" w:name="_Toc67414249"/>
      <w:bookmarkStart w:id="878" w:name="_Toc67414304"/>
      <w:bookmarkStart w:id="879" w:name="_Toc67414357"/>
      <w:bookmarkStart w:id="880" w:name="_Toc67414416"/>
      <w:bookmarkStart w:id="881" w:name="_Toc67414469"/>
      <w:bookmarkStart w:id="882" w:name="_Toc67414522"/>
      <w:bookmarkStart w:id="883" w:name="_Toc67414576"/>
      <w:bookmarkStart w:id="884" w:name="_Toc67414650"/>
      <w:bookmarkStart w:id="885" w:name="_Toc67414704"/>
      <w:bookmarkStart w:id="886" w:name="_Toc67414757"/>
      <w:bookmarkStart w:id="887" w:name="_Toc67414831"/>
      <w:bookmarkStart w:id="888" w:name="_Toc67414890"/>
      <w:bookmarkStart w:id="889" w:name="_Toc67414943"/>
      <w:bookmarkStart w:id="890" w:name="_Toc67415175"/>
      <w:bookmarkStart w:id="891" w:name="_Toc67415340"/>
      <w:bookmarkStart w:id="892" w:name="_Toc67415518"/>
      <w:bookmarkStart w:id="893" w:name="_Toc67415620"/>
      <w:bookmarkStart w:id="894" w:name="_Toc65774623"/>
      <w:bookmarkStart w:id="895" w:name="_Toc65774714"/>
      <w:bookmarkStart w:id="896" w:name="_Toc65776866"/>
      <w:bookmarkStart w:id="897" w:name="_Toc65836463"/>
      <w:bookmarkStart w:id="898" w:name="_Toc65858320"/>
      <w:bookmarkStart w:id="899" w:name="_Toc66113624"/>
      <w:bookmarkStart w:id="900" w:name="_Toc66113768"/>
      <w:bookmarkStart w:id="901" w:name="_Toc66114949"/>
      <w:bookmarkStart w:id="902" w:name="_Toc66115067"/>
      <w:bookmarkStart w:id="903" w:name="_Toc66115160"/>
      <w:bookmarkStart w:id="904" w:name="_Toc66115214"/>
      <w:bookmarkStart w:id="905" w:name="_Toc66115343"/>
      <w:bookmarkStart w:id="906" w:name="_Toc66115842"/>
      <w:bookmarkStart w:id="907" w:name="_Toc66116025"/>
      <w:bookmarkStart w:id="908" w:name="_Toc66116080"/>
      <w:bookmarkStart w:id="909" w:name="_Toc66116136"/>
      <w:bookmarkStart w:id="910" w:name="_Toc66116191"/>
      <w:bookmarkStart w:id="911" w:name="_Toc66116246"/>
      <w:bookmarkStart w:id="912" w:name="_Toc66116301"/>
      <w:bookmarkStart w:id="913" w:name="_Toc66116404"/>
      <w:bookmarkStart w:id="914" w:name="_Toc66117334"/>
      <w:bookmarkStart w:id="915" w:name="_Toc66117388"/>
      <w:bookmarkStart w:id="916" w:name="_Toc66117443"/>
      <w:bookmarkStart w:id="917" w:name="_Toc66199715"/>
      <w:bookmarkStart w:id="918" w:name="_Toc66201254"/>
      <w:bookmarkStart w:id="919" w:name="_Toc66200768"/>
      <w:bookmarkStart w:id="920" w:name="_Toc66201308"/>
      <w:bookmarkStart w:id="921" w:name="_Toc66201362"/>
      <w:bookmarkStart w:id="922" w:name="_Toc66201416"/>
      <w:bookmarkStart w:id="923" w:name="_Toc66201470"/>
      <w:bookmarkStart w:id="924" w:name="_Toc66201524"/>
      <w:bookmarkStart w:id="925" w:name="_Toc66201623"/>
      <w:bookmarkStart w:id="926" w:name="_Toc66201677"/>
      <w:bookmarkStart w:id="927" w:name="_Toc66202073"/>
      <w:bookmarkStart w:id="928" w:name="_Toc66202127"/>
      <w:bookmarkStart w:id="929" w:name="_Toc66202783"/>
      <w:bookmarkStart w:id="930" w:name="_Toc66204851"/>
      <w:bookmarkStart w:id="931" w:name="_Toc66729441"/>
      <w:bookmarkStart w:id="932" w:name="_Toc66881513"/>
      <w:bookmarkStart w:id="933" w:name="_Toc66881736"/>
      <w:bookmarkStart w:id="934" w:name="_Toc67413927"/>
      <w:bookmarkStart w:id="935" w:name="_Toc67413979"/>
      <w:bookmarkStart w:id="936" w:name="_Toc67414031"/>
      <w:bookmarkStart w:id="937" w:name="_Toc67414103"/>
      <w:bookmarkStart w:id="938" w:name="_Toc67414176"/>
      <w:bookmarkStart w:id="939" w:name="_Toc67414250"/>
      <w:bookmarkStart w:id="940" w:name="_Toc67414305"/>
      <w:bookmarkStart w:id="941" w:name="_Toc67414358"/>
      <w:bookmarkStart w:id="942" w:name="_Toc67414417"/>
      <w:bookmarkStart w:id="943" w:name="_Toc67414470"/>
      <w:bookmarkStart w:id="944" w:name="_Toc67414523"/>
      <w:bookmarkStart w:id="945" w:name="_Toc67414577"/>
      <w:bookmarkStart w:id="946" w:name="_Toc67414651"/>
      <w:bookmarkStart w:id="947" w:name="_Toc67414705"/>
      <w:bookmarkStart w:id="948" w:name="_Toc67414758"/>
      <w:bookmarkStart w:id="949" w:name="_Toc67414832"/>
      <w:bookmarkStart w:id="950" w:name="_Toc67414891"/>
      <w:bookmarkStart w:id="951" w:name="_Toc67414944"/>
      <w:bookmarkStart w:id="952" w:name="_Toc67415176"/>
      <w:bookmarkStart w:id="953" w:name="_Toc67415341"/>
      <w:bookmarkStart w:id="954" w:name="_Toc67415519"/>
      <w:bookmarkStart w:id="955" w:name="_Toc67415621"/>
      <w:bookmarkStart w:id="956" w:name="_Toc65774624"/>
      <w:bookmarkStart w:id="957" w:name="_Toc65774715"/>
      <w:bookmarkStart w:id="958" w:name="_Toc65776867"/>
      <w:bookmarkStart w:id="959" w:name="_Toc65836464"/>
      <w:bookmarkStart w:id="960" w:name="_Toc65858321"/>
      <w:bookmarkStart w:id="961" w:name="_Toc66113625"/>
      <w:bookmarkStart w:id="962" w:name="_Toc66113769"/>
      <w:bookmarkStart w:id="963" w:name="_Toc66114060"/>
      <w:bookmarkStart w:id="964" w:name="_Toc66114950"/>
      <w:bookmarkStart w:id="965" w:name="_Toc66115068"/>
      <w:bookmarkStart w:id="966" w:name="_Toc66115161"/>
      <w:bookmarkStart w:id="967" w:name="_Toc66115215"/>
      <w:bookmarkStart w:id="968" w:name="_Toc66115344"/>
      <w:bookmarkStart w:id="969" w:name="_Toc66115843"/>
      <w:bookmarkStart w:id="970" w:name="_Toc66116026"/>
      <w:bookmarkStart w:id="971" w:name="_Toc66116081"/>
      <w:bookmarkStart w:id="972" w:name="_Toc66116137"/>
      <w:bookmarkStart w:id="973" w:name="_Toc66116192"/>
      <w:bookmarkStart w:id="974" w:name="_Toc66116247"/>
      <w:bookmarkStart w:id="975" w:name="_Toc66116302"/>
      <w:bookmarkStart w:id="976" w:name="_Toc66116405"/>
      <w:bookmarkStart w:id="977" w:name="_Toc66117335"/>
      <w:bookmarkStart w:id="978" w:name="_Toc66117389"/>
      <w:bookmarkStart w:id="979" w:name="_Toc66117444"/>
      <w:bookmarkStart w:id="980" w:name="_Toc66199716"/>
      <w:bookmarkStart w:id="981" w:name="_Toc66201255"/>
      <w:bookmarkStart w:id="982" w:name="_Toc66200769"/>
      <w:bookmarkStart w:id="983" w:name="_Toc66201309"/>
      <w:bookmarkStart w:id="984" w:name="_Toc66201363"/>
      <w:bookmarkStart w:id="985" w:name="_Toc66201417"/>
      <w:bookmarkStart w:id="986" w:name="_Toc66201471"/>
      <w:bookmarkStart w:id="987" w:name="_Toc66201525"/>
      <w:bookmarkStart w:id="988" w:name="_Toc66201624"/>
      <w:bookmarkStart w:id="989" w:name="_Toc66201678"/>
      <w:bookmarkStart w:id="990" w:name="_Toc66202074"/>
      <w:bookmarkStart w:id="991" w:name="_Toc66202128"/>
      <w:bookmarkStart w:id="992" w:name="_Toc66202784"/>
      <w:bookmarkStart w:id="993" w:name="_Toc66204852"/>
      <w:bookmarkStart w:id="994" w:name="_Toc66729442"/>
      <w:bookmarkStart w:id="995" w:name="_Toc66881514"/>
      <w:bookmarkStart w:id="996" w:name="_Toc66881737"/>
      <w:bookmarkStart w:id="997" w:name="_Toc67413928"/>
      <w:bookmarkStart w:id="998" w:name="_Toc67413980"/>
      <w:bookmarkStart w:id="999" w:name="_Toc67414032"/>
      <w:bookmarkStart w:id="1000" w:name="_Toc67414104"/>
      <w:bookmarkStart w:id="1001" w:name="_Toc67414177"/>
      <w:bookmarkStart w:id="1002" w:name="_Toc67414251"/>
      <w:bookmarkStart w:id="1003" w:name="_Toc67414306"/>
      <w:bookmarkStart w:id="1004" w:name="_Toc67414359"/>
      <w:bookmarkStart w:id="1005" w:name="_Toc67414418"/>
      <w:bookmarkStart w:id="1006" w:name="_Toc67414471"/>
      <w:bookmarkStart w:id="1007" w:name="_Toc67414524"/>
      <w:bookmarkStart w:id="1008" w:name="_Toc67414578"/>
      <w:bookmarkStart w:id="1009" w:name="_Toc67414652"/>
      <w:bookmarkStart w:id="1010" w:name="_Toc67414706"/>
      <w:bookmarkStart w:id="1011" w:name="_Toc67414759"/>
      <w:bookmarkStart w:id="1012" w:name="_Toc67414833"/>
      <w:bookmarkStart w:id="1013" w:name="_Toc67414892"/>
      <w:bookmarkStart w:id="1014" w:name="_Toc67414945"/>
      <w:bookmarkStart w:id="1015" w:name="_Toc67415177"/>
      <w:bookmarkStart w:id="1016" w:name="_Toc67415342"/>
      <w:bookmarkStart w:id="1017" w:name="_Toc67415520"/>
      <w:bookmarkStart w:id="1018" w:name="_Toc67415622"/>
      <w:bookmarkStart w:id="1019" w:name="_Toc65774625"/>
      <w:bookmarkStart w:id="1020" w:name="_Toc65774716"/>
      <w:bookmarkStart w:id="1021" w:name="_Toc65776868"/>
      <w:bookmarkStart w:id="1022" w:name="_Toc65836465"/>
      <w:bookmarkStart w:id="1023" w:name="_Toc65858322"/>
      <w:bookmarkStart w:id="1024" w:name="_Toc66113626"/>
      <w:bookmarkStart w:id="1025" w:name="_Toc66113770"/>
      <w:bookmarkStart w:id="1026" w:name="_Toc66114951"/>
      <w:bookmarkStart w:id="1027" w:name="_Toc66115069"/>
      <w:bookmarkStart w:id="1028" w:name="_Toc66115162"/>
      <w:bookmarkStart w:id="1029" w:name="_Toc66115216"/>
      <w:bookmarkStart w:id="1030" w:name="_Toc66115345"/>
      <w:bookmarkStart w:id="1031" w:name="_Toc66115844"/>
      <w:bookmarkStart w:id="1032" w:name="_Toc66116027"/>
      <w:bookmarkStart w:id="1033" w:name="_Toc66116082"/>
      <w:bookmarkStart w:id="1034" w:name="_Toc66116138"/>
      <w:bookmarkStart w:id="1035" w:name="_Toc66116193"/>
      <w:bookmarkStart w:id="1036" w:name="_Toc66116248"/>
      <w:bookmarkStart w:id="1037" w:name="_Toc66116303"/>
      <w:bookmarkStart w:id="1038" w:name="_Toc66116406"/>
      <w:bookmarkStart w:id="1039" w:name="_Toc66117336"/>
      <w:bookmarkStart w:id="1040" w:name="_Toc66117390"/>
      <w:bookmarkStart w:id="1041" w:name="_Toc66117445"/>
      <w:bookmarkStart w:id="1042" w:name="_Toc66199717"/>
      <w:bookmarkStart w:id="1043" w:name="_Toc66201256"/>
      <w:bookmarkStart w:id="1044" w:name="_Toc66200770"/>
      <w:bookmarkStart w:id="1045" w:name="_Toc66201310"/>
      <w:bookmarkStart w:id="1046" w:name="_Toc66201364"/>
      <w:bookmarkStart w:id="1047" w:name="_Toc66201418"/>
      <w:bookmarkStart w:id="1048" w:name="_Toc66201472"/>
      <w:bookmarkStart w:id="1049" w:name="_Toc66201526"/>
      <w:bookmarkStart w:id="1050" w:name="_Toc66201625"/>
      <w:bookmarkStart w:id="1051" w:name="_Toc66201679"/>
      <w:bookmarkStart w:id="1052" w:name="_Toc66202075"/>
      <w:bookmarkStart w:id="1053" w:name="_Toc66202129"/>
      <w:bookmarkStart w:id="1054" w:name="_Toc66202785"/>
      <w:bookmarkStart w:id="1055" w:name="_Toc66204853"/>
      <w:bookmarkStart w:id="1056" w:name="_Toc66729443"/>
      <w:bookmarkStart w:id="1057" w:name="_Toc66881515"/>
      <w:bookmarkStart w:id="1058" w:name="_Toc66881738"/>
      <w:bookmarkStart w:id="1059" w:name="_Toc67413929"/>
      <w:bookmarkStart w:id="1060" w:name="_Toc67413981"/>
      <w:bookmarkStart w:id="1061" w:name="_Toc67414033"/>
      <w:bookmarkStart w:id="1062" w:name="_Toc67414105"/>
      <w:bookmarkStart w:id="1063" w:name="_Toc67414178"/>
      <w:bookmarkStart w:id="1064" w:name="_Toc67414252"/>
      <w:bookmarkStart w:id="1065" w:name="_Toc67414307"/>
      <w:bookmarkStart w:id="1066" w:name="_Toc67414360"/>
      <w:bookmarkStart w:id="1067" w:name="_Toc67414419"/>
      <w:bookmarkStart w:id="1068" w:name="_Toc67414472"/>
      <w:bookmarkStart w:id="1069" w:name="_Toc67414525"/>
      <w:bookmarkStart w:id="1070" w:name="_Toc67414579"/>
      <w:bookmarkStart w:id="1071" w:name="_Toc67414653"/>
      <w:bookmarkStart w:id="1072" w:name="_Toc67414707"/>
      <w:bookmarkStart w:id="1073" w:name="_Toc67414760"/>
      <w:bookmarkStart w:id="1074" w:name="_Toc67414834"/>
      <w:bookmarkStart w:id="1075" w:name="_Toc67414893"/>
      <w:bookmarkStart w:id="1076" w:name="_Toc67414946"/>
      <w:bookmarkStart w:id="1077" w:name="_Toc67415178"/>
      <w:bookmarkStart w:id="1078" w:name="_Toc67415343"/>
      <w:bookmarkStart w:id="1079" w:name="_Toc67415521"/>
      <w:bookmarkStart w:id="1080" w:name="_Toc67415623"/>
      <w:bookmarkStart w:id="1081" w:name="_Toc65774626"/>
      <w:bookmarkStart w:id="1082" w:name="_Toc65774717"/>
      <w:bookmarkStart w:id="1083" w:name="_Toc65776869"/>
      <w:bookmarkStart w:id="1084" w:name="_Toc65836466"/>
      <w:bookmarkStart w:id="1085" w:name="_Toc65858323"/>
      <w:bookmarkStart w:id="1086" w:name="_Toc66113627"/>
      <w:bookmarkStart w:id="1087" w:name="_Toc66113771"/>
      <w:bookmarkStart w:id="1088" w:name="_Toc66114952"/>
      <w:bookmarkStart w:id="1089" w:name="_Toc66115070"/>
      <w:bookmarkStart w:id="1090" w:name="_Toc66115163"/>
      <w:bookmarkStart w:id="1091" w:name="_Toc66115217"/>
      <w:bookmarkStart w:id="1092" w:name="_Toc66115346"/>
      <w:bookmarkStart w:id="1093" w:name="_Toc66115845"/>
      <w:bookmarkStart w:id="1094" w:name="_Toc66116028"/>
      <w:bookmarkStart w:id="1095" w:name="_Toc66116083"/>
      <w:bookmarkStart w:id="1096" w:name="_Toc66116139"/>
      <w:bookmarkStart w:id="1097" w:name="_Toc66116194"/>
      <w:bookmarkStart w:id="1098" w:name="_Toc66116249"/>
      <w:bookmarkStart w:id="1099" w:name="_Toc66116304"/>
      <w:bookmarkStart w:id="1100" w:name="_Toc66116407"/>
      <w:bookmarkStart w:id="1101" w:name="_Toc66117337"/>
      <w:bookmarkStart w:id="1102" w:name="_Toc66117391"/>
      <w:bookmarkStart w:id="1103" w:name="_Toc66117446"/>
      <w:bookmarkStart w:id="1104" w:name="_Toc66199718"/>
      <w:bookmarkStart w:id="1105" w:name="_Toc66201257"/>
      <w:bookmarkStart w:id="1106" w:name="_Toc66200771"/>
      <w:bookmarkStart w:id="1107" w:name="_Toc66201311"/>
      <w:bookmarkStart w:id="1108" w:name="_Toc66201365"/>
      <w:bookmarkStart w:id="1109" w:name="_Toc66201419"/>
      <w:bookmarkStart w:id="1110" w:name="_Toc66201473"/>
      <w:bookmarkStart w:id="1111" w:name="_Toc66201527"/>
      <w:bookmarkStart w:id="1112" w:name="_Toc66201626"/>
      <w:bookmarkStart w:id="1113" w:name="_Toc66201680"/>
      <w:bookmarkStart w:id="1114" w:name="_Toc66202076"/>
      <w:bookmarkStart w:id="1115" w:name="_Toc66202130"/>
      <w:bookmarkStart w:id="1116" w:name="_Toc66202786"/>
      <w:bookmarkStart w:id="1117" w:name="_Toc66204854"/>
      <w:bookmarkStart w:id="1118" w:name="_Toc66729444"/>
      <w:bookmarkStart w:id="1119" w:name="_Toc66881516"/>
      <w:bookmarkStart w:id="1120" w:name="_Toc66881739"/>
      <w:bookmarkStart w:id="1121" w:name="_Toc67413930"/>
      <w:bookmarkStart w:id="1122" w:name="_Toc67413982"/>
      <w:bookmarkStart w:id="1123" w:name="_Toc67414034"/>
      <w:bookmarkStart w:id="1124" w:name="_Toc67414106"/>
      <w:bookmarkStart w:id="1125" w:name="_Toc67414179"/>
      <w:bookmarkStart w:id="1126" w:name="_Toc67414253"/>
      <w:bookmarkStart w:id="1127" w:name="_Toc67414308"/>
      <w:bookmarkStart w:id="1128" w:name="_Toc67414361"/>
      <w:bookmarkStart w:id="1129" w:name="_Toc67414420"/>
      <w:bookmarkStart w:id="1130" w:name="_Toc67414473"/>
      <w:bookmarkStart w:id="1131" w:name="_Toc67414526"/>
      <w:bookmarkStart w:id="1132" w:name="_Toc67414580"/>
      <w:bookmarkStart w:id="1133" w:name="_Toc67414654"/>
      <w:bookmarkStart w:id="1134" w:name="_Toc67414708"/>
      <w:bookmarkStart w:id="1135" w:name="_Toc67414761"/>
      <w:bookmarkStart w:id="1136" w:name="_Toc67414835"/>
      <w:bookmarkStart w:id="1137" w:name="_Toc67414894"/>
      <w:bookmarkStart w:id="1138" w:name="_Toc67414947"/>
      <w:bookmarkStart w:id="1139" w:name="_Toc67415179"/>
      <w:bookmarkStart w:id="1140" w:name="_Toc67415344"/>
      <w:bookmarkStart w:id="1141" w:name="_Toc67415522"/>
      <w:bookmarkStart w:id="1142" w:name="_Toc67415624"/>
      <w:bookmarkStart w:id="1143" w:name="_Toc65774627"/>
      <w:bookmarkStart w:id="1144" w:name="_Toc65774718"/>
      <w:bookmarkStart w:id="1145" w:name="_Toc65776870"/>
      <w:bookmarkStart w:id="1146" w:name="_Toc65836467"/>
      <w:bookmarkStart w:id="1147" w:name="_Toc65858324"/>
      <w:bookmarkStart w:id="1148" w:name="_Toc66113628"/>
      <w:bookmarkStart w:id="1149" w:name="_Toc66113772"/>
      <w:bookmarkStart w:id="1150" w:name="_Toc66114953"/>
      <w:bookmarkStart w:id="1151" w:name="_Toc66115071"/>
      <w:bookmarkStart w:id="1152" w:name="_Toc66115164"/>
      <w:bookmarkStart w:id="1153" w:name="_Toc66115218"/>
      <w:bookmarkStart w:id="1154" w:name="_Toc66115347"/>
      <w:bookmarkStart w:id="1155" w:name="_Toc66115846"/>
      <w:bookmarkStart w:id="1156" w:name="_Toc66116029"/>
      <w:bookmarkStart w:id="1157" w:name="_Toc66116084"/>
      <w:bookmarkStart w:id="1158" w:name="_Toc66116140"/>
      <w:bookmarkStart w:id="1159" w:name="_Toc66116195"/>
      <w:bookmarkStart w:id="1160" w:name="_Toc66116250"/>
      <w:bookmarkStart w:id="1161" w:name="_Toc66116305"/>
      <w:bookmarkStart w:id="1162" w:name="_Toc66116408"/>
      <w:bookmarkStart w:id="1163" w:name="_Toc66117338"/>
      <w:bookmarkStart w:id="1164" w:name="_Toc66117392"/>
      <w:bookmarkStart w:id="1165" w:name="_Toc66117447"/>
      <w:bookmarkStart w:id="1166" w:name="_Toc66199719"/>
      <w:bookmarkStart w:id="1167" w:name="_Toc66201258"/>
      <w:bookmarkStart w:id="1168" w:name="_Toc66200772"/>
      <w:bookmarkStart w:id="1169" w:name="_Toc66201312"/>
      <w:bookmarkStart w:id="1170" w:name="_Toc66201366"/>
      <w:bookmarkStart w:id="1171" w:name="_Toc66201420"/>
      <w:bookmarkStart w:id="1172" w:name="_Toc66201474"/>
      <w:bookmarkStart w:id="1173" w:name="_Toc66201528"/>
      <w:bookmarkStart w:id="1174" w:name="_Toc66201627"/>
      <w:bookmarkStart w:id="1175" w:name="_Toc66201681"/>
      <w:bookmarkStart w:id="1176" w:name="_Toc66202077"/>
      <w:bookmarkStart w:id="1177" w:name="_Toc66202131"/>
      <w:bookmarkStart w:id="1178" w:name="_Toc66202787"/>
      <w:bookmarkStart w:id="1179" w:name="_Toc66204855"/>
      <w:bookmarkStart w:id="1180" w:name="_Toc66729445"/>
      <w:bookmarkStart w:id="1181" w:name="_Toc66881517"/>
      <w:bookmarkStart w:id="1182" w:name="_Toc66881740"/>
      <w:bookmarkStart w:id="1183" w:name="_Toc67413931"/>
      <w:bookmarkStart w:id="1184" w:name="_Toc67413983"/>
      <w:bookmarkStart w:id="1185" w:name="_Toc67414035"/>
      <w:bookmarkStart w:id="1186" w:name="_Toc67414107"/>
      <w:bookmarkStart w:id="1187" w:name="_Toc67414180"/>
      <w:bookmarkStart w:id="1188" w:name="_Toc67414254"/>
      <w:bookmarkStart w:id="1189" w:name="_Toc67414309"/>
      <w:bookmarkStart w:id="1190" w:name="_Toc67414362"/>
      <w:bookmarkStart w:id="1191" w:name="_Toc67414421"/>
      <w:bookmarkStart w:id="1192" w:name="_Toc67414474"/>
      <w:bookmarkStart w:id="1193" w:name="_Toc67414527"/>
      <w:bookmarkStart w:id="1194" w:name="_Toc67414581"/>
      <w:bookmarkStart w:id="1195" w:name="_Toc67414655"/>
      <w:bookmarkStart w:id="1196" w:name="_Toc67414709"/>
      <w:bookmarkStart w:id="1197" w:name="_Toc67414762"/>
      <w:bookmarkStart w:id="1198" w:name="_Toc67414836"/>
      <w:bookmarkStart w:id="1199" w:name="_Toc67414895"/>
      <w:bookmarkStart w:id="1200" w:name="_Toc67414948"/>
      <w:bookmarkStart w:id="1201" w:name="_Toc67415180"/>
      <w:bookmarkStart w:id="1202" w:name="_Toc67415345"/>
      <w:bookmarkStart w:id="1203" w:name="_Toc67415523"/>
      <w:bookmarkStart w:id="1204" w:name="_Toc67415625"/>
      <w:bookmarkStart w:id="1205" w:name="_Toc62138836"/>
      <w:bookmarkStart w:id="1206" w:name="_Toc65836468"/>
      <w:bookmarkStart w:id="1207" w:name="_Toc66116409"/>
      <w:bookmarkStart w:id="1208" w:name="_Toc66202078"/>
      <w:bookmarkStart w:id="1209" w:name="_Toc67414255"/>
      <w:bookmarkStart w:id="1210" w:name="_Toc67415181"/>
      <w:bookmarkStart w:id="1211" w:name="_Toc67415346"/>
      <w:bookmarkStart w:id="1212" w:name="_Toc67415626"/>
      <w:bookmarkStart w:id="1213" w:name="_Toc67415893"/>
      <w:bookmarkStart w:id="1214" w:name="_Toc82790287"/>
      <w:bookmarkStart w:id="1215" w:name="_Toc82792856"/>
      <w:bookmarkStart w:id="1216" w:name="_Toc90291251"/>
      <w:bookmarkStart w:id="1217" w:name="_Toc95812965"/>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r w:rsidRPr="009306D5">
        <w:rPr>
          <w:rFonts w:ascii="Times New Roman" w:hAnsi="Times New Roman"/>
          <w:noProof/>
        </w:rPr>
        <w:t>4.6.1. Andmete kogumine</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19EFE7B0" w14:textId="08612CEB" w:rsidR="005B15B7" w:rsidRPr="009306D5" w:rsidRDefault="005B15B7" w:rsidP="005B15B7">
      <w:pPr>
        <w:rPr>
          <w:rFonts w:cs="Times New Roman"/>
          <w:noProof/>
          <w:sz w:val="20"/>
        </w:rPr>
      </w:pPr>
      <w:r w:rsidRPr="009306D5">
        <w:rPr>
          <w:noProof/>
          <w:sz w:val="20"/>
        </w:rPr>
        <w:t>Nüüdisaegne maksuhaldur peab tulema toime kasvava nõudlusega digitaalsete käibemaksuhalduse teenuste järele ja kasutama võimalusi, mida pakub selle valdkonna IT areng. Ühest küljest on käibemaksukohustuslastel maksuhaldusteenuste suhtes suuremad ootused. Teisest küljest suurendab kasvav nõudlus survet maksuhalduritele, et nad pakuksid käibemaksukohustuslastele rohkem teenuseid.</w:t>
      </w:r>
    </w:p>
    <w:p w14:paraId="2397F7F9" w14:textId="1304E80C" w:rsidR="005B15B7" w:rsidRPr="009306D5" w:rsidRDefault="005B15B7" w:rsidP="005B15B7">
      <w:pPr>
        <w:rPr>
          <w:rFonts w:cs="Times New Roman"/>
          <w:noProof/>
          <w:sz w:val="20"/>
        </w:rPr>
      </w:pPr>
      <w:r w:rsidRPr="009306D5">
        <w:rPr>
          <w:noProof/>
          <w:sz w:val="20"/>
        </w:rPr>
        <w:t>Paremateks teenusteks on vaja rohkem ja kvalitatiivseid andmeid. Tänapäeval luuakse tohutul hulgal andmeid, mis annab maksuhalduritele võimaluse kasutada neid andmeid maksukuulekuse suurendamise eesmärgil. Komisjon soovis teada, millised andmed on maksukuulekuse parandamiseks kättesaadavad.</w:t>
      </w:r>
    </w:p>
    <w:p w14:paraId="1810C54E" w14:textId="77777777" w:rsidR="005B15B7" w:rsidRPr="009306D5" w:rsidRDefault="005B15B7" w:rsidP="7925FA3B">
      <w:pPr>
        <w:rPr>
          <w:rFonts w:cs="Times New Roman"/>
          <w:noProof/>
          <w:sz w:val="20"/>
          <w:szCs w:val="20"/>
        </w:rPr>
      </w:pPr>
      <w:r w:rsidRPr="009306D5">
        <w:rPr>
          <w:noProof/>
          <w:sz w:val="20"/>
          <w:szCs w:val="20"/>
        </w:rPr>
        <w:t>Maksuhaldurid kasutavad andmeid mitmesugustest allikatest, nagu arved, internetiplatvormid, käitumis- ja keskkonnauuringud, kolmandate isikute teave, teiste riikidega vahetatud teave ja vastastikuse abi lepingud teiste riikidega.</w:t>
      </w:r>
    </w:p>
    <w:p w14:paraId="566DFD81" w14:textId="256D5519" w:rsidR="005B15B7" w:rsidRPr="009306D5" w:rsidRDefault="005B15B7" w:rsidP="00FE0EC3">
      <w:pPr>
        <w:pStyle w:val="Caption"/>
      </w:pPr>
      <w:bookmarkStart w:id="1218" w:name="_Toc62138797"/>
      <w:bookmarkStart w:id="1219" w:name="_Toc95816259"/>
      <w:r w:rsidRPr="009306D5">
        <w:t>Joonis </w:t>
      </w:r>
      <w:r w:rsidRPr="009306D5">
        <w:fldChar w:fldCharType="begin"/>
      </w:r>
      <w:r w:rsidRPr="009306D5">
        <w:instrText xml:space="preserve"> SEQ Figure \* ARABIC </w:instrText>
      </w:r>
      <w:r w:rsidRPr="009306D5">
        <w:fldChar w:fldCharType="separate"/>
      </w:r>
      <w:r w:rsidR="008A2E1E" w:rsidRPr="009306D5">
        <w:t>32</w:t>
      </w:r>
      <w:r w:rsidRPr="009306D5">
        <w:fldChar w:fldCharType="end"/>
      </w:r>
      <w:r w:rsidRPr="009306D5">
        <w:t>. Andmed, mida ELi maksuhaldurid kasutavad käibemaksualase maksukuulekuse parandamiseks</w:t>
      </w:r>
      <w:bookmarkEnd w:id="1218"/>
      <w:bookmarkEnd w:id="1219"/>
    </w:p>
    <w:p w14:paraId="59FED919" w14:textId="21814903" w:rsidR="007661F3" w:rsidRPr="009306D5" w:rsidRDefault="007661F3" w:rsidP="00626AC7">
      <w:pPr>
        <w:pStyle w:val="Question"/>
        <w:rPr>
          <w:noProof/>
        </w:rPr>
      </w:pPr>
      <w:r w:rsidRPr="009306D5">
        <w:rPr>
          <w:noProof/>
        </w:rPr>
        <w:t>Küsimus 4.3: „Millised andmekategooriad on maksuhalduritele kättesaadavad ja kasutatavad käibemaksualase maksukuulekuse parandamiseks? (Vastuseid võib olla mitu)“</w:t>
      </w:r>
    </w:p>
    <w:p w14:paraId="54A3123B" w14:textId="0C18DEA9" w:rsidR="005B15B7" w:rsidRPr="009306D5" w:rsidRDefault="00527446" w:rsidP="00EF59B5">
      <w:pPr>
        <w:pStyle w:val="FIgure"/>
        <w:rPr>
          <w:rFonts w:cs="Times New Roman"/>
          <w:sz w:val="20"/>
        </w:rPr>
      </w:pPr>
      <w:r w:rsidRPr="009306D5">
        <w:rPr>
          <w:lang w:val="en-GB"/>
        </w:rPr>
        <w:drawing>
          <wp:inline distT="0" distB="0" distL="0" distR="0" wp14:anchorId="3122B6FD" wp14:editId="2362BC93">
            <wp:extent cx="5760085" cy="3232785"/>
            <wp:effectExtent l="0" t="0" r="0" b="571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085" cy="3232785"/>
                    </a:xfrm>
                    <a:prstGeom prst="rect">
                      <a:avLst/>
                    </a:prstGeom>
                  </pic:spPr>
                </pic:pic>
              </a:graphicData>
            </a:graphic>
          </wp:inline>
        </w:drawing>
      </w:r>
    </w:p>
    <w:p w14:paraId="0EFF4F82"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7399DB2E" w14:textId="77777777" w:rsidR="005B15B7" w:rsidRPr="009306D5" w:rsidRDefault="005B15B7" w:rsidP="005B15B7">
      <w:pPr>
        <w:rPr>
          <w:rFonts w:cs="Times New Roman"/>
          <w:noProof/>
          <w:sz w:val="20"/>
        </w:rPr>
      </w:pPr>
      <w:r w:rsidRPr="009306D5">
        <w:rPr>
          <w:noProof/>
          <w:sz w:val="20"/>
        </w:rPr>
        <w:t>Erinevate andmeallikate kasutamine maksukuulekuse parandamise eesmärgil on liikmesriigiti erinev. Varieeruvust mõjutavad ka erinevused sellistes valdkondades nagu õigusraamistik, poliitiline korraldus ja sotsiaalsed struktuurid.</w:t>
      </w:r>
    </w:p>
    <w:p w14:paraId="707A7350" w14:textId="77777777" w:rsidR="005B15B7" w:rsidRPr="009306D5" w:rsidRDefault="005B15B7" w:rsidP="005B15B7">
      <w:pPr>
        <w:rPr>
          <w:rFonts w:cs="Times New Roman"/>
          <w:noProof/>
          <w:sz w:val="20"/>
        </w:rPr>
      </w:pPr>
      <w:r w:rsidRPr="009306D5">
        <w:rPr>
          <w:noProof/>
          <w:sz w:val="20"/>
        </w:rPr>
        <w:t>Kuigi kõik liikmesriigid vahetavad teavet ning kasutavad vastastikuse abi lepinguid ja kolmandate isikute teavet, kasutab ainult väiksem osa liikmesriike internetiplatvormide makseandmeid või käitumisuuringuid. Nendes uuringutes tehakse kindlaks sotsiaal-majanduslikud tegurid (nt vanus, sugu, tööhõivestaatus ja haridustase) ja institutsioonilised tegurid (nt usaldus valitsuse vastu ja kogukonna rahulolu avalike teenuste kvaliteediga), mis mõjutavad maksumaksja motivatsiooni täita oma käibemaksukohustusi.</w:t>
      </w:r>
    </w:p>
    <w:p w14:paraId="24A6AACB" w14:textId="77777777" w:rsidR="005B15B7" w:rsidRPr="009306D5" w:rsidRDefault="005B15B7" w:rsidP="005B15B7">
      <w:pPr>
        <w:rPr>
          <w:rFonts w:cs="Times New Roman"/>
          <w:noProof/>
          <w:sz w:val="20"/>
        </w:rPr>
      </w:pPr>
      <w:r w:rsidRPr="009306D5">
        <w:rPr>
          <w:noProof/>
          <w:sz w:val="20"/>
        </w:rPr>
        <w:t>Taani, Kreeka, Itaalia ja Ungari teatasid, et nad kasutavad maksukuulekuse parandamiseks mitmesuguseid andmeid. Belgia, Saksamaa, Luksemburg, Madalmaad ja Soome märkisid, et nad kasutavad ainult kahe eespool loetletud kategooria andmeid.</w:t>
      </w:r>
    </w:p>
    <w:p w14:paraId="28F2E26C" w14:textId="2000ECDE" w:rsidR="005B15B7" w:rsidRPr="009306D5" w:rsidRDefault="005B15B7" w:rsidP="00FE0EC3">
      <w:pPr>
        <w:pStyle w:val="Recommendation"/>
      </w:pPr>
      <w:bookmarkStart w:id="1220" w:name="_Toc95816209"/>
      <w:r w:rsidRPr="009306D5">
        <w:t xml:space="preserve">Soovitus </w:t>
      </w:r>
      <w:r w:rsidRPr="009306D5">
        <w:fldChar w:fldCharType="begin"/>
      </w:r>
      <w:r w:rsidRPr="009306D5">
        <w:instrText>SEQ Recommendation \* ARABIC</w:instrText>
      </w:r>
      <w:r w:rsidRPr="009306D5">
        <w:fldChar w:fldCharType="separate"/>
      </w:r>
      <w:bookmarkStart w:id="1221" w:name="_Toc65778306"/>
      <w:bookmarkStart w:id="1222" w:name="_Toc66116359"/>
      <w:r w:rsidR="008A2E1E" w:rsidRPr="009306D5">
        <w:t>21</w:t>
      </w:r>
      <w:r w:rsidRPr="009306D5">
        <w:fldChar w:fldCharType="end"/>
      </w:r>
      <w:r w:rsidRPr="009306D5">
        <w:t xml:space="preserve">. </w:t>
      </w:r>
      <w:bookmarkStart w:id="1223" w:name="_Toc65673335"/>
      <w:r w:rsidRPr="009306D5">
        <w:t xml:space="preserve">Uurida võimalust kasutada käibemaksualase maksukuulekuse parandamiseks mitut andmekogumit ning pidevalt parandada teabevahetuse ja </w:t>
      </w:r>
      <w:bookmarkEnd w:id="1223"/>
      <w:r w:rsidRPr="009306D5">
        <w:t>halduskoostöö kvaliteeti</w:t>
      </w:r>
      <w:bookmarkEnd w:id="1221"/>
      <w:bookmarkEnd w:id="1222"/>
      <w:r w:rsidRPr="009306D5">
        <w:t>.</w:t>
      </w:r>
      <w:bookmarkEnd w:id="1220"/>
    </w:p>
    <w:p w14:paraId="08E51750" w14:textId="77777777" w:rsidR="005B15B7" w:rsidRPr="009306D5" w:rsidRDefault="005B15B7" w:rsidP="005B15B7">
      <w:pPr>
        <w:pStyle w:val="Heading3"/>
        <w:ind w:left="681" w:firstLine="227"/>
        <w:rPr>
          <w:rFonts w:ascii="Times New Roman" w:hAnsi="Times New Roman"/>
          <w:noProof/>
        </w:rPr>
      </w:pPr>
      <w:bookmarkStart w:id="1224" w:name="_Toc62138837"/>
      <w:bookmarkStart w:id="1225" w:name="_Toc65836469"/>
      <w:bookmarkStart w:id="1226" w:name="_Toc66116410"/>
      <w:bookmarkStart w:id="1227" w:name="_Toc66202079"/>
      <w:bookmarkStart w:id="1228" w:name="_Toc67414256"/>
      <w:bookmarkStart w:id="1229" w:name="_Toc67415182"/>
      <w:bookmarkStart w:id="1230" w:name="_Toc67415347"/>
      <w:bookmarkStart w:id="1231" w:name="_Toc67415627"/>
      <w:bookmarkStart w:id="1232" w:name="_Toc67415894"/>
      <w:bookmarkStart w:id="1233" w:name="_Toc82790288"/>
      <w:bookmarkStart w:id="1234" w:name="_Toc82792857"/>
      <w:bookmarkStart w:id="1235" w:name="_Toc90291252"/>
      <w:bookmarkStart w:id="1236" w:name="_Toc95812966"/>
      <w:r w:rsidRPr="009306D5">
        <w:rPr>
          <w:rFonts w:ascii="Times New Roman" w:hAnsi="Times New Roman"/>
          <w:noProof/>
        </w:rPr>
        <w:t>4.6.2. Teadmistel põhinev otsustamine: andmete kasutamine</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57BC15E1" w14:textId="77777777" w:rsidR="005B15B7" w:rsidRPr="009306D5" w:rsidRDefault="005B15B7" w:rsidP="005B15B7">
      <w:pPr>
        <w:rPr>
          <w:rFonts w:cs="Times New Roman"/>
          <w:noProof/>
          <w:sz w:val="20"/>
        </w:rPr>
      </w:pPr>
      <w:r w:rsidRPr="009306D5">
        <w:rPr>
          <w:noProof/>
          <w:sz w:val="20"/>
        </w:rPr>
        <w:t>Häid tulemusi saavutavad maksuhaldurid tuginevad suuresti oma andmeanalüüsile ja uurimissuutlikkusele, et pakkuda paremaid teenuseid, tõhusamat järelevalvet ja usaldusväärseid poliitilisi nõuandeid valitsusele. Ühest küljest peaksid maksuhalduri kõrgemal juhtkonnal olema kõik analüütilised andmed, mis on vajalikud valitsemissektori eelarve koostamise protsesside sisendiks ja maksutulude prognoosimiseks. Teisest küljest peaks juhtkonnal olema igal ajal täielik ülevaade käibemaksu haldamise protsessist (koondpaneelina).</w:t>
      </w:r>
    </w:p>
    <w:p w14:paraId="65A02CF5" w14:textId="77777777" w:rsidR="005B15B7" w:rsidRPr="009306D5" w:rsidRDefault="005B15B7" w:rsidP="005B15B7">
      <w:pPr>
        <w:rPr>
          <w:rFonts w:cs="Times New Roman"/>
          <w:noProof/>
          <w:sz w:val="20"/>
        </w:rPr>
      </w:pPr>
      <w:r w:rsidRPr="009306D5">
        <w:rPr>
          <w:noProof/>
          <w:sz w:val="20"/>
        </w:rPr>
        <w:t>Enamikus ELi liikmesriikides (20/28) on kehtestatud iga-aastased käibemaksu kogumise eesmärgid. Mõned riigid (Saksamaa, Küpros, Luksemburg, Madalmaad, Rootsi, Soome ja Ühendkuningriik) ei kasuta kogumise eesmärke, vaid lähtuvad käibemaksutulu hinnangutest. Rahandusministeeriumid või kõrgemad poliitilised organid seadsid eesmärgid koostöös maksuhalduritega või nende panuse põhjal, võttes arvesse mitmesuguseid tegureid, nagu makromajandusliku keskkonna muutused ja käibemaksutulu prognoosid.</w:t>
      </w:r>
    </w:p>
    <w:p w14:paraId="4CE99323" w14:textId="092E3F67" w:rsidR="005B15B7" w:rsidRPr="009306D5" w:rsidRDefault="005B15B7" w:rsidP="005B15B7">
      <w:pPr>
        <w:rPr>
          <w:rFonts w:cs="Times New Roman"/>
          <w:noProof/>
          <w:sz w:val="20"/>
        </w:rPr>
      </w:pPr>
      <w:r w:rsidRPr="009306D5">
        <w:rPr>
          <w:noProof/>
          <w:sz w:val="20"/>
        </w:rPr>
        <w:t>Üldiselt on kogumiseesmärgid ja -hinnangud täpsed (mediaanhälve ligikaudu 1,2 %), kusjuures mõned liikmesriigid (Taani, Saksamaa, Eesti, Iirimaa, Kreeka, Prantsusmaa, Läti, Leedu, Luksemburg, Madalmaad, Austria, Sloveenia, Slovakkia ja Rootsi) on oma prognoosides või eesmärkide seadmisel väga lähedal tegelikele käibemaksutulude kogumise väärtustele.</w:t>
      </w:r>
    </w:p>
    <w:p w14:paraId="37BE8147" w14:textId="04E98822" w:rsidR="005B15B7" w:rsidRPr="009306D5" w:rsidRDefault="005B15B7" w:rsidP="00FE0EC3">
      <w:pPr>
        <w:pStyle w:val="Caption"/>
      </w:pPr>
      <w:bookmarkStart w:id="1237" w:name="_Toc62138798"/>
      <w:bookmarkStart w:id="1238" w:name="_Toc95816260"/>
      <w:r w:rsidRPr="009306D5">
        <w:t>Joonis </w:t>
      </w:r>
      <w:r w:rsidRPr="009306D5">
        <w:fldChar w:fldCharType="begin"/>
      </w:r>
      <w:r w:rsidRPr="009306D5">
        <w:instrText xml:space="preserve"> SEQ Figure \* ARABIC </w:instrText>
      </w:r>
      <w:r w:rsidRPr="009306D5">
        <w:fldChar w:fldCharType="separate"/>
      </w:r>
      <w:r w:rsidR="008A2E1E" w:rsidRPr="009306D5">
        <w:t>33</w:t>
      </w:r>
      <w:r w:rsidRPr="009306D5">
        <w:fldChar w:fldCharType="end"/>
      </w:r>
      <w:r w:rsidRPr="009306D5">
        <w:t>. Aruanded, mis on kättesaadavad kõrgemale juhtkonnale käibemaksuhalduse eri valdkondades</w:t>
      </w:r>
      <w:bookmarkEnd w:id="1237"/>
      <w:bookmarkEnd w:id="1238"/>
    </w:p>
    <w:p w14:paraId="4F003356" w14:textId="2DE5398B" w:rsidR="00F457CF" w:rsidRPr="009306D5" w:rsidRDefault="00F457CF" w:rsidP="00626AC7">
      <w:pPr>
        <w:pStyle w:val="Question"/>
        <w:rPr>
          <w:noProof/>
        </w:rPr>
      </w:pPr>
      <w:r w:rsidRPr="009306D5">
        <w:rPr>
          <w:noProof/>
        </w:rPr>
        <w:t xml:space="preserve">Küsimus 4.5. „Maksuhalduri kõrgem juhtkond saab korrapäraselt aruandeid [...] kohta </w:t>
      </w:r>
      <w:r w:rsidRPr="009306D5">
        <w:rPr>
          <w:noProof/>
        </w:rPr>
        <w:cr/>
      </w:r>
      <w:r w:rsidRPr="009306D5">
        <w:rPr>
          <w:noProof/>
        </w:rPr>
        <w:br/>
        <w:t>(Vastuseid võib olla mitu)“</w:t>
      </w:r>
    </w:p>
    <w:p w14:paraId="22725949" w14:textId="122ADD4A" w:rsidR="005B15B7" w:rsidRPr="009306D5" w:rsidRDefault="00527446" w:rsidP="00EF59B5">
      <w:pPr>
        <w:pStyle w:val="FIgure"/>
      </w:pPr>
      <w:r w:rsidRPr="009306D5">
        <w:rPr>
          <w:lang w:val="en-GB"/>
        </w:rPr>
        <w:drawing>
          <wp:inline distT="0" distB="0" distL="0" distR="0" wp14:anchorId="11782173" wp14:editId="3558843F">
            <wp:extent cx="5760085" cy="3292475"/>
            <wp:effectExtent l="0" t="0" r="0"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3292475"/>
                    </a:xfrm>
                    <a:prstGeom prst="rect">
                      <a:avLst/>
                    </a:prstGeom>
                  </pic:spPr>
                </pic:pic>
              </a:graphicData>
            </a:graphic>
          </wp:inline>
        </w:drawing>
      </w:r>
      <w:r w:rsidR="002308AE" w:rsidRPr="009306D5">
        <w:t xml:space="preserve"> </w:t>
      </w:r>
    </w:p>
    <w:p w14:paraId="17D80CDB"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5671DE09" w14:textId="3E46E26F" w:rsidR="005B15B7" w:rsidRPr="009306D5" w:rsidRDefault="005B15B7" w:rsidP="005B15B7">
      <w:pPr>
        <w:rPr>
          <w:rFonts w:cs="Times New Roman"/>
          <w:noProof/>
          <w:sz w:val="20"/>
        </w:rPr>
      </w:pPr>
      <w:r w:rsidRPr="009306D5">
        <w:rPr>
          <w:noProof/>
          <w:sz w:val="20"/>
        </w:rPr>
        <w:t>Ilma hea põhiandmekogumita ei ole käibemaksu haldamine piisavalt tõhus. Isegi parimatest andmekogumitest on vähe kasu, kui neid andmeid ei ole võimalik kasutada teadmiste loomiseks ja rakendatavate järelduste tegemiseks, et toetada teadmistepõhiseid otsuseid. Mõnes liikmesriigis, näiteks Belgias, Hispaanias, Prantsusmaal, Horvaatias, Lätis, Leedus, Ungaris, Rumeenias, Sloveenias ja Ühendkuningriigis, esitatakse kõrgemale juhtkonnale korrapäraselt aruandeid.</w:t>
      </w:r>
    </w:p>
    <w:p w14:paraId="695FED1D" w14:textId="77777777" w:rsidR="005B15B7" w:rsidRPr="009306D5" w:rsidRDefault="005B15B7" w:rsidP="005B15B7">
      <w:pPr>
        <w:rPr>
          <w:rFonts w:cs="Times New Roman"/>
          <w:noProof/>
          <w:sz w:val="20"/>
        </w:rPr>
      </w:pPr>
      <w:r w:rsidRPr="009306D5">
        <w:rPr>
          <w:noProof/>
          <w:sz w:val="20"/>
        </w:rPr>
        <w:t>Komisjon leiab, et korrapärased aruanded kõigis eespool loetletud valdkondades on kasulikud liikmesriikide maksuhaldurite kõrgemale juhtkonnale, kuna need võimaldavad teha teadmistepõhiseid otsuseid.</w:t>
      </w:r>
    </w:p>
    <w:p w14:paraId="20185651" w14:textId="77777777" w:rsidR="005B15B7" w:rsidRPr="009306D5" w:rsidRDefault="005B15B7" w:rsidP="005B15B7">
      <w:pPr>
        <w:rPr>
          <w:rFonts w:cs="Times New Roman"/>
          <w:noProof/>
          <w:sz w:val="20"/>
        </w:rPr>
      </w:pPr>
      <w:r w:rsidRPr="009306D5">
        <w:rPr>
          <w:noProof/>
          <w:sz w:val="20"/>
        </w:rPr>
        <w:t>Mitmed maksuhaldurid esitasid lisateavet käibemaksukohustuse täitmise ja maksumaksjale pakutavate teenuste hiljutise arengu kohta. Võrreldes käibemaksulõhe vähendamisel kõige edukamate liikmesriikide (Bulgaaria, Hispaania, Prantsusmaa, Horvaatia, Läti, Ungari, Poola, Portugal, Sloveenia ja Slovakkia) ja ajalooliselt väikese käibemaksulõhega liikmesriikide (Taani, Eesti, Soome ja Rootsi) algatusi käibemaksulõhe vähendamiseks, näivad kõige edukamad meetmed olevat järgmised:</w:t>
      </w:r>
    </w:p>
    <w:p w14:paraId="60B420AA" w14:textId="4069A081" w:rsidR="005B15B7" w:rsidRPr="009306D5" w:rsidRDefault="005B15B7" w:rsidP="000D13AA">
      <w:pPr>
        <w:pStyle w:val="ListParagraph"/>
        <w:numPr>
          <w:ilvl w:val="0"/>
          <w:numId w:val="23"/>
        </w:numPr>
        <w:rPr>
          <w:noProof/>
          <w:sz w:val="20"/>
        </w:rPr>
      </w:pPr>
      <w:r w:rsidRPr="009306D5">
        <w:rPr>
          <w:noProof/>
          <w:sz w:val="20"/>
        </w:rPr>
        <w:t>internetipõhiste kassaaparaatide kasutuselevõtmine;</w:t>
      </w:r>
    </w:p>
    <w:p w14:paraId="7955FF48" w14:textId="77777777" w:rsidR="005B15B7" w:rsidRPr="009306D5" w:rsidRDefault="005B15B7" w:rsidP="000D13AA">
      <w:pPr>
        <w:pStyle w:val="ListParagraph"/>
        <w:numPr>
          <w:ilvl w:val="0"/>
          <w:numId w:val="23"/>
        </w:numPr>
        <w:rPr>
          <w:noProof/>
          <w:sz w:val="20"/>
        </w:rPr>
      </w:pPr>
      <w:r w:rsidRPr="009306D5">
        <w:rPr>
          <w:noProof/>
          <w:sz w:val="20"/>
        </w:rPr>
        <w:t>elektrooniline aruandlus;</w:t>
      </w:r>
    </w:p>
    <w:p w14:paraId="732F7214" w14:textId="77777777" w:rsidR="005B15B7" w:rsidRPr="009306D5" w:rsidRDefault="005B15B7" w:rsidP="000D13AA">
      <w:pPr>
        <w:pStyle w:val="ListParagraph"/>
        <w:numPr>
          <w:ilvl w:val="0"/>
          <w:numId w:val="23"/>
        </w:numPr>
        <w:rPr>
          <w:noProof/>
          <w:sz w:val="20"/>
        </w:rPr>
      </w:pPr>
      <w:r w:rsidRPr="009306D5">
        <w:rPr>
          <w:noProof/>
          <w:sz w:val="20"/>
        </w:rPr>
        <w:t>kaubanduse kontroll;</w:t>
      </w:r>
    </w:p>
    <w:p w14:paraId="7E384C18" w14:textId="77777777" w:rsidR="005B15B7" w:rsidRPr="009306D5" w:rsidRDefault="005B15B7" w:rsidP="000D13AA">
      <w:pPr>
        <w:pStyle w:val="ListParagraph"/>
        <w:numPr>
          <w:ilvl w:val="0"/>
          <w:numId w:val="23"/>
        </w:numPr>
        <w:rPr>
          <w:noProof/>
          <w:sz w:val="20"/>
        </w:rPr>
      </w:pPr>
      <w:r w:rsidRPr="009306D5">
        <w:rPr>
          <w:noProof/>
          <w:sz w:val="20"/>
        </w:rPr>
        <w:t>e-audit ja standardimine;</w:t>
      </w:r>
    </w:p>
    <w:p w14:paraId="50CC2509" w14:textId="77777777" w:rsidR="005B15B7" w:rsidRPr="009306D5" w:rsidRDefault="005B15B7" w:rsidP="000D13AA">
      <w:pPr>
        <w:pStyle w:val="ListParagraph"/>
        <w:numPr>
          <w:ilvl w:val="0"/>
          <w:numId w:val="23"/>
        </w:numPr>
        <w:rPr>
          <w:noProof/>
          <w:sz w:val="20"/>
        </w:rPr>
      </w:pPr>
      <w:r w:rsidRPr="009306D5">
        <w:rPr>
          <w:noProof/>
          <w:sz w:val="20"/>
        </w:rPr>
        <w:t>tehingupõhine aruandlus;</w:t>
      </w:r>
    </w:p>
    <w:p w14:paraId="42B5AEE6" w14:textId="77777777" w:rsidR="005B15B7" w:rsidRPr="009306D5" w:rsidRDefault="005B15B7" w:rsidP="000D13AA">
      <w:pPr>
        <w:pStyle w:val="ListParagraph"/>
        <w:numPr>
          <w:ilvl w:val="0"/>
          <w:numId w:val="23"/>
        </w:numPr>
        <w:rPr>
          <w:noProof/>
          <w:sz w:val="20"/>
        </w:rPr>
      </w:pPr>
      <w:r w:rsidRPr="009306D5">
        <w:rPr>
          <w:noProof/>
          <w:sz w:val="20"/>
        </w:rPr>
        <w:t>riskijuhtimine, sealhulgas segmentimine ja käitumisprofiili koostamine;</w:t>
      </w:r>
    </w:p>
    <w:p w14:paraId="4F038538" w14:textId="77777777" w:rsidR="005B15B7" w:rsidRPr="009306D5" w:rsidRDefault="005B15B7" w:rsidP="000D13AA">
      <w:pPr>
        <w:pStyle w:val="ListParagraph"/>
        <w:numPr>
          <w:ilvl w:val="0"/>
          <w:numId w:val="23"/>
        </w:numPr>
        <w:rPr>
          <w:noProof/>
          <w:sz w:val="20"/>
        </w:rPr>
      </w:pPr>
      <w:r w:rsidRPr="009306D5">
        <w:rPr>
          <w:noProof/>
          <w:sz w:val="20"/>
        </w:rPr>
        <w:t>andmepõhised tehnikad automaatse riskipõhise järjestuse koostamiseks.</w:t>
      </w:r>
    </w:p>
    <w:p w14:paraId="551AA31D" w14:textId="442BC9B4" w:rsidR="005B15B7" w:rsidRPr="009306D5" w:rsidRDefault="005B15B7" w:rsidP="00FE0EC3">
      <w:pPr>
        <w:pStyle w:val="Recommendation"/>
      </w:pPr>
      <w:bookmarkStart w:id="1239" w:name="_Toc95816210"/>
      <w:r w:rsidRPr="009306D5">
        <w:t xml:space="preserve">Soovitus </w:t>
      </w:r>
      <w:r w:rsidRPr="009306D5">
        <w:fldChar w:fldCharType="begin"/>
      </w:r>
      <w:r w:rsidRPr="009306D5">
        <w:instrText>SEQ Recommendation \* ARABIC</w:instrText>
      </w:r>
      <w:r w:rsidRPr="009306D5">
        <w:fldChar w:fldCharType="separate"/>
      </w:r>
      <w:bookmarkStart w:id="1240" w:name="_Toc65778307"/>
      <w:bookmarkStart w:id="1241" w:name="_Toc66116360"/>
      <w:r w:rsidR="008A2E1E" w:rsidRPr="009306D5">
        <w:t>22</w:t>
      </w:r>
      <w:r w:rsidRPr="009306D5">
        <w:fldChar w:fldCharType="end"/>
      </w:r>
      <w:r w:rsidRPr="009306D5">
        <w:t xml:space="preserve">. </w:t>
      </w:r>
      <w:bookmarkStart w:id="1242" w:name="_Toc65673336"/>
      <w:r w:rsidRPr="009306D5">
        <w:t>Koguda sisukaid andmeid, tasakaalustada riskianalüüsi ja profileerimislahendusi ning jätkata investeerimist analüüsivõimesse</w:t>
      </w:r>
      <w:bookmarkEnd w:id="1242"/>
      <w:bookmarkEnd w:id="1240"/>
      <w:bookmarkEnd w:id="1241"/>
      <w:r w:rsidRPr="009306D5">
        <w:t>.</w:t>
      </w:r>
      <w:bookmarkEnd w:id="1239"/>
    </w:p>
    <w:p w14:paraId="79F06D58" w14:textId="77777777" w:rsidR="005B15B7" w:rsidRPr="009306D5" w:rsidRDefault="005B15B7" w:rsidP="000D13AA">
      <w:pPr>
        <w:pStyle w:val="Heading1"/>
        <w:numPr>
          <w:ilvl w:val="0"/>
          <w:numId w:val="35"/>
        </w:numPr>
        <w:rPr>
          <w:noProof/>
        </w:rPr>
      </w:pPr>
      <w:bookmarkStart w:id="1243" w:name="_Toc69994937"/>
      <w:bookmarkStart w:id="1244" w:name="_Toc62138838"/>
      <w:bookmarkStart w:id="1245" w:name="_Toc65836470"/>
      <w:bookmarkStart w:id="1246" w:name="_Toc66116411"/>
      <w:bookmarkStart w:id="1247" w:name="_Toc66202080"/>
      <w:bookmarkStart w:id="1248" w:name="_Toc67414257"/>
      <w:bookmarkStart w:id="1249" w:name="_Toc67415183"/>
      <w:bookmarkStart w:id="1250" w:name="_Toc67415348"/>
      <w:bookmarkStart w:id="1251" w:name="_Toc67415628"/>
      <w:bookmarkStart w:id="1252" w:name="_Toc67415895"/>
      <w:bookmarkStart w:id="1253" w:name="_Toc82790289"/>
      <w:bookmarkStart w:id="1254" w:name="_Toc82792858"/>
      <w:bookmarkStart w:id="1255" w:name="_Toc90291253"/>
      <w:bookmarkStart w:id="1256" w:name="_Toc95812967"/>
      <w:r w:rsidRPr="009306D5">
        <w:rPr>
          <w:noProof/>
        </w:rPr>
        <w:t>Deklaratsioonide esitamine ja maksu tasumine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179FB2B2" w14:textId="77777777" w:rsidR="005B15B7" w:rsidRPr="009306D5" w:rsidRDefault="005B15B7" w:rsidP="000D13AA">
      <w:pPr>
        <w:pStyle w:val="Heading2"/>
        <w:numPr>
          <w:ilvl w:val="1"/>
          <w:numId w:val="35"/>
        </w:numPr>
        <w:rPr>
          <w:noProof/>
        </w:rPr>
      </w:pPr>
      <w:bookmarkStart w:id="1257" w:name="_Toc60924359"/>
      <w:bookmarkStart w:id="1258" w:name="_Toc60924418"/>
      <w:bookmarkStart w:id="1259" w:name="_Toc60927293"/>
      <w:bookmarkStart w:id="1260" w:name="_Toc61340156"/>
      <w:bookmarkStart w:id="1261" w:name="_Toc61627346"/>
      <w:bookmarkStart w:id="1262" w:name="_Toc61630141"/>
      <w:bookmarkStart w:id="1263" w:name="_Toc61863648"/>
      <w:bookmarkStart w:id="1264" w:name="_Toc61889383"/>
      <w:bookmarkStart w:id="1265" w:name="_Toc61948322"/>
      <w:bookmarkStart w:id="1266" w:name="_Toc61948939"/>
      <w:bookmarkStart w:id="1267" w:name="_Toc61948981"/>
      <w:bookmarkStart w:id="1268" w:name="_Toc61949069"/>
      <w:bookmarkStart w:id="1269" w:name="_Toc61949110"/>
      <w:bookmarkStart w:id="1270" w:name="_Toc61949151"/>
      <w:bookmarkStart w:id="1271" w:name="_Toc61949317"/>
      <w:bookmarkStart w:id="1272" w:name="_Toc61949414"/>
      <w:bookmarkStart w:id="1273" w:name="_Toc61949584"/>
      <w:bookmarkStart w:id="1274" w:name="_Toc61949800"/>
      <w:bookmarkStart w:id="1275" w:name="_Toc61949841"/>
      <w:bookmarkStart w:id="1276" w:name="_Toc61949882"/>
      <w:bookmarkStart w:id="1277" w:name="_Toc61963484"/>
      <w:bookmarkStart w:id="1278" w:name="_Toc61969129"/>
      <w:bookmarkStart w:id="1279" w:name="_Toc61970404"/>
      <w:bookmarkStart w:id="1280" w:name="_Toc61976283"/>
      <w:bookmarkStart w:id="1281" w:name="_Toc62113230"/>
      <w:bookmarkStart w:id="1282" w:name="_Toc62113273"/>
      <w:bookmarkStart w:id="1283" w:name="_Toc62124846"/>
      <w:bookmarkStart w:id="1284" w:name="_Toc62128494"/>
      <w:bookmarkStart w:id="1285" w:name="_Toc62131545"/>
      <w:bookmarkStart w:id="1286" w:name="_Toc62138839"/>
      <w:bookmarkStart w:id="1287" w:name="_Toc62139034"/>
      <w:bookmarkStart w:id="1288" w:name="_Toc62139456"/>
      <w:bookmarkStart w:id="1289" w:name="_Toc62144726"/>
      <w:bookmarkStart w:id="1290" w:name="_Toc62240828"/>
      <w:bookmarkStart w:id="1291" w:name="_Toc62240868"/>
      <w:bookmarkStart w:id="1292" w:name="_Toc62240910"/>
      <w:bookmarkStart w:id="1293" w:name="_Toc62241404"/>
      <w:bookmarkStart w:id="1294" w:name="_Toc62560380"/>
      <w:bookmarkStart w:id="1295" w:name="_Toc62560515"/>
      <w:bookmarkStart w:id="1296" w:name="_Toc62561100"/>
      <w:bookmarkStart w:id="1297" w:name="_Toc62562473"/>
      <w:bookmarkStart w:id="1298" w:name="_Toc62562620"/>
      <w:bookmarkStart w:id="1299" w:name="_Toc62563196"/>
      <w:bookmarkStart w:id="1300" w:name="_Toc62563371"/>
      <w:bookmarkStart w:id="1301" w:name="_Toc62575966"/>
      <w:bookmarkStart w:id="1302" w:name="_Toc62576183"/>
      <w:bookmarkStart w:id="1303" w:name="_Toc62576289"/>
      <w:bookmarkStart w:id="1304" w:name="_Toc62578478"/>
      <w:bookmarkStart w:id="1305" w:name="_Toc62654901"/>
      <w:bookmarkStart w:id="1306" w:name="_Toc63325364"/>
      <w:bookmarkStart w:id="1307" w:name="_Toc63350835"/>
      <w:bookmarkStart w:id="1308" w:name="_Toc63417348"/>
      <w:bookmarkStart w:id="1309" w:name="_Toc63693612"/>
      <w:bookmarkStart w:id="1310" w:name="_Toc63870359"/>
      <w:bookmarkStart w:id="1311" w:name="_Toc63945641"/>
      <w:bookmarkStart w:id="1312" w:name="_Toc63945736"/>
      <w:bookmarkStart w:id="1313" w:name="_Toc63946015"/>
      <w:bookmarkStart w:id="1314" w:name="_Toc64048507"/>
      <w:bookmarkStart w:id="1315" w:name="_Toc64049216"/>
      <w:bookmarkStart w:id="1316" w:name="_Toc64275463"/>
      <w:bookmarkStart w:id="1317" w:name="_Toc64283988"/>
      <w:bookmarkStart w:id="1318" w:name="_Toc65773640"/>
      <w:bookmarkStart w:id="1319" w:name="_Toc65773682"/>
      <w:bookmarkStart w:id="1320" w:name="_Toc65773758"/>
      <w:bookmarkStart w:id="1321" w:name="_Toc65774429"/>
      <w:bookmarkStart w:id="1322" w:name="_Toc65774631"/>
      <w:bookmarkStart w:id="1323" w:name="_Toc65774722"/>
      <w:bookmarkStart w:id="1324" w:name="_Toc65776874"/>
      <w:bookmarkStart w:id="1325" w:name="_Toc65836471"/>
      <w:bookmarkStart w:id="1326" w:name="_Toc65858328"/>
      <w:bookmarkStart w:id="1327" w:name="_Toc66113632"/>
      <w:bookmarkStart w:id="1328" w:name="_Toc66113776"/>
      <w:bookmarkStart w:id="1329" w:name="_Toc66114957"/>
      <w:bookmarkStart w:id="1330" w:name="_Toc66115075"/>
      <w:bookmarkStart w:id="1331" w:name="_Toc66115168"/>
      <w:bookmarkStart w:id="1332" w:name="_Toc66115222"/>
      <w:bookmarkStart w:id="1333" w:name="_Toc66115351"/>
      <w:bookmarkStart w:id="1334" w:name="_Toc66115850"/>
      <w:bookmarkStart w:id="1335" w:name="_Toc66116033"/>
      <w:bookmarkStart w:id="1336" w:name="_Toc66116088"/>
      <w:bookmarkStart w:id="1337" w:name="_Toc66116144"/>
      <w:bookmarkStart w:id="1338" w:name="_Toc66116199"/>
      <w:bookmarkStart w:id="1339" w:name="_Toc66116254"/>
      <w:bookmarkStart w:id="1340" w:name="_Toc66116309"/>
      <w:bookmarkStart w:id="1341" w:name="_Toc66116412"/>
      <w:bookmarkStart w:id="1342" w:name="_Toc66117342"/>
      <w:bookmarkStart w:id="1343" w:name="_Toc66117396"/>
      <w:bookmarkStart w:id="1344" w:name="_Toc66117451"/>
      <w:bookmarkStart w:id="1345" w:name="_Toc66199723"/>
      <w:bookmarkStart w:id="1346" w:name="_Toc66201262"/>
      <w:bookmarkStart w:id="1347" w:name="_Toc66200776"/>
      <w:bookmarkStart w:id="1348" w:name="_Toc66201316"/>
      <w:bookmarkStart w:id="1349" w:name="_Toc66201370"/>
      <w:bookmarkStart w:id="1350" w:name="_Toc66201424"/>
      <w:bookmarkStart w:id="1351" w:name="_Toc66201478"/>
      <w:bookmarkStart w:id="1352" w:name="_Toc66201532"/>
      <w:bookmarkStart w:id="1353" w:name="_Toc66201631"/>
      <w:bookmarkStart w:id="1354" w:name="_Toc66201685"/>
      <w:bookmarkStart w:id="1355" w:name="_Toc66202081"/>
      <w:bookmarkStart w:id="1356" w:name="_Toc66202135"/>
      <w:bookmarkStart w:id="1357" w:name="_Toc66202791"/>
      <w:bookmarkStart w:id="1358" w:name="_Toc66204859"/>
      <w:bookmarkStart w:id="1359" w:name="_Toc66729449"/>
      <w:bookmarkStart w:id="1360" w:name="_Toc66881521"/>
      <w:bookmarkStart w:id="1361" w:name="_Toc66881744"/>
      <w:bookmarkStart w:id="1362" w:name="_Toc67413935"/>
      <w:bookmarkStart w:id="1363" w:name="_Toc67413987"/>
      <w:bookmarkStart w:id="1364" w:name="_Toc67414039"/>
      <w:bookmarkStart w:id="1365" w:name="_Toc67414111"/>
      <w:bookmarkStart w:id="1366" w:name="_Toc67414184"/>
      <w:bookmarkStart w:id="1367" w:name="_Toc67414258"/>
      <w:bookmarkStart w:id="1368" w:name="_Toc67414313"/>
      <w:bookmarkStart w:id="1369" w:name="_Toc67414366"/>
      <w:bookmarkStart w:id="1370" w:name="_Toc67414425"/>
      <w:bookmarkStart w:id="1371" w:name="_Toc67414478"/>
      <w:bookmarkStart w:id="1372" w:name="_Toc67414531"/>
      <w:bookmarkStart w:id="1373" w:name="_Toc67414585"/>
      <w:bookmarkStart w:id="1374" w:name="_Toc67414659"/>
      <w:bookmarkStart w:id="1375" w:name="_Toc67414713"/>
      <w:bookmarkStart w:id="1376" w:name="_Toc67414766"/>
      <w:bookmarkStart w:id="1377" w:name="_Toc67414840"/>
      <w:bookmarkStart w:id="1378" w:name="_Toc67414899"/>
      <w:bookmarkStart w:id="1379" w:name="_Toc67414952"/>
      <w:bookmarkStart w:id="1380" w:name="_Toc67415184"/>
      <w:bookmarkStart w:id="1381" w:name="_Toc67415349"/>
      <w:bookmarkStart w:id="1382" w:name="_Toc67415527"/>
      <w:bookmarkStart w:id="1383" w:name="_Toc67415629"/>
      <w:bookmarkStart w:id="1384" w:name="_Toc69834466"/>
      <w:bookmarkStart w:id="1385" w:name="_Toc69895393"/>
      <w:bookmarkStart w:id="1386" w:name="_Toc69908456"/>
      <w:bookmarkStart w:id="1387" w:name="_Toc69993205"/>
      <w:bookmarkStart w:id="1388" w:name="_Toc69993369"/>
      <w:bookmarkStart w:id="1389" w:name="_Toc69993645"/>
      <w:bookmarkStart w:id="1390" w:name="_Toc69993822"/>
      <w:bookmarkStart w:id="1391" w:name="_Toc69994938"/>
      <w:bookmarkStart w:id="1392" w:name="_Toc65774632"/>
      <w:bookmarkStart w:id="1393" w:name="_Toc65774723"/>
      <w:bookmarkStart w:id="1394" w:name="_Toc65776875"/>
      <w:bookmarkStart w:id="1395" w:name="_Toc65836472"/>
      <w:bookmarkStart w:id="1396" w:name="_Toc65858329"/>
      <w:bookmarkStart w:id="1397" w:name="_Toc66113633"/>
      <w:bookmarkStart w:id="1398" w:name="_Toc66113777"/>
      <w:bookmarkStart w:id="1399" w:name="_Toc66114068"/>
      <w:bookmarkStart w:id="1400" w:name="_Toc66114958"/>
      <w:bookmarkStart w:id="1401" w:name="_Toc66115076"/>
      <w:bookmarkStart w:id="1402" w:name="_Toc66115169"/>
      <w:bookmarkStart w:id="1403" w:name="_Toc66115223"/>
      <w:bookmarkStart w:id="1404" w:name="_Toc66115352"/>
      <w:bookmarkStart w:id="1405" w:name="_Toc66115851"/>
      <w:bookmarkStart w:id="1406" w:name="_Toc66116034"/>
      <w:bookmarkStart w:id="1407" w:name="_Toc66116089"/>
      <w:bookmarkStart w:id="1408" w:name="_Toc66116145"/>
      <w:bookmarkStart w:id="1409" w:name="_Toc66116200"/>
      <w:bookmarkStart w:id="1410" w:name="_Toc66116255"/>
      <w:bookmarkStart w:id="1411" w:name="_Toc66116310"/>
      <w:bookmarkStart w:id="1412" w:name="_Toc66116413"/>
      <w:bookmarkStart w:id="1413" w:name="_Toc66117343"/>
      <w:bookmarkStart w:id="1414" w:name="_Toc66117397"/>
      <w:bookmarkStart w:id="1415" w:name="_Toc66117452"/>
      <w:bookmarkStart w:id="1416" w:name="_Toc66199724"/>
      <w:bookmarkStart w:id="1417" w:name="_Toc66201263"/>
      <w:bookmarkStart w:id="1418" w:name="_Toc66200777"/>
      <w:bookmarkStart w:id="1419" w:name="_Toc66201317"/>
      <w:bookmarkStart w:id="1420" w:name="_Toc66201371"/>
      <w:bookmarkStart w:id="1421" w:name="_Toc66201425"/>
      <w:bookmarkStart w:id="1422" w:name="_Toc66201479"/>
      <w:bookmarkStart w:id="1423" w:name="_Toc66201533"/>
      <w:bookmarkStart w:id="1424" w:name="_Toc66201632"/>
      <w:bookmarkStart w:id="1425" w:name="_Toc66201686"/>
      <w:bookmarkStart w:id="1426" w:name="_Toc66202082"/>
      <w:bookmarkStart w:id="1427" w:name="_Toc66202136"/>
      <w:bookmarkStart w:id="1428" w:name="_Toc66202792"/>
      <w:bookmarkStart w:id="1429" w:name="_Toc66204860"/>
      <w:bookmarkStart w:id="1430" w:name="_Toc66729450"/>
      <w:bookmarkStart w:id="1431" w:name="_Toc66881522"/>
      <w:bookmarkStart w:id="1432" w:name="_Toc66881745"/>
      <w:bookmarkStart w:id="1433" w:name="_Toc67413936"/>
      <w:bookmarkStart w:id="1434" w:name="_Toc67413988"/>
      <w:bookmarkStart w:id="1435" w:name="_Toc67414040"/>
      <w:bookmarkStart w:id="1436" w:name="_Toc67414112"/>
      <w:bookmarkStart w:id="1437" w:name="_Toc67414185"/>
      <w:bookmarkStart w:id="1438" w:name="_Toc67414259"/>
      <w:bookmarkStart w:id="1439" w:name="_Toc67414314"/>
      <w:bookmarkStart w:id="1440" w:name="_Toc67414367"/>
      <w:bookmarkStart w:id="1441" w:name="_Toc67414426"/>
      <w:bookmarkStart w:id="1442" w:name="_Toc67414479"/>
      <w:bookmarkStart w:id="1443" w:name="_Toc67414532"/>
      <w:bookmarkStart w:id="1444" w:name="_Toc67414586"/>
      <w:bookmarkStart w:id="1445" w:name="_Toc67414660"/>
      <w:bookmarkStart w:id="1446" w:name="_Toc67414714"/>
      <w:bookmarkStart w:id="1447" w:name="_Toc67414767"/>
      <w:bookmarkStart w:id="1448" w:name="_Toc67414841"/>
      <w:bookmarkStart w:id="1449" w:name="_Toc67414900"/>
      <w:bookmarkStart w:id="1450" w:name="_Toc67414953"/>
      <w:bookmarkStart w:id="1451" w:name="_Toc67415185"/>
      <w:bookmarkStart w:id="1452" w:name="_Toc67415350"/>
      <w:bookmarkStart w:id="1453" w:name="_Toc67415528"/>
      <w:bookmarkStart w:id="1454" w:name="_Toc67415630"/>
      <w:bookmarkStart w:id="1455" w:name="_Toc69834467"/>
      <w:bookmarkStart w:id="1456" w:name="_Toc69895394"/>
      <w:bookmarkStart w:id="1457" w:name="_Toc69908457"/>
      <w:bookmarkStart w:id="1458" w:name="_Toc69993206"/>
      <w:bookmarkStart w:id="1459" w:name="_Toc69993370"/>
      <w:bookmarkStart w:id="1460" w:name="_Toc69993646"/>
      <w:bookmarkStart w:id="1461" w:name="_Toc69993823"/>
      <w:bookmarkStart w:id="1462" w:name="_Toc69994939"/>
      <w:bookmarkStart w:id="1463" w:name="_Toc65774633"/>
      <w:bookmarkStart w:id="1464" w:name="_Toc65774724"/>
      <w:bookmarkStart w:id="1465" w:name="_Toc65776876"/>
      <w:bookmarkStart w:id="1466" w:name="_Toc65836473"/>
      <w:bookmarkStart w:id="1467" w:name="_Toc65858330"/>
      <w:bookmarkStart w:id="1468" w:name="_Toc66113634"/>
      <w:bookmarkStart w:id="1469" w:name="_Toc66113778"/>
      <w:bookmarkStart w:id="1470" w:name="_Toc66114959"/>
      <w:bookmarkStart w:id="1471" w:name="_Toc66115077"/>
      <w:bookmarkStart w:id="1472" w:name="_Toc66115170"/>
      <w:bookmarkStart w:id="1473" w:name="_Toc66115224"/>
      <w:bookmarkStart w:id="1474" w:name="_Toc66115353"/>
      <w:bookmarkStart w:id="1475" w:name="_Toc66115852"/>
      <w:bookmarkStart w:id="1476" w:name="_Toc66116035"/>
      <w:bookmarkStart w:id="1477" w:name="_Toc66116090"/>
      <w:bookmarkStart w:id="1478" w:name="_Toc66116146"/>
      <w:bookmarkStart w:id="1479" w:name="_Toc66116201"/>
      <w:bookmarkStart w:id="1480" w:name="_Toc66116256"/>
      <w:bookmarkStart w:id="1481" w:name="_Toc66116311"/>
      <w:bookmarkStart w:id="1482" w:name="_Toc66116414"/>
      <w:bookmarkStart w:id="1483" w:name="_Toc66117344"/>
      <w:bookmarkStart w:id="1484" w:name="_Toc66117398"/>
      <w:bookmarkStart w:id="1485" w:name="_Toc66117453"/>
      <w:bookmarkStart w:id="1486" w:name="_Toc66199725"/>
      <w:bookmarkStart w:id="1487" w:name="_Toc66201264"/>
      <w:bookmarkStart w:id="1488" w:name="_Toc66200778"/>
      <w:bookmarkStart w:id="1489" w:name="_Toc66201318"/>
      <w:bookmarkStart w:id="1490" w:name="_Toc66201372"/>
      <w:bookmarkStart w:id="1491" w:name="_Toc66201426"/>
      <w:bookmarkStart w:id="1492" w:name="_Toc66201480"/>
      <w:bookmarkStart w:id="1493" w:name="_Toc66201534"/>
      <w:bookmarkStart w:id="1494" w:name="_Toc66201633"/>
      <w:bookmarkStart w:id="1495" w:name="_Toc66201687"/>
      <w:bookmarkStart w:id="1496" w:name="_Toc66202083"/>
      <w:bookmarkStart w:id="1497" w:name="_Toc66202137"/>
      <w:bookmarkStart w:id="1498" w:name="_Toc66202793"/>
      <w:bookmarkStart w:id="1499" w:name="_Toc66204861"/>
      <w:bookmarkStart w:id="1500" w:name="_Toc66729451"/>
      <w:bookmarkStart w:id="1501" w:name="_Toc66881523"/>
      <w:bookmarkStart w:id="1502" w:name="_Toc66881746"/>
      <w:bookmarkStart w:id="1503" w:name="_Toc67413937"/>
      <w:bookmarkStart w:id="1504" w:name="_Toc67413989"/>
      <w:bookmarkStart w:id="1505" w:name="_Toc67414041"/>
      <w:bookmarkStart w:id="1506" w:name="_Toc67414113"/>
      <w:bookmarkStart w:id="1507" w:name="_Toc67414186"/>
      <w:bookmarkStart w:id="1508" w:name="_Toc67414260"/>
      <w:bookmarkStart w:id="1509" w:name="_Toc67414315"/>
      <w:bookmarkStart w:id="1510" w:name="_Toc67414368"/>
      <w:bookmarkStart w:id="1511" w:name="_Toc67414427"/>
      <w:bookmarkStart w:id="1512" w:name="_Toc67414480"/>
      <w:bookmarkStart w:id="1513" w:name="_Toc67414533"/>
      <w:bookmarkStart w:id="1514" w:name="_Toc67414587"/>
      <w:bookmarkStart w:id="1515" w:name="_Toc67414661"/>
      <w:bookmarkStart w:id="1516" w:name="_Toc67414715"/>
      <w:bookmarkStart w:id="1517" w:name="_Toc67414768"/>
      <w:bookmarkStart w:id="1518" w:name="_Toc67414842"/>
      <w:bookmarkStart w:id="1519" w:name="_Toc67414901"/>
      <w:bookmarkStart w:id="1520" w:name="_Toc67414954"/>
      <w:bookmarkStart w:id="1521" w:name="_Toc67415186"/>
      <w:bookmarkStart w:id="1522" w:name="_Toc67415351"/>
      <w:bookmarkStart w:id="1523" w:name="_Toc67415529"/>
      <w:bookmarkStart w:id="1524" w:name="_Toc67415631"/>
      <w:bookmarkStart w:id="1525" w:name="_Toc69834468"/>
      <w:bookmarkStart w:id="1526" w:name="_Toc69895395"/>
      <w:bookmarkStart w:id="1527" w:name="_Toc69908458"/>
      <w:bookmarkStart w:id="1528" w:name="_Toc69993207"/>
      <w:bookmarkStart w:id="1529" w:name="_Toc69993371"/>
      <w:bookmarkStart w:id="1530" w:name="_Toc69993647"/>
      <w:bookmarkStart w:id="1531" w:name="_Toc69993824"/>
      <w:bookmarkStart w:id="1532" w:name="_Toc69994940"/>
      <w:bookmarkStart w:id="1533" w:name="_Toc62138840"/>
      <w:bookmarkStart w:id="1534" w:name="_Toc65836474"/>
      <w:bookmarkStart w:id="1535" w:name="_Toc66116415"/>
      <w:bookmarkStart w:id="1536" w:name="_Toc66202084"/>
      <w:bookmarkStart w:id="1537" w:name="_Toc67414261"/>
      <w:bookmarkStart w:id="1538" w:name="_Toc67415187"/>
      <w:bookmarkStart w:id="1539" w:name="_Toc67415352"/>
      <w:bookmarkStart w:id="1540" w:name="_Toc67415632"/>
      <w:bookmarkStart w:id="1541" w:name="_Toc67415896"/>
      <w:bookmarkStart w:id="1542" w:name="_Toc69994941"/>
      <w:bookmarkStart w:id="1543" w:name="_Toc82790290"/>
      <w:bookmarkStart w:id="1544" w:name="_Toc82792859"/>
      <w:bookmarkStart w:id="1545" w:name="_Toc90291254"/>
      <w:bookmarkStart w:id="1546" w:name="_Toc95812968"/>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9306D5">
        <w:rPr>
          <w:noProof/>
        </w:rPr>
        <w:t>Õigeaegne deklaratsioonide esitamine</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64971587" w14:textId="77777777" w:rsidR="005B15B7" w:rsidRPr="009306D5" w:rsidRDefault="005B15B7" w:rsidP="005B15B7">
      <w:pPr>
        <w:rPr>
          <w:rFonts w:cs="Times New Roman"/>
          <w:noProof/>
          <w:sz w:val="20"/>
        </w:rPr>
      </w:pPr>
      <w:r w:rsidRPr="009306D5">
        <w:rPr>
          <w:noProof/>
          <w:sz w:val="20"/>
        </w:rPr>
        <w:t>Käibedeklaratsioonide esitamine on endiselt peamine vahend maksukohustuslase käibemaksukohustuse kindlaksmääramiseks. Käibedeklaratsioonis teavitavad maksukohustuslased registreerimisliikmesriigi maksuhaldurit oma tehingutest, klientidelt sissenõutud käibemaksust (väljundkäibemaks) või tarnijate poolt sissenõutud käibemaksust (sisendkäibemaks) ning tasumisele kuuluvast või tagastatavast käibemaksust.</w:t>
      </w:r>
    </w:p>
    <w:p w14:paraId="1321C518" w14:textId="77777777" w:rsidR="005B15B7" w:rsidRPr="009306D5" w:rsidRDefault="005B15B7" w:rsidP="005B15B7">
      <w:pPr>
        <w:rPr>
          <w:rFonts w:cs="Times New Roman"/>
          <w:noProof/>
          <w:sz w:val="20"/>
        </w:rPr>
      </w:pPr>
      <w:r w:rsidRPr="009306D5">
        <w:rPr>
          <w:noProof/>
          <w:sz w:val="20"/>
        </w:rPr>
        <w:t>Liikmesriikidel on käibemaksudeklaratsioonide jaoks erinevad vormid. Need esitatakse tavaliselt elektrooniliselt (mõned liikmesriigid lubavad ka paberkandjal deklaratsioone) ja need esitavad maksumaksjad ise või vahendaja kaudu.</w:t>
      </w:r>
    </w:p>
    <w:p w14:paraId="1192F686" w14:textId="77777777" w:rsidR="005B15B7" w:rsidRPr="009306D5" w:rsidRDefault="005B15B7" w:rsidP="000D13AA">
      <w:pPr>
        <w:pStyle w:val="Heading3"/>
        <w:numPr>
          <w:ilvl w:val="2"/>
          <w:numId w:val="31"/>
        </w:numPr>
        <w:rPr>
          <w:rFonts w:ascii="Times New Roman" w:hAnsi="Times New Roman"/>
          <w:noProof/>
        </w:rPr>
      </w:pPr>
      <w:bookmarkStart w:id="1547" w:name="_Toc62138841"/>
      <w:bookmarkStart w:id="1548" w:name="_Toc65836475"/>
      <w:bookmarkStart w:id="1549" w:name="_Toc66116416"/>
      <w:bookmarkStart w:id="1550" w:name="_Toc66202085"/>
      <w:bookmarkStart w:id="1551" w:name="_Toc67414262"/>
      <w:bookmarkStart w:id="1552" w:name="_Toc67415188"/>
      <w:bookmarkStart w:id="1553" w:name="_Toc67415353"/>
      <w:bookmarkStart w:id="1554" w:name="_Toc67415633"/>
      <w:bookmarkStart w:id="1555" w:name="_Toc67415897"/>
      <w:bookmarkStart w:id="1556" w:name="_Toc82790291"/>
      <w:bookmarkStart w:id="1557" w:name="_Toc82792860"/>
      <w:bookmarkStart w:id="1558" w:name="_Toc90291255"/>
      <w:bookmarkStart w:id="1559" w:name="_Toc95812969"/>
      <w:r w:rsidRPr="009306D5">
        <w:rPr>
          <w:rFonts w:ascii="Times New Roman" w:hAnsi="Times New Roman"/>
          <w:noProof/>
        </w:rPr>
        <w:t>Elektrooniline deklaratsiooni esitamine</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4E082D20" w14:textId="2F3F4916" w:rsidR="005B15B7" w:rsidRPr="009306D5" w:rsidRDefault="005B15B7" w:rsidP="005B15B7">
      <w:pPr>
        <w:rPr>
          <w:rFonts w:cs="Times New Roman"/>
          <w:noProof/>
          <w:sz w:val="20"/>
        </w:rPr>
      </w:pPr>
      <w:r w:rsidRPr="009306D5">
        <w:rPr>
          <w:noProof/>
          <w:sz w:val="20"/>
        </w:rPr>
        <w:t>Viimased IT arengusuunad nii e-deklaratsioonide esitamises kui ka maksude tasumises annavad maksuhalduritele märkimisväärse eelise mitmes valdkonnas, nagu tõhususe suurendamine, halduskulud ja täitmise tagamine. E-deklaratsioonide esitamine aitab kaasa ka maksumaksjale pakutavate teenuste üldisele kvaliteedile, aidates vähendada käibemaksualase maksukuulekusega seotud koormust. Selleks et saavutada kõrgem e-deklaratsioonide esitamise määr, reklaamivad liikmesriigid pidevalt e-deklaratsioonide eeliseid ja mõned on muutnud selle kohustuslikuks.</w:t>
      </w:r>
    </w:p>
    <w:p w14:paraId="2AB7F22D" w14:textId="754830BA" w:rsidR="005B15B7" w:rsidRPr="009306D5" w:rsidRDefault="005B15B7" w:rsidP="00FE0EC3">
      <w:pPr>
        <w:pStyle w:val="Caption"/>
      </w:pPr>
      <w:bookmarkStart w:id="1560" w:name="_Toc62138799"/>
      <w:bookmarkStart w:id="1561" w:name="_Toc95816261"/>
      <w:r w:rsidRPr="009306D5">
        <w:t>Joonis </w:t>
      </w:r>
      <w:r w:rsidRPr="009306D5">
        <w:fldChar w:fldCharType="begin"/>
      </w:r>
      <w:r w:rsidRPr="009306D5">
        <w:instrText xml:space="preserve"> SEQ Figure \* ARABIC </w:instrText>
      </w:r>
      <w:r w:rsidRPr="009306D5">
        <w:fldChar w:fldCharType="separate"/>
      </w:r>
      <w:r w:rsidR="008A2E1E" w:rsidRPr="009306D5">
        <w:t>34</w:t>
      </w:r>
      <w:r w:rsidRPr="009306D5">
        <w:fldChar w:fldCharType="end"/>
      </w:r>
      <w:r w:rsidRPr="009306D5">
        <w:t>. Käibedeklaratsioonide elektrooniline esitamine ELi liikmesriikides</w:t>
      </w:r>
      <w:bookmarkEnd w:id="1560"/>
      <w:bookmarkEnd w:id="1561"/>
    </w:p>
    <w:p w14:paraId="3BBF619F" w14:textId="4B5817DB" w:rsidR="00F457CF" w:rsidRPr="009306D5" w:rsidRDefault="00F457CF" w:rsidP="00626AC7">
      <w:pPr>
        <w:pStyle w:val="Question"/>
        <w:rPr>
          <w:noProof/>
        </w:rPr>
      </w:pPr>
      <w:r w:rsidRPr="009306D5">
        <w:rPr>
          <w:noProof/>
        </w:rPr>
        <w:t>Küsimus 5.1. „Minu riigis on käibedeklaratsioonide elektrooniline esitamine ...“</w:t>
      </w:r>
    </w:p>
    <w:p w14:paraId="6DD2821C" w14:textId="5B294967" w:rsidR="005B15B7" w:rsidRPr="009306D5" w:rsidRDefault="00AA0231" w:rsidP="00EF59B5">
      <w:pPr>
        <w:pStyle w:val="FIgure"/>
        <w:rPr>
          <w:i/>
        </w:rPr>
      </w:pPr>
      <w:r w:rsidRPr="009306D5">
        <w:rPr>
          <w:lang w:val="en-GB"/>
        </w:rPr>
        <w:drawing>
          <wp:inline distT="0" distB="0" distL="0" distR="0" wp14:anchorId="59F1DBF8" wp14:editId="69A913EE">
            <wp:extent cx="5760085" cy="1678940"/>
            <wp:effectExtent l="0" t="0" r="0" b="0"/>
            <wp:docPr id="32" name="Chart 3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8E0F12" w:rsidRPr="009306D5">
        <w:rPr>
          <w:b/>
        </w:rPr>
        <w:t xml:space="preserve"> </w:t>
      </w:r>
    </w:p>
    <w:p w14:paraId="3FD65D3D"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1DC3CABF" w14:textId="0FAA8C8D" w:rsidR="005B15B7" w:rsidRPr="009306D5" w:rsidRDefault="005B15B7" w:rsidP="005B15B7">
      <w:pPr>
        <w:rPr>
          <w:rFonts w:cs="Times New Roman"/>
          <w:noProof/>
          <w:sz w:val="20"/>
        </w:rPr>
      </w:pPr>
      <w:r w:rsidRPr="009306D5">
        <w:rPr>
          <w:noProof/>
          <w:sz w:val="20"/>
        </w:rPr>
        <w:t>Üldiselt on liikmesriikides deklaratsioonide elektroonilise esitamise määr kõrge. 2019. aastal oli ELi mediaan ligikaudu 99 %. Võrreldes eelmise aruandega on elektroonilisel esitamisel tehtud selgeid edusamme: vastav määr suurenes rohkem kui 83 %-lt 2013. aastal ligi 100 %-le 2019. aastal peaaegu kõigis liikmesriikides.</w:t>
      </w:r>
    </w:p>
    <w:p w14:paraId="7B45D634" w14:textId="1CDEBC3D" w:rsidR="005B15B7" w:rsidRPr="009306D5" w:rsidRDefault="005B15B7" w:rsidP="005B15B7">
      <w:pPr>
        <w:rPr>
          <w:rFonts w:cs="Times New Roman"/>
          <w:noProof/>
          <w:sz w:val="20"/>
        </w:rPr>
      </w:pPr>
      <w:r w:rsidRPr="009306D5">
        <w:rPr>
          <w:noProof/>
          <w:sz w:val="20"/>
        </w:rPr>
        <w:t>Viie liikmesriigi (Saksamaa, Kreeka, Küpros, Malta ja Rootsi) arvutuslik e-deklaratsioonide esitamise määr jäi alla 90 %. Kui esitatud andmed on õiged, tuleb selle madalama e-deklaratsioonide esitamise määraga tegeleda, eriti liikmesriikides, kus deklaratsioonide elektrooniline esitamine on kohustuslik.</w:t>
      </w:r>
    </w:p>
    <w:p w14:paraId="41377A68" w14:textId="194F3668" w:rsidR="005B15B7" w:rsidRPr="009306D5" w:rsidRDefault="005B15B7" w:rsidP="000D13AA">
      <w:pPr>
        <w:pStyle w:val="Heading3"/>
        <w:numPr>
          <w:ilvl w:val="2"/>
          <w:numId w:val="31"/>
        </w:numPr>
        <w:rPr>
          <w:rFonts w:ascii="Times New Roman" w:hAnsi="Times New Roman"/>
          <w:noProof/>
        </w:rPr>
      </w:pPr>
      <w:bookmarkStart w:id="1562" w:name="_Toc62138842"/>
      <w:bookmarkStart w:id="1563" w:name="_Toc65836476"/>
      <w:bookmarkStart w:id="1564" w:name="_Toc66116417"/>
      <w:bookmarkStart w:id="1565" w:name="_Toc66202086"/>
      <w:bookmarkStart w:id="1566" w:name="_Toc67414263"/>
      <w:bookmarkStart w:id="1567" w:name="_Toc67415189"/>
      <w:bookmarkStart w:id="1568" w:name="_Toc67415354"/>
      <w:bookmarkStart w:id="1569" w:name="_Toc67415634"/>
      <w:bookmarkStart w:id="1570" w:name="_Toc67415898"/>
      <w:bookmarkStart w:id="1571" w:name="_Toc82790292"/>
      <w:bookmarkStart w:id="1572" w:name="_Toc82792861"/>
      <w:bookmarkStart w:id="1573" w:name="_Toc90291256"/>
      <w:bookmarkStart w:id="1574" w:name="_Toc95812970"/>
      <w:r w:rsidRPr="009306D5">
        <w:rPr>
          <w:rFonts w:ascii="Times New Roman" w:hAnsi="Times New Roman"/>
          <w:noProof/>
        </w:rPr>
        <w:t>Järelevalve käibedeklaratsioonide esitamise nõude täitmise üle</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085FC8D1" w14:textId="1B9AB54A" w:rsidR="005B15B7" w:rsidRPr="009306D5" w:rsidRDefault="005B15B7" w:rsidP="005B15B7">
      <w:pPr>
        <w:rPr>
          <w:rFonts w:cs="Times New Roman"/>
          <w:noProof/>
          <w:sz w:val="20"/>
        </w:rPr>
      </w:pPr>
      <w:r w:rsidRPr="009306D5">
        <w:rPr>
          <w:noProof/>
          <w:sz w:val="20"/>
        </w:rPr>
        <w:t>Käibedeklaratsioonide elektrooniline esitamine annab liikmesriikidele võimaluse paremini jälgida, kas maksumaksjad järgivad käibedeklaratsioonide esitamiseks ette nähtud tähtaegu. Peaaegu kõik liikmesriigid (25/28) vastasid, et maksumaksjate käibedeklaratsioonide esitamise tähtaegadest kinnipidamist kontrollitakse automaatselt ning rohkem kui pooled kasutavad riskikriteeriume või profiilianalüüsi tehnikaid, mis põhinevad teadaolevatel asjaoludel ja käitumisprofiilil, et käibedeklaratsioonide õigeaegse esitamise määra tõsta.</w:t>
      </w:r>
    </w:p>
    <w:p w14:paraId="5DA7B604" w14:textId="693BC0F2" w:rsidR="005B15B7" w:rsidRPr="009306D5" w:rsidRDefault="005B15B7" w:rsidP="00FE0EC3">
      <w:pPr>
        <w:pStyle w:val="Caption"/>
      </w:pPr>
      <w:bookmarkStart w:id="1575" w:name="_Toc62138800"/>
      <w:bookmarkStart w:id="1576" w:name="_Toc95816262"/>
      <w:r w:rsidRPr="009306D5">
        <w:t>Joonis </w:t>
      </w:r>
      <w:r w:rsidRPr="009306D5">
        <w:fldChar w:fldCharType="begin"/>
      </w:r>
      <w:r w:rsidRPr="009306D5">
        <w:instrText xml:space="preserve"> SEQ Figure \* ARABIC </w:instrText>
      </w:r>
      <w:r w:rsidRPr="009306D5">
        <w:fldChar w:fldCharType="separate"/>
      </w:r>
      <w:r w:rsidR="008A2E1E" w:rsidRPr="009306D5">
        <w:t>35</w:t>
      </w:r>
      <w:r w:rsidRPr="009306D5">
        <w:fldChar w:fldCharType="end"/>
      </w:r>
      <w:r w:rsidRPr="009306D5">
        <w:t>. Järelevalve käibedeklaratsioonide esitamise nõude täitmise üle ELi liikmesriikides</w:t>
      </w:r>
      <w:bookmarkEnd w:id="1575"/>
      <w:bookmarkEnd w:id="1576"/>
    </w:p>
    <w:p w14:paraId="05FEAB39" w14:textId="4536393D" w:rsidR="005B15B7" w:rsidRPr="009306D5" w:rsidRDefault="005B15B7" w:rsidP="008E0F12">
      <w:pPr>
        <w:pStyle w:val="Question"/>
        <w:rPr>
          <w:noProof/>
        </w:rPr>
      </w:pPr>
      <w:r w:rsidRPr="009306D5">
        <w:rPr>
          <w:b/>
          <w:bCs/>
          <w:noProof/>
        </w:rPr>
        <w:t>a.</w:t>
      </w:r>
      <w:r w:rsidRPr="009306D5">
        <w:rPr>
          <w:noProof/>
        </w:rPr>
        <w:t xml:space="preserve"> Küsimus 5.2. „Käibedeklaratsioonide esitamise tähtaegadest kinnipidamist ...“</w:t>
      </w:r>
    </w:p>
    <w:p w14:paraId="15FB4F2D" w14:textId="4C1BB605" w:rsidR="005B15B7" w:rsidRPr="009306D5" w:rsidRDefault="00837467" w:rsidP="00EF59B5">
      <w:pPr>
        <w:pStyle w:val="FIgure"/>
        <w:rPr>
          <w:i/>
        </w:rPr>
      </w:pPr>
      <w:r w:rsidRPr="009306D5">
        <w:rPr>
          <w:lang w:val="en-GB"/>
        </w:rPr>
        <w:drawing>
          <wp:inline distT="0" distB="0" distL="0" distR="0" wp14:anchorId="5E22AF69" wp14:editId="50E505B8">
            <wp:extent cx="5760085" cy="1678940"/>
            <wp:effectExtent l="0" t="0" r="0" b="0"/>
            <wp:docPr id="34" name="Chart 3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8E0F12" w:rsidRPr="009306D5">
        <w:rPr>
          <w:b/>
        </w:rPr>
        <w:t xml:space="preserve"> </w:t>
      </w:r>
    </w:p>
    <w:p w14:paraId="65191DEE"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0F9E103A" w14:textId="149FCA17" w:rsidR="005B15B7" w:rsidRPr="009306D5" w:rsidRDefault="005B15B7" w:rsidP="008E0F12">
      <w:pPr>
        <w:pStyle w:val="Question"/>
        <w:rPr>
          <w:noProof/>
        </w:rPr>
      </w:pPr>
      <w:r w:rsidRPr="009306D5">
        <w:rPr>
          <w:iCs/>
          <w:noProof/>
        </w:rPr>
        <w:t>b.</w:t>
      </w:r>
      <w:r w:rsidRPr="009306D5">
        <w:rPr>
          <w:noProof/>
        </w:rPr>
        <w:t xml:space="preserve"> Küsimus 5.3. „Kas käibedeklaratsioonide õigeaegse esitamise taseme tõstmiseks kasutatakse riskikriteeriume või profiilianalüüsi tehnikaid (mis põhinevad teadaolevatel asjaoludel ja käitumisprofiilil)?“</w:t>
      </w:r>
    </w:p>
    <w:p w14:paraId="3DE12F9A" w14:textId="7532848D" w:rsidR="005B15B7" w:rsidRPr="009306D5" w:rsidRDefault="003F5456" w:rsidP="00EF59B5">
      <w:pPr>
        <w:pStyle w:val="FIgure"/>
        <w:rPr>
          <w:i/>
        </w:rPr>
      </w:pPr>
      <w:r w:rsidRPr="009306D5">
        <w:rPr>
          <w:lang w:val="en-GB"/>
        </w:rPr>
        <w:drawing>
          <wp:inline distT="0" distB="0" distL="0" distR="0" wp14:anchorId="2E141042" wp14:editId="0C777D1D">
            <wp:extent cx="5760085" cy="1678940"/>
            <wp:effectExtent l="0" t="0" r="0" b="0"/>
            <wp:docPr id="39" name="Chart 3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8E0F12" w:rsidRPr="009306D5">
        <w:rPr>
          <w:b/>
        </w:rPr>
        <w:t xml:space="preserve"> </w:t>
      </w:r>
    </w:p>
    <w:p w14:paraId="02EBF912"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31BEDE03" w14:textId="77777777" w:rsidR="005B15B7" w:rsidRPr="009306D5" w:rsidRDefault="005B15B7" w:rsidP="005B15B7">
      <w:pPr>
        <w:rPr>
          <w:rFonts w:cs="Times New Roman"/>
          <w:noProof/>
          <w:sz w:val="20"/>
        </w:rPr>
      </w:pPr>
      <w:r w:rsidRPr="009306D5">
        <w:rPr>
          <w:noProof/>
          <w:sz w:val="20"/>
        </w:rPr>
        <w:t>Paljude maksumaksjate jaoks on käibedeklaratsioonide esitamine nende kõige olulisem kontakt maksuhalduriga. Liikmesriigid võivad ise kehtestada käibedeklaratsioonide esitamise tähtajad. Enamik neist ootab käibedeklaratsioone deklareerimisperioodi lõpule järgneva kuu viimase 10 päeva jooksul, kuid on ka erandeid (nt Saksamaa nõuab käibedeklaratsioone 10 päeva jooksul pärast aruandeperioodi lõppu).</w:t>
      </w:r>
    </w:p>
    <w:p w14:paraId="0257F4F5" w14:textId="77777777" w:rsidR="005B15B7" w:rsidRPr="009306D5" w:rsidRDefault="005B15B7" w:rsidP="005B15B7">
      <w:pPr>
        <w:rPr>
          <w:rFonts w:cs="Times New Roman"/>
          <w:noProof/>
          <w:sz w:val="20"/>
        </w:rPr>
      </w:pPr>
      <w:r w:rsidRPr="009306D5">
        <w:rPr>
          <w:noProof/>
          <w:sz w:val="20"/>
        </w:rPr>
        <w:t>Liikmesriikidel on vabadus kehtestada oma käibedeklaratsioonide aruandluskalendrid; tavaliselt nõutakse igakuist aruandlust. Ka kvartaliaruandlus ei ole ebatavaline ja teatavates riikides (nt Itaalias) nõutakse lisaks ka aastaaruandlust. Mõned riigid, näiteks Saksamaa, võivad nõuda väga piiratud tegevuse korral ühekordset aastadeklaratsiooni.</w:t>
      </w:r>
    </w:p>
    <w:p w14:paraId="035D19A6" w14:textId="5118A175" w:rsidR="005B15B7" w:rsidRPr="009306D5" w:rsidRDefault="005B15B7" w:rsidP="005B15B7">
      <w:pPr>
        <w:rPr>
          <w:rFonts w:cs="Times New Roman"/>
          <w:noProof/>
          <w:sz w:val="20"/>
        </w:rPr>
      </w:pPr>
      <w:r w:rsidRPr="009306D5">
        <w:rPr>
          <w:noProof/>
          <w:sz w:val="20"/>
        </w:rPr>
        <w:t>Muud käibe deklareerimise perioodid on harvad, kuid neid esineb (nt Prantsusmaal ebakorrapärase kauplemisega äriühingute puhul, Kreekas teatavatesse kategooriatesse kuuluvate väikeste maksumaksjate puhul, nagu rannapüügilaevad ja alla 12 m pikkused laevad, ning Belgias erideklaratsioonide puhul pankroti korral või eriüritustel osalemiseks). Sellised erikorrad mõjutavad mõnikord õigeaegse esitamise määra arvutamist (õigeaegselt esitatud deklaratsioonide arv võrreldes eeldatavate maksudeklaratsioonide arvuga), mis on käibedeklaratsioonide valdkonnas peamine maksukuulekuse näitaja.</w:t>
      </w:r>
    </w:p>
    <w:p w14:paraId="25ADA317" w14:textId="7B74DAD7" w:rsidR="005B15B7" w:rsidRPr="009306D5" w:rsidRDefault="005B15B7" w:rsidP="005B15B7">
      <w:pPr>
        <w:rPr>
          <w:rFonts w:cs="Times New Roman"/>
          <w:noProof/>
          <w:sz w:val="20"/>
        </w:rPr>
      </w:pPr>
      <w:r w:rsidRPr="009306D5">
        <w:rPr>
          <w:noProof/>
          <w:sz w:val="20"/>
        </w:rPr>
        <w:t>Liikmesriikides on deklaratsioonide õigeaegse esitamise määr üldiselt kõrge, mõnes riigis (Belgia, Bulgaaria, Eesti, Hispaania, Läti, Leedu, Austria, Slovakkia, Soome ja Rootsi) ligi 100 %. ELi keskmine on 93,1 %. Kõige madalam deklaratsioonide õigeaegse esitamise määr on Kreekas (66 %), Maltal (74 %) ja Küprosel (86 %) ning viis liikmesriiki (Tšehhi, Saksamaa, Prantsusmaa, Horvaatia ja Poola) ei saanud esitada selle näitaja arvutamiseks vajalikke andmeid.</w:t>
      </w:r>
    </w:p>
    <w:p w14:paraId="11567327" w14:textId="1345313F" w:rsidR="005B15B7" w:rsidRPr="009306D5" w:rsidRDefault="005B15B7" w:rsidP="00FE0EC3">
      <w:pPr>
        <w:pStyle w:val="Recommendation"/>
      </w:pPr>
      <w:bookmarkStart w:id="1577" w:name="_Toc95816211"/>
      <w:r w:rsidRPr="009306D5">
        <w:t xml:space="preserve">Soovitus </w:t>
      </w:r>
      <w:r w:rsidRPr="009306D5">
        <w:fldChar w:fldCharType="begin"/>
      </w:r>
      <w:r w:rsidRPr="009306D5">
        <w:instrText>SEQ Recommendation \* ARABIC</w:instrText>
      </w:r>
      <w:r w:rsidRPr="009306D5">
        <w:fldChar w:fldCharType="separate"/>
      </w:r>
      <w:bookmarkStart w:id="1578" w:name="_Toc65778308"/>
      <w:bookmarkStart w:id="1579" w:name="_Toc66116361"/>
      <w:r w:rsidR="008A2E1E" w:rsidRPr="009306D5">
        <w:t>23</w:t>
      </w:r>
      <w:r w:rsidRPr="009306D5">
        <w:fldChar w:fldCharType="end"/>
      </w:r>
      <w:r w:rsidRPr="009306D5">
        <w:t xml:space="preserve">. </w:t>
      </w:r>
      <w:bookmarkStart w:id="1580" w:name="_Toc65673337"/>
      <w:r w:rsidRPr="009306D5">
        <w:t>Jätkata tööd</w:t>
      </w:r>
      <w:bookmarkEnd w:id="1580"/>
      <w:r w:rsidRPr="009306D5">
        <w:t xml:space="preserve"> deklaratsioonide õigeaegse esitamise määra tõstmiseks, kuna see on hea näitaja käibemaksusüsteemi tugevuse mõõtmiseks</w:t>
      </w:r>
      <w:bookmarkEnd w:id="1578"/>
      <w:bookmarkEnd w:id="1579"/>
      <w:r w:rsidRPr="009306D5">
        <w:t>.</w:t>
      </w:r>
      <w:bookmarkEnd w:id="1577"/>
    </w:p>
    <w:p w14:paraId="3C8C668A" w14:textId="77777777" w:rsidR="005B15B7" w:rsidRPr="009306D5" w:rsidRDefault="005B15B7" w:rsidP="005B15B7">
      <w:pPr>
        <w:rPr>
          <w:rFonts w:cs="Times New Roman"/>
          <w:noProof/>
          <w:sz w:val="20"/>
        </w:rPr>
      </w:pPr>
      <w:r w:rsidRPr="009306D5">
        <w:rPr>
          <w:noProof/>
          <w:sz w:val="20"/>
        </w:rPr>
        <w:t>Esialgu keskendusid paljud käibemaksuhaldusteenused lihtsamatele valdkondadele, nagu käibedeklaratsioonide elektrooniline esitamine ja käibemaksu elektrooniline tasumine. Kuid isegi e-deklaratsioonide esitamisel peavad maksuhaldurid nõuetele mittevastavuse korral järelmeetmeid võtma. Seejärel võtsid maksuhaldurid kasutusele rohkem kahesuunalisi teenuseid, mis sisaldavad erinevaid hoiatusi ja teateid. Maksuhaldurid kasutavad käibedeklaratsioonide õigeaegse esitamise saavutamiseks erinevaid andmeid, nagu on näidatud joonisel 36.</w:t>
      </w:r>
    </w:p>
    <w:p w14:paraId="71468346" w14:textId="75E1CD92" w:rsidR="005B15B7" w:rsidRPr="009306D5" w:rsidRDefault="005B15B7" w:rsidP="00FE0EC3">
      <w:pPr>
        <w:pStyle w:val="Caption"/>
      </w:pPr>
      <w:bookmarkStart w:id="1581" w:name="_Toc95816263"/>
      <w:r w:rsidRPr="009306D5">
        <w:t>Joonis </w:t>
      </w:r>
      <w:r w:rsidRPr="009306D5">
        <w:fldChar w:fldCharType="begin"/>
      </w:r>
      <w:r w:rsidRPr="009306D5">
        <w:instrText xml:space="preserve"> SEQ Figure \* ARABIC </w:instrText>
      </w:r>
      <w:r w:rsidRPr="009306D5">
        <w:fldChar w:fldCharType="separate"/>
      </w:r>
      <w:r w:rsidR="008A2E1E" w:rsidRPr="009306D5">
        <w:t>36</w:t>
      </w:r>
      <w:r w:rsidRPr="009306D5">
        <w:fldChar w:fldCharType="end"/>
      </w:r>
      <w:r w:rsidRPr="009306D5">
        <w:t xml:space="preserve">. </w:t>
      </w:r>
      <w:bookmarkStart w:id="1582" w:name="_Toc62138801"/>
      <w:r w:rsidRPr="009306D5">
        <w:t>Maksuhaldurite algatatud meetmed käibedeklaratsioonide hilinenud esitamise või esitamata jätmise</w:t>
      </w:r>
      <w:bookmarkEnd w:id="1582"/>
      <w:r w:rsidRPr="009306D5">
        <w:t xml:space="preserve"> korral</w:t>
      </w:r>
      <w:bookmarkEnd w:id="1581"/>
    </w:p>
    <w:p w14:paraId="67375794" w14:textId="38F6DBD2" w:rsidR="00A86ACC" w:rsidRPr="009306D5" w:rsidRDefault="00A86ACC" w:rsidP="008E0F12">
      <w:pPr>
        <w:pStyle w:val="Question"/>
        <w:rPr>
          <w:noProof/>
        </w:rPr>
      </w:pPr>
      <w:r w:rsidRPr="009306D5">
        <w:rPr>
          <w:noProof/>
        </w:rPr>
        <w:t>Küsimus 5.4. „Milliseid meetmeid algatavad teie maksuhaldurid käibedeklaratsioonide hilinenud esitamise või esitamata jätmise korral? (Vastuseid võib olla mitu)“</w:t>
      </w:r>
    </w:p>
    <w:p w14:paraId="3927135C" w14:textId="36BDD811" w:rsidR="005B15B7" w:rsidRPr="009306D5" w:rsidRDefault="00840899" w:rsidP="00EF59B5">
      <w:pPr>
        <w:pStyle w:val="FIgure"/>
      </w:pPr>
      <w:r w:rsidRPr="009306D5">
        <w:rPr>
          <w:lang w:val="en-GB"/>
        </w:rPr>
        <w:drawing>
          <wp:inline distT="0" distB="0" distL="0" distR="0" wp14:anchorId="2C16D7A6" wp14:editId="416BA9AD">
            <wp:extent cx="5760085" cy="3282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085" cy="3282950"/>
                    </a:xfrm>
                    <a:prstGeom prst="rect">
                      <a:avLst/>
                    </a:prstGeom>
                  </pic:spPr>
                </pic:pic>
              </a:graphicData>
            </a:graphic>
          </wp:inline>
        </w:drawing>
      </w:r>
      <w:r w:rsidR="008E0F12" w:rsidRPr="009306D5">
        <w:t xml:space="preserve"> </w:t>
      </w:r>
    </w:p>
    <w:p w14:paraId="2B1E7EE0"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4BF611AB" w14:textId="715BEAB7" w:rsidR="005B15B7" w:rsidRPr="009306D5" w:rsidRDefault="005B15B7" w:rsidP="00FE0EC3">
      <w:pPr>
        <w:pStyle w:val="Recommendation"/>
      </w:pPr>
      <w:bookmarkStart w:id="1583" w:name="_Toc95816212"/>
      <w:r w:rsidRPr="009306D5">
        <w:t xml:space="preserve">Soovitus </w:t>
      </w:r>
      <w:r w:rsidRPr="009306D5">
        <w:fldChar w:fldCharType="begin"/>
      </w:r>
      <w:r w:rsidRPr="009306D5">
        <w:instrText>SEQ Recommendation \* ARABIC</w:instrText>
      </w:r>
      <w:r w:rsidRPr="009306D5">
        <w:fldChar w:fldCharType="separate"/>
      </w:r>
      <w:bookmarkStart w:id="1584" w:name="_Toc65778309"/>
      <w:bookmarkStart w:id="1585" w:name="_Toc66116362"/>
      <w:r w:rsidR="008A2E1E" w:rsidRPr="009306D5">
        <w:t>24</w:t>
      </w:r>
      <w:r w:rsidRPr="009306D5">
        <w:fldChar w:fldCharType="end"/>
      </w:r>
      <w:r w:rsidRPr="009306D5">
        <w:t xml:space="preserve">. </w:t>
      </w:r>
      <w:bookmarkStart w:id="1586" w:name="_Toc65673338"/>
      <w:r w:rsidRPr="009306D5">
        <w:t>Tuletada maksumaksjatele ennetavalt meelde deklaratsioonide esitamise tähtaegu ja kasutada spetsiaalseid toetavaid vahendeid</w:t>
      </w:r>
      <w:bookmarkEnd w:id="1586"/>
      <w:bookmarkEnd w:id="1584"/>
      <w:bookmarkEnd w:id="1585"/>
      <w:r w:rsidRPr="009306D5">
        <w:t>.</w:t>
      </w:r>
      <w:bookmarkEnd w:id="1583"/>
    </w:p>
    <w:p w14:paraId="3A10B319" w14:textId="77777777" w:rsidR="005B15B7" w:rsidRPr="009306D5" w:rsidRDefault="005B15B7" w:rsidP="005B15B7">
      <w:pPr>
        <w:rPr>
          <w:rFonts w:cs="Times New Roman"/>
          <w:noProof/>
          <w:sz w:val="20"/>
        </w:rPr>
      </w:pPr>
      <w:r w:rsidRPr="009306D5">
        <w:rPr>
          <w:noProof/>
          <w:sz w:val="20"/>
        </w:rPr>
        <w:t>Käibedeklaratsiooni tähtajaks esitamata jätnud maksumaksjate tuvastamine tuleks automatiseerida ning maksuhaldurite võetavad järelmeetmed ja täitemeetmed peaksid olema kohandatud vastavalt asjaoludele, näiteks maksumaksja varasemale käitumisele (deklaratsioonide esitamine).</w:t>
      </w:r>
    </w:p>
    <w:p w14:paraId="2DB3A817" w14:textId="77777777" w:rsidR="005B15B7" w:rsidRPr="009306D5" w:rsidRDefault="005B15B7" w:rsidP="005B15B7">
      <w:pPr>
        <w:rPr>
          <w:rFonts w:cs="Times New Roman"/>
          <w:noProof/>
          <w:sz w:val="20"/>
        </w:rPr>
      </w:pPr>
      <w:r w:rsidRPr="009306D5">
        <w:rPr>
          <w:noProof/>
          <w:sz w:val="20"/>
        </w:rPr>
        <w:t>Kui käibedeklaratsioone ei esitata, määrab enamik liikmesriike tasumisele kuuluva käibemaksu hinnanguliselt ja lisab karistuse. Siiski tuleks hinnata karistussüsteemi tõhusust käibedeklaratsioonide hilinenult esitamise korral.</w:t>
      </w:r>
    </w:p>
    <w:p w14:paraId="6044444F" w14:textId="139D43DF" w:rsidR="005B15B7" w:rsidRPr="009306D5" w:rsidRDefault="005B15B7" w:rsidP="00FE0EC3">
      <w:pPr>
        <w:pStyle w:val="Caption"/>
      </w:pPr>
      <w:bookmarkStart w:id="1587" w:name="_Toc62138802"/>
      <w:bookmarkStart w:id="1588" w:name="_Toc95816264"/>
      <w:r w:rsidRPr="009306D5">
        <w:t>Joonis </w:t>
      </w:r>
      <w:r w:rsidRPr="009306D5">
        <w:fldChar w:fldCharType="begin"/>
      </w:r>
      <w:r w:rsidRPr="009306D5">
        <w:instrText xml:space="preserve"> SEQ Figure \* ARABIC </w:instrText>
      </w:r>
      <w:r w:rsidRPr="009306D5">
        <w:fldChar w:fldCharType="separate"/>
      </w:r>
      <w:r w:rsidR="008A2E1E" w:rsidRPr="009306D5">
        <w:t>37</w:t>
      </w:r>
      <w:r w:rsidRPr="009306D5">
        <w:fldChar w:fldCharType="end"/>
      </w:r>
      <w:r w:rsidRPr="009306D5">
        <w:t>. Liikmesriigid, kes hindavad deklaratsioonide esitamise / maksu tasumisega hilinemisega seotud karistussüsteemi tõhusust</w:t>
      </w:r>
      <w:bookmarkEnd w:id="1587"/>
      <w:bookmarkEnd w:id="1588"/>
    </w:p>
    <w:p w14:paraId="78F21691" w14:textId="4144483D" w:rsidR="0023401D" w:rsidRPr="009306D5" w:rsidRDefault="0023401D" w:rsidP="008E0F12">
      <w:pPr>
        <w:pStyle w:val="Question"/>
        <w:rPr>
          <w:noProof/>
        </w:rPr>
      </w:pPr>
      <w:r w:rsidRPr="009306D5">
        <w:rPr>
          <w:noProof/>
        </w:rPr>
        <w:t>Küsimus 5.5. „Kas Teie maksuhaldurid analüüsisid karistussüsteemi tõhusust deklaratsioonide esitamisega / maksu tasumisega hilinemise korral?“</w:t>
      </w:r>
    </w:p>
    <w:p w14:paraId="35FD6F41" w14:textId="462F2084" w:rsidR="005B15B7" w:rsidRPr="009306D5" w:rsidRDefault="00BD31D3" w:rsidP="00EF59B5">
      <w:pPr>
        <w:pStyle w:val="FIgure"/>
        <w:rPr>
          <w:rFonts w:cs="Times New Roman"/>
          <w:sz w:val="20"/>
        </w:rPr>
      </w:pPr>
      <w:r w:rsidRPr="009306D5">
        <w:rPr>
          <w:lang w:val="en-GB"/>
        </w:rPr>
        <w:drawing>
          <wp:inline distT="0" distB="0" distL="0" distR="0" wp14:anchorId="18FF3E80" wp14:editId="3D842983">
            <wp:extent cx="5760085" cy="1678940"/>
            <wp:effectExtent l="0" t="0" r="0" b="0"/>
            <wp:docPr id="42" name="Chart 42">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6A1E14F"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1B4D8598" w14:textId="77777777" w:rsidR="005B15B7" w:rsidRPr="009306D5" w:rsidRDefault="005B15B7" w:rsidP="005B15B7">
      <w:pPr>
        <w:rPr>
          <w:rFonts w:cs="Times New Roman"/>
          <w:noProof/>
          <w:sz w:val="20"/>
        </w:rPr>
      </w:pPr>
      <w:r w:rsidRPr="009306D5">
        <w:rPr>
          <w:noProof/>
          <w:sz w:val="20"/>
        </w:rPr>
        <w:t>Vaid väike osa maksuhalduritest (6/28) märkis, et nad korraldavad sellist hindamist.</w:t>
      </w:r>
    </w:p>
    <w:p w14:paraId="080ACF4B" w14:textId="51A031AB" w:rsidR="005B15B7" w:rsidRPr="009306D5" w:rsidRDefault="005B15B7" w:rsidP="00FE0EC3">
      <w:pPr>
        <w:pStyle w:val="Recommendation"/>
      </w:pPr>
      <w:bookmarkStart w:id="1589" w:name="_Toc95816213"/>
      <w:r w:rsidRPr="009306D5">
        <w:t xml:space="preserve">Soovitus </w:t>
      </w:r>
      <w:r w:rsidRPr="009306D5">
        <w:fldChar w:fldCharType="begin"/>
      </w:r>
      <w:r w:rsidRPr="009306D5">
        <w:instrText>SEQ Recommendation \* ARABIC</w:instrText>
      </w:r>
      <w:r w:rsidRPr="009306D5">
        <w:fldChar w:fldCharType="separate"/>
      </w:r>
      <w:bookmarkStart w:id="1590" w:name="_Toc65778310"/>
      <w:bookmarkStart w:id="1591" w:name="_Toc66116363"/>
      <w:r w:rsidR="008A2E1E" w:rsidRPr="009306D5">
        <w:t>25</w:t>
      </w:r>
      <w:r w:rsidRPr="009306D5">
        <w:fldChar w:fldCharType="end"/>
      </w:r>
      <w:r w:rsidRPr="009306D5">
        <w:t xml:space="preserve">. Töötada välja karistussüsteem käibedeklaratsioonide õigel ajal esitamata jätmise ja maksu õigel ajal tasumata jätmise eest, pidades silmas kahte peamist põhimõtet: </w:t>
      </w:r>
      <w:bookmarkStart w:id="1592" w:name="_Toc65673339"/>
      <w:r w:rsidRPr="009306D5">
        <w:t>lihtsus ja proportsionaalsus</w:t>
      </w:r>
      <w:bookmarkEnd w:id="1592"/>
      <w:bookmarkEnd w:id="1590"/>
      <w:bookmarkEnd w:id="1591"/>
      <w:r w:rsidRPr="009306D5">
        <w:t>.</w:t>
      </w:r>
      <w:bookmarkEnd w:id="1589"/>
    </w:p>
    <w:p w14:paraId="21BF3721" w14:textId="77777777" w:rsidR="005B15B7" w:rsidRPr="009306D5" w:rsidRDefault="005B15B7" w:rsidP="000D13AA">
      <w:pPr>
        <w:pStyle w:val="Heading2"/>
        <w:numPr>
          <w:ilvl w:val="1"/>
          <w:numId w:val="35"/>
        </w:numPr>
        <w:rPr>
          <w:noProof/>
        </w:rPr>
      </w:pPr>
      <w:bookmarkStart w:id="1593" w:name="_Toc62138843"/>
      <w:bookmarkStart w:id="1594" w:name="_Toc65836477"/>
      <w:bookmarkStart w:id="1595" w:name="_Toc66116418"/>
      <w:bookmarkStart w:id="1596" w:name="_Toc66202087"/>
      <w:bookmarkStart w:id="1597" w:name="_Toc67414264"/>
      <w:bookmarkStart w:id="1598" w:name="_Toc67415190"/>
      <w:bookmarkStart w:id="1599" w:name="_Toc67415355"/>
      <w:bookmarkStart w:id="1600" w:name="_Toc67415635"/>
      <w:bookmarkStart w:id="1601" w:name="_Toc67415899"/>
      <w:bookmarkStart w:id="1602" w:name="_Toc69994942"/>
      <w:bookmarkStart w:id="1603" w:name="_Toc82790293"/>
      <w:bookmarkStart w:id="1604" w:name="_Toc82792862"/>
      <w:bookmarkStart w:id="1605" w:name="_Toc90291257"/>
      <w:bookmarkStart w:id="1606" w:name="_Toc95812971"/>
      <w:r w:rsidRPr="009306D5">
        <w:rPr>
          <w:noProof/>
        </w:rPr>
        <w:t>Käibemaksu tasumine</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3FB2C062" w14:textId="13C18724" w:rsidR="005B15B7" w:rsidRPr="009306D5" w:rsidRDefault="005B15B7" w:rsidP="005B15B7">
      <w:pPr>
        <w:rPr>
          <w:rFonts w:cs="Times New Roman"/>
          <w:noProof/>
          <w:sz w:val="20"/>
        </w:rPr>
      </w:pPr>
      <w:r w:rsidRPr="009306D5">
        <w:rPr>
          <w:noProof/>
          <w:sz w:val="20"/>
        </w:rPr>
        <w:t>Käibemaksu tasumine on veel üks oluline aspekt maksumaksjate ja maksuhaldurite vahelises suhtluses. Kuna tegemist on kaudse maksuga, kannab müüja (edaspidi „maksukohustuslane“) käibemaksu üle maksuhalduritele, kuid selle tasub tegelikult ostja hinna osana.</w:t>
      </w:r>
    </w:p>
    <w:p w14:paraId="478B4FCF" w14:textId="3C365805" w:rsidR="005B15B7" w:rsidRPr="009306D5" w:rsidRDefault="005B15B7" w:rsidP="005B15B7">
      <w:pPr>
        <w:rPr>
          <w:rFonts w:cs="Times New Roman"/>
          <w:noProof/>
          <w:sz w:val="20"/>
        </w:rPr>
      </w:pPr>
      <w:r w:rsidRPr="009306D5">
        <w:rPr>
          <w:noProof/>
          <w:sz w:val="20"/>
        </w:rPr>
        <w:t>Maksumaksjatelt oodatakse käibemaksu õigeaegset tasumist. Kui käibemaksu õigel ajal ei tasuta, määrab maksuhaldur tavaliselt viivised ja trahvid ning võtab järelmeetmeid, mille eesmärk peaks olema saavutada vabatahtliku õigeaegse tasumise kõrgeim määr ja kõige väiksem maksuvõlgnevuste määr.</w:t>
      </w:r>
    </w:p>
    <w:p w14:paraId="46819ABB" w14:textId="77777777" w:rsidR="005B15B7" w:rsidRPr="009306D5" w:rsidRDefault="005B15B7" w:rsidP="005B15B7">
      <w:pPr>
        <w:rPr>
          <w:rFonts w:cs="Times New Roman"/>
          <w:noProof/>
          <w:sz w:val="20"/>
        </w:rPr>
      </w:pPr>
      <w:r w:rsidRPr="009306D5">
        <w:rPr>
          <w:noProof/>
          <w:sz w:val="20"/>
        </w:rPr>
        <w:t>Selle tulemuse saavutamiseks on vaja sujuvat makseprotsessi ja kiireid järelmeetmeid, kui makse on hilinenud. IT- ja elektrooniliste makselahenduste kasutamine võib tuua märkimisväärset kasu kõigile asjaosalistele: maksumaksjad, maksuhaldur ja finantssektor. Tavapäraselt pakkusid kõik ELi maksuhaldurid võimalust kasutada isiklikke makseteenuseid või sularahamakseid, osaliselt alternatiivide puudumise tõttu Kuna aja jooksul on digitaliseerimise tase tõusnud, muutus maksuhaldurite jaoks kulutõhusamaks kasutada maksude kogumiseks kolmandaid isikuid, näiteks panku.</w:t>
      </w:r>
    </w:p>
    <w:p w14:paraId="7519CC4D" w14:textId="77777777" w:rsidR="005B15B7" w:rsidRPr="009306D5" w:rsidRDefault="005B15B7" w:rsidP="005B15B7">
      <w:pPr>
        <w:rPr>
          <w:rFonts w:cs="Times New Roman"/>
          <w:noProof/>
          <w:sz w:val="20"/>
        </w:rPr>
      </w:pPr>
      <w:r w:rsidRPr="009306D5">
        <w:rPr>
          <w:noProof/>
          <w:sz w:val="20"/>
        </w:rPr>
        <w:t>Viimasel ajal on muutunud normiks täielikult elektrooniline makseviis, mille puhul maksumaksjad teevad ise makseid internetis või korraldavad makse automaatse sooritamise (oma panga kaudu otsekorralduse kujul).</w:t>
      </w:r>
    </w:p>
    <w:p w14:paraId="79BF940A" w14:textId="77777777" w:rsidR="005B15B7" w:rsidRPr="009306D5" w:rsidRDefault="005B15B7" w:rsidP="005B15B7">
      <w:pPr>
        <w:rPr>
          <w:rFonts w:cs="Times New Roman"/>
          <w:noProof/>
          <w:sz w:val="20"/>
        </w:rPr>
      </w:pPr>
      <w:r w:rsidRPr="009306D5">
        <w:rPr>
          <w:noProof/>
          <w:sz w:val="20"/>
        </w:rPr>
        <w:t>Mitmes varasemas aruandes pooldas komisjon e-makselahenduste kasutuselevõttu. Nagu eeldatud, pakkusid kõik ELi liikmesriigid 2019. aastal käibemaksukohustuste elektroonilise tasumise võimalust, mis on peaaegu kõigis olukordades eelistatud makseviis.</w:t>
      </w:r>
    </w:p>
    <w:p w14:paraId="459F3D64" w14:textId="4A25F47A" w:rsidR="005B15B7" w:rsidRPr="009306D5" w:rsidRDefault="005B15B7" w:rsidP="00FE0EC3">
      <w:pPr>
        <w:pStyle w:val="Caption"/>
      </w:pPr>
      <w:bookmarkStart w:id="1607" w:name="_Toc62138803"/>
      <w:bookmarkStart w:id="1608" w:name="_Toc95816265"/>
      <w:r w:rsidRPr="009306D5">
        <w:t>Joonis </w:t>
      </w:r>
      <w:r w:rsidRPr="009306D5">
        <w:fldChar w:fldCharType="begin"/>
      </w:r>
      <w:r w:rsidRPr="009306D5">
        <w:instrText xml:space="preserve"> SEQ Figure \* ARABIC </w:instrText>
      </w:r>
      <w:r w:rsidRPr="009306D5">
        <w:fldChar w:fldCharType="separate"/>
      </w:r>
      <w:r w:rsidR="008A2E1E" w:rsidRPr="009306D5">
        <w:t>38</w:t>
      </w:r>
      <w:r w:rsidRPr="009306D5">
        <w:fldChar w:fldCharType="end"/>
      </w:r>
      <w:r w:rsidRPr="009306D5">
        <w:t>. Käibemaksukohustuste elektroonilise tasumise võimaluse kättesaadavus ELi liikmesriikides</w:t>
      </w:r>
      <w:bookmarkEnd w:id="1607"/>
      <w:bookmarkEnd w:id="1608"/>
    </w:p>
    <w:p w14:paraId="193DC9C6" w14:textId="00966760" w:rsidR="00E9339C" w:rsidRPr="009306D5" w:rsidRDefault="00E9339C" w:rsidP="008E0F12">
      <w:pPr>
        <w:pStyle w:val="Question"/>
        <w:rPr>
          <w:noProof/>
        </w:rPr>
      </w:pPr>
      <w:r w:rsidRPr="009306D5">
        <w:rPr>
          <w:noProof/>
        </w:rPr>
        <w:t>Küsimus 5.6. „Käibemaksukohustuste elektrooniline tasumine on [...]“.</w:t>
      </w:r>
    </w:p>
    <w:p w14:paraId="0903059D" w14:textId="209ECC09" w:rsidR="005B15B7" w:rsidRPr="009306D5" w:rsidRDefault="007D54BD" w:rsidP="00EF59B5">
      <w:pPr>
        <w:pStyle w:val="FIgure"/>
      </w:pPr>
      <w:r w:rsidRPr="009306D5">
        <w:rPr>
          <w:lang w:val="en-GB"/>
        </w:rPr>
        <w:drawing>
          <wp:inline distT="0" distB="0" distL="0" distR="0" wp14:anchorId="07064872" wp14:editId="35C67F41">
            <wp:extent cx="5760085" cy="1678940"/>
            <wp:effectExtent l="0" t="0" r="0" b="0"/>
            <wp:docPr id="44" name="Chart 44">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8E0F12" w:rsidRPr="009306D5">
        <w:rPr>
          <w:b/>
        </w:rPr>
        <w:t xml:space="preserve"> </w:t>
      </w:r>
    </w:p>
    <w:p w14:paraId="53FB1B2C"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634E373B" w14:textId="20F068B7" w:rsidR="005B15B7" w:rsidRPr="009306D5" w:rsidRDefault="005B15B7" w:rsidP="005B15B7">
      <w:pPr>
        <w:rPr>
          <w:rFonts w:cs="Times New Roman"/>
          <w:noProof/>
          <w:sz w:val="20"/>
        </w:rPr>
      </w:pPr>
      <w:r w:rsidRPr="009306D5">
        <w:rPr>
          <w:noProof/>
          <w:sz w:val="20"/>
        </w:rPr>
        <w:t>Üha enam liikmesriike otsustab muuta käibemaksu elektroonilise tasumise kohustuslikuks. Eelmises aruandes märgiti, et enamikus liikmesriikides pakuvad maksuhaldurid võimalust tasuda tasumisele kuuluv käibemaks elektrooniliselt ja ainult 50 % liikmesriikidest on käibemaksu elektrooniline tasumine kohustuslik.</w:t>
      </w:r>
    </w:p>
    <w:p w14:paraId="4AA9C0E1" w14:textId="2D9438C0" w:rsidR="005B15B7" w:rsidRPr="009306D5" w:rsidRDefault="005B15B7" w:rsidP="00FE0EC3">
      <w:pPr>
        <w:pStyle w:val="Caption"/>
      </w:pPr>
      <w:bookmarkStart w:id="1609" w:name="_Toc95816266"/>
      <w:bookmarkStart w:id="1610" w:name="_Toc62138804"/>
      <w:r w:rsidRPr="009306D5">
        <w:t>Joonis </w:t>
      </w:r>
      <w:r w:rsidRPr="009306D5">
        <w:fldChar w:fldCharType="begin"/>
      </w:r>
      <w:r w:rsidRPr="009306D5">
        <w:instrText xml:space="preserve"> SEQ Figure \* ARABIC </w:instrText>
      </w:r>
      <w:r w:rsidRPr="009306D5">
        <w:fldChar w:fldCharType="separate"/>
      </w:r>
      <w:r w:rsidR="008A2E1E" w:rsidRPr="009306D5">
        <w:t>39</w:t>
      </w:r>
      <w:r w:rsidRPr="009306D5">
        <w:fldChar w:fldCharType="end"/>
      </w:r>
      <w:r w:rsidRPr="009306D5">
        <w:t>. Käibemaksu tasumine sularahas</w:t>
      </w:r>
      <w:bookmarkEnd w:id="1609"/>
      <w:r w:rsidRPr="009306D5">
        <w:t xml:space="preserve"> </w:t>
      </w:r>
      <w:bookmarkEnd w:id="1610"/>
    </w:p>
    <w:p w14:paraId="1DD81AC8" w14:textId="10E5A2C1" w:rsidR="00436E2F" w:rsidRPr="009306D5" w:rsidRDefault="00436E2F" w:rsidP="008E0F12">
      <w:pPr>
        <w:pStyle w:val="Question"/>
        <w:rPr>
          <w:noProof/>
        </w:rPr>
      </w:pPr>
      <w:r w:rsidRPr="009306D5">
        <w:rPr>
          <w:noProof/>
        </w:rPr>
        <w:t>Küsimus 5.7. „Kas käibemaksukohustuste täitmiseks on lubatud sularahamaksed?“</w:t>
      </w:r>
    </w:p>
    <w:p w14:paraId="6D594789" w14:textId="686CCCF6" w:rsidR="005B15B7" w:rsidRPr="009306D5" w:rsidRDefault="007D54BD" w:rsidP="00EF59B5">
      <w:pPr>
        <w:pStyle w:val="FIgure"/>
        <w:rPr>
          <w:rFonts w:cs="Times New Roman"/>
          <w:sz w:val="20"/>
        </w:rPr>
      </w:pPr>
      <w:r w:rsidRPr="009306D5">
        <w:rPr>
          <w:lang w:val="en-GB"/>
        </w:rPr>
        <w:drawing>
          <wp:inline distT="0" distB="0" distL="0" distR="0" wp14:anchorId="30FFEEC8" wp14:editId="2F5396B8">
            <wp:extent cx="5760085" cy="1678940"/>
            <wp:effectExtent l="0" t="0" r="0" b="0"/>
            <wp:docPr id="45" name="Chart 4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51A3DC5"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2AC070BB" w14:textId="55B9AF30" w:rsidR="005B15B7" w:rsidRPr="009306D5" w:rsidRDefault="005B15B7" w:rsidP="005B15B7">
      <w:pPr>
        <w:rPr>
          <w:rFonts w:cs="Times New Roman"/>
          <w:noProof/>
          <w:sz w:val="20"/>
        </w:rPr>
      </w:pPr>
      <w:r w:rsidRPr="009306D5">
        <w:rPr>
          <w:noProof/>
          <w:sz w:val="20"/>
        </w:rPr>
        <w:t>Praegu teevad peaaegu kõik liikmesriigid (98 %) käibemaksu elektroonilise tasumise kohustuslikuks</w:t>
      </w:r>
      <w:r w:rsidRPr="009306D5">
        <w:rPr>
          <w:rStyle w:val="FootnoteReference"/>
          <w:rFonts w:cs="Times New Roman"/>
          <w:noProof/>
          <w:sz w:val="20"/>
        </w:rPr>
        <w:footnoteReference w:id="22"/>
      </w:r>
      <w:r w:rsidRPr="009306D5">
        <w:rPr>
          <w:noProof/>
          <w:sz w:val="20"/>
        </w:rPr>
        <w:t>.</w:t>
      </w:r>
    </w:p>
    <w:p w14:paraId="33B17852" w14:textId="7A1A7B4B" w:rsidR="005B15B7" w:rsidRPr="009306D5" w:rsidRDefault="005B15B7" w:rsidP="00FE0EC3">
      <w:pPr>
        <w:pStyle w:val="Recommendation"/>
      </w:pPr>
      <w:bookmarkStart w:id="1611" w:name="_Toc95816214"/>
      <w:r w:rsidRPr="009306D5">
        <w:t xml:space="preserve">Soovitus </w:t>
      </w:r>
      <w:r w:rsidRPr="009306D5">
        <w:fldChar w:fldCharType="begin"/>
      </w:r>
      <w:r w:rsidRPr="009306D5">
        <w:instrText>SEQ Recommendation \* ARABIC</w:instrText>
      </w:r>
      <w:r w:rsidRPr="009306D5">
        <w:fldChar w:fldCharType="separate"/>
      </w:r>
      <w:bookmarkStart w:id="1612" w:name="_Toc65778311"/>
      <w:bookmarkStart w:id="1613" w:name="_Toc66116364"/>
      <w:r w:rsidR="008A2E1E" w:rsidRPr="009306D5">
        <w:t>26</w:t>
      </w:r>
      <w:r w:rsidRPr="009306D5">
        <w:fldChar w:fldCharType="end"/>
      </w:r>
      <w:r w:rsidRPr="009306D5">
        <w:t xml:space="preserve">. </w:t>
      </w:r>
      <w:bookmarkStart w:id="1614" w:name="_Toc65673340"/>
      <w:r w:rsidRPr="009306D5">
        <w:t>Piirata nii palju kui võimalik käibemaksu tasumist sularahas</w:t>
      </w:r>
      <w:bookmarkEnd w:id="1614"/>
      <w:bookmarkEnd w:id="1612"/>
      <w:bookmarkEnd w:id="1613"/>
      <w:r w:rsidRPr="009306D5">
        <w:t>.</w:t>
      </w:r>
      <w:bookmarkEnd w:id="1611"/>
    </w:p>
    <w:p w14:paraId="3A61B915" w14:textId="77777777" w:rsidR="005B15B7" w:rsidRPr="009306D5" w:rsidRDefault="005B15B7" w:rsidP="005B15B7">
      <w:pPr>
        <w:rPr>
          <w:rFonts w:cs="Times New Roman"/>
          <w:noProof/>
          <w:sz w:val="20"/>
        </w:rPr>
      </w:pPr>
      <w:r w:rsidRPr="009306D5">
        <w:rPr>
          <w:noProof/>
          <w:sz w:val="20"/>
        </w:rPr>
        <w:t>Maksuhaldurite eesmärk on saavutada käibemaksu vabatahtliku õigeaegse tasumise kõrge määr. See nõuab käibedeklaratsioonide õigeaegse esitamise kõrget määra, et määrata kindlaks tasumisele kuuluvad summad (vt eelmine punkt), ning kiiret järelkontrolli, kui käibemaksu tasumise tähtaeg on ületatud. Seetõttu peavad maksuhaldurid andma maksumaksjatele parimat tagasisidet käibemaksukohustuste täitmise kohta. Liikmesriigid kasutavad sellise tagasiside andmiseks eri kanaleid.</w:t>
      </w:r>
    </w:p>
    <w:p w14:paraId="5206258E" w14:textId="53441ED6" w:rsidR="005B15B7" w:rsidRPr="009306D5" w:rsidRDefault="005B15B7" w:rsidP="00FE0EC3">
      <w:pPr>
        <w:pStyle w:val="Caption"/>
      </w:pPr>
      <w:bookmarkStart w:id="1615" w:name="_Toc62138805"/>
      <w:bookmarkStart w:id="1616" w:name="_Toc95816267"/>
      <w:r w:rsidRPr="009306D5">
        <w:t>Joonis </w:t>
      </w:r>
      <w:r w:rsidRPr="009306D5">
        <w:fldChar w:fldCharType="begin"/>
      </w:r>
      <w:r w:rsidRPr="009306D5">
        <w:instrText xml:space="preserve"> SEQ Figure \* ARABIC </w:instrText>
      </w:r>
      <w:r w:rsidRPr="009306D5">
        <w:fldChar w:fldCharType="separate"/>
      </w:r>
      <w:r w:rsidR="008A2E1E" w:rsidRPr="009306D5">
        <w:t>40</w:t>
      </w:r>
      <w:r w:rsidRPr="009306D5">
        <w:fldChar w:fldCharType="end"/>
      </w:r>
      <w:r w:rsidRPr="009306D5">
        <w:t>. Kättesaadavad kanalid käibemaksukohustuste täitmise kohta tagasiside andmiseks</w:t>
      </w:r>
      <w:bookmarkEnd w:id="1615"/>
      <w:bookmarkEnd w:id="1616"/>
    </w:p>
    <w:p w14:paraId="4A310C9D" w14:textId="0BDB7BEF" w:rsidR="00436E2F" w:rsidRPr="009306D5" w:rsidRDefault="00436E2F" w:rsidP="008E0F12">
      <w:pPr>
        <w:pStyle w:val="Question"/>
        <w:rPr>
          <w:noProof/>
        </w:rPr>
      </w:pPr>
      <w:r w:rsidRPr="009306D5">
        <w:rPr>
          <w:noProof/>
        </w:rPr>
        <w:t>Küsimus 5.8. „Maksuhaldurid annavad maksumaksjatele nende käibemaksukohustuste täitmise kohta tagasisidet [...] kaudu. (Vastuseid võib olla mitu)“</w:t>
      </w:r>
    </w:p>
    <w:p w14:paraId="50DBAB00" w14:textId="1B94C554" w:rsidR="005B15B7" w:rsidRPr="009306D5" w:rsidRDefault="000E6FBA" w:rsidP="00EF59B5">
      <w:pPr>
        <w:pStyle w:val="FIgure"/>
        <w:rPr>
          <w:rFonts w:cs="Times New Roman"/>
          <w:sz w:val="20"/>
        </w:rPr>
      </w:pPr>
      <w:r w:rsidRPr="009306D5">
        <w:rPr>
          <w:lang w:val="en-GB"/>
        </w:rPr>
        <w:drawing>
          <wp:inline distT="0" distB="0" distL="0" distR="0" wp14:anchorId="3562D66C" wp14:editId="1691F88F">
            <wp:extent cx="5760085" cy="3298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085" cy="3298825"/>
                    </a:xfrm>
                    <a:prstGeom prst="rect">
                      <a:avLst/>
                    </a:prstGeom>
                  </pic:spPr>
                </pic:pic>
              </a:graphicData>
            </a:graphic>
          </wp:inline>
        </w:drawing>
      </w:r>
    </w:p>
    <w:p w14:paraId="163C06DA"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17DFA999" w14:textId="7E2E2835" w:rsidR="005B15B7" w:rsidRPr="009306D5" w:rsidRDefault="005B15B7" w:rsidP="005B15B7">
      <w:pPr>
        <w:rPr>
          <w:rFonts w:cs="Times New Roman"/>
          <w:noProof/>
          <w:sz w:val="20"/>
        </w:rPr>
      </w:pPr>
      <w:r w:rsidRPr="009306D5">
        <w:rPr>
          <w:noProof/>
          <w:sz w:val="20"/>
        </w:rPr>
        <w:t>ELi maksuhaldurid teatasid, et nad eelistavad käibemaksukohustuste täitmise kohta tagasiside andmisel kasutada veebikanaleid. Selliseid veebipõhiseid kanaleid kasutatakse tavaliselt käibemaksukohustuslastega suhtlemiseks, sealhulgas tagasiside andmiseks käibemaksu tasumise kohta.</w:t>
      </w:r>
    </w:p>
    <w:p w14:paraId="7A7A023C" w14:textId="4BC975C9" w:rsidR="005B15B7" w:rsidRPr="009306D5" w:rsidRDefault="005B15B7" w:rsidP="005B15B7">
      <w:pPr>
        <w:rPr>
          <w:rFonts w:cs="Times New Roman"/>
          <w:noProof/>
          <w:sz w:val="20"/>
        </w:rPr>
      </w:pPr>
      <w:r w:rsidRPr="009306D5">
        <w:rPr>
          <w:noProof/>
          <w:sz w:val="20"/>
        </w:rPr>
        <w:t>Mõned liikmesriigid kasutavad muid meetodeid (nt kõnekeskused), et teavitada maksumaksjaid nende maksekohustustest. Portugal töötas välja spetsiaalse mobiilirakenduse Situação Fiscal – Pagamentos,</w:t>
      </w:r>
      <w:r w:rsidRPr="009306D5">
        <w:rPr>
          <w:rStyle w:val="FootnoteReference"/>
          <w:rFonts w:cs="Times New Roman"/>
          <w:noProof/>
          <w:sz w:val="20"/>
        </w:rPr>
        <w:footnoteReference w:id="23"/>
      </w:r>
      <w:r w:rsidRPr="009306D5">
        <w:rPr>
          <w:noProof/>
          <w:sz w:val="20"/>
        </w:rPr>
        <w:t xml:space="preserve"> mis annab täielikku teavet käibemaksu tasumise kohta ja sisaldab digirahakotti mobiilimaksete lihtsustamiseks. Mõned liikmesriigid hakkasid käibemaksukohustuste täitmise tagamiseks kasutama individuaalset maksukontot (mida Poolas nimetatakse mikrokontoks), mida kasutatakse ka muude maksude, näiteks üksikisiku ja äriühingu tulumaksu puhul.</w:t>
      </w:r>
    </w:p>
    <w:p w14:paraId="35B4A5B8" w14:textId="77B313D9" w:rsidR="005B15B7" w:rsidRPr="009306D5" w:rsidRDefault="005B15B7" w:rsidP="005B15B7">
      <w:pPr>
        <w:rPr>
          <w:rFonts w:cs="Times New Roman"/>
          <w:noProof/>
          <w:sz w:val="20"/>
        </w:rPr>
      </w:pPr>
      <w:r w:rsidRPr="009306D5">
        <w:rPr>
          <w:noProof/>
          <w:sz w:val="20"/>
        </w:rPr>
        <w:t>Seni tehtud uuringud näitavad selgelt, et täielikult elektroonilised makseviisid on maksude kogumisel ülekaalukalt kõige kulutõhusamad (OECD, 2010). Komisjon julgustab kõiki liikmesriike võimalikult palju toetama käibemaksu elektroonilist tasumist ning looma pideva ja automaatse teabevahetuse käibemaksukohustuslastega nende maksekohustustega seoses.</w:t>
      </w:r>
    </w:p>
    <w:p w14:paraId="6E46494D" w14:textId="5020DC92" w:rsidR="005B15B7" w:rsidRPr="009306D5" w:rsidRDefault="005B15B7" w:rsidP="00FE0EC3">
      <w:pPr>
        <w:pStyle w:val="Recommendation"/>
      </w:pPr>
      <w:bookmarkStart w:id="1617" w:name="_Toc95816215"/>
      <w:r w:rsidRPr="009306D5">
        <w:t xml:space="preserve">Soovitus </w:t>
      </w:r>
      <w:r w:rsidRPr="009306D5">
        <w:fldChar w:fldCharType="begin"/>
      </w:r>
      <w:r w:rsidRPr="009306D5">
        <w:instrText>SEQ Recommendation \* ARABIC</w:instrText>
      </w:r>
      <w:r w:rsidRPr="009306D5">
        <w:fldChar w:fldCharType="separate"/>
      </w:r>
      <w:bookmarkStart w:id="1618" w:name="_Toc65778312"/>
      <w:bookmarkStart w:id="1619" w:name="_Toc66116365"/>
      <w:r w:rsidR="008A2E1E" w:rsidRPr="009306D5">
        <w:t>27</w:t>
      </w:r>
      <w:r w:rsidRPr="009306D5">
        <w:fldChar w:fldCharType="end"/>
      </w:r>
      <w:r w:rsidRPr="009306D5">
        <w:t xml:space="preserve">. </w:t>
      </w:r>
      <w:bookmarkStart w:id="1620" w:name="_Toc65673341"/>
      <w:r w:rsidRPr="009306D5">
        <w:t>Kasutada käibemaksukohustuslastega suhtlemiseks mõnd veebipõhise kanali lahendust ning hallata ja ajakohastada ka muid varukanaleid</w:t>
      </w:r>
      <w:bookmarkEnd w:id="1620"/>
      <w:bookmarkEnd w:id="1618"/>
      <w:bookmarkEnd w:id="1619"/>
      <w:r w:rsidRPr="009306D5">
        <w:t>.</w:t>
      </w:r>
      <w:bookmarkEnd w:id="1617"/>
    </w:p>
    <w:p w14:paraId="1976F76D" w14:textId="77777777" w:rsidR="005B15B7" w:rsidRPr="009306D5" w:rsidRDefault="005B15B7" w:rsidP="000D13AA">
      <w:pPr>
        <w:pStyle w:val="Heading1"/>
        <w:numPr>
          <w:ilvl w:val="0"/>
          <w:numId w:val="35"/>
        </w:numPr>
        <w:rPr>
          <w:noProof/>
        </w:rPr>
      </w:pPr>
      <w:bookmarkStart w:id="1621" w:name="_Toc69994943"/>
      <w:bookmarkStart w:id="1622" w:name="_Toc65836478"/>
      <w:bookmarkStart w:id="1623" w:name="_Toc66116419"/>
      <w:bookmarkStart w:id="1624" w:name="_Toc66202088"/>
      <w:bookmarkStart w:id="1625" w:name="_Toc67414265"/>
      <w:bookmarkStart w:id="1626" w:name="_Toc67415191"/>
      <w:bookmarkStart w:id="1627" w:name="_Toc67415356"/>
      <w:bookmarkStart w:id="1628" w:name="_Toc67415636"/>
      <w:bookmarkStart w:id="1629" w:name="_Toc67415900"/>
      <w:bookmarkStart w:id="1630" w:name="_Toc62138844"/>
      <w:bookmarkStart w:id="1631" w:name="_Toc82790294"/>
      <w:bookmarkStart w:id="1632" w:name="_Toc82792863"/>
      <w:bookmarkStart w:id="1633" w:name="_Toc90291258"/>
      <w:bookmarkStart w:id="1634" w:name="_Toc95812972"/>
      <w:r w:rsidRPr="009306D5">
        <w:rPr>
          <w:noProof/>
        </w:rPr>
        <w:t>Käibemaksuvõlgade sissenõudmine, tagasimaksed ja auditid</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03FECC2B" w14:textId="77777777" w:rsidR="005B15B7" w:rsidRPr="009306D5" w:rsidRDefault="005B15B7" w:rsidP="000D13AA">
      <w:pPr>
        <w:pStyle w:val="Heading2"/>
        <w:numPr>
          <w:ilvl w:val="1"/>
          <w:numId w:val="32"/>
        </w:numPr>
        <w:rPr>
          <w:noProof/>
        </w:rPr>
      </w:pPr>
      <w:bookmarkStart w:id="1635" w:name="_Toc61630147"/>
      <w:bookmarkStart w:id="1636" w:name="_Toc61863654"/>
      <w:bookmarkStart w:id="1637" w:name="_Toc61889389"/>
      <w:bookmarkStart w:id="1638" w:name="_Toc61948328"/>
      <w:bookmarkStart w:id="1639" w:name="_Toc61948945"/>
      <w:bookmarkStart w:id="1640" w:name="_Toc61948987"/>
      <w:bookmarkStart w:id="1641" w:name="_Toc61949075"/>
      <w:bookmarkStart w:id="1642" w:name="_Toc61949116"/>
      <w:bookmarkStart w:id="1643" w:name="_Toc61949157"/>
      <w:bookmarkStart w:id="1644" w:name="_Toc61949323"/>
      <w:bookmarkStart w:id="1645" w:name="_Toc61949420"/>
      <w:bookmarkStart w:id="1646" w:name="_Toc61949590"/>
      <w:bookmarkStart w:id="1647" w:name="_Toc61949806"/>
      <w:bookmarkStart w:id="1648" w:name="_Toc61949847"/>
      <w:bookmarkStart w:id="1649" w:name="_Toc61949888"/>
      <w:bookmarkStart w:id="1650" w:name="_Toc61963490"/>
      <w:bookmarkStart w:id="1651" w:name="_Toc61969135"/>
      <w:bookmarkStart w:id="1652" w:name="_Toc61970410"/>
      <w:bookmarkStart w:id="1653" w:name="_Toc61976289"/>
      <w:bookmarkStart w:id="1654" w:name="_Toc62113236"/>
      <w:bookmarkStart w:id="1655" w:name="_Toc62113279"/>
      <w:bookmarkStart w:id="1656" w:name="_Toc62124852"/>
      <w:bookmarkStart w:id="1657" w:name="_Toc62128500"/>
      <w:bookmarkStart w:id="1658" w:name="_Toc62131551"/>
      <w:bookmarkStart w:id="1659" w:name="_Toc62138845"/>
      <w:bookmarkStart w:id="1660" w:name="_Toc62139040"/>
      <w:bookmarkStart w:id="1661" w:name="_Toc62139462"/>
      <w:bookmarkStart w:id="1662" w:name="_Toc62144732"/>
      <w:bookmarkStart w:id="1663" w:name="_Toc62240834"/>
      <w:bookmarkStart w:id="1664" w:name="_Toc62240874"/>
      <w:bookmarkStart w:id="1665" w:name="_Toc62240916"/>
      <w:bookmarkStart w:id="1666" w:name="_Toc62241410"/>
      <w:bookmarkStart w:id="1667" w:name="_Toc62560386"/>
      <w:bookmarkStart w:id="1668" w:name="_Toc62560521"/>
      <w:bookmarkStart w:id="1669" w:name="_Toc62561106"/>
      <w:bookmarkStart w:id="1670" w:name="_Toc62562479"/>
      <w:bookmarkStart w:id="1671" w:name="_Toc62562626"/>
      <w:bookmarkStart w:id="1672" w:name="_Toc62563202"/>
      <w:bookmarkStart w:id="1673" w:name="_Toc62563377"/>
      <w:bookmarkStart w:id="1674" w:name="_Toc62575972"/>
      <w:bookmarkStart w:id="1675" w:name="_Toc62576189"/>
      <w:bookmarkStart w:id="1676" w:name="_Toc62576295"/>
      <w:bookmarkStart w:id="1677" w:name="_Toc62578484"/>
      <w:bookmarkStart w:id="1678" w:name="_Toc62654907"/>
      <w:bookmarkStart w:id="1679" w:name="_Toc63325370"/>
      <w:bookmarkStart w:id="1680" w:name="_Toc63350841"/>
      <w:bookmarkStart w:id="1681" w:name="_Toc63417354"/>
      <w:bookmarkStart w:id="1682" w:name="_Toc63693618"/>
      <w:bookmarkStart w:id="1683" w:name="_Toc63870365"/>
      <w:bookmarkStart w:id="1684" w:name="_Toc63945647"/>
      <w:bookmarkStart w:id="1685" w:name="_Toc63945742"/>
      <w:bookmarkStart w:id="1686" w:name="_Toc63946021"/>
      <w:bookmarkStart w:id="1687" w:name="_Toc64048513"/>
      <w:bookmarkStart w:id="1688" w:name="_Toc64049222"/>
      <w:bookmarkStart w:id="1689" w:name="_Toc64275469"/>
      <w:bookmarkStart w:id="1690" w:name="_Toc64283994"/>
      <w:bookmarkStart w:id="1691" w:name="_Toc65773646"/>
      <w:bookmarkStart w:id="1692" w:name="_Toc65773688"/>
      <w:bookmarkStart w:id="1693" w:name="_Toc65773764"/>
      <w:bookmarkStart w:id="1694" w:name="_Toc65774435"/>
      <w:bookmarkStart w:id="1695" w:name="_Toc65774639"/>
      <w:bookmarkStart w:id="1696" w:name="_Toc65774730"/>
      <w:bookmarkStart w:id="1697" w:name="_Toc65776882"/>
      <w:bookmarkStart w:id="1698" w:name="_Toc65836479"/>
      <w:bookmarkStart w:id="1699" w:name="_Toc65858336"/>
      <w:bookmarkStart w:id="1700" w:name="_Toc66113640"/>
      <w:bookmarkStart w:id="1701" w:name="_Toc66113784"/>
      <w:bookmarkStart w:id="1702" w:name="_Toc66114075"/>
      <w:bookmarkStart w:id="1703" w:name="_Toc66114092"/>
      <w:bookmarkStart w:id="1704" w:name="_Toc66114965"/>
      <w:bookmarkStart w:id="1705" w:name="_Toc66115083"/>
      <w:bookmarkStart w:id="1706" w:name="_Toc66115176"/>
      <w:bookmarkStart w:id="1707" w:name="_Toc66115230"/>
      <w:bookmarkStart w:id="1708" w:name="_Toc66115359"/>
      <w:bookmarkStart w:id="1709" w:name="_Toc66115858"/>
      <w:bookmarkStart w:id="1710" w:name="_Toc66116041"/>
      <w:bookmarkStart w:id="1711" w:name="_Toc66116096"/>
      <w:bookmarkStart w:id="1712" w:name="_Toc66116152"/>
      <w:bookmarkStart w:id="1713" w:name="_Toc66116207"/>
      <w:bookmarkStart w:id="1714" w:name="_Toc66116262"/>
      <w:bookmarkStart w:id="1715" w:name="_Toc66116317"/>
      <w:bookmarkStart w:id="1716" w:name="_Toc66116420"/>
      <w:bookmarkStart w:id="1717" w:name="_Toc66117350"/>
      <w:bookmarkStart w:id="1718" w:name="_Toc66117404"/>
      <w:bookmarkStart w:id="1719" w:name="_Toc66117459"/>
      <w:bookmarkStart w:id="1720" w:name="_Toc66199731"/>
      <w:bookmarkStart w:id="1721" w:name="_Toc66201270"/>
      <w:bookmarkStart w:id="1722" w:name="_Toc66200784"/>
      <w:bookmarkStart w:id="1723" w:name="_Toc66201324"/>
      <w:bookmarkStart w:id="1724" w:name="_Toc66201378"/>
      <w:bookmarkStart w:id="1725" w:name="_Toc66201432"/>
      <w:bookmarkStart w:id="1726" w:name="_Toc66201486"/>
      <w:bookmarkStart w:id="1727" w:name="_Toc66201540"/>
      <w:bookmarkStart w:id="1728" w:name="_Toc66201639"/>
      <w:bookmarkStart w:id="1729" w:name="_Toc66201693"/>
      <w:bookmarkStart w:id="1730" w:name="_Toc66202089"/>
      <w:bookmarkStart w:id="1731" w:name="_Toc66202143"/>
      <w:bookmarkStart w:id="1732" w:name="_Toc66202799"/>
      <w:bookmarkStart w:id="1733" w:name="_Toc66204867"/>
      <w:bookmarkStart w:id="1734" w:name="_Toc66729457"/>
      <w:bookmarkStart w:id="1735" w:name="_Toc66881529"/>
      <w:bookmarkStart w:id="1736" w:name="_Toc66881752"/>
      <w:bookmarkStart w:id="1737" w:name="_Toc67413943"/>
      <w:bookmarkStart w:id="1738" w:name="_Toc67413995"/>
      <w:bookmarkStart w:id="1739" w:name="_Toc67414047"/>
      <w:bookmarkStart w:id="1740" w:name="_Toc67414119"/>
      <w:bookmarkStart w:id="1741" w:name="_Toc67414192"/>
      <w:bookmarkStart w:id="1742" w:name="_Toc67414266"/>
      <w:bookmarkStart w:id="1743" w:name="_Toc67414321"/>
      <w:bookmarkStart w:id="1744" w:name="_Toc67414374"/>
      <w:bookmarkStart w:id="1745" w:name="_Toc67414433"/>
      <w:bookmarkStart w:id="1746" w:name="_Toc67414486"/>
      <w:bookmarkStart w:id="1747" w:name="_Toc67414539"/>
      <w:bookmarkStart w:id="1748" w:name="_Toc67414593"/>
      <w:bookmarkStart w:id="1749" w:name="_Toc67414667"/>
      <w:bookmarkStart w:id="1750" w:name="_Toc67414721"/>
      <w:bookmarkStart w:id="1751" w:name="_Toc67414774"/>
      <w:bookmarkStart w:id="1752" w:name="_Toc67414848"/>
      <w:bookmarkStart w:id="1753" w:name="_Toc67414907"/>
      <w:bookmarkStart w:id="1754" w:name="_Toc67414960"/>
      <w:bookmarkStart w:id="1755" w:name="_Toc67415192"/>
      <w:bookmarkStart w:id="1756" w:name="_Toc67415357"/>
      <w:bookmarkStart w:id="1757" w:name="_Toc67415535"/>
      <w:bookmarkStart w:id="1758" w:name="_Toc67415637"/>
      <w:bookmarkStart w:id="1759" w:name="_Toc69834474"/>
      <w:bookmarkStart w:id="1760" w:name="_Toc69895401"/>
      <w:bookmarkStart w:id="1761" w:name="_Toc69908464"/>
      <w:bookmarkStart w:id="1762" w:name="_Toc69993213"/>
      <w:bookmarkStart w:id="1763" w:name="_Toc69993377"/>
      <w:bookmarkStart w:id="1764" w:name="_Toc69993653"/>
      <w:bookmarkStart w:id="1765" w:name="_Toc69993830"/>
      <w:bookmarkStart w:id="1766" w:name="_Toc69994944"/>
      <w:bookmarkStart w:id="1767" w:name="_Toc65774640"/>
      <w:bookmarkStart w:id="1768" w:name="_Toc65774731"/>
      <w:bookmarkStart w:id="1769" w:name="_Toc65776883"/>
      <w:bookmarkStart w:id="1770" w:name="_Toc65836480"/>
      <w:bookmarkStart w:id="1771" w:name="_Toc65858337"/>
      <w:bookmarkStart w:id="1772" w:name="_Toc66113641"/>
      <w:bookmarkStart w:id="1773" w:name="_Toc66113785"/>
      <w:bookmarkStart w:id="1774" w:name="_Toc66114076"/>
      <w:bookmarkStart w:id="1775" w:name="_Toc66114093"/>
      <w:bookmarkStart w:id="1776" w:name="_Toc66114966"/>
      <w:bookmarkStart w:id="1777" w:name="_Toc66115084"/>
      <w:bookmarkStart w:id="1778" w:name="_Toc66115177"/>
      <w:bookmarkStart w:id="1779" w:name="_Toc66115231"/>
      <w:bookmarkStart w:id="1780" w:name="_Toc66115360"/>
      <w:bookmarkStart w:id="1781" w:name="_Toc66115859"/>
      <w:bookmarkStart w:id="1782" w:name="_Toc66116042"/>
      <w:bookmarkStart w:id="1783" w:name="_Toc66116097"/>
      <w:bookmarkStart w:id="1784" w:name="_Toc66116153"/>
      <w:bookmarkStart w:id="1785" w:name="_Toc66116208"/>
      <w:bookmarkStart w:id="1786" w:name="_Toc66116263"/>
      <w:bookmarkStart w:id="1787" w:name="_Toc66116318"/>
      <w:bookmarkStart w:id="1788" w:name="_Toc66116421"/>
      <w:bookmarkStart w:id="1789" w:name="_Toc66117351"/>
      <w:bookmarkStart w:id="1790" w:name="_Toc66117405"/>
      <w:bookmarkStart w:id="1791" w:name="_Toc66117460"/>
      <w:bookmarkStart w:id="1792" w:name="_Toc66199732"/>
      <w:bookmarkStart w:id="1793" w:name="_Toc66201271"/>
      <w:bookmarkStart w:id="1794" w:name="_Toc66200785"/>
      <w:bookmarkStart w:id="1795" w:name="_Toc66201325"/>
      <w:bookmarkStart w:id="1796" w:name="_Toc66201379"/>
      <w:bookmarkStart w:id="1797" w:name="_Toc66201433"/>
      <w:bookmarkStart w:id="1798" w:name="_Toc66201487"/>
      <w:bookmarkStart w:id="1799" w:name="_Toc66201541"/>
      <w:bookmarkStart w:id="1800" w:name="_Toc66201640"/>
      <w:bookmarkStart w:id="1801" w:name="_Toc66201694"/>
      <w:bookmarkStart w:id="1802" w:name="_Toc66202090"/>
      <w:bookmarkStart w:id="1803" w:name="_Toc66202144"/>
      <w:bookmarkStart w:id="1804" w:name="_Toc66202800"/>
      <w:bookmarkStart w:id="1805" w:name="_Toc66204868"/>
      <w:bookmarkStart w:id="1806" w:name="_Toc66729458"/>
      <w:bookmarkStart w:id="1807" w:name="_Toc66881530"/>
      <w:bookmarkStart w:id="1808" w:name="_Toc66881753"/>
      <w:bookmarkStart w:id="1809" w:name="_Toc67413944"/>
      <w:bookmarkStart w:id="1810" w:name="_Toc67413996"/>
      <w:bookmarkStart w:id="1811" w:name="_Toc67414048"/>
      <w:bookmarkStart w:id="1812" w:name="_Toc67414120"/>
      <w:bookmarkStart w:id="1813" w:name="_Toc67414193"/>
      <w:bookmarkStart w:id="1814" w:name="_Toc67414267"/>
      <w:bookmarkStart w:id="1815" w:name="_Toc67414322"/>
      <w:bookmarkStart w:id="1816" w:name="_Toc67414375"/>
      <w:bookmarkStart w:id="1817" w:name="_Toc67414434"/>
      <w:bookmarkStart w:id="1818" w:name="_Toc67414487"/>
      <w:bookmarkStart w:id="1819" w:name="_Toc67414540"/>
      <w:bookmarkStart w:id="1820" w:name="_Toc67414594"/>
      <w:bookmarkStart w:id="1821" w:name="_Toc67414668"/>
      <w:bookmarkStart w:id="1822" w:name="_Toc67414722"/>
      <w:bookmarkStart w:id="1823" w:name="_Toc67414775"/>
      <w:bookmarkStart w:id="1824" w:name="_Toc67414849"/>
      <w:bookmarkStart w:id="1825" w:name="_Toc67414908"/>
      <w:bookmarkStart w:id="1826" w:name="_Toc67414961"/>
      <w:bookmarkStart w:id="1827" w:name="_Toc67415193"/>
      <w:bookmarkStart w:id="1828" w:name="_Toc67415358"/>
      <w:bookmarkStart w:id="1829" w:name="_Toc67415536"/>
      <w:bookmarkStart w:id="1830" w:name="_Toc67415638"/>
      <w:bookmarkStart w:id="1831" w:name="_Toc69834475"/>
      <w:bookmarkStart w:id="1832" w:name="_Toc69895402"/>
      <w:bookmarkStart w:id="1833" w:name="_Toc69908465"/>
      <w:bookmarkStart w:id="1834" w:name="_Toc69993214"/>
      <w:bookmarkStart w:id="1835" w:name="_Toc69993378"/>
      <w:bookmarkStart w:id="1836" w:name="_Toc69993654"/>
      <w:bookmarkStart w:id="1837" w:name="_Toc69993831"/>
      <w:bookmarkStart w:id="1838" w:name="_Toc69994945"/>
      <w:bookmarkStart w:id="1839" w:name="_Toc65774641"/>
      <w:bookmarkStart w:id="1840" w:name="_Toc65774732"/>
      <w:bookmarkStart w:id="1841" w:name="_Toc65776884"/>
      <w:bookmarkStart w:id="1842" w:name="_Toc65836481"/>
      <w:bookmarkStart w:id="1843" w:name="_Toc65858338"/>
      <w:bookmarkStart w:id="1844" w:name="_Toc66113642"/>
      <w:bookmarkStart w:id="1845" w:name="_Toc66113786"/>
      <w:bookmarkStart w:id="1846" w:name="_Toc66114077"/>
      <w:bookmarkStart w:id="1847" w:name="_Toc66114094"/>
      <w:bookmarkStart w:id="1848" w:name="_Toc66114967"/>
      <w:bookmarkStart w:id="1849" w:name="_Toc66115085"/>
      <w:bookmarkStart w:id="1850" w:name="_Toc66115178"/>
      <w:bookmarkStart w:id="1851" w:name="_Toc66115232"/>
      <w:bookmarkStart w:id="1852" w:name="_Toc66115361"/>
      <w:bookmarkStart w:id="1853" w:name="_Toc66115860"/>
      <w:bookmarkStart w:id="1854" w:name="_Toc66116043"/>
      <w:bookmarkStart w:id="1855" w:name="_Toc66116098"/>
      <w:bookmarkStart w:id="1856" w:name="_Toc66116154"/>
      <w:bookmarkStart w:id="1857" w:name="_Toc66116209"/>
      <w:bookmarkStart w:id="1858" w:name="_Toc66116264"/>
      <w:bookmarkStart w:id="1859" w:name="_Toc66116319"/>
      <w:bookmarkStart w:id="1860" w:name="_Toc66116422"/>
      <w:bookmarkStart w:id="1861" w:name="_Toc66117352"/>
      <w:bookmarkStart w:id="1862" w:name="_Toc66117406"/>
      <w:bookmarkStart w:id="1863" w:name="_Toc66117461"/>
      <w:bookmarkStart w:id="1864" w:name="_Toc66199733"/>
      <w:bookmarkStart w:id="1865" w:name="_Toc66201272"/>
      <w:bookmarkStart w:id="1866" w:name="_Toc66200786"/>
      <w:bookmarkStart w:id="1867" w:name="_Toc66201326"/>
      <w:bookmarkStart w:id="1868" w:name="_Toc66201380"/>
      <w:bookmarkStart w:id="1869" w:name="_Toc66201434"/>
      <w:bookmarkStart w:id="1870" w:name="_Toc66201488"/>
      <w:bookmarkStart w:id="1871" w:name="_Toc66201542"/>
      <w:bookmarkStart w:id="1872" w:name="_Toc66201641"/>
      <w:bookmarkStart w:id="1873" w:name="_Toc66201695"/>
      <w:bookmarkStart w:id="1874" w:name="_Toc66202091"/>
      <w:bookmarkStart w:id="1875" w:name="_Toc66202145"/>
      <w:bookmarkStart w:id="1876" w:name="_Toc66202801"/>
      <w:bookmarkStart w:id="1877" w:name="_Toc66204869"/>
      <w:bookmarkStart w:id="1878" w:name="_Toc66729459"/>
      <w:bookmarkStart w:id="1879" w:name="_Toc66881531"/>
      <w:bookmarkStart w:id="1880" w:name="_Toc66881754"/>
      <w:bookmarkStart w:id="1881" w:name="_Toc67413945"/>
      <w:bookmarkStart w:id="1882" w:name="_Toc67413997"/>
      <w:bookmarkStart w:id="1883" w:name="_Toc67414049"/>
      <w:bookmarkStart w:id="1884" w:name="_Toc67414121"/>
      <w:bookmarkStart w:id="1885" w:name="_Toc67414194"/>
      <w:bookmarkStart w:id="1886" w:name="_Toc67414268"/>
      <w:bookmarkStart w:id="1887" w:name="_Toc67414323"/>
      <w:bookmarkStart w:id="1888" w:name="_Toc67414376"/>
      <w:bookmarkStart w:id="1889" w:name="_Toc67414435"/>
      <w:bookmarkStart w:id="1890" w:name="_Toc67414488"/>
      <w:bookmarkStart w:id="1891" w:name="_Toc67414541"/>
      <w:bookmarkStart w:id="1892" w:name="_Toc67414595"/>
      <w:bookmarkStart w:id="1893" w:name="_Toc67414669"/>
      <w:bookmarkStart w:id="1894" w:name="_Toc67414723"/>
      <w:bookmarkStart w:id="1895" w:name="_Toc67414776"/>
      <w:bookmarkStart w:id="1896" w:name="_Toc67414850"/>
      <w:bookmarkStart w:id="1897" w:name="_Toc67414909"/>
      <w:bookmarkStart w:id="1898" w:name="_Toc67414962"/>
      <w:bookmarkStart w:id="1899" w:name="_Toc67415194"/>
      <w:bookmarkStart w:id="1900" w:name="_Toc67415359"/>
      <w:bookmarkStart w:id="1901" w:name="_Toc67415537"/>
      <w:bookmarkStart w:id="1902" w:name="_Toc67415639"/>
      <w:bookmarkStart w:id="1903" w:name="_Toc69834476"/>
      <w:bookmarkStart w:id="1904" w:name="_Toc69895403"/>
      <w:bookmarkStart w:id="1905" w:name="_Toc69908466"/>
      <w:bookmarkStart w:id="1906" w:name="_Toc69993215"/>
      <w:bookmarkStart w:id="1907" w:name="_Toc69993379"/>
      <w:bookmarkStart w:id="1908" w:name="_Toc69993655"/>
      <w:bookmarkStart w:id="1909" w:name="_Toc69993832"/>
      <w:bookmarkStart w:id="1910" w:name="_Toc69994946"/>
      <w:bookmarkStart w:id="1911" w:name="_Toc62138846"/>
      <w:bookmarkStart w:id="1912" w:name="_Toc65836482"/>
      <w:bookmarkStart w:id="1913" w:name="_Toc66116423"/>
      <w:bookmarkStart w:id="1914" w:name="_Toc66202092"/>
      <w:bookmarkStart w:id="1915" w:name="_Toc67414269"/>
      <w:bookmarkStart w:id="1916" w:name="_Toc67415195"/>
      <w:bookmarkStart w:id="1917" w:name="_Toc67415360"/>
      <w:bookmarkStart w:id="1918" w:name="_Toc67415640"/>
      <w:bookmarkStart w:id="1919" w:name="_Toc67415901"/>
      <w:bookmarkStart w:id="1920" w:name="_Toc69994947"/>
      <w:bookmarkStart w:id="1921" w:name="_Toc82790295"/>
      <w:bookmarkStart w:id="1922" w:name="_Toc82792864"/>
      <w:bookmarkStart w:id="1923" w:name="_Toc90291259"/>
      <w:bookmarkStart w:id="1924" w:name="_Toc95812973"/>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r w:rsidRPr="009306D5">
        <w:rPr>
          <w:noProof/>
        </w:rPr>
        <w:t>Käibemaksuvõlgade sissenõudmine</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60EB509B" w14:textId="0A607CBC" w:rsidR="005B15B7" w:rsidRPr="009306D5" w:rsidRDefault="005B15B7" w:rsidP="005B15B7">
      <w:pPr>
        <w:rPr>
          <w:rFonts w:cs="Times New Roman"/>
          <w:noProof/>
          <w:sz w:val="20"/>
        </w:rPr>
      </w:pPr>
      <w:r w:rsidRPr="009306D5">
        <w:rPr>
          <w:noProof/>
          <w:sz w:val="20"/>
        </w:rPr>
        <w:t>ELi maksuhaldurid püüavad saavutada käibemaksu valdkonnas kõrgeima võimaliku maksukuulekuse taseme. On väga oluline, et nad saavad kohe teada kõigist juhtumitest, mil maksumaksjatel on raskusi käibemaksu tasumisega, jälgivad neid olukordi ja peaksid neid mõnikord isegi ette nägema.</w:t>
      </w:r>
    </w:p>
    <w:p w14:paraId="3E8032FC" w14:textId="51CE105F" w:rsidR="005B15B7" w:rsidRPr="009306D5" w:rsidRDefault="005B15B7" w:rsidP="00FE0EC3">
      <w:pPr>
        <w:pStyle w:val="Caption"/>
      </w:pPr>
      <w:bookmarkStart w:id="1925" w:name="_Toc62138806"/>
      <w:bookmarkStart w:id="1926" w:name="_Toc95816268"/>
      <w:r w:rsidRPr="009306D5">
        <w:t>Joonis </w:t>
      </w:r>
      <w:r w:rsidRPr="009306D5">
        <w:fldChar w:fldCharType="begin"/>
      </w:r>
      <w:r w:rsidRPr="009306D5">
        <w:instrText xml:space="preserve"> SEQ Figure \* ARABIC </w:instrText>
      </w:r>
      <w:r w:rsidRPr="009306D5">
        <w:fldChar w:fldCharType="separate"/>
      </w:r>
      <w:r w:rsidR="008A2E1E" w:rsidRPr="009306D5">
        <w:t>41</w:t>
      </w:r>
      <w:r w:rsidRPr="009306D5">
        <w:fldChar w:fldCharType="end"/>
      </w:r>
      <w:r w:rsidRPr="009306D5">
        <w:t>. Käibemaksuvõlgade sissenõudmine: esimene reageerimine makse hilinemisele (päevades)</w:t>
      </w:r>
      <w:bookmarkEnd w:id="1925"/>
      <w:bookmarkEnd w:id="1926"/>
    </w:p>
    <w:p w14:paraId="608E3BFC" w14:textId="2D57FE9B" w:rsidR="00BE74F6" w:rsidRPr="009306D5" w:rsidRDefault="00BE74F6" w:rsidP="008E0F12">
      <w:pPr>
        <w:pStyle w:val="Question"/>
        <w:rPr>
          <w:noProof/>
        </w:rPr>
      </w:pPr>
      <w:r w:rsidRPr="009306D5">
        <w:rPr>
          <w:noProof/>
        </w:rPr>
        <w:t>Küsimus 6.1. „Kui palju aega jätate seadusjärgse maksetähtpäeva ja esimese võla sissenõudmise meetme (nt maksumaksja esimene teavitamine) vahele? (Päevades)“</w:t>
      </w:r>
    </w:p>
    <w:p w14:paraId="5730BDDE" w14:textId="5EFF7907" w:rsidR="005B15B7" w:rsidRPr="009306D5" w:rsidRDefault="001E531F" w:rsidP="00EF59B5">
      <w:pPr>
        <w:pStyle w:val="FIgure"/>
        <w:rPr>
          <w:rFonts w:cs="Times New Roman"/>
          <w:sz w:val="20"/>
        </w:rPr>
      </w:pPr>
      <w:r w:rsidRPr="009306D5">
        <w:rPr>
          <w:lang w:val="en-GB"/>
        </w:rPr>
        <w:drawing>
          <wp:inline distT="0" distB="0" distL="0" distR="0" wp14:anchorId="4E7D8331" wp14:editId="10990108">
            <wp:extent cx="5760085" cy="2184141"/>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85" cy="2184141"/>
                    </a:xfrm>
                    <a:prstGeom prst="rect">
                      <a:avLst/>
                    </a:prstGeom>
                    <a:noFill/>
                    <a:ln>
                      <a:noFill/>
                    </a:ln>
                  </pic:spPr>
                </pic:pic>
              </a:graphicData>
            </a:graphic>
          </wp:inline>
        </w:drawing>
      </w:r>
    </w:p>
    <w:p w14:paraId="03F0E311"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4B43A87D" w14:textId="77777777" w:rsidR="005B15B7" w:rsidRPr="009306D5" w:rsidRDefault="005B15B7" w:rsidP="005B15B7">
      <w:pPr>
        <w:rPr>
          <w:rFonts w:cs="Times New Roman"/>
          <w:noProof/>
          <w:sz w:val="20"/>
        </w:rPr>
      </w:pPr>
      <w:r w:rsidRPr="009306D5">
        <w:rPr>
          <w:noProof/>
          <w:sz w:val="20"/>
        </w:rPr>
        <w:t>Kuna käibemaksuvõla haldamise üks olulisemaid aspekte on kiire reageerimine, küsis komisjon liikmesriikidelt, kui palju aega jäetakse seadusjärgse maksetähtpäeva ja käibemaksuvõla sissenõudmise esimese meetme (nt maksumaksja esimene teavitamine) vahele.</w:t>
      </w:r>
    </w:p>
    <w:p w14:paraId="7DA3AEC7" w14:textId="77777777" w:rsidR="005B15B7" w:rsidRPr="009306D5" w:rsidRDefault="005B15B7" w:rsidP="005B15B7">
      <w:pPr>
        <w:rPr>
          <w:rFonts w:cs="Times New Roman"/>
          <w:noProof/>
          <w:sz w:val="20"/>
        </w:rPr>
      </w:pPr>
      <w:r w:rsidRPr="009306D5">
        <w:rPr>
          <w:noProof/>
          <w:sz w:val="20"/>
        </w:rPr>
        <w:t>Vastused varieeruvad 0 (kõige sagedamini) ja 90 päeva vahel. ELi maksuhaldurid reageerivad üldiselt kiiresti, kui ettevõtja ei pea kinni käibemaksu tasumise tähtajast. Ainult neli liikmesriiki – Bulgaaria (61 päeva), Küpros (75 päeva), Luksemburg (90 päeva) ja Poola (40 päeva) – jätavad tähtaja ja esimese sissenõudmismeetme vahele aega üle ühe kuu. Kreeka, Itaalia, Läti, Leedu, Rumeenia ja Ühendkuningriik rakendavad esimest sissenõudmismeedet viivitamata.</w:t>
      </w:r>
    </w:p>
    <w:p w14:paraId="0B7513AA" w14:textId="77777777" w:rsidR="005B15B7" w:rsidRPr="009306D5" w:rsidRDefault="005B15B7" w:rsidP="005B15B7">
      <w:pPr>
        <w:rPr>
          <w:rFonts w:cs="Times New Roman"/>
          <w:noProof/>
          <w:sz w:val="20"/>
        </w:rPr>
      </w:pPr>
      <w:r w:rsidRPr="009306D5">
        <w:rPr>
          <w:noProof/>
          <w:sz w:val="20"/>
        </w:rPr>
        <w:t>Komisjon mõistab, et liikmesriikide õigusaktid ja individuaalsed menetlused on erinevad. Maksuhaldurid peaksid siiski olema teadlikud seadusega ette nähtud tähtajaks tasumata jäetud käibemaksumaksetest ja jälgima neid ning olema valmis võimalikult kiiresti tõhusalt reageerima, isegi kui ametlike meetmete võtmisele peab eelnema teatav arv päevi.</w:t>
      </w:r>
    </w:p>
    <w:p w14:paraId="25800E8A" w14:textId="77777777" w:rsidR="005B15B7" w:rsidRPr="009306D5" w:rsidRDefault="005B15B7" w:rsidP="005B15B7">
      <w:pPr>
        <w:rPr>
          <w:rFonts w:cs="Times New Roman"/>
          <w:noProof/>
          <w:sz w:val="20"/>
        </w:rPr>
      </w:pPr>
      <w:r w:rsidRPr="009306D5">
        <w:rPr>
          <w:noProof/>
          <w:sz w:val="20"/>
        </w:rPr>
        <w:t>Mõnikord ja eriti ebasoodsatel majandusperioodidel, nagu pandeemiast tingitud majanduslangus, on käibemaksuvõlg endiselt probleem, hoolimata piisavatest võla sissenõudmise strateegiatest. Selle probleemiga silmitsi seistes peavad maksuhaldurid otsima veelgi innovatiivsemaid, kooskõlastatumaid ja kulutõhusamaid viise käibemaksuvõla sissenõudmiseks. Parim lahendus on tugev, hästi toimiv ja kasutajasõbralik võlahalduse IT-allsüsteem.</w:t>
      </w:r>
    </w:p>
    <w:p w14:paraId="3CBA9D4C" w14:textId="77777777" w:rsidR="005B15B7" w:rsidRPr="009306D5" w:rsidRDefault="005B15B7" w:rsidP="005B15B7">
      <w:pPr>
        <w:rPr>
          <w:rFonts w:cs="Times New Roman"/>
          <w:noProof/>
          <w:sz w:val="20"/>
        </w:rPr>
      </w:pPr>
      <w:r w:rsidRPr="009306D5">
        <w:rPr>
          <w:noProof/>
          <w:sz w:val="20"/>
        </w:rPr>
        <w:t>Kõik ELi maksuhaldurid on kasutusele võtnud IT-allsüsteemid käibemaksuvõla haldamiseks. Siiski ei toimi kõik IT-süsteemid võrdselt. Komisjon palus maksuhalduritelt rohkem teavet nende võlahalduse IT-süsteemide mitmesuguste põhiaspektide kohta, et püüda hinnata nende tõhusust.</w:t>
      </w:r>
    </w:p>
    <w:p w14:paraId="5E314C4B" w14:textId="67B7AEF0" w:rsidR="005B15B7" w:rsidRPr="009306D5" w:rsidRDefault="005B15B7" w:rsidP="00FE0EC3">
      <w:pPr>
        <w:pStyle w:val="Caption"/>
      </w:pPr>
      <w:bookmarkStart w:id="1927" w:name="_Toc62138807"/>
      <w:bookmarkStart w:id="1928" w:name="_Toc95816269"/>
      <w:r w:rsidRPr="009306D5">
        <w:t>Joonis </w:t>
      </w:r>
      <w:r w:rsidRPr="009306D5">
        <w:fldChar w:fldCharType="begin"/>
      </w:r>
      <w:r w:rsidRPr="009306D5">
        <w:instrText xml:space="preserve"> SEQ Figure \* ARABIC </w:instrText>
      </w:r>
      <w:r w:rsidRPr="009306D5">
        <w:fldChar w:fldCharType="separate"/>
      </w:r>
      <w:r w:rsidR="008A2E1E" w:rsidRPr="009306D5">
        <w:t>42</w:t>
      </w:r>
      <w:r w:rsidRPr="009306D5">
        <w:fldChar w:fldCharType="end"/>
      </w:r>
      <w:r w:rsidRPr="009306D5">
        <w:t>. Käibemaksuvõla haldamise IT-süsteemide tõhusus ELi liikmesriikides</w:t>
      </w:r>
      <w:bookmarkEnd w:id="1927"/>
      <w:bookmarkEnd w:id="1928"/>
    </w:p>
    <w:p w14:paraId="157CA6C7" w14:textId="329DF18B" w:rsidR="00BE74F6" w:rsidRPr="009306D5" w:rsidRDefault="00BE74F6" w:rsidP="008E0F12">
      <w:pPr>
        <w:pStyle w:val="Question"/>
        <w:rPr>
          <w:noProof/>
        </w:rPr>
      </w:pPr>
      <w:r w:rsidRPr="009306D5">
        <w:rPr>
          <w:noProof/>
        </w:rPr>
        <w:t>Küsimus 6.2. „IT-süsteem, mida teie maksuhaldurid kasutavad käibemaksuvõla haldamiseks [...] (Vastuseid võib olla mitu)“</w:t>
      </w:r>
    </w:p>
    <w:p w14:paraId="2448B15D" w14:textId="0F2A0847" w:rsidR="005B15B7" w:rsidRPr="009306D5" w:rsidRDefault="009D1E92" w:rsidP="00EF59B5">
      <w:pPr>
        <w:pStyle w:val="FIgure"/>
        <w:rPr>
          <w:i/>
        </w:rPr>
      </w:pPr>
      <w:r w:rsidRPr="009306D5">
        <w:rPr>
          <w:lang w:val="en-GB"/>
        </w:rPr>
        <w:drawing>
          <wp:inline distT="0" distB="0" distL="0" distR="0" wp14:anchorId="5A8C3C45" wp14:editId="74471244">
            <wp:extent cx="5760085" cy="39084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085" cy="3908425"/>
                    </a:xfrm>
                    <a:prstGeom prst="rect">
                      <a:avLst/>
                    </a:prstGeom>
                  </pic:spPr>
                </pic:pic>
              </a:graphicData>
            </a:graphic>
          </wp:inline>
        </w:drawing>
      </w:r>
      <w:r w:rsidR="00F63D2F" w:rsidRPr="009306D5">
        <w:t xml:space="preserve"> </w:t>
      </w:r>
    </w:p>
    <w:p w14:paraId="13C907A4" w14:textId="77777777" w:rsidR="005B15B7" w:rsidRPr="009306D5" w:rsidRDefault="005B15B7" w:rsidP="005B15B7">
      <w:pPr>
        <w:pStyle w:val="Source"/>
        <w:rPr>
          <w:rFonts w:ascii="Times New Roman" w:hAnsi="Times New Roman"/>
          <w:i w:val="0"/>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2236E3AA" w14:textId="02D4E793" w:rsidR="005B15B7" w:rsidRPr="009306D5" w:rsidRDefault="005B15B7" w:rsidP="00FE0EC3">
      <w:pPr>
        <w:pStyle w:val="Recommendation"/>
      </w:pPr>
      <w:bookmarkStart w:id="1929" w:name="_Toc95816216"/>
      <w:r w:rsidRPr="009306D5">
        <w:t xml:space="preserve">Soovitus </w:t>
      </w:r>
      <w:r w:rsidRPr="009306D5">
        <w:fldChar w:fldCharType="begin"/>
      </w:r>
      <w:r w:rsidRPr="009306D5">
        <w:instrText>SEQ Recommendation \* ARABIC</w:instrText>
      </w:r>
      <w:r w:rsidRPr="009306D5">
        <w:fldChar w:fldCharType="separate"/>
      </w:r>
      <w:bookmarkStart w:id="1930" w:name="_Toc65778313"/>
      <w:bookmarkStart w:id="1931" w:name="_Toc66116366"/>
      <w:r w:rsidR="008A2E1E" w:rsidRPr="009306D5">
        <w:t>28</w:t>
      </w:r>
      <w:r w:rsidRPr="009306D5">
        <w:fldChar w:fldCharType="end"/>
      </w:r>
      <w:r w:rsidRPr="009306D5">
        <w:t xml:space="preserve">. </w:t>
      </w:r>
      <w:bookmarkStart w:id="1932" w:name="_Toc65673342"/>
      <w:r w:rsidRPr="009306D5">
        <w:t>Tagada paindliku IT-allsüsteemi olemasolu käibemaksuvõlgade haldamiseks ja tähtsuse järjekorda seadmiseks</w:t>
      </w:r>
      <w:bookmarkEnd w:id="1932"/>
      <w:bookmarkEnd w:id="1930"/>
      <w:bookmarkEnd w:id="1931"/>
      <w:bookmarkEnd w:id="1929"/>
    </w:p>
    <w:p w14:paraId="2EC8B65E" w14:textId="77777777" w:rsidR="005B15B7" w:rsidRPr="009306D5" w:rsidRDefault="005B15B7" w:rsidP="005B15B7">
      <w:pPr>
        <w:rPr>
          <w:rFonts w:cs="Times New Roman"/>
          <w:noProof/>
          <w:sz w:val="20"/>
        </w:rPr>
      </w:pPr>
      <w:r w:rsidRPr="009306D5">
        <w:rPr>
          <w:noProof/>
          <w:sz w:val="20"/>
        </w:rPr>
        <w:t>Sellega seoses on eeskujuks Belgia, Iirimaa ja Ühendkuningriik. Head tulemused on ka Saksamaal, Kreekal, Hispaanial, Prantsusmaal, Leedul, Luksemburgil, Rumeenial, Sloveenial ja Rootsil.</w:t>
      </w:r>
    </w:p>
    <w:p w14:paraId="6509042B" w14:textId="386DC684" w:rsidR="005B15B7" w:rsidRPr="009306D5" w:rsidRDefault="005B15B7" w:rsidP="005B15B7">
      <w:pPr>
        <w:rPr>
          <w:rFonts w:cs="Times New Roman"/>
          <w:noProof/>
          <w:sz w:val="20"/>
        </w:rPr>
      </w:pPr>
      <w:r w:rsidRPr="009306D5">
        <w:rPr>
          <w:noProof/>
          <w:sz w:val="20"/>
        </w:rPr>
        <w:t>Seoses tasumata käibemaksuvõlaga, st käibemaksuvõla kogusumma osakaaluga kogu maksutulus aasta lõpu seisuga, täheldati enamikus liikmesriikides mõningat positiivset suundumust. Välja arvatud Kreeka, Küpros, Madalmaad ja Ühendkuningriik, ilmnes arvutuse tegemiseks täielikke või osalisi andmeid esitanud liikmesriikides</w:t>
      </w:r>
      <w:r w:rsidRPr="009306D5">
        <w:rPr>
          <w:rStyle w:val="FootnoteReference"/>
          <w:rFonts w:cs="Times New Roman"/>
          <w:noProof/>
          <w:sz w:val="20"/>
          <w:lang w:eastAsia="ja-JP"/>
        </w:rPr>
        <w:footnoteReference w:id="24"/>
      </w:r>
      <w:r w:rsidRPr="009306D5">
        <w:rPr>
          <w:noProof/>
          <w:sz w:val="20"/>
        </w:rPr>
        <w:t xml:space="preserve"> positiivne suundumus. Käibemaksuvõlg oli üle ELi keskmise Kreekas, Küprosel, Maltal, Poolas ja Slovakkias.</w:t>
      </w:r>
    </w:p>
    <w:p w14:paraId="25F1E587" w14:textId="77777777" w:rsidR="005B15B7" w:rsidRPr="009306D5" w:rsidRDefault="005B15B7" w:rsidP="005B15B7">
      <w:pPr>
        <w:spacing w:after="0"/>
        <w:rPr>
          <w:rFonts w:cs="Times New Roman"/>
          <w:noProof/>
          <w:sz w:val="20"/>
        </w:rPr>
      </w:pPr>
      <w:r w:rsidRPr="009306D5">
        <w:rPr>
          <w:noProof/>
          <w:sz w:val="20"/>
        </w:rPr>
        <w:t>Poola teatas, et suure käibemaksuvõla üks kõige tõenäolisemaid põhjuseid on see, et käibemaksualaseid maksuotsuseid tehti maksueeskirjade tõsiste rikkumiste ja nende maksumaksjate suhtes, kellel ei olnud pangakontodel vara või muid rahalisi vahendeid. Selline olukord võib esineda ka teistes suhteliselt kõrge käibemaksutasemega liikmesriikides, mis õigustab soovitust jälgida käibemaksuvõlgu ja olla valmis viivitamata tegutsema, kui käibemaks pole seadusjärgseks tähtpäevaks tasutud.</w:t>
      </w:r>
    </w:p>
    <w:p w14:paraId="4BFF21D7" w14:textId="77777777" w:rsidR="005B15B7" w:rsidRPr="009306D5" w:rsidRDefault="005B15B7" w:rsidP="000D13AA">
      <w:pPr>
        <w:pStyle w:val="Heading2"/>
        <w:numPr>
          <w:ilvl w:val="1"/>
          <w:numId w:val="32"/>
        </w:numPr>
        <w:rPr>
          <w:noProof/>
        </w:rPr>
      </w:pPr>
      <w:bookmarkStart w:id="1933" w:name="_Toc62138847"/>
      <w:bookmarkStart w:id="1934" w:name="_Toc65836483"/>
      <w:bookmarkStart w:id="1935" w:name="_Toc66116424"/>
      <w:bookmarkStart w:id="1936" w:name="_Toc66202093"/>
      <w:bookmarkStart w:id="1937" w:name="_Toc67414270"/>
      <w:bookmarkStart w:id="1938" w:name="_Toc67415196"/>
      <w:bookmarkStart w:id="1939" w:name="_Toc67415361"/>
      <w:bookmarkStart w:id="1940" w:name="_Toc67415641"/>
      <w:bookmarkStart w:id="1941" w:name="_Toc67415902"/>
      <w:bookmarkStart w:id="1942" w:name="_Toc69994948"/>
      <w:bookmarkStart w:id="1943" w:name="_Toc82790296"/>
      <w:bookmarkStart w:id="1944" w:name="_Toc82792865"/>
      <w:bookmarkStart w:id="1945" w:name="_Toc90291260"/>
      <w:bookmarkStart w:id="1946" w:name="_Toc95812974"/>
      <w:r w:rsidRPr="009306D5">
        <w:rPr>
          <w:noProof/>
        </w:rPr>
        <w:t>Käibemaksu tagastamine</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14:paraId="15C21EFB" w14:textId="704832A4" w:rsidR="005B15B7" w:rsidRPr="009306D5" w:rsidRDefault="005B15B7" w:rsidP="005B15B7">
      <w:pPr>
        <w:rPr>
          <w:rFonts w:cs="Times New Roman"/>
          <w:noProof/>
          <w:sz w:val="20"/>
        </w:rPr>
      </w:pPr>
      <w:r w:rsidRPr="009306D5">
        <w:rPr>
          <w:noProof/>
          <w:sz w:val="20"/>
        </w:rPr>
        <w:t>Arvepõhise sisendkäibemaksu mahaarvamisega käibemaksusüsteemi üks põhitunnuseid on see, et ainult oste tegevad maksumaksjad maksavad märkimisväärseid käibemaksusummasid. Keskmiselt tagastatakse ELi tasandil umbes kolmandik tasutud käibemaksust. Üldtunnustatud reegel on, et käibemaks tuleb tagastada viivitamata pärast seda, kui on kätte saadud käibedeklaratsioonid, mille alusel tekib enammakstud käibemaks. Tegelikult „on sisendkäibemaksu tagasimaksmine olnud käibemaksusüsteemi Achilleuse kand [...] ja toonud kaasa keerukad haldusmeetmed, mis on märkimisväärselt kahjustanud käibemaksusüsteemi toimimist“ (IMF).</w:t>
      </w:r>
    </w:p>
    <w:p w14:paraId="532B4FE9" w14:textId="1CCBB2EB" w:rsidR="005B15B7" w:rsidRPr="009306D5" w:rsidRDefault="005B15B7" w:rsidP="005B15B7">
      <w:pPr>
        <w:rPr>
          <w:rFonts w:cs="Times New Roman"/>
          <w:noProof/>
          <w:sz w:val="20"/>
        </w:rPr>
      </w:pPr>
      <w:r w:rsidRPr="009306D5">
        <w:rPr>
          <w:noProof/>
          <w:sz w:val="20"/>
        </w:rPr>
        <w:t>Õiguspärase maksutagastuse viivitamata tasumine koos kaitsemeetmetega maksete vältimiseks, kui tegemist on pettusega seotud tagastamisnõuetega, on seega usaldusväärse käibemaksuhalduse protsessi jaoks väga oluline ja tugevdab maksukuulekust.</w:t>
      </w:r>
    </w:p>
    <w:p w14:paraId="3FA5777C" w14:textId="77777777" w:rsidR="005B15B7" w:rsidRPr="009306D5" w:rsidRDefault="005B15B7" w:rsidP="005B15B7">
      <w:pPr>
        <w:rPr>
          <w:rFonts w:cs="Times New Roman"/>
          <w:noProof/>
          <w:sz w:val="20"/>
        </w:rPr>
      </w:pPr>
      <w:r w:rsidRPr="009306D5">
        <w:rPr>
          <w:noProof/>
          <w:sz w:val="20"/>
        </w:rPr>
        <w:t>Üldiselt tehakse tagasimaksed õigel ajal. Mitu liikmesriiki (Bulgaaria, Saksamaa, Hispaania, Prantsusmaa, Horvaatia, Läti, Luksemburg, Ungari, Madalmaad, Poola, Soome ja Rootsi) ei suutnud esitada vajalikke andmeid tagasimaksete õigeaegse tasumise määra arvutamiseks, kuigi enamik neist vastas jaatavalt küsimusele, kas nad „jälgivad (nt iga kuu) korrapäraselt käibemaksu tagastamiseks või tasaarveldamiseks kuluvat aega“ (vt allpool joonis 44).</w:t>
      </w:r>
    </w:p>
    <w:p w14:paraId="49E5A1B8" w14:textId="1F8567FC" w:rsidR="005B15B7" w:rsidRPr="009306D5" w:rsidRDefault="005B15B7" w:rsidP="00FE0EC3">
      <w:pPr>
        <w:pStyle w:val="Caption"/>
      </w:pPr>
      <w:bookmarkStart w:id="1947" w:name="_Toc62138808"/>
      <w:bookmarkStart w:id="1948" w:name="_Toc95816270"/>
      <w:r w:rsidRPr="009306D5">
        <w:t>Joonis </w:t>
      </w:r>
      <w:r w:rsidRPr="009306D5">
        <w:fldChar w:fldCharType="begin"/>
      </w:r>
      <w:r w:rsidRPr="009306D5">
        <w:instrText xml:space="preserve"> SEQ Figure \* ARABIC </w:instrText>
      </w:r>
      <w:r w:rsidRPr="009306D5">
        <w:fldChar w:fldCharType="separate"/>
      </w:r>
      <w:r w:rsidR="008A2E1E" w:rsidRPr="009306D5">
        <w:t>43</w:t>
      </w:r>
      <w:r w:rsidRPr="009306D5">
        <w:fldChar w:fldCharType="end"/>
      </w:r>
      <w:r w:rsidRPr="009306D5">
        <w:t>. Seadusega ettenähtud kuupäevaks tehtud käibemaksutagastuste (väärtusena) protsent (ELi keskmine)</w:t>
      </w:r>
      <w:bookmarkEnd w:id="1947"/>
      <w:bookmarkEnd w:id="1948"/>
    </w:p>
    <w:p w14:paraId="0979E93D" w14:textId="6B9B736F" w:rsidR="005B15B7" w:rsidRPr="009306D5" w:rsidRDefault="00221F20" w:rsidP="00EF59B5">
      <w:pPr>
        <w:pStyle w:val="FIgure"/>
        <w:rPr>
          <w:rFonts w:cs="Times New Roman"/>
          <w:sz w:val="20"/>
        </w:rPr>
      </w:pPr>
      <w:r w:rsidRPr="009306D5">
        <w:rPr>
          <w:lang w:val="en-GB"/>
        </w:rPr>
        <w:drawing>
          <wp:inline distT="0" distB="0" distL="0" distR="0" wp14:anchorId="043A46E3" wp14:editId="5D459E73">
            <wp:extent cx="5760085" cy="1714500"/>
            <wp:effectExtent l="0" t="0" r="0" b="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4F57106"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76FDBEEE" w14:textId="6744FC80" w:rsidR="005B15B7" w:rsidRPr="009306D5" w:rsidRDefault="005B15B7" w:rsidP="005B15B7">
      <w:pPr>
        <w:rPr>
          <w:rFonts w:cs="Times New Roman"/>
          <w:noProof/>
          <w:sz w:val="20"/>
        </w:rPr>
      </w:pPr>
      <w:r w:rsidRPr="009306D5">
        <w:rPr>
          <w:noProof/>
          <w:sz w:val="20"/>
        </w:rPr>
        <w:t>Nende maksuhaldurite hulgas, kes tegid kättesaadavaks andmed seadusega ettenähtud kuupäevaks tehtud käibemaksutagastuste kohta, olid Küprose, Kreeka, Malta ja Rumeenia tulemused alla ELi keskmise. Siiski oli õigeaegselt tehtud käibemaksutagastuste osas negatiivne suundumus vaid Maltal ja Rumeenias.</w:t>
      </w:r>
    </w:p>
    <w:p w14:paraId="7F92A2CC" w14:textId="77777777" w:rsidR="005B15B7" w:rsidRPr="009306D5" w:rsidRDefault="005B15B7" w:rsidP="005B15B7">
      <w:pPr>
        <w:rPr>
          <w:rFonts w:cs="Times New Roman"/>
          <w:noProof/>
          <w:sz w:val="20"/>
        </w:rPr>
      </w:pPr>
      <w:r w:rsidRPr="009306D5">
        <w:rPr>
          <w:noProof/>
          <w:sz w:val="20"/>
        </w:rPr>
        <w:t>Tagasimaksete menetlemisel esineb viivitusi tavaliselt siis, kui riigieelarved on surve all ja maksude kogumise eesmärke ei täideta. Maksuhalduritel ja rahandusministeeriumidel peavad olema sobivad prognoosi- ja järelevalvesüsteemid, et prognoosida tagasimaksete taset ja eraldada piisavalt vahendeid, et rahuldada õigustatud tagastamisnõudeid siis, kui need tekivad.</w:t>
      </w:r>
    </w:p>
    <w:p w14:paraId="377C7381" w14:textId="41157C1C" w:rsidR="005B15B7" w:rsidRPr="009306D5" w:rsidRDefault="005B15B7" w:rsidP="00FE0EC3">
      <w:pPr>
        <w:pStyle w:val="Recommendation"/>
      </w:pPr>
      <w:bookmarkStart w:id="1949" w:name="_Toc65673343"/>
      <w:bookmarkStart w:id="1950" w:name="_Toc95816217"/>
      <w:r w:rsidRPr="009306D5">
        <w:t xml:space="preserve">Soovitus </w:t>
      </w:r>
      <w:r w:rsidRPr="009306D5">
        <w:fldChar w:fldCharType="begin"/>
      </w:r>
      <w:r w:rsidRPr="009306D5">
        <w:instrText>SEQ Recommendation \* ARABIC</w:instrText>
      </w:r>
      <w:r w:rsidRPr="009306D5">
        <w:fldChar w:fldCharType="separate"/>
      </w:r>
      <w:bookmarkStart w:id="1951" w:name="_Toc65778314"/>
      <w:bookmarkStart w:id="1952" w:name="_Toc66116367"/>
      <w:r w:rsidR="008A2E1E" w:rsidRPr="009306D5">
        <w:t>29</w:t>
      </w:r>
      <w:r w:rsidRPr="009306D5">
        <w:fldChar w:fldCharType="end"/>
      </w:r>
      <w:bookmarkEnd w:id="1949"/>
      <w:r w:rsidRPr="009306D5">
        <w:t>. Teha õiguspärased maksutagastused viivitamata, kehtestades samal ajal menetlused, et vältida pettusega seotud maksutagastusnõuete rahuldamist.</w:t>
      </w:r>
      <w:bookmarkEnd w:id="1951"/>
      <w:bookmarkEnd w:id="1952"/>
      <w:bookmarkEnd w:id="1950"/>
    </w:p>
    <w:p w14:paraId="3C67FE65" w14:textId="77777777" w:rsidR="005B15B7" w:rsidRPr="009306D5" w:rsidRDefault="005B15B7" w:rsidP="005B15B7">
      <w:pPr>
        <w:rPr>
          <w:rFonts w:cs="Times New Roman"/>
          <w:noProof/>
          <w:sz w:val="20"/>
        </w:rPr>
      </w:pPr>
      <w:r w:rsidRPr="009306D5">
        <w:rPr>
          <w:noProof/>
          <w:sz w:val="20"/>
        </w:rPr>
        <w:t xml:space="preserve">„Kui maksuhaldurid keelduvad rahuldamast õiguspäraseid tagastamisnõudeid õigel ajal, muutub käibemaksu olemus osaliselt lõpptarbimismaksust tootmismaksuks“ (IMF). Lisaks käibemaksukohustuslasena registreerimise etapis tehtavatele kontrollidele, nagu näiteks isikusamasuse tõendamise kontroll (vt 3. osa joonis 9), võib kiire käibemaksutagastuse heade tavade kohta tuua muu hulgas järgmisi näiteid: </w:t>
      </w:r>
    </w:p>
    <w:p w14:paraId="7C973D0F" w14:textId="77777777" w:rsidR="005B15B7" w:rsidRPr="009306D5" w:rsidRDefault="005B15B7" w:rsidP="000D13AA">
      <w:pPr>
        <w:pStyle w:val="ListParagraph"/>
        <w:numPr>
          <w:ilvl w:val="0"/>
          <w:numId w:val="24"/>
        </w:numPr>
        <w:rPr>
          <w:noProof/>
          <w:sz w:val="20"/>
        </w:rPr>
      </w:pPr>
      <w:r w:rsidRPr="009306D5">
        <w:rPr>
          <w:noProof/>
          <w:sz w:val="20"/>
        </w:rPr>
        <w:t>spetsiaalsete käibemaksutagastuse üksuste olemasolu;</w:t>
      </w:r>
    </w:p>
    <w:p w14:paraId="510E5685" w14:textId="77777777" w:rsidR="005B15B7" w:rsidRPr="009306D5" w:rsidRDefault="005B15B7" w:rsidP="000D13AA">
      <w:pPr>
        <w:pStyle w:val="ListParagraph"/>
        <w:numPr>
          <w:ilvl w:val="0"/>
          <w:numId w:val="24"/>
        </w:numPr>
        <w:rPr>
          <w:noProof/>
          <w:sz w:val="20"/>
        </w:rPr>
      </w:pPr>
      <w:r w:rsidRPr="009306D5">
        <w:rPr>
          <w:noProof/>
          <w:sz w:val="20"/>
        </w:rPr>
        <w:t>erimenetlus väikese riskiga käibemaksu tagastusnõuete jaoks (nt spetsiaalne automatiseeritud tarkvara, millega vaadatakse läbi käibemaksu tagastusnõuded riskikriteeriumide alusel, et eristada hea maksukäitumisega taotlejat halva või teadmata maksukäitumisega taotlejast);</w:t>
      </w:r>
    </w:p>
    <w:p w14:paraId="2E19FFB7" w14:textId="77777777" w:rsidR="005B15B7" w:rsidRPr="009306D5" w:rsidRDefault="005B15B7" w:rsidP="000D13AA">
      <w:pPr>
        <w:pStyle w:val="ListParagraph"/>
        <w:numPr>
          <w:ilvl w:val="0"/>
          <w:numId w:val="24"/>
        </w:numPr>
        <w:rPr>
          <w:noProof/>
          <w:sz w:val="20"/>
        </w:rPr>
      </w:pPr>
      <w:r w:rsidRPr="009306D5">
        <w:rPr>
          <w:noProof/>
          <w:sz w:val="20"/>
        </w:rPr>
        <w:t>erimeetmed eksportijate esitatud käibemaksu tagastusnõuete käsitlemiseks;</w:t>
      </w:r>
    </w:p>
    <w:p w14:paraId="3673C953" w14:textId="77777777" w:rsidR="005B15B7" w:rsidRPr="009306D5" w:rsidRDefault="005B15B7" w:rsidP="000D13AA">
      <w:pPr>
        <w:pStyle w:val="ListParagraph"/>
        <w:numPr>
          <w:ilvl w:val="0"/>
          <w:numId w:val="24"/>
        </w:numPr>
        <w:rPr>
          <w:noProof/>
          <w:sz w:val="20"/>
        </w:rPr>
      </w:pPr>
      <w:r w:rsidRPr="009306D5">
        <w:rPr>
          <w:noProof/>
          <w:sz w:val="20"/>
        </w:rPr>
        <w:t>tagasimaksete elektrooniline maksmine otsekorraldusega maksumaksja pangakontole;</w:t>
      </w:r>
    </w:p>
    <w:p w14:paraId="12FF57B0" w14:textId="77777777" w:rsidR="005B15B7" w:rsidRPr="009306D5" w:rsidRDefault="005B15B7" w:rsidP="000D13AA">
      <w:pPr>
        <w:pStyle w:val="ListParagraph"/>
        <w:numPr>
          <w:ilvl w:val="0"/>
          <w:numId w:val="24"/>
        </w:numPr>
        <w:rPr>
          <w:noProof/>
          <w:sz w:val="20"/>
        </w:rPr>
      </w:pPr>
      <w:r w:rsidRPr="009306D5">
        <w:rPr>
          <w:noProof/>
          <w:sz w:val="20"/>
        </w:rPr>
        <w:t>käibemaksu tagastamiseks või tasaarveldamiseks kuluva aja korrapärane jälgimine.</w:t>
      </w:r>
    </w:p>
    <w:p w14:paraId="68D3A8F1" w14:textId="186FA559" w:rsidR="005B15B7" w:rsidRPr="009306D5" w:rsidRDefault="005B15B7" w:rsidP="00FE0EC3">
      <w:pPr>
        <w:pStyle w:val="Caption"/>
      </w:pPr>
      <w:bookmarkStart w:id="1953" w:name="_Toc95816271"/>
      <w:bookmarkStart w:id="1954" w:name="_Toc62138809"/>
      <w:r w:rsidRPr="009306D5">
        <w:t>Joonis </w:t>
      </w:r>
      <w:r w:rsidRPr="009306D5">
        <w:fldChar w:fldCharType="begin"/>
      </w:r>
      <w:r w:rsidRPr="009306D5">
        <w:instrText xml:space="preserve"> SEQ Figure \* ARABIC </w:instrText>
      </w:r>
      <w:r w:rsidRPr="009306D5">
        <w:fldChar w:fldCharType="separate"/>
      </w:r>
      <w:r w:rsidR="008A2E1E" w:rsidRPr="009306D5">
        <w:t>44</w:t>
      </w:r>
      <w:r w:rsidRPr="009306D5">
        <w:fldChar w:fldCharType="end"/>
      </w:r>
      <w:r w:rsidRPr="009306D5">
        <w:t>. Käibemaksutagastuse süsteemid ELi liikmesriikides</w:t>
      </w:r>
      <w:bookmarkEnd w:id="1953"/>
    </w:p>
    <w:p w14:paraId="4495B7DE" w14:textId="32E4B09D" w:rsidR="00C10D0F" w:rsidRPr="009306D5" w:rsidRDefault="00C10D0F" w:rsidP="00F63D2F">
      <w:pPr>
        <w:pStyle w:val="Question"/>
        <w:rPr>
          <w:noProof/>
        </w:rPr>
      </w:pPr>
      <w:r w:rsidRPr="009306D5">
        <w:rPr>
          <w:noProof/>
        </w:rPr>
        <w:t>Küsimus 6.3. „Õiguspäraste käibemaksutagastuste kiire tasumise tagamiseks on teie maksuhalduritel [...] (Vastuseid võib olla mitu)“</w:t>
      </w:r>
    </w:p>
    <w:p w14:paraId="1B05139F" w14:textId="56935DBB" w:rsidR="005B15B7" w:rsidRPr="009306D5" w:rsidRDefault="00D2626C" w:rsidP="00EF59B5">
      <w:pPr>
        <w:pStyle w:val="FIgure"/>
      </w:pPr>
      <w:r w:rsidRPr="009306D5">
        <w:rPr>
          <w:lang w:val="en-GB"/>
        </w:rPr>
        <w:drawing>
          <wp:inline distT="0" distB="0" distL="0" distR="0" wp14:anchorId="6E7FAC5E" wp14:editId="59E9F7D7">
            <wp:extent cx="5760085" cy="33045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085" cy="3304540"/>
                    </a:xfrm>
                    <a:prstGeom prst="rect">
                      <a:avLst/>
                    </a:prstGeom>
                  </pic:spPr>
                </pic:pic>
              </a:graphicData>
            </a:graphic>
          </wp:inline>
        </w:drawing>
      </w:r>
      <w:r w:rsidR="00F63D2F" w:rsidRPr="009306D5">
        <w:t xml:space="preserve"> </w:t>
      </w:r>
      <w:bookmarkEnd w:id="1954"/>
    </w:p>
    <w:p w14:paraId="2CCE8E15"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0B2D94DF" w14:textId="1B950F03" w:rsidR="005B15B7" w:rsidRPr="009306D5" w:rsidRDefault="005B15B7" w:rsidP="00FE0EC3">
      <w:pPr>
        <w:pStyle w:val="Recommendation"/>
      </w:pPr>
      <w:bookmarkStart w:id="1955" w:name="_Toc95816218"/>
      <w:bookmarkStart w:id="1956" w:name="_Toc65673344"/>
      <w:r w:rsidRPr="009306D5">
        <w:t xml:space="preserve">Soovitus </w:t>
      </w:r>
      <w:r w:rsidRPr="009306D5">
        <w:fldChar w:fldCharType="begin"/>
      </w:r>
      <w:r w:rsidRPr="009306D5">
        <w:instrText>SEQ Recommendation \* ARABIC</w:instrText>
      </w:r>
      <w:r w:rsidRPr="009306D5">
        <w:fldChar w:fldCharType="separate"/>
      </w:r>
      <w:bookmarkStart w:id="1957" w:name="_Toc65778315"/>
      <w:bookmarkStart w:id="1958" w:name="_Toc66116368"/>
      <w:r w:rsidR="008A2E1E" w:rsidRPr="009306D5">
        <w:t>30</w:t>
      </w:r>
      <w:r w:rsidRPr="009306D5">
        <w:fldChar w:fldCharType="end"/>
      </w:r>
      <w:r w:rsidRPr="009306D5">
        <w:t xml:space="preserve">. Rakendada täheldatud häid tavasid, </w:t>
      </w:r>
      <w:bookmarkEnd w:id="1957"/>
      <w:bookmarkEnd w:id="1958"/>
      <w:r w:rsidRPr="009306D5">
        <w:t>kui käibemaksutagastusi tehakse suures mahus pärast seadusjärgset kuupäeva.</w:t>
      </w:r>
      <w:bookmarkEnd w:id="1955"/>
    </w:p>
    <w:p w14:paraId="2E4D30F8" w14:textId="3CD732F8" w:rsidR="005B15B7" w:rsidRPr="009306D5" w:rsidRDefault="005B15B7" w:rsidP="00FE0EC3">
      <w:pPr>
        <w:pStyle w:val="Recommendation"/>
      </w:pPr>
      <w:bookmarkStart w:id="1959" w:name="_Toc95816219"/>
      <w:bookmarkEnd w:id="1956"/>
      <w:r w:rsidRPr="009306D5">
        <w:t xml:space="preserve">Soovitus </w:t>
      </w:r>
      <w:r w:rsidRPr="009306D5">
        <w:fldChar w:fldCharType="begin"/>
      </w:r>
      <w:r w:rsidRPr="009306D5">
        <w:instrText>SEQ Recommendation \* ARABIC</w:instrText>
      </w:r>
      <w:r w:rsidRPr="009306D5">
        <w:fldChar w:fldCharType="separate"/>
      </w:r>
      <w:bookmarkStart w:id="1960" w:name="_Toc65778316"/>
      <w:bookmarkStart w:id="1961" w:name="_Toc66116369"/>
      <w:r w:rsidR="008A2E1E" w:rsidRPr="009306D5">
        <w:t>31</w:t>
      </w:r>
      <w:r w:rsidRPr="009306D5">
        <w:fldChar w:fldCharType="end"/>
      </w:r>
      <w:r w:rsidRPr="009306D5">
        <w:t xml:space="preserve">. </w:t>
      </w:r>
      <w:bookmarkStart w:id="1962" w:name="_Toc65673345"/>
      <w:r w:rsidRPr="009306D5">
        <w:t>Siduda tagastamisprotsess registreerimiskomponendiga (kontrollida maksumaksjate identiteeti, et takistada fiktiivsetel ettevõtjatel käibemaksusüsteemi siseneda) ja integreerida see oma maksukuulekuse riskide juhtimise süsteemiga</w:t>
      </w:r>
      <w:bookmarkEnd w:id="1962"/>
      <w:bookmarkEnd w:id="1960"/>
      <w:bookmarkEnd w:id="1961"/>
      <w:r w:rsidRPr="009306D5">
        <w:t>.</w:t>
      </w:r>
      <w:bookmarkEnd w:id="1959"/>
    </w:p>
    <w:p w14:paraId="625C6565" w14:textId="77777777" w:rsidR="005B15B7" w:rsidRPr="009306D5" w:rsidRDefault="005B15B7" w:rsidP="000D13AA">
      <w:pPr>
        <w:pStyle w:val="Heading2"/>
        <w:numPr>
          <w:ilvl w:val="1"/>
          <w:numId w:val="32"/>
        </w:numPr>
        <w:rPr>
          <w:noProof/>
        </w:rPr>
      </w:pPr>
      <w:bookmarkStart w:id="1963" w:name="_Toc62138848"/>
      <w:bookmarkStart w:id="1964" w:name="_Toc65836484"/>
      <w:bookmarkStart w:id="1965" w:name="_Toc66116425"/>
      <w:bookmarkStart w:id="1966" w:name="_Toc66202094"/>
      <w:bookmarkStart w:id="1967" w:name="_Toc67414271"/>
      <w:bookmarkStart w:id="1968" w:name="_Toc67415197"/>
      <w:bookmarkStart w:id="1969" w:name="_Toc67415362"/>
      <w:bookmarkStart w:id="1970" w:name="_Toc67415642"/>
      <w:bookmarkStart w:id="1971" w:name="_Toc67415903"/>
      <w:bookmarkStart w:id="1972" w:name="_Toc69994949"/>
      <w:bookmarkStart w:id="1973" w:name="_Toc82790297"/>
      <w:bookmarkStart w:id="1974" w:name="_Toc82792866"/>
      <w:bookmarkStart w:id="1975" w:name="_Toc90291261"/>
      <w:bookmarkStart w:id="1976" w:name="_Toc95812975"/>
      <w:r w:rsidRPr="009306D5">
        <w:rPr>
          <w:noProof/>
        </w:rPr>
        <w:t>Täieliku aruandluse kohustused: käibemaksuauditid</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0DAAC297" w14:textId="77777777" w:rsidR="005B15B7" w:rsidRPr="009306D5" w:rsidRDefault="005B15B7" w:rsidP="005B15B7">
      <w:pPr>
        <w:rPr>
          <w:rFonts w:cs="Times New Roman"/>
          <w:noProof/>
          <w:sz w:val="20"/>
        </w:rPr>
      </w:pPr>
      <w:r w:rsidRPr="009306D5">
        <w:rPr>
          <w:noProof/>
          <w:sz w:val="20"/>
        </w:rPr>
        <w:t>Käibemaksukohustuslased peaksid esitama oma maksudeklaratsioonides täieliku ja täpse teabe ning maksuhaldurid peaksid korrapäraselt jälgima ebaõige aruandluse tõttu saamata jäänud maksutulu. Ebatäpne käibemaksuaruandlus, mis hõlmab ettevõtjatest maksumaksjatele omaseid suuremaid summasid, võib kaasa tuua väga tõsiseid tagajärgi. Käibemaksuauditid ja muud kontrollitoimingud edendavad täpset aruandlust ja vähendavad maksupettusi. Auditid täiendavad teisi, ennetavamaid maksumaksja abistamisele suunatud algatusi (vt punkt 5).</w:t>
      </w:r>
    </w:p>
    <w:p w14:paraId="6AF7C7BC" w14:textId="18B6289C" w:rsidR="005B15B7" w:rsidRPr="009306D5" w:rsidRDefault="005B15B7" w:rsidP="005B15B7">
      <w:pPr>
        <w:rPr>
          <w:rFonts w:cs="Times New Roman"/>
          <w:noProof/>
          <w:sz w:val="20"/>
        </w:rPr>
      </w:pPr>
      <w:r w:rsidRPr="009306D5">
        <w:rPr>
          <w:noProof/>
          <w:sz w:val="20"/>
        </w:rPr>
        <w:t>Kontrollitoimingutel, nagu maksuauditid, uurimised ja tulude võrdlemine kolmandate isikute teabeallikatega, on kolm eesmärki: 1) parandav (võib kaaluda täiendavaid maksukaristusi lahknevuste korrigeerimiseks), 2) ennetav (tajutaval avastamise tõenäosusel on hoiatav mõju, mis vähendab deklaratsiooni esitamata jätmist või ebatäpse deklaratsiooni esitamist) ja 3) informatiivne (maksuga seotud teabe kogumine)</w:t>
      </w:r>
      <w:r w:rsidRPr="009306D5">
        <w:rPr>
          <w:rStyle w:val="FootnoteReference"/>
          <w:rFonts w:cs="Times New Roman"/>
          <w:noProof/>
          <w:sz w:val="20"/>
        </w:rPr>
        <w:footnoteReference w:id="25"/>
      </w:r>
      <w:r w:rsidRPr="009306D5">
        <w:rPr>
          <w:noProof/>
          <w:sz w:val="20"/>
        </w:rPr>
        <w:t>. Selle strateegilise lähenemisviisi puhul tuleb arvesse võtta mitut elementi:</w:t>
      </w:r>
    </w:p>
    <w:p w14:paraId="3EB66FEF" w14:textId="77777777" w:rsidR="005B15B7" w:rsidRPr="009306D5" w:rsidRDefault="005B15B7" w:rsidP="000D13AA">
      <w:pPr>
        <w:pStyle w:val="ListParagraph"/>
        <w:numPr>
          <w:ilvl w:val="0"/>
          <w:numId w:val="26"/>
        </w:numPr>
        <w:rPr>
          <w:noProof/>
          <w:sz w:val="20"/>
        </w:rPr>
      </w:pPr>
      <w:r w:rsidRPr="009306D5">
        <w:rPr>
          <w:noProof/>
          <w:sz w:val="20"/>
        </w:rPr>
        <w:t>käibemaksuaudit peab põhinema terviklikul aastakaval, mille vaatab läbi kõrgem juhtkond;</w:t>
      </w:r>
    </w:p>
    <w:p w14:paraId="77F0E861" w14:textId="77777777" w:rsidR="005B15B7" w:rsidRPr="009306D5" w:rsidRDefault="005B15B7" w:rsidP="000D13AA">
      <w:pPr>
        <w:pStyle w:val="ListParagraph"/>
        <w:numPr>
          <w:ilvl w:val="0"/>
          <w:numId w:val="26"/>
        </w:numPr>
        <w:rPr>
          <w:noProof/>
          <w:sz w:val="20"/>
        </w:rPr>
      </w:pPr>
      <w:r w:rsidRPr="009306D5">
        <w:rPr>
          <w:noProof/>
          <w:sz w:val="20"/>
        </w:rPr>
        <w:t>olemas peaksid olema konkreetsed protseduurid ja eelistatavalt auditi käsiraamat ning neid tuleks kasutada;</w:t>
      </w:r>
    </w:p>
    <w:p w14:paraId="700FD928" w14:textId="77777777" w:rsidR="005B15B7" w:rsidRPr="009306D5" w:rsidRDefault="005B15B7" w:rsidP="000D13AA">
      <w:pPr>
        <w:pStyle w:val="ListParagraph"/>
        <w:numPr>
          <w:ilvl w:val="0"/>
          <w:numId w:val="26"/>
        </w:numPr>
        <w:rPr>
          <w:noProof/>
          <w:sz w:val="20"/>
        </w:rPr>
      </w:pPr>
      <w:r w:rsidRPr="009306D5">
        <w:rPr>
          <w:noProof/>
          <w:sz w:val="20"/>
        </w:rPr>
        <w:t>tuleb kehtestada eri tööstusharude/sektorite (nt turism, ehitus, telekommunikatsioon) eripäradele kohandatud erijuhised;</w:t>
      </w:r>
    </w:p>
    <w:p w14:paraId="2B0AC08E" w14:textId="77777777" w:rsidR="005B15B7" w:rsidRPr="009306D5" w:rsidRDefault="005B15B7" w:rsidP="000D13AA">
      <w:pPr>
        <w:pStyle w:val="ListParagraph"/>
        <w:numPr>
          <w:ilvl w:val="0"/>
          <w:numId w:val="26"/>
        </w:numPr>
        <w:rPr>
          <w:noProof/>
          <w:sz w:val="20"/>
        </w:rPr>
      </w:pPr>
      <w:r w:rsidRPr="009306D5">
        <w:rPr>
          <w:noProof/>
          <w:sz w:val="20"/>
        </w:rPr>
        <w:t>käibemaksuauditi protsess tuleks dokumenteerida ja selle kvaliteeti tuleks jälgida;</w:t>
      </w:r>
    </w:p>
    <w:p w14:paraId="5689C626" w14:textId="77777777" w:rsidR="005B15B7" w:rsidRPr="009306D5" w:rsidRDefault="005B15B7" w:rsidP="000D13AA">
      <w:pPr>
        <w:pStyle w:val="ListParagraph"/>
        <w:numPr>
          <w:ilvl w:val="0"/>
          <w:numId w:val="26"/>
        </w:numPr>
        <w:rPr>
          <w:noProof/>
          <w:sz w:val="20"/>
        </w:rPr>
      </w:pPr>
      <w:r w:rsidRPr="009306D5">
        <w:rPr>
          <w:noProof/>
          <w:sz w:val="20"/>
        </w:rPr>
        <w:t>audititegevuses tuleks kasutada spetsiaalset käibemaksuauditile kohandatud tarkvara;</w:t>
      </w:r>
    </w:p>
    <w:p w14:paraId="7E839357" w14:textId="77777777" w:rsidR="005B15B7" w:rsidRPr="009306D5" w:rsidRDefault="005B15B7" w:rsidP="000D13AA">
      <w:pPr>
        <w:pStyle w:val="ListParagraph"/>
        <w:numPr>
          <w:ilvl w:val="0"/>
          <w:numId w:val="26"/>
        </w:numPr>
        <w:rPr>
          <w:noProof/>
          <w:sz w:val="20"/>
        </w:rPr>
      </w:pPr>
      <w:r w:rsidRPr="009306D5">
        <w:rPr>
          <w:noProof/>
          <w:sz w:val="20"/>
        </w:rPr>
        <w:t>auditiprotsessis tuleks kasutada tehnoloogiat, mis võimaldab suures mahus võrrelda maksudeklaratsioonides esitatud summasid kolmandatelt isikutelt saadud teabega;</w:t>
      </w:r>
    </w:p>
    <w:p w14:paraId="18B87442" w14:textId="77777777" w:rsidR="005B15B7" w:rsidRPr="009306D5" w:rsidRDefault="005B15B7" w:rsidP="000D13AA">
      <w:pPr>
        <w:pStyle w:val="ListParagraph"/>
        <w:numPr>
          <w:ilvl w:val="0"/>
          <w:numId w:val="26"/>
        </w:numPr>
        <w:rPr>
          <w:noProof/>
          <w:sz w:val="20"/>
        </w:rPr>
      </w:pPr>
      <w:r w:rsidRPr="009306D5">
        <w:rPr>
          <w:noProof/>
          <w:sz w:val="20"/>
        </w:rPr>
        <w:t>mõnikord tuleb audit läbi viia koostöös teiste haldus- ja valitsusasutustega.</w:t>
      </w:r>
    </w:p>
    <w:p w14:paraId="7750C0FE" w14:textId="5B3F34DB" w:rsidR="005B15B7" w:rsidRPr="009306D5" w:rsidRDefault="005B15B7" w:rsidP="00FE0EC3">
      <w:pPr>
        <w:pStyle w:val="Caption"/>
      </w:pPr>
      <w:bookmarkStart w:id="1977" w:name="_Toc95816272"/>
      <w:r w:rsidRPr="009306D5">
        <w:t>Joonis </w:t>
      </w:r>
      <w:r w:rsidRPr="009306D5">
        <w:fldChar w:fldCharType="begin"/>
      </w:r>
      <w:r w:rsidRPr="009306D5">
        <w:instrText xml:space="preserve"> SEQ Figure \* ARABIC </w:instrText>
      </w:r>
      <w:r w:rsidRPr="009306D5">
        <w:fldChar w:fldCharType="separate"/>
      </w:r>
      <w:r w:rsidR="008A2E1E" w:rsidRPr="009306D5">
        <w:t>45</w:t>
      </w:r>
      <w:r w:rsidRPr="009306D5">
        <w:fldChar w:fldCharType="end"/>
      </w:r>
      <w:r w:rsidRPr="009306D5">
        <w:t>. ELi käibemaksuhaldurite tehtud käibemaksuauditi tunnused</w:t>
      </w:r>
      <w:bookmarkEnd w:id="1977"/>
    </w:p>
    <w:p w14:paraId="58995A5F" w14:textId="3ABB8E47" w:rsidR="00E87E16" w:rsidRPr="009306D5" w:rsidRDefault="00E87E16" w:rsidP="009F6CEA">
      <w:pPr>
        <w:pStyle w:val="Question"/>
        <w:rPr>
          <w:noProof/>
        </w:rPr>
      </w:pPr>
      <w:r w:rsidRPr="009306D5">
        <w:rPr>
          <w:noProof/>
        </w:rPr>
        <w:t>Küsimus 6.4. „Teie maksuhaldurite poolt läbi viidud käibemaksuaudit [...] (Vastuseid võib olla mitu)“</w:t>
      </w:r>
    </w:p>
    <w:p w14:paraId="7008D93D" w14:textId="1C04D3FE" w:rsidR="005B15B7" w:rsidRPr="009306D5" w:rsidRDefault="00284D58" w:rsidP="00EF59B5">
      <w:pPr>
        <w:pStyle w:val="FIgure"/>
      </w:pPr>
      <w:r w:rsidRPr="009306D5">
        <w:rPr>
          <w:lang w:val="en-GB"/>
        </w:rPr>
        <w:drawing>
          <wp:inline distT="0" distB="0" distL="0" distR="0" wp14:anchorId="00456655" wp14:editId="7A097B5D">
            <wp:extent cx="5760085" cy="55518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085" cy="5551805"/>
                    </a:xfrm>
                    <a:prstGeom prst="rect">
                      <a:avLst/>
                    </a:prstGeom>
                  </pic:spPr>
                </pic:pic>
              </a:graphicData>
            </a:graphic>
          </wp:inline>
        </w:drawing>
      </w:r>
      <w:r w:rsidR="009F6CEA" w:rsidRPr="009306D5">
        <w:t xml:space="preserve"> </w:t>
      </w:r>
    </w:p>
    <w:p w14:paraId="1E82FADD"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21DEB3F3" w14:textId="77777777" w:rsidR="005B15B7" w:rsidRPr="009306D5" w:rsidRDefault="005B15B7" w:rsidP="005B15B7">
      <w:pPr>
        <w:rPr>
          <w:rFonts w:cs="Times New Roman"/>
          <w:noProof/>
          <w:sz w:val="20"/>
        </w:rPr>
      </w:pPr>
      <w:r w:rsidRPr="009306D5">
        <w:rPr>
          <w:noProof/>
          <w:sz w:val="20"/>
        </w:rPr>
        <w:t>Üldiselt pööravad liikmesriigid käibemaksuauditi protsessile suurt tähelepanu. Küsitluse vastuste analüüs näitab, et Soome ja Rootsi auditisüsteemid hõlmavad kõiki eespool loetletud häid tavasid. Teiste liikmesriikide, näiteks Tšehhi, Leedu, Ungari, Poola, Slovakkia ja Ühendkuningriigi vastused näitavad häid tulemusi. Seevastu Malta (kes teatas eespool loetletud kaheksast heast tavast ainult ühest), Austria ja Prantsusmaa (teatasid kaheksast heast tavast kahest) võiksid teha täiendavaid jõupingutusi oma audititavade parandamiseks.</w:t>
      </w:r>
    </w:p>
    <w:p w14:paraId="77AA2593" w14:textId="77777777" w:rsidR="005B15B7" w:rsidRPr="009306D5" w:rsidRDefault="005B15B7" w:rsidP="005B15B7">
      <w:pPr>
        <w:rPr>
          <w:rFonts w:cs="Times New Roman"/>
          <w:noProof/>
          <w:sz w:val="20"/>
        </w:rPr>
      </w:pPr>
      <w:r w:rsidRPr="009306D5">
        <w:rPr>
          <w:noProof/>
          <w:sz w:val="20"/>
        </w:rPr>
        <w:t>Maksuhaldurid säilitavad käibemaksuauditiga seotud teavet tavaliselt spetsiaalsetes nõuetelevastavuse andmebaasides samade või nendega seotud maksumaksjate tulevaste auditite jaoks (kuna tihti on võimalik ühe maksumaksja auditeerimisel leida asjakohast teavet teise kohta). Lisaks tugevdab auditifunktsiooni maksumaksjate auditeerimine koos või koostöös teiste institutsioonidega ja/või käibemaksualaste andmete vahetamine teiste institutsioonidega.</w:t>
      </w:r>
    </w:p>
    <w:p w14:paraId="5570705D" w14:textId="77777777" w:rsidR="005B15B7" w:rsidRPr="009306D5" w:rsidRDefault="005B15B7" w:rsidP="005B15B7">
      <w:pPr>
        <w:rPr>
          <w:rFonts w:cs="Times New Roman"/>
          <w:noProof/>
          <w:sz w:val="20"/>
        </w:rPr>
      </w:pPr>
      <w:r w:rsidRPr="009306D5">
        <w:rPr>
          <w:noProof/>
          <w:sz w:val="20"/>
        </w:rPr>
        <w:t>Valdav enamik liikmesriike (21/28) teatas koostööst teiste valitsusasutustega, näiteks tolli (mõnikord maksuhaldusega ühendatud), kriminaaluurimise (politsei, prokurörid jne), tööinspektsiooni ja -kontrolli, sotsiaalinspektsiooni ja -kaitse ning isegi toidu- ja kemikaaliohutuse valdkonnas.</w:t>
      </w:r>
    </w:p>
    <w:p w14:paraId="55937248" w14:textId="77777777" w:rsidR="005B15B7" w:rsidRPr="009306D5" w:rsidRDefault="005B15B7" w:rsidP="005B15B7">
      <w:pPr>
        <w:rPr>
          <w:rFonts w:cs="Times New Roman"/>
          <w:noProof/>
          <w:sz w:val="20"/>
        </w:rPr>
      </w:pPr>
      <w:r w:rsidRPr="009306D5">
        <w:rPr>
          <w:noProof/>
          <w:sz w:val="20"/>
        </w:rPr>
        <w:t>Mitu liikmesriiki (nt Tšehhi, Prantsusmaa ja Slovakkia) on loonud spetsiaalselt käibemaksupettustevastase võitlusega tegelevate ministeeriumidevaheliste ja operatiivsete koordineerimisstruktuuride kaudu spetsiaalsed käibemaksu rakkerühmad. Prantsusmaal koondab maksualane töörühm regulaarselt kõiki Prantsuse maksuhalduri partnereid (kohus, politsei, toll ja rahapesu andmebürood) ning maksuauditite meeskondi, et teha käibemaksuauditi valdkonnas koostööd.</w:t>
      </w:r>
    </w:p>
    <w:p w14:paraId="14940D79" w14:textId="7E950A52" w:rsidR="005B15B7" w:rsidRPr="009306D5" w:rsidRDefault="005B15B7" w:rsidP="00FE0EC3">
      <w:pPr>
        <w:pStyle w:val="Recommendation"/>
      </w:pPr>
      <w:bookmarkStart w:id="1978" w:name="_Toc95816220"/>
      <w:r w:rsidRPr="009306D5">
        <w:t xml:space="preserve">Soovitus </w:t>
      </w:r>
      <w:r w:rsidRPr="009306D5">
        <w:fldChar w:fldCharType="begin"/>
      </w:r>
      <w:r w:rsidRPr="009306D5">
        <w:instrText>SEQ Recommendation \* ARABIC</w:instrText>
      </w:r>
      <w:r w:rsidRPr="009306D5">
        <w:fldChar w:fldCharType="separate"/>
      </w:r>
      <w:bookmarkStart w:id="1979" w:name="_Toc65778317"/>
      <w:bookmarkStart w:id="1980" w:name="_Toc66116370"/>
      <w:r w:rsidR="008A2E1E" w:rsidRPr="009306D5">
        <w:t>32</w:t>
      </w:r>
      <w:r w:rsidRPr="009306D5">
        <w:fldChar w:fldCharType="end"/>
      </w:r>
      <w:r w:rsidRPr="009306D5">
        <w:t xml:space="preserve">. </w:t>
      </w:r>
      <w:bookmarkStart w:id="1981" w:name="_Toc65673346"/>
      <w:r w:rsidRPr="009306D5">
        <w:t>Kasutada sektoripõhiseid auditijuhendeid, teha koostööd teiste asutustega, ajakohastada ja vaadata läbi auditikavasid ning jälgida auditifunktsiooni kvaliteeti vastavalt dokumenteeritud protsessile</w:t>
      </w:r>
      <w:bookmarkEnd w:id="1981"/>
      <w:bookmarkEnd w:id="1979"/>
      <w:bookmarkEnd w:id="1980"/>
      <w:r w:rsidRPr="009306D5">
        <w:t>.</w:t>
      </w:r>
      <w:bookmarkEnd w:id="1978"/>
    </w:p>
    <w:p w14:paraId="0ED5A238" w14:textId="77777777" w:rsidR="005B15B7" w:rsidRPr="009306D5" w:rsidRDefault="005B15B7" w:rsidP="005B15B7">
      <w:pPr>
        <w:rPr>
          <w:rFonts w:cs="Times New Roman"/>
          <w:noProof/>
          <w:sz w:val="20"/>
        </w:rPr>
      </w:pPr>
      <w:r w:rsidRPr="009306D5">
        <w:rPr>
          <w:noProof/>
          <w:sz w:val="20"/>
        </w:rPr>
        <w:t>Enamik tänapäevase käibemaksuauditi aspekte nõuab IT-seadmete ja spetsiaalse tarkvara kasutamist, alustades auditi valimist, mille koostamiseks tuleb maksumaksjad liigitada vastavalt konkreetsele riskile, millega nad tulude kogumist mõjutavad. Suure populatsiooni puhul ei saa juba sedagi ülesannet täita käsitsi.</w:t>
      </w:r>
    </w:p>
    <w:p w14:paraId="34BCE7DB" w14:textId="77777777" w:rsidR="005B15B7" w:rsidRPr="009306D5" w:rsidRDefault="005B15B7" w:rsidP="005B15B7">
      <w:pPr>
        <w:rPr>
          <w:rFonts w:cs="Times New Roman"/>
          <w:noProof/>
          <w:sz w:val="20"/>
        </w:rPr>
      </w:pPr>
      <w:r w:rsidRPr="009306D5">
        <w:rPr>
          <w:noProof/>
          <w:sz w:val="20"/>
        </w:rPr>
        <w:t>Üldiselt kasutavad maksuhaldurid spetsiaalset audititarkvara. Ainult kolm liikmesriiki (Taani, Sloveenia ja Ühendkuningriik) märkisid, et nad ei kasuta spetsiaalset tarkvara. Kokku 17 liikmesriiki kasutavad käibemaksuauditi lahendusi, mis on välja töötatud asutusesiseselt, eraldi või koos mõne muu spetsiaalse või üldtarkvaraga. Kolm liikmesriiki (Itaalia, Malta ja Madalmaad) märkisid, et nad kasutavad ainult ettevõttesisest tarkvara.</w:t>
      </w:r>
    </w:p>
    <w:p w14:paraId="4E178829" w14:textId="123DE489" w:rsidR="005B15B7" w:rsidRPr="009306D5" w:rsidRDefault="005B15B7" w:rsidP="00FE0EC3">
      <w:pPr>
        <w:pStyle w:val="Caption"/>
      </w:pPr>
      <w:bookmarkStart w:id="1982" w:name="_Toc95816273"/>
      <w:r w:rsidRPr="009306D5">
        <w:t>Joonis </w:t>
      </w:r>
      <w:r w:rsidRPr="009306D5">
        <w:fldChar w:fldCharType="begin"/>
      </w:r>
      <w:r w:rsidRPr="009306D5">
        <w:instrText xml:space="preserve"> SEQ Figure \* ARABIC </w:instrText>
      </w:r>
      <w:r w:rsidRPr="009306D5">
        <w:fldChar w:fldCharType="separate"/>
      </w:r>
      <w:r w:rsidR="008A2E1E" w:rsidRPr="009306D5">
        <w:t>46</w:t>
      </w:r>
      <w:r w:rsidRPr="009306D5">
        <w:fldChar w:fldCharType="end"/>
      </w:r>
      <w:r w:rsidRPr="009306D5">
        <w:t xml:space="preserve">. </w:t>
      </w:r>
      <w:bookmarkStart w:id="1983" w:name="_Toc62138811"/>
      <w:r w:rsidRPr="009306D5">
        <w:t>ELi maksuhaldurite kasutatav käibemaksuauditi</w:t>
      </w:r>
      <w:bookmarkEnd w:id="1983"/>
      <w:r w:rsidRPr="009306D5">
        <w:t xml:space="preserve"> tarkvara</w:t>
      </w:r>
      <w:bookmarkEnd w:id="1982"/>
    </w:p>
    <w:p w14:paraId="4384E007" w14:textId="2E366953" w:rsidR="00EE2EEA" w:rsidRPr="009306D5" w:rsidRDefault="00EE2EEA" w:rsidP="009F6CEA">
      <w:pPr>
        <w:pStyle w:val="Question"/>
        <w:rPr>
          <w:noProof/>
        </w:rPr>
      </w:pPr>
      <w:r w:rsidRPr="009306D5">
        <w:rPr>
          <w:noProof/>
        </w:rPr>
        <w:t>Küsimus 6.4.b. „Täpsustage, millist tarkvara (programme) teie maksuhaldurid auditiks kasutavad (nt ACL, IDEA, asutusesisene tarkvara jne)“</w:t>
      </w:r>
    </w:p>
    <w:p w14:paraId="77CF714C" w14:textId="77777777" w:rsidR="005B15B7" w:rsidRPr="009306D5" w:rsidRDefault="005B15B7" w:rsidP="009F6CEA">
      <w:pPr>
        <w:pStyle w:val="Question"/>
        <w:rPr>
          <w:noProof/>
        </w:rPr>
      </w:pPr>
      <w:r w:rsidRPr="009306D5">
        <w:rPr>
          <w:b/>
          <w:bCs/>
          <w:noProof/>
        </w:rPr>
        <w:t>a.</w:t>
      </w:r>
      <w:r w:rsidRPr="009306D5">
        <w:rPr>
          <w:noProof/>
        </w:rPr>
        <w:t xml:space="preserve"> Saritarkvaral põhinevad kommertslahendused või tellimustarkvara</w:t>
      </w:r>
    </w:p>
    <w:p w14:paraId="6C3A59BB" w14:textId="25C25C6D" w:rsidR="005B15B7" w:rsidRPr="009306D5" w:rsidRDefault="00F67FAA" w:rsidP="00EF59B5">
      <w:pPr>
        <w:pStyle w:val="FIgure"/>
        <w:rPr>
          <w:i/>
        </w:rPr>
      </w:pPr>
      <w:r w:rsidRPr="009306D5">
        <w:rPr>
          <w:lang w:val="en-GB"/>
        </w:rPr>
        <w:drawing>
          <wp:inline distT="0" distB="0" distL="0" distR="0" wp14:anchorId="2C608EED" wp14:editId="405C7651">
            <wp:extent cx="5760085" cy="1636395"/>
            <wp:effectExtent l="0" t="0" r="0" b="1905"/>
            <wp:docPr id="91" name="Chart 91">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9F6CEA" w:rsidRPr="009306D5">
        <w:rPr>
          <w:b/>
        </w:rPr>
        <w:t xml:space="preserve"> </w:t>
      </w:r>
    </w:p>
    <w:p w14:paraId="15915525" w14:textId="77777777" w:rsidR="005B15B7" w:rsidRPr="009306D5" w:rsidRDefault="005B15B7" w:rsidP="009F6CEA">
      <w:pPr>
        <w:pStyle w:val="Question"/>
        <w:rPr>
          <w:noProof/>
        </w:rPr>
      </w:pPr>
      <w:r w:rsidRPr="009306D5">
        <w:rPr>
          <w:b/>
          <w:bCs/>
          <w:noProof/>
        </w:rPr>
        <w:t>b.</w:t>
      </w:r>
      <w:r w:rsidRPr="009306D5">
        <w:rPr>
          <w:noProof/>
        </w:rPr>
        <w:t xml:space="preserve"> Peamised auditikesksed lahendused</w:t>
      </w:r>
    </w:p>
    <w:p w14:paraId="037C29D0" w14:textId="792D2FCA" w:rsidR="005B15B7" w:rsidRPr="009306D5" w:rsidRDefault="00F67FAA" w:rsidP="00EF59B5">
      <w:pPr>
        <w:pStyle w:val="FIgure"/>
        <w:rPr>
          <w:i/>
        </w:rPr>
      </w:pPr>
      <w:r w:rsidRPr="009306D5">
        <w:rPr>
          <w:lang w:val="en-GB"/>
        </w:rPr>
        <w:drawing>
          <wp:inline distT="0" distB="0" distL="0" distR="0" wp14:anchorId="558F4913" wp14:editId="74F33EEE">
            <wp:extent cx="2743200" cy="22002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43200" cy="2200275"/>
                    </a:xfrm>
                    <a:prstGeom prst="rect">
                      <a:avLst/>
                    </a:prstGeom>
                  </pic:spPr>
                </pic:pic>
              </a:graphicData>
            </a:graphic>
          </wp:inline>
        </w:drawing>
      </w:r>
      <w:r w:rsidR="009F6CEA" w:rsidRPr="009306D5">
        <w:rPr>
          <w:b/>
        </w:rPr>
        <w:t xml:space="preserve"> </w:t>
      </w:r>
    </w:p>
    <w:p w14:paraId="4D5CBAF9"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797DB4F3" w14:textId="7C90394F" w:rsidR="005B15B7" w:rsidRPr="009306D5" w:rsidRDefault="005B15B7" w:rsidP="005B15B7">
      <w:pPr>
        <w:rPr>
          <w:rFonts w:cs="Times New Roman"/>
          <w:noProof/>
          <w:sz w:val="20"/>
        </w:rPr>
      </w:pPr>
      <w:r w:rsidRPr="009306D5">
        <w:rPr>
          <w:noProof/>
          <w:sz w:val="20"/>
        </w:rPr>
        <w:t>Isegi kui liikmesriikide maksuhalduritel on samad põhifunktsioonid, sealhulgas auditifunktsioonid, ei kasuta kõik sama keerukusastmega IT-süsteeme. See keerukuse aste on tegur, mis võib sundida maksuhaldureid valima asutusesiseseid tarkvaratooteid. Sellise spetsiaalselt väljatöötatud tarkvara kohandamise tase on liikmesriigiti samuti väga erinev.</w:t>
      </w:r>
    </w:p>
    <w:p w14:paraId="6693CDF4" w14:textId="77777777" w:rsidR="005B15B7" w:rsidRPr="009306D5" w:rsidRDefault="005B15B7" w:rsidP="005B15B7">
      <w:pPr>
        <w:rPr>
          <w:rFonts w:cs="Times New Roman"/>
          <w:noProof/>
          <w:sz w:val="20"/>
        </w:rPr>
      </w:pPr>
      <w:r w:rsidRPr="009306D5">
        <w:rPr>
          <w:noProof/>
          <w:sz w:val="20"/>
        </w:rPr>
        <w:t>Käibemaksuauditi jaoks on kättesaadavad ka saritarkvaral põhinevad kommertslahendused (nn COTS-lahendused). Ka COTS-lahendused töötatakse välja praeguse juhtiva tava kohaselt ja need võimaldavad maksuhalduritel, kellel on väiksem vajadus tarkvara kohandamise järele, vähendada rakenduskulusid ja suurendada edu saavutamise võimalusi. Rakendamise keerukus, erivajadused, erinevad õigusaktid ja/või maksuhalduri organisatsioonilised aspektid muudavad eri audititarkvarade eeliste võrdlemise võimatuks.</w:t>
      </w:r>
    </w:p>
    <w:p w14:paraId="4F50F743" w14:textId="43F38083" w:rsidR="005B15B7" w:rsidRPr="009306D5" w:rsidRDefault="005B15B7" w:rsidP="005B15B7">
      <w:pPr>
        <w:rPr>
          <w:rFonts w:cs="Times New Roman"/>
          <w:noProof/>
          <w:sz w:val="20"/>
        </w:rPr>
      </w:pPr>
      <w:r w:rsidRPr="009306D5">
        <w:rPr>
          <w:noProof/>
          <w:sz w:val="20"/>
        </w:rPr>
        <w:t>Üldiselt kasutavad pooled ELi maksuhalduritest kommerts- ja tellimuslahenduste kombinatsiooni. Nagu on märgitud eelmistes aruannetes, võib igasugune koostöö ja ressursside koondamine (eriti väiksemate liikmesriikide maksuhaldurite puhul, kes teevad ühist huvi pakkuvates küsimustes tihedat koostööd) anda mastaabisäästu. Käibemaksuaudit, eelkõige selles protsessis kasutatav IT-tarkvara, on üks valdkondadest, kus liikmesriigid saaksid üksteise kogemustest olulist kasu.</w:t>
      </w:r>
    </w:p>
    <w:p w14:paraId="702A9536" w14:textId="6F960252" w:rsidR="005B15B7" w:rsidRPr="009306D5" w:rsidRDefault="005B15B7" w:rsidP="005B15B7">
      <w:pPr>
        <w:rPr>
          <w:rFonts w:cs="Times New Roman"/>
          <w:noProof/>
          <w:sz w:val="20"/>
        </w:rPr>
      </w:pPr>
      <w:r w:rsidRPr="009306D5">
        <w:rPr>
          <w:noProof/>
          <w:sz w:val="20"/>
        </w:rPr>
        <w:t>On olemas ELi vahendid, mida liikmesriigid saavad kasutada maksuhaldurite töö ajakohastamise ja reformimise rahastamiseks ja toetamiseks.</w:t>
      </w:r>
    </w:p>
    <w:p w14:paraId="2CAB2A96" w14:textId="35F0DC8E" w:rsidR="005B15B7" w:rsidRPr="009306D5" w:rsidRDefault="005B15B7" w:rsidP="00FE0EC3">
      <w:pPr>
        <w:pStyle w:val="Recommendation"/>
      </w:pPr>
      <w:bookmarkStart w:id="1984" w:name="_Toc95816221"/>
      <w:r w:rsidRPr="009306D5">
        <w:t xml:space="preserve">Soovitus </w:t>
      </w:r>
      <w:r w:rsidRPr="009306D5">
        <w:fldChar w:fldCharType="begin"/>
      </w:r>
      <w:r w:rsidRPr="009306D5">
        <w:instrText>SEQ Recommendation \* ARABIC</w:instrText>
      </w:r>
      <w:r w:rsidRPr="009306D5">
        <w:fldChar w:fldCharType="separate"/>
      </w:r>
      <w:bookmarkStart w:id="1985" w:name="_Toc65778318"/>
      <w:bookmarkStart w:id="1986" w:name="_Toc66116371"/>
      <w:r w:rsidR="008A2E1E" w:rsidRPr="009306D5">
        <w:t>33</w:t>
      </w:r>
      <w:r w:rsidRPr="009306D5">
        <w:fldChar w:fldCharType="end"/>
      </w:r>
      <w:r w:rsidRPr="009306D5">
        <w:t xml:space="preserve">. </w:t>
      </w:r>
      <w:bookmarkStart w:id="1987" w:name="_Toc65673347"/>
      <w:r w:rsidRPr="009306D5">
        <w:t>Kasutada olemasolevaid ELi vahendeid, vahetada kogemusi ja häid tavasid eri vahendite ja menetluste kasutamisel ning teha koostööd (nt ühisauditite kujul), et suurendada auditifunktsioonide tõhusust</w:t>
      </w:r>
      <w:bookmarkEnd w:id="1987"/>
      <w:bookmarkEnd w:id="1985"/>
      <w:bookmarkEnd w:id="1986"/>
      <w:r w:rsidRPr="009306D5">
        <w:t>.</w:t>
      </w:r>
      <w:bookmarkEnd w:id="1984"/>
    </w:p>
    <w:p w14:paraId="3D8D7A9C" w14:textId="68E3F0BC" w:rsidR="005B15B7" w:rsidRPr="009306D5" w:rsidRDefault="005B15B7" w:rsidP="005B15B7">
      <w:pPr>
        <w:rPr>
          <w:rFonts w:cs="Times New Roman"/>
          <w:noProof/>
          <w:sz w:val="20"/>
        </w:rPr>
      </w:pPr>
      <w:r w:rsidRPr="009306D5">
        <w:rPr>
          <w:noProof/>
          <w:sz w:val="20"/>
        </w:rPr>
        <w:t>Nagu eelmises aruandes märgitud, on audit „kulukas meetod, sest see võtab aega ja nõuab palju inimressursse. Ühtlasi on auditeerimise panuse osakaal kogu käibemaksu kogumises piiratud.“ Seetõttu suurendab peamistele riskivaldkondadele keskenduv auditistrateegia piiratud auditivahendite ja muude ressursside kasutamise tasuvust ning hõlbustab nõuete vabatahtlikku täitmist, vähendades maksuhalduri tajutavat sekkumist seaduskuulekate maksumaksjate tegevusse.</w:t>
      </w:r>
    </w:p>
    <w:p w14:paraId="77A57C66" w14:textId="43A5A725" w:rsidR="005B15B7" w:rsidRPr="009306D5" w:rsidRDefault="005B15B7" w:rsidP="005B15B7">
      <w:pPr>
        <w:rPr>
          <w:rFonts w:cs="Times New Roman"/>
          <w:noProof/>
          <w:sz w:val="20"/>
        </w:rPr>
      </w:pPr>
      <w:r w:rsidRPr="009306D5">
        <w:rPr>
          <w:noProof/>
          <w:sz w:val="20"/>
        </w:rPr>
        <w:t>Eelmises aruandes rõhutati, et üha rohkem maksuhaldureid tunnistas, et auditit ei peeta enam „kõige tõhusamaks ja tulemuslikumaks vahendiks, millega rikkumisi ära hoida“ ning käsitas auditit „äärmusliku sunnimeetmena“, mida rakendada siis, kui muud ennetavad algatused, mis on pühendatud maksuseaduste ja -kohustuste vabatahtliku täitmise parandamisele, pole (enam) tõhusad.</w:t>
      </w:r>
    </w:p>
    <w:p w14:paraId="22A24B12" w14:textId="77777777" w:rsidR="005B15B7" w:rsidRPr="009306D5" w:rsidRDefault="005B15B7" w:rsidP="005B15B7">
      <w:pPr>
        <w:rPr>
          <w:rFonts w:cs="Times New Roman"/>
          <w:noProof/>
          <w:sz w:val="20"/>
        </w:rPr>
      </w:pPr>
      <w:r w:rsidRPr="009306D5">
        <w:rPr>
          <w:noProof/>
          <w:sz w:val="20"/>
        </w:rPr>
        <w:t>Eelmises aruandes mainiti ka, et õige tasakaalu leidmine maksukuulekust suurendavate algatuste ja käibemaksuauditi vahel on suur probleem. Jooniselt 47 nähtub selgelt, et liikmesriigid on teinud käibemaksuauditi funktsiooni kasutamisel märgatavaid edusamme, kui vaadata viit liikmesriiki, kus auditijärgselt on tehtud maksuotsuseid kõige suuremate käibemaksusummade kohta (Poola, Rumeenia, Bulgaaria, Slovakkia ja Ungari).</w:t>
      </w:r>
    </w:p>
    <w:p w14:paraId="4726A850" w14:textId="1FA40F0E" w:rsidR="005B15B7" w:rsidRPr="009306D5" w:rsidRDefault="005B15B7" w:rsidP="00FE0EC3">
      <w:pPr>
        <w:pStyle w:val="Caption"/>
      </w:pPr>
      <w:bookmarkStart w:id="1988" w:name="_Toc62138812"/>
      <w:bookmarkStart w:id="1989" w:name="_Toc95816274"/>
      <w:r w:rsidRPr="009306D5">
        <w:t>Joonis </w:t>
      </w:r>
      <w:r w:rsidRPr="009306D5">
        <w:fldChar w:fldCharType="begin"/>
      </w:r>
      <w:r w:rsidRPr="009306D5">
        <w:instrText xml:space="preserve"> SEQ Figure \* ARABIC </w:instrText>
      </w:r>
      <w:r w:rsidRPr="009306D5">
        <w:fldChar w:fldCharType="separate"/>
      </w:r>
      <w:r w:rsidR="008A2E1E" w:rsidRPr="009306D5">
        <w:t>47</w:t>
      </w:r>
      <w:r w:rsidRPr="009306D5">
        <w:fldChar w:fldCharType="end"/>
      </w:r>
      <w:r w:rsidRPr="009306D5">
        <w:t>. Käibemaksu kogumine ja auditijärgselt maksuotsustega määratud käibemaks 23s ELi liikmesriigis</w:t>
      </w:r>
      <w:r w:rsidRPr="009306D5">
        <w:rPr>
          <w:rStyle w:val="FootnoteReference"/>
          <w:iCs/>
          <w:lang w:eastAsia="ja-JP"/>
        </w:rPr>
        <w:footnoteReference w:id="26"/>
      </w:r>
      <w:bookmarkEnd w:id="1988"/>
      <w:bookmarkEnd w:id="1989"/>
    </w:p>
    <w:p w14:paraId="3113D670" w14:textId="6EB5AB58" w:rsidR="005B15B7" w:rsidRPr="009306D5" w:rsidRDefault="00F468CE" w:rsidP="00EF59B5">
      <w:pPr>
        <w:pStyle w:val="FIgure"/>
        <w:rPr>
          <w:rFonts w:cs="Times New Roman"/>
          <w:sz w:val="20"/>
        </w:rPr>
      </w:pPr>
      <w:r w:rsidRPr="009306D5">
        <w:rPr>
          <w:lang w:val="en-GB"/>
        </w:rPr>
        <w:drawing>
          <wp:inline distT="0" distB="0" distL="0" distR="0" wp14:anchorId="4A7B4F78" wp14:editId="6057530D">
            <wp:extent cx="5760085" cy="1802130"/>
            <wp:effectExtent l="0" t="0" r="0" b="7620"/>
            <wp:docPr id="93" name="Chart 93">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1164434"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2E435D9A" w14:textId="2DF72DA4" w:rsidR="005B15B7" w:rsidRPr="009306D5" w:rsidRDefault="005B15B7" w:rsidP="005B15B7">
      <w:pPr>
        <w:rPr>
          <w:rFonts w:cs="Times New Roman"/>
          <w:noProof/>
          <w:sz w:val="20"/>
        </w:rPr>
      </w:pPr>
      <w:r w:rsidRPr="009306D5">
        <w:rPr>
          <w:noProof/>
          <w:sz w:val="20"/>
        </w:rPr>
        <w:t>Maksuhaldurid peaksid siiski suutma läbi viia mitut liiki auditeid ning neil peaksid olema selged põhimõtted teostatavate auditite liikide ja olukordade kohta, mille puhul tuleb teha konkreetset liiki auditit, et auditit korraldavad ametnikud ja juhid mõistaksid, mida neilt oodatakse (OECD). Liikmesriikidel peaks olema võimalik tõhusalt teostada täpseid registreerimiskontrolle, nõustamis- ja arvepidamiskontrolle, üksikute küsimuste erikontrolle ja käibemaksu tagastamise kontrolle, ning nad peaksid neid tegema. Samuti peaksid nad kehtestama keerukamad auditiprojektid (konkreetsete maksumaksjate rühmade, majandusharude või ärivaldkondade, näiteks jaekaubanduse jaoks, et käsitleda konkreetset riski või teha kindlaks nõuete täitmata jätmise ulatus konkreetses sektoris) ning tegema põhjalikke auditeid ja pettuste uurimisi.</w:t>
      </w:r>
    </w:p>
    <w:p w14:paraId="696AA732" w14:textId="30A4D332" w:rsidR="005B15B7" w:rsidRPr="009306D5" w:rsidRDefault="005B15B7" w:rsidP="00FE0EC3">
      <w:pPr>
        <w:pStyle w:val="Caption"/>
      </w:pPr>
      <w:bookmarkStart w:id="1990" w:name="_Toc95816275"/>
      <w:r w:rsidRPr="009306D5">
        <w:t>Joonis </w:t>
      </w:r>
      <w:r w:rsidRPr="009306D5">
        <w:fldChar w:fldCharType="begin"/>
      </w:r>
      <w:r w:rsidRPr="009306D5">
        <w:instrText xml:space="preserve"> SEQ Figure \* ARABIC </w:instrText>
      </w:r>
      <w:r w:rsidRPr="009306D5">
        <w:fldChar w:fldCharType="separate"/>
      </w:r>
      <w:r w:rsidR="008A2E1E" w:rsidRPr="009306D5">
        <w:t>48</w:t>
      </w:r>
      <w:r w:rsidRPr="009306D5">
        <w:fldChar w:fldCharType="end"/>
      </w:r>
      <w:r w:rsidRPr="009306D5">
        <w:t xml:space="preserve">. </w:t>
      </w:r>
      <w:bookmarkStart w:id="1991" w:name="_Toc62138813"/>
      <w:r w:rsidRPr="009306D5">
        <w:t>ELi maksuhaldurite tehtud käibemaksukontrollide/-auditite</w:t>
      </w:r>
      <w:bookmarkEnd w:id="1991"/>
      <w:r w:rsidRPr="009306D5">
        <w:t xml:space="preserve"> liigid</w:t>
      </w:r>
      <w:bookmarkEnd w:id="1990"/>
    </w:p>
    <w:p w14:paraId="47612F2C" w14:textId="7E9EB2EF" w:rsidR="001B03AF" w:rsidRPr="009306D5" w:rsidRDefault="001B03AF" w:rsidP="009F6CEA">
      <w:pPr>
        <w:pStyle w:val="Question"/>
        <w:rPr>
          <w:noProof/>
        </w:rPr>
      </w:pPr>
      <w:r w:rsidRPr="009306D5">
        <w:rPr>
          <w:noProof/>
        </w:rPr>
        <w:t>Küsimus 6.5. „Milliseid kontrolle/auditeid teevad teie maksuhaldurid käibemaksu valdkonnas? (Vastuseid võib olla mitu)“</w:t>
      </w:r>
    </w:p>
    <w:p w14:paraId="3B9D2997" w14:textId="17091EDB" w:rsidR="005B15B7" w:rsidRPr="009306D5" w:rsidRDefault="00F468CE" w:rsidP="00EF59B5">
      <w:pPr>
        <w:pStyle w:val="FIgure"/>
        <w:rPr>
          <w:rFonts w:cs="Times New Roman"/>
          <w:sz w:val="20"/>
        </w:rPr>
      </w:pPr>
      <w:r w:rsidRPr="009306D5">
        <w:rPr>
          <w:lang w:val="en-GB"/>
        </w:rPr>
        <w:drawing>
          <wp:inline distT="0" distB="0" distL="0" distR="0" wp14:anchorId="53F16A95" wp14:editId="605B23C7">
            <wp:extent cx="5760085" cy="53562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085" cy="5356225"/>
                    </a:xfrm>
                    <a:prstGeom prst="rect">
                      <a:avLst/>
                    </a:prstGeom>
                  </pic:spPr>
                </pic:pic>
              </a:graphicData>
            </a:graphic>
          </wp:inline>
        </w:drawing>
      </w:r>
    </w:p>
    <w:p w14:paraId="17516C6F"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29B9AB5A" w14:textId="77777777" w:rsidR="005B15B7" w:rsidRPr="009306D5" w:rsidRDefault="005B15B7" w:rsidP="005B15B7">
      <w:pPr>
        <w:rPr>
          <w:rFonts w:cs="Times New Roman"/>
          <w:noProof/>
          <w:sz w:val="20"/>
        </w:rPr>
      </w:pPr>
      <w:r w:rsidRPr="009306D5">
        <w:rPr>
          <w:noProof/>
          <w:sz w:val="20"/>
        </w:rPr>
        <w:t>Üldiselt on ELi maksuhalduritel vajalikud vahendid ja valmisolek igat liiki auditite tegemiseks. Komisjon soovitab liikmesriikidel järgida Belgia, Saksamaa, Itaalia, Ungari, Sloveenia, Soome ja Rootsi eeskuju ning mitmekesistada oma auditiportfelle nii palju kui võimalik.</w:t>
      </w:r>
    </w:p>
    <w:p w14:paraId="52EF6B0B" w14:textId="0889A0F8" w:rsidR="005B15B7" w:rsidRPr="009306D5" w:rsidRDefault="005B15B7" w:rsidP="00FE0EC3">
      <w:pPr>
        <w:pStyle w:val="Recommendation"/>
      </w:pPr>
      <w:bookmarkStart w:id="1992" w:name="_Toc95816222"/>
      <w:r w:rsidRPr="009306D5">
        <w:t xml:space="preserve">Soovitus </w:t>
      </w:r>
      <w:r w:rsidRPr="009306D5">
        <w:fldChar w:fldCharType="begin"/>
      </w:r>
      <w:r w:rsidRPr="009306D5">
        <w:instrText>SEQ Recommendation \* ARABIC</w:instrText>
      </w:r>
      <w:r w:rsidRPr="009306D5">
        <w:fldChar w:fldCharType="separate"/>
      </w:r>
      <w:bookmarkStart w:id="1993" w:name="_Toc65778319"/>
      <w:bookmarkStart w:id="1994" w:name="_Toc66116372"/>
      <w:r w:rsidR="008A2E1E" w:rsidRPr="009306D5">
        <w:t>34</w:t>
      </w:r>
      <w:r w:rsidRPr="009306D5">
        <w:fldChar w:fldCharType="end"/>
      </w:r>
      <w:r w:rsidRPr="009306D5">
        <w:t xml:space="preserve">. </w:t>
      </w:r>
      <w:bookmarkStart w:id="1995" w:name="_Toc65673348"/>
      <w:r w:rsidRPr="009306D5">
        <w:t>Kohandada käibemaksuauditite ulatust ja intensiivsust vastavalt vajadustele</w:t>
      </w:r>
      <w:bookmarkEnd w:id="1995"/>
      <w:bookmarkEnd w:id="1993"/>
      <w:bookmarkEnd w:id="1994"/>
      <w:r w:rsidRPr="009306D5">
        <w:t>.</w:t>
      </w:r>
      <w:bookmarkEnd w:id="1992"/>
    </w:p>
    <w:p w14:paraId="45EA6C8C" w14:textId="77777777" w:rsidR="005B15B7" w:rsidRPr="009306D5" w:rsidRDefault="005B15B7" w:rsidP="005B15B7">
      <w:pPr>
        <w:rPr>
          <w:rFonts w:cs="Times New Roman"/>
          <w:noProof/>
          <w:sz w:val="20"/>
        </w:rPr>
      </w:pPr>
      <w:r w:rsidRPr="009306D5">
        <w:rPr>
          <w:noProof/>
          <w:sz w:val="20"/>
        </w:rPr>
        <w:t>Nagu eespool mainitud, täiendavad auditid ka muid nõuetelevastavuse ja analüüsiga seotud algatusi. Sellised audititegevusega tihedalt seotud algatused võivad hõlmata muu hulgas järgmist:</w:t>
      </w:r>
    </w:p>
    <w:p w14:paraId="4D5311BF" w14:textId="0DDB70E6" w:rsidR="005B15B7" w:rsidRPr="009306D5" w:rsidRDefault="005B15B7" w:rsidP="000D13AA">
      <w:pPr>
        <w:pStyle w:val="ListParagraph"/>
        <w:numPr>
          <w:ilvl w:val="0"/>
          <w:numId w:val="27"/>
        </w:numPr>
        <w:rPr>
          <w:noProof/>
          <w:sz w:val="20"/>
        </w:rPr>
      </w:pPr>
      <w:r w:rsidRPr="009306D5">
        <w:rPr>
          <w:noProof/>
          <w:sz w:val="20"/>
        </w:rPr>
        <w:t>eelotsuste tegemine, et tagada maksumaksjatele konkreetsete tehingute maksustamise osas kindlustunne;</w:t>
      </w:r>
    </w:p>
    <w:p w14:paraId="06DCB2E4" w14:textId="77777777" w:rsidR="005B15B7" w:rsidRPr="009306D5" w:rsidRDefault="005B15B7" w:rsidP="000D13AA">
      <w:pPr>
        <w:pStyle w:val="ListParagraph"/>
        <w:numPr>
          <w:ilvl w:val="0"/>
          <w:numId w:val="27"/>
        </w:numPr>
        <w:rPr>
          <w:noProof/>
          <w:sz w:val="20"/>
        </w:rPr>
      </w:pPr>
      <w:r w:rsidRPr="009306D5">
        <w:rPr>
          <w:noProof/>
          <w:sz w:val="20"/>
        </w:rPr>
        <w:t>koostööl ja usaldusel põhinevate suhete loomine käibemaksu maksjatega (eriti suurte maksumaksjatega);</w:t>
      </w:r>
    </w:p>
    <w:p w14:paraId="5BC79AE2" w14:textId="3686E6CC" w:rsidR="005B15B7" w:rsidRPr="009306D5" w:rsidRDefault="005B15B7" w:rsidP="000D13AA">
      <w:pPr>
        <w:pStyle w:val="ListParagraph"/>
        <w:numPr>
          <w:ilvl w:val="0"/>
          <w:numId w:val="27"/>
        </w:numPr>
        <w:rPr>
          <w:noProof/>
          <w:sz w:val="20"/>
        </w:rPr>
      </w:pPr>
      <w:r w:rsidRPr="009306D5">
        <w:rPr>
          <w:noProof/>
          <w:sz w:val="20"/>
        </w:rPr>
        <w:t>auditikava täiendamine hinnanguga ebatäpse aruandluse kohta, mis põhineb konkreetsel juhuvalikuga auditiprogrammil;</w:t>
      </w:r>
    </w:p>
    <w:p w14:paraId="138DC9F0" w14:textId="77777777" w:rsidR="005B15B7" w:rsidRPr="009306D5" w:rsidRDefault="005B15B7" w:rsidP="000D13AA">
      <w:pPr>
        <w:pStyle w:val="ListParagraph"/>
        <w:numPr>
          <w:ilvl w:val="0"/>
          <w:numId w:val="27"/>
        </w:numPr>
        <w:rPr>
          <w:noProof/>
          <w:sz w:val="20"/>
        </w:rPr>
      </w:pPr>
      <w:r w:rsidRPr="009306D5">
        <w:rPr>
          <w:noProof/>
          <w:sz w:val="20"/>
        </w:rPr>
        <w:t>muude tänapäevaste vahendite, näiteks täiustatud prognoosianalüüsi ja andmete mudeldamise kasutamine.</w:t>
      </w:r>
    </w:p>
    <w:p w14:paraId="4188BD00" w14:textId="3E34B705" w:rsidR="005B15B7" w:rsidRPr="009306D5" w:rsidRDefault="005B15B7" w:rsidP="00FE0EC3">
      <w:pPr>
        <w:pStyle w:val="Caption"/>
      </w:pPr>
      <w:bookmarkStart w:id="1996" w:name="_Toc62138814"/>
      <w:bookmarkStart w:id="1997" w:name="_Toc95816276"/>
      <w:r w:rsidRPr="009306D5">
        <w:t>Joonis </w:t>
      </w:r>
      <w:r w:rsidRPr="009306D5">
        <w:fldChar w:fldCharType="begin"/>
      </w:r>
      <w:r w:rsidRPr="009306D5">
        <w:instrText xml:space="preserve"> SEQ Figure \* ARABIC </w:instrText>
      </w:r>
      <w:r w:rsidRPr="009306D5">
        <w:fldChar w:fldCharType="separate"/>
      </w:r>
      <w:r w:rsidR="008A2E1E" w:rsidRPr="009306D5">
        <w:t>49</w:t>
      </w:r>
      <w:r w:rsidRPr="009306D5">
        <w:fldChar w:fldCharType="end"/>
      </w:r>
      <w:r w:rsidRPr="009306D5">
        <w:t>. Täiendavad auditivälised maksukuulekuse suurendamise meetmed</w:t>
      </w:r>
      <w:bookmarkEnd w:id="1996"/>
      <w:bookmarkEnd w:id="1997"/>
    </w:p>
    <w:p w14:paraId="3581AA98" w14:textId="5E4FD658" w:rsidR="001B03AF" w:rsidRPr="009306D5" w:rsidRDefault="001B03AF" w:rsidP="009F6CEA">
      <w:pPr>
        <w:pStyle w:val="Question"/>
        <w:rPr>
          <w:noProof/>
        </w:rPr>
      </w:pPr>
      <w:r w:rsidRPr="009306D5">
        <w:rPr>
          <w:noProof/>
        </w:rPr>
        <w:t>Küsimus 6.6. „Käibemaksu valdkonnas teie maksuhaldurid [...] (Vastuseid võib olla mitu)“</w:t>
      </w:r>
    </w:p>
    <w:p w14:paraId="35C78769" w14:textId="6082D0BE" w:rsidR="005B15B7" w:rsidRPr="009306D5" w:rsidRDefault="003353FB" w:rsidP="00EF59B5">
      <w:pPr>
        <w:pStyle w:val="FIgure"/>
        <w:rPr>
          <w:rFonts w:cs="Times New Roman"/>
          <w:sz w:val="20"/>
        </w:rPr>
      </w:pPr>
      <w:r w:rsidRPr="009306D5">
        <w:rPr>
          <w:lang w:val="en-GB"/>
        </w:rPr>
        <w:drawing>
          <wp:inline distT="0" distB="0" distL="0" distR="0" wp14:anchorId="158EF5E6" wp14:editId="65EAA9D6">
            <wp:extent cx="5760085" cy="2679065"/>
            <wp:effectExtent l="0" t="0" r="0" b="6985"/>
            <wp:docPr id="95" name="Chart 95">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2A29BE3"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73433E03" w14:textId="77777777" w:rsidR="005B15B7" w:rsidRPr="009306D5" w:rsidRDefault="005B15B7" w:rsidP="005B15B7">
      <w:pPr>
        <w:rPr>
          <w:rFonts w:cs="Times New Roman"/>
          <w:noProof/>
          <w:sz w:val="20"/>
        </w:rPr>
      </w:pPr>
      <w:r w:rsidRPr="009306D5">
        <w:rPr>
          <w:noProof/>
          <w:sz w:val="20"/>
        </w:rPr>
        <w:t>Tavaliselt põhineb maksukuulekusalane koostöö maksumaksja tõendatult heal maksukäitumisel käibemaksu valdkonnas ning valmisolekul saada ja jääda läbipaistvaks. Maksuhaldurite analüüsiprogrammid on kasulikud, sest annavad rohkem teavet käibemaksuriskide jaotuse kohta.</w:t>
      </w:r>
    </w:p>
    <w:p w14:paraId="75AEDE2A" w14:textId="7050DF45" w:rsidR="005B15B7" w:rsidRPr="009306D5" w:rsidRDefault="005B15B7" w:rsidP="005B15B7">
      <w:pPr>
        <w:rPr>
          <w:rFonts w:cs="Times New Roman"/>
          <w:noProof/>
          <w:sz w:val="20"/>
        </w:rPr>
      </w:pPr>
      <w:r w:rsidRPr="009306D5">
        <w:rPr>
          <w:noProof/>
          <w:sz w:val="20"/>
        </w:rPr>
        <w:t>Liikmesriigid mõistsid seda lähenemisviisi ja tõendasid, et suures osas nad täiendavad oma auditiprogramme muude meetmetega. Taani, Iirimaa, Horvaatia, Soome, Rootsi ja Ühendkuningriik rakendavad kõiki eespool loetletud vastavus- ja analüüsialgatusi. Belgia, Bulgaaria, Tšehhi, Eesti, Hispaania, Itaalia, Läti, Leedu, Ungari, Madalmaad ja Poola on saavutanud selles valdkonnas häid tulemusi. Ainult üks liikmesriik (Luksemburg) teatas, et ühtegi eespool nimetatud algatust ei rakendata.</w:t>
      </w:r>
    </w:p>
    <w:p w14:paraId="508DF2CF" w14:textId="268DE0DA" w:rsidR="005B15B7" w:rsidRPr="009306D5" w:rsidRDefault="005B15B7" w:rsidP="00FE0EC3">
      <w:pPr>
        <w:pStyle w:val="Recommendation"/>
      </w:pPr>
      <w:bookmarkStart w:id="1998" w:name="_Toc95816223"/>
      <w:r w:rsidRPr="009306D5">
        <w:t xml:space="preserve">Soovitus </w:t>
      </w:r>
      <w:r w:rsidRPr="009306D5">
        <w:fldChar w:fldCharType="begin"/>
      </w:r>
      <w:r w:rsidRPr="009306D5">
        <w:instrText>SEQ Recommendation \* ARABIC</w:instrText>
      </w:r>
      <w:r w:rsidRPr="009306D5">
        <w:fldChar w:fldCharType="separate"/>
      </w:r>
      <w:bookmarkStart w:id="1999" w:name="_Toc65778320"/>
      <w:bookmarkStart w:id="2000" w:name="_Toc66116373"/>
      <w:r w:rsidR="008A2E1E" w:rsidRPr="009306D5">
        <w:t>35</w:t>
      </w:r>
      <w:r w:rsidRPr="009306D5">
        <w:fldChar w:fldCharType="end"/>
      </w:r>
      <w:r w:rsidRPr="009306D5">
        <w:t xml:space="preserve">. </w:t>
      </w:r>
      <w:bookmarkStart w:id="2001" w:name="_Toc65673349"/>
      <w:r w:rsidRPr="009306D5">
        <w:t>Täiendada auditimeetmeid muude auditiväliste maksukuulekuse suurendamise meetmetega</w:t>
      </w:r>
      <w:bookmarkEnd w:id="2001"/>
      <w:bookmarkEnd w:id="1999"/>
      <w:bookmarkEnd w:id="2000"/>
      <w:r w:rsidRPr="009306D5">
        <w:t>.</w:t>
      </w:r>
      <w:bookmarkEnd w:id="1998"/>
    </w:p>
    <w:p w14:paraId="70A8CB49" w14:textId="77777777" w:rsidR="005B15B7" w:rsidRPr="009306D5" w:rsidRDefault="005B15B7" w:rsidP="000D13AA">
      <w:pPr>
        <w:pStyle w:val="Heading1"/>
        <w:numPr>
          <w:ilvl w:val="0"/>
          <w:numId w:val="35"/>
        </w:numPr>
        <w:rPr>
          <w:noProof/>
        </w:rPr>
      </w:pPr>
      <w:bookmarkStart w:id="2002" w:name="_Toc69994950"/>
      <w:bookmarkStart w:id="2003" w:name="_Toc65836485"/>
      <w:bookmarkStart w:id="2004" w:name="_Toc66116426"/>
      <w:bookmarkStart w:id="2005" w:name="_Toc66202095"/>
      <w:bookmarkStart w:id="2006" w:name="_Toc67414272"/>
      <w:bookmarkStart w:id="2007" w:name="_Toc67415198"/>
      <w:bookmarkStart w:id="2008" w:name="_Toc67415363"/>
      <w:bookmarkStart w:id="2009" w:name="_Toc67415643"/>
      <w:bookmarkStart w:id="2010" w:name="_Toc67415904"/>
      <w:bookmarkStart w:id="2011" w:name="_Toc62138849"/>
      <w:bookmarkStart w:id="2012" w:name="_Toc82790298"/>
      <w:bookmarkStart w:id="2013" w:name="_Toc82792867"/>
      <w:bookmarkStart w:id="2014" w:name="_Toc90291262"/>
      <w:bookmarkStart w:id="2015" w:name="_Toc95812976"/>
      <w:r w:rsidRPr="009306D5">
        <w:rPr>
          <w:noProof/>
        </w:rPr>
        <w:t>Käibemaksuarvestus, aruandlus ja vaidlused</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168B926D" w14:textId="77777777" w:rsidR="005B15B7" w:rsidRPr="009306D5" w:rsidRDefault="005B15B7" w:rsidP="000D13AA">
      <w:pPr>
        <w:pStyle w:val="Heading2"/>
        <w:numPr>
          <w:ilvl w:val="1"/>
          <w:numId w:val="34"/>
        </w:numPr>
        <w:rPr>
          <w:noProof/>
        </w:rPr>
      </w:pPr>
      <w:bookmarkStart w:id="2016" w:name="_Toc65836486"/>
      <w:bookmarkStart w:id="2017" w:name="_Toc66116427"/>
      <w:bookmarkStart w:id="2018" w:name="_Toc66202096"/>
      <w:bookmarkStart w:id="2019" w:name="_Toc67414273"/>
      <w:bookmarkStart w:id="2020" w:name="_Toc67415199"/>
      <w:bookmarkStart w:id="2021" w:name="_Toc67415364"/>
      <w:bookmarkStart w:id="2022" w:name="_Toc67415644"/>
      <w:bookmarkStart w:id="2023" w:name="_Toc67415905"/>
      <w:bookmarkStart w:id="2024" w:name="_Toc69994951"/>
      <w:bookmarkStart w:id="2025" w:name="_Toc82790299"/>
      <w:bookmarkStart w:id="2026" w:name="_Toc82792868"/>
      <w:bookmarkStart w:id="2027" w:name="_Toc90291263"/>
      <w:bookmarkStart w:id="2028" w:name="_Toc95812977"/>
      <w:r w:rsidRPr="009306D5">
        <w:rPr>
          <w:noProof/>
        </w:rPr>
        <w:t>Käibemaksuarvestus, sisekontroll ja väline läbivaatamine</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037D3073" w14:textId="2F52F2BE" w:rsidR="005B15B7" w:rsidRPr="009306D5" w:rsidRDefault="005B15B7" w:rsidP="005B15B7">
      <w:pPr>
        <w:rPr>
          <w:rFonts w:cs="Times New Roman"/>
          <w:noProof/>
          <w:sz w:val="20"/>
        </w:rPr>
      </w:pPr>
      <w:r w:rsidRPr="009306D5">
        <w:rPr>
          <w:noProof/>
          <w:sz w:val="20"/>
        </w:rPr>
        <w:t>Ideaaljuhul võimaldab maksutulude arvestussüsteem maksuhalduritel kontrollida tulude haldamise edenemist mis tahes ajal arvestusperioodi jooksul. IT-allsüsteemil põhinev tõhus süsteem minimeerib arvestusvigu, hoiab ära sisepettusi ning registreerib õigeaegselt maksed ja muud tehingud õigele maksumaksja kontole. Süsteem peaks vähemalt automatiseerima käibemaksukohustuste raamatupidamisarvestuse, liidestuma teiste maksuhalduri arvestussüsteemidega ning hõlmama menetlusi maksumaksjate registri korrapäraseks ja süstemaatiliseks läbivaatamiseks, et parandada arvestusvigu ja väljajätte.</w:t>
      </w:r>
    </w:p>
    <w:p w14:paraId="74B85EE0" w14:textId="6EE73815" w:rsidR="005B15B7" w:rsidRPr="009306D5" w:rsidRDefault="005B15B7" w:rsidP="00FE0EC3">
      <w:pPr>
        <w:pStyle w:val="Caption"/>
      </w:pPr>
      <w:bookmarkStart w:id="2029" w:name="_Toc95816277"/>
      <w:r w:rsidRPr="009306D5">
        <w:t>Joonis </w:t>
      </w:r>
      <w:r w:rsidRPr="009306D5">
        <w:fldChar w:fldCharType="begin"/>
      </w:r>
      <w:r w:rsidRPr="009306D5">
        <w:instrText xml:space="preserve"> SEQ Figure \* ARABIC </w:instrText>
      </w:r>
      <w:r w:rsidRPr="009306D5">
        <w:fldChar w:fldCharType="separate"/>
      </w:r>
      <w:r w:rsidR="008A2E1E" w:rsidRPr="009306D5">
        <w:t>50</w:t>
      </w:r>
      <w:r w:rsidRPr="009306D5">
        <w:fldChar w:fldCharType="end"/>
      </w:r>
      <w:r w:rsidRPr="009306D5">
        <w:t>. ELis kasutatavate maksutulude arvestussüsteemide omadused</w:t>
      </w:r>
      <w:bookmarkEnd w:id="2029"/>
    </w:p>
    <w:p w14:paraId="76B65577" w14:textId="76E2EC53" w:rsidR="00627958" w:rsidRPr="009306D5" w:rsidRDefault="00627958" w:rsidP="009F6CEA">
      <w:pPr>
        <w:pStyle w:val="Question"/>
        <w:rPr>
          <w:noProof/>
        </w:rPr>
      </w:pPr>
      <w:r w:rsidRPr="009306D5">
        <w:rPr>
          <w:noProof/>
        </w:rPr>
        <w:t>Küsimus 7.1. „Teie maksuhalduritel [...]“</w:t>
      </w:r>
    </w:p>
    <w:p w14:paraId="601CB2EE" w14:textId="4978F775" w:rsidR="005B15B7" w:rsidRPr="009306D5" w:rsidRDefault="003353FB" w:rsidP="00EF59B5">
      <w:pPr>
        <w:pStyle w:val="FIgure"/>
        <w:rPr>
          <w:rFonts w:cs="Times New Roman"/>
          <w:sz w:val="20"/>
        </w:rPr>
      </w:pPr>
      <w:r w:rsidRPr="009306D5">
        <w:rPr>
          <w:lang w:val="en-GB"/>
        </w:rPr>
        <w:drawing>
          <wp:inline distT="0" distB="0" distL="0" distR="0" wp14:anchorId="40BA1374" wp14:editId="6C4B3FD2">
            <wp:extent cx="5760085" cy="1787525"/>
            <wp:effectExtent l="0" t="0" r="0" b="3175"/>
            <wp:docPr id="160" name="Chart 160">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8094288"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264A2EBA" w14:textId="77777777" w:rsidR="005B15B7" w:rsidRPr="009306D5" w:rsidRDefault="005B15B7" w:rsidP="005B15B7">
      <w:pPr>
        <w:rPr>
          <w:rFonts w:cs="Times New Roman"/>
          <w:noProof/>
          <w:sz w:val="20"/>
        </w:rPr>
      </w:pPr>
      <w:r w:rsidRPr="009306D5">
        <w:rPr>
          <w:noProof/>
          <w:sz w:val="20"/>
        </w:rPr>
        <w:t>Kõik liikmesriigid kasutavad käibemaksukohustuste arvepidamiseks automaatseid arvestussüsteeme. Saksamaa, Iirimaa, Kreeka, Hispaania, Horvaatia, Läti, Leedu, Ungari, Malta, Portugal ja Ühendkuningriik teatasid, et nende arvestussüsteemid on liidestatud teiste arvestussüsteemidega ning sisaldavad menetlusi maksumaksjate andmete süstemaatiliseks läbivaatamiseks, et parandada võimalikud arvestusvead. Komisjon peab seda heaks tavaks ja soovitab kõigil liikmesriikidel kasutada sarnast lähenemisviisi.</w:t>
      </w:r>
    </w:p>
    <w:p w14:paraId="06EF6ED0" w14:textId="77777777" w:rsidR="005B15B7" w:rsidRPr="009306D5" w:rsidRDefault="005B15B7" w:rsidP="005B15B7">
      <w:pPr>
        <w:rPr>
          <w:rFonts w:cs="Times New Roman"/>
          <w:noProof/>
          <w:sz w:val="20"/>
        </w:rPr>
      </w:pPr>
      <w:r w:rsidRPr="009306D5">
        <w:rPr>
          <w:noProof/>
          <w:sz w:val="20"/>
        </w:rPr>
        <w:t>21 liikmesriiki, kelle arvestussüsteemid olid liidestatud maksuhaldurite muude arvestussüsteemidega, mainisid maksudeklaratsioonide esitamist, võlgnevuste haldamist, maksuregistreid ja klienditeenindussüsteeme. Mõnes liikmesriigis võimaldavad valitsuse spetsiaalsed teabeliidesed (nt x-teed) nende arvestussüsteemide suuremat koostalitlusvõimet, sealhulgas teiste riiklike asutustega, näiteks tervishoiu- ja sotsiaalteenustega, ning samuti pangandussüsteemidega, et vahetada finantsasutustega makseandmeid.</w:t>
      </w:r>
    </w:p>
    <w:p w14:paraId="2A7AE1DA" w14:textId="02280908" w:rsidR="005B15B7" w:rsidRPr="009306D5" w:rsidRDefault="005B15B7" w:rsidP="00FE0EC3">
      <w:pPr>
        <w:pStyle w:val="Recommendation"/>
      </w:pPr>
      <w:bookmarkStart w:id="2030" w:name="_Toc65673350"/>
      <w:bookmarkStart w:id="2031" w:name="_Toc95816224"/>
      <w:r w:rsidRPr="009306D5">
        <w:t xml:space="preserve">Soovitus </w:t>
      </w:r>
      <w:r w:rsidRPr="009306D5">
        <w:fldChar w:fldCharType="begin"/>
      </w:r>
      <w:r w:rsidRPr="009306D5">
        <w:instrText>SEQ Recommendation \* ARABIC</w:instrText>
      </w:r>
      <w:r w:rsidRPr="009306D5">
        <w:fldChar w:fldCharType="separate"/>
      </w:r>
      <w:bookmarkStart w:id="2032" w:name="_Toc65778321"/>
      <w:bookmarkStart w:id="2033" w:name="_Toc66116374"/>
      <w:r w:rsidR="008A2E1E" w:rsidRPr="009306D5">
        <w:t>36</w:t>
      </w:r>
      <w:r w:rsidRPr="009306D5">
        <w:fldChar w:fldCharType="end"/>
      </w:r>
      <w:r w:rsidRPr="009306D5">
        <w:t>. Tagada, et arvestussüsteemid on seotud muude süsteemidega ning et need sisaldavad menetlusi maksumaksja andmete süstemaatiliseks läbivaatamiseks ja parandamiseks</w:t>
      </w:r>
      <w:bookmarkEnd w:id="2032"/>
      <w:bookmarkEnd w:id="2033"/>
      <w:r w:rsidRPr="009306D5">
        <w:t>.</w:t>
      </w:r>
      <w:bookmarkEnd w:id="2030"/>
      <w:bookmarkEnd w:id="2031"/>
    </w:p>
    <w:p w14:paraId="47373C31" w14:textId="1C372CE8" w:rsidR="005B15B7" w:rsidRPr="009306D5" w:rsidRDefault="005B15B7" w:rsidP="005B15B7">
      <w:pPr>
        <w:rPr>
          <w:rFonts w:cs="Times New Roman"/>
          <w:noProof/>
          <w:sz w:val="20"/>
        </w:rPr>
      </w:pPr>
      <w:r w:rsidRPr="009306D5">
        <w:rPr>
          <w:noProof/>
          <w:sz w:val="20"/>
        </w:rPr>
        <w:t>Arvestussüsteemi korrapäraseks läbivaatamiseks tuleks kehtestada siseauditi protsess, et tagada süsteemi vastavus maksualastele õigusaktidele ja maksuarvestusstandarditele (nt maksukohustuste õige arvutamine, trahvid ja viivised). Enamik liikmesriike (17/28) teatas, et nad on sellise siseauditi korra kehtestanud ja mõnikord täiendab seda sõltumatu väline järelevalveasutus (nt valitsusaudiitor või riigi õigusnormide kohaselt määratud sõltumatu üksus), kes korrapäraselt auditeerib käibemaksuhaldust tegevuse tulemuslikkuse seisukohast.</w:t>
      </w:r>
    </w:p>
    <w:p w14:paraId="2D0CEF08" w14:textId="38E419D2" w:rsidR="005B15B7" w:rsidRPr="009306D5" w:rsidRDefault="005B15B7" w:rsidP="00FE0EC3">
      <w:pPr>
        <w:pStyle w:val="Caption"/>
      </w:pPr>
      <w:bookmarkStart w:id="2034" w:name="_Toc95816278"/>
      <w:r w:rsidRPr="009306D5">
        <w:t>Joonis </w:t>
      </w:r>
      <w:r w:rsidRPr="009306D5">
        <w:fldChar w:fldCharType="begin"/>
      </w:r>
      <w:r w:rsidRPr="009306D5">
        <w:instrText xml:space="preserve"> SEQ Figure \* ARABIC </w:instrText>
      </w:r>
      <w:r w:rsidRPr="009306D5">
        <w:fldChar w:fldCharType="separate"/>
      </w:r>
      <w:r w:rsidR="008A2E1E" w:rsidRPr="009306D5">
        <w:t>51</w:t>
      </w:r>
      <w:r w:rsidRPr="009306D5">
        <w:fldChar w:fldCharType="end"/>
      </w:r>
      <w:r w:rsidRPr="009306D5">
        <w:t>. Siseauditi protsessid ja väline läbivaatamine (ülevaade)</w:t>
      </w:r>
      <w:bookmarkEnd w:id="2034"/>
    </w:p>
    <w:p w14:paraId="643AC777" w14:textId="0BC27782" w:rsidR="005B15B7" w:rsidRPr="009306D5" w:rsidRDefault="005B15B7" w:rsidP="009F6CEA">
      <w:pPr>
        <w:pStyle w:val="Question"/>
        <w:rPr>
          <w:noProof/>
        </w:rPr>
      </w:pPr>
      <w:r w:rsidRPr="009306D5">
        <w:rPr>
          <w:b/>
          <w:bCs/>
          <w:noProof/>
        </w:rPr>
        <w:t>a.</w:t>
      </w:r>
      <w:r w:rsidRPr="009306D5">
        <w:rPr>
          <w:noProof/>
        </w:rPr>
        <w:t xml:space="preserve"> Küsimus 7.1. „Teie maksuhalduritel [...] vaatab siseaudit korrapäraselt läbi arvestussüsteemi, et tagada kooskõla maksualaste õigusaktide ja maksuarvestusstandarditega (nt süsteem arvutab nõuetekohaselt maksukohustusi, trahve ja viiviseid).“</w:t>
      </w:r>
    </w:p>
    <w:p w14:paraId="3E031DF6" w14:textId="3ABDE90F" w:rsidR="005B15B7" w:rsidRPr="009306D5" w:rsidRDefault="00FD4C3B" w:rsidP="00EF59B5">
      <w:pPr>
        <w:pStyle w:val="FIgure"/>
        <w:rPr>
          <w:sz w:val="20"/>
        </w:rPr>
      </w:pPr>
      <w:r w:rsidRPr="009306D5">
        <w:rPr>
          <w:lang w:val="en-GB"/>
        </w:rPr>
        <w:drawing>
          <wp:inline distT="0" distB="0" distL="0" distR="0" wp14:anchorId="22A2C5A2" wp14:editId="49361458">
            <wp:extent cx="5760085" cy="1678940"/>
            <wp:effectExtent l="0" t="0" r="0" b="0"/>
            <wp:docPr id="161" name="Chart 161">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8A13844"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7BF850A2" w14:textId="7F5E9831" w:rsidR="005B15B7" w:rsidRPr="009306D5" w:rsidRDefault="005B15B7" w:rsidP="009F6CEA">
      <w:pPr>
        <w:pStyle w:val="Question"/>
        <w:rPr>
          <w:noProof/>
        </w:rPr>
      </w:pPr>
      <w:r w:rsidRPr="009306D5">
        <w:rPr>
          <w:iCs/>
          <w:noProof/>
        </w:rPr>
        <w:t>b.</w:t>
      </w:r>
      <w:r w:rsidRPr="009306D5">
        <w:rPr>
          <w:noProof/>
        </w:rPr>
        <w:t xml:space="preserve"> Küsimus 7.3. „Kas sõltumatu väline kontrolliasutus (nt valitsuse audiitor või riigi õigusnormide kohaselt ametisse nimetatud sõltumatu üksus) auditeerib korrapäraselt maksuhaldurite finantsaruandeid ja tegevuse tulemuslikkust, sealhulgas käibemaksuhaldust?“</w:t>
      </w:r>
    </w:p>
    <w:p w14:paraId="5592AF37" w14:textId="110B52F9" w:rsidR="005B15B7" w:rsidRPr="009306D5" w:rsidRDefault="00FD4C3B" w:rsidP="009F6CEA">
      <w:pPr>
        <w:pStyle w:val="FIgure"/>
        <w:rPr>
          <w:sz w:val="20"/>
        </w:rPr>
      </w:pPr>
      <w:r w:rsidRPr="009306D5">
        <w:rPr>
          <w:lang w:val="en-GB"/>
        </w:rPr>
        <w:drawing>
          <wp:inline distT="0" distB="0" distL="0" distR="0" wp14:anchorId="7A7ADDF7" wp14:editId="1D360D3F">
            <wp:extent cx="5760085" cy="1678940"/>
            <wp:effectExtent l="0" t="0" r="0" b="0"/>
            <wp:docPr id="163" name="Chart 163">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758BFB9"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22C01644" w14:textId="3E6F64AF" w:rsidR="005B15B7" w:rsidRPr="009306D5" w:rsidRDefault="005B15B7" w:rsidP="00FE0EC3">
      <w:pPr>
        <w:pStyle w:val="Recommendation"/>
      </w:pPr>
      <w:bookmarkStart w:id="2035" w:name="_Toc95816225"/>
      <w:r w:rsidRPr="009306D5">
        <w:t xml:space="preserve">Soovitus </w:t>
      </w:r>
      <w:r w:rsidRPr="009306D5">
        <w:fldChar w:fldCharType="begin"/>
      </w:r>
      <w:r w:rsidRPr="009306D5">
        <w:instrText>SEQ Recommendation \* ARABIC</w:instrText>
      </w:r>
      <w:r w:rsidRPr="009306D5">
        <w:fldChar w:fldCharType="separate"/>
      </w:r>
      <w:bookmarkStart w:id="2036" w:name="_Toc65778322"/>
      <w:bookmarkStart w:id="2037" w:name="_Toc66116375"/>
      <w:r w:rsidR="008A2E1E" w:rsidRPr="009306D5">
        <w:t>37</w:t>
      </w:r>
      <w:r w:rsidRPr="009306D5">
        <w:fldChar w:fldCharType="end"/>
      </w:r>
      <w:r w:rsidRPr="009306D5">
        <w:t xml:space="preserve">. </w:t>
      </w:r>
      <w:bookmarkStart w:id="2038" w:name="_Toc65673351"/>
      <w:r w:rsidRPr="009306D5">
        <w:t>Kehtestada arvestussüsteemi jaoks asjakohane siseauditi protsess, et tagada kooskõla maksualaste õigusaktide ja maksuarvestusstandarditega</w:t>
      </w:r>
      <w:bookmarkEnd w:id="2038"/>
      <w:bookmarkEnd w:id="2036"/>
      <w:bookmarkEnd w:id="2037"/>
      <w:r w:rsidRPr="009306D5">
        <w:t>.</w:t>
      </w:r>
      <w:bookmarkEnd w:id="2035"/>
    </w:p>
    <w:p w14:paraId="3E23047F" w14:textId="77777777" w:rsidR="005B15B7" w:rsidRPr="009306D5" w:rsidRDefault="005B15B7" w:rsidP="000D13AA">
      <w:pPr>
        <w:pStyle w:val="Heading2"/>
        <w:numPr>
          <w:ilvl w:val="1"/>
          <w:numId w:val="34"/>
        </w:numPr>
        <w:rPr>
          <w:noProof/>
        </w:rPr>
      </w:pPr>
      <w:bookmarkStart w:id="2039" w:name="_Toc65836487"/>
      <w:bookmarkStart w:id="2040" w:name="_Toc66116428"/>
      <w:bookmarkStart w:id="2041" w:name="_Toc66202097"/>
      <w:bookmarkStart w:id="2042" w:name="_Toc67414274"/>
      <w:bookmarkStart w:id="2043" w:name="_Toc67415200"/>
      <w:bookmarkStart w:id="2044" w:name="_Toc67415365"/>
      <w:bookmarkStart w:id="2045" w:name="_Toc67415645"/>
      <w:bookmarkStart w:id="2046" w:name="_Toc67415906"/>
      <w:bookmarkStart w:id="2047" w:name="_Toc69994952"/>
      <w:bookmarkStart w:id="2048" w:name="_Toc82790300"/>
      <w:bookmarkStart w:id="2049" w:name="_Toc82792869"/>
      <w:bookmarkStart w:id="2050" w:name="_Toc90291264"/>
      <w:bookmarkStart w:id="2051" w:name="_Toc95812978"/>
      <w:r w:rsidRPr="009306D5">
        <w:rPr>
          <w:noProof/>
        </w:rPr>
        <w:t>Käibemaksuvaidluste lahendamise protsess</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60705526" w14:textId="77777777" w:rsidR="005B15B7" w:rsidRPr="009306D5" w:rsidRDefault="005B15B7" w:rsidP="005B15B7">
      <w:pPr>
        <w:rPr>
          <w:rFonts w:cs="Times New Roman"/>
          <w:noProof/>
          <w:sz w:val="20"/>
        </w:rPr>
      </w:pPr>
      <w:r w:rsidRPr="009306D5">
        <w:rPr>
          <w:noProof/>
          <w:sz w:val="20"/>
        </w:rPr>
        <w:t>Mõnel juhul ja eriti pärast käibemaksuauditit võivad maksumaksjad maksuhaldurite hinnangutega mitte nõustuda. Vaidlused tekivad tavaliselt sellistest küsimustest nagu haldusvead või õigusnormide, faktide ja nendevaheliste seoste tõlgendamisel tekkinud tuvastatud lahknevus. Maksumaksjad peaksid saama kasu sõltumatust, kättesaadavast ja tõhusast läbivaatamismehhanismist, mis kaitseb nende õigust vaidlustada käibemaksuotsus ja õigust õiglasele arutamisele.</w:t>
      </w:r>
    </w:p>
    <w:p w14:paraId="507F8AEA" w14:textId="77777777" w:rsidR="005B15B7" w:rsidRPr="009306D5" w:rsidRDefault="005B15B7" w:rsidP="005B15B7">
      <w:pPr>
        <w:rPr>
          <w:rFonts w:cs="Times New Roman"/>
          <w:noProof/>
          <w:sz w:val="20"/>
        </w:rPr>
      </w:pPr>
      <w:r w:rsidRPr="009306D5">
        <w:rPr>
          <w:noProof/>
          <w:sz w:val="20"/>
        </w:rPr>
        <w:t>Tavaliselt hõlmab vaidluste lahendamise mehhanism mitut etappi. Esialgu võivad maksumaksjad taotleda maksuhaldurilt halduskontrolli, mille viivad tavaliselt läbi spetsiaalsed ametnikud väljastpoolt auditiosakonda. Maksumaksjad, kes ei ole rahul halduskontrolliga, võivad taotleda läbivaatamist sõltumatu organi poolt (erikomisjon, maksuasjade erikohus või maksukohus). Lõpuks võivad nad ülejäänud vaidlusküsimuste lahendamiseks otsida abi kohtusüsteemilt (või alternatiivselt süsteemilt, näiteks vaidluste vältimise ja lahendamise mehhanism). Sellised vaidlused puudutavad tavaliselt käibemaksualaste õigusaktide ja/või faktiliste asjaolude õiguslikku tõlgendamist või maksuhalduripoolset üldist kohtlemist (menetlust).</w:t>
      </w:r>
    </w:p>
    <w:p w14:paraId="4801135E" w14:textId="77777777" w:rsidR="005B15B7" w:rsidRPr="009306D5" w:rsidRDefault="005B15B7" w:rsidP="005B15B7">
      <w:pPr>
        <w:rPr>
          <w:rFonts w:cs="Times New Roman"/>
          <w:noProof/>
          <w:sz w:val="20"/>
        </w:rPr>
      </w:pPr>
      <w:r w:rsidRPr="009306D5">
        <w:rPr>
          <w:noProof/>
          <w:sz w:val="20"/>
        </w:rPr>
        <w:t>Käibemaksuvaidluste lahendamise mehhanismid ELi liikmesriikides erinevad sõltuvalt riikide käibemaksualastest õigusnormidest, riigipõhistest kogemustest ja kehtestatud menetlustest. Siiski on kõik liikmesriigid kehtestanud käibemaksuvaidluste lahendamise menetluse, mis kaitseb maksumaksja õigust vaidlustada käibemaksuauditil põhinev maksuotsus.</w:t>
      </w:r>
    </w:p>
    <w:p w14:paraId="6C50C740" w14:textId="09E5A48D" w:rsidR="005B15B7" w:rsidRPr="009306D5" w:rsidRDefault="005B15B7" w:rsidP="00FE0EC3">
      <w:pPr>
        <w:pStyle w:val="Caption"/>
      </w:pPr>
      <w:bookmarkStart w:id="2052" w:name="_Toc90291233"/>
      <w:r w:rsidRPr="009306D5">
        <w:t xml:space="preserve">Tabel </w:t>
      </w:r>
      <w:r w:rsidRPr="009306D5">
        <w:fldChar w:fldCharType="begin"/>
      </w:r>
      <w:r w:rsidRPr="009306D5">
        <w:instrText xml:space="preserve"> SEQ Table \* ARABIC </w:instrText>
      </w:r>
      <w:r w:rsidRPr="009306D5">
        <w:fldChar w:fldCharType="separate"/>
      </w:r>
      <w:r w:rsidR="008A2E1E" w:rsidRPr="009306D5">
        <w:t>2</w:t>
      </w:r>
      <w:r w:rsidRPr="009306D5">
        <w:fldChar w:fldCharType="end"/>
      </w:r>
      <w:r w:rsidRPr="009306D5">
        <w:t>. Ülevaade käibemaksuvaidluste lahendamisest ELi liikmesriikides</w:t>
      </w:r>
      <w:bookmarkEnd w:id="2052"/>
    </w:p>
    <w:tbl>
      <w:tblPr>
        <w:tblStyle w:val="GridTable5Dark-Accent5"/>
        <w:tblW w:w="8784" w:type="dxa"/>
        <w:tblLayout w:type="fixed"/>
        <w:tblLook w:val="04A0" w:firstRow="1" w:lastRow="0" w:firstColumn="1" w:lastColumn="0" w:noHBand="0" w:noVBand="1"/>
      </w:tblPr>
      <w:tblGrid>
        <w:gridCol w:w="1413"/>
        <w:gridCol w:w="1842"/>
        <w:gridCol w:w="1843"/>
        <w:gridCol w:w="1843"/>
        <w:gridCol w:w="1843"/>
      </w:tblGrid>
      <w:tr w:rsidR="005B15B7" w:rsidRPr="009306D5" w14:paraId="145BDB0A" w14:textId="77777777" w:rsidTr="000D13AA">
        <w:trPr>
          <w:cnfStyle w:val="100000000000" w:firstRow="1" w:lastRow="0" w:firstColumn="0" w:lastColumn="0" w:oddVBand="0" w:evenVBand="0" w:oddHBand="0" w:evenHBand="0" w:firstRowFirstColumn="0" w:firstRowLastColumn="0" w:lastRowFirstColumn="0" w:lastRowLastColumn="0"/>
          <w:trHeight w:val="1243"/>
          <w:tblHeader/>
        </w:trPr>
        <w:tc>
          <w:tcPr>
            <w:cnfStyle w:val="001000000000" w:firstRow="0" w:lastRow="0" w:firstColumn="1" w:lastColumn="0" w:oddVBand="0" w:evenVBand="0" w:oddHBand="0" w:evenHBand="0" w:firstRowFirstColumn="0" w:firstRowLastColumn="0" w:lastRowFirstColumn="0" w:lastRowLastColumn="0"/>
            <w:tcW w:w="1413" w:type="dxa"/>
            <w:tcBorders>
              <w:tl2br w:val="single" w:sz="4" w:space="0" w:color="FFFFFF" w:themeColor="background1"/>
            </w:tcBorders>
          </w:tcPr>
          <w:p w14:paraId="71F8D4BD" w14:textId="77777777" w:rsidR="005B15B7" w:rsidRPr="009306D5" w:rsidRDefault="005B15B7" w:rsidP="000D13AA">
            <w:pPr>
              <w:tabs>
                <w:tab w:val="left" w:pos="990"/>
              </w:tabs>
              <w:spacing w:before="40" w:after="40"/>
              <w:jc w:val="right"/>
              <w:rPr>
                <w:rFonts w:cs="Times New Roman"/>
                <w:noProof/>
                <w:sz w:val="16"/>
                <w:szCs w:val="16"/>
              </w:rPr>
            </w:pPr>
            <w:r w:rsidRPr="009306D5">
              <w:rPr>
                <w:noProof/>
                <w:sz w:val="16"/>
                <w:szCs w:val="16"/>
              </w:rPr>
              <w:t>Vaidluse</w:t>
            </w:r>
          </w:p>
          <w:p w14:paraId="7206457A" w14:textId="77777777" w:rsidR="005B15B7" w:rsidRPr="009306D5" w:rsidRDefault="005B15B7" w:rsidP="000D13AA">
            <w:pPr>
              <w:tabs>
                <w:tab w:val="left" w:pos="990"/>
              </w:tabs>
              <w:spacing w:before="40" w:after="40"/>
              <w:jc w:val="right"/>
              <w:rPr>
                <w:rFonts w:cs="Times New Roman"/>
                <w:noProof/>
                <w:sz w:val="16"/>
                <w:szCs w:val="16"/>
              </w:rPr>
            </w:pPr>
            <w:r w:rsidRPr="009306D5">
              <w:rPr>
                <w:noProof/>
                <w:sz w:val="16"/>
                <w:szCs w:val="16"/>
              </w:rPr>
              <w:t>lahendamine</w:t>
            </w:r>
          </w:p>
          <w:p w14:paraId="75A44C08" w14:textId="77777777" w:rsidR="005B15B7" w:rsidRPr="009306D5" w:rsidRDefault="005B15B7" w:rsidP="000D13AA">
            <w:pPr>
              <w:tabs>
                <w:tab w:val="left" w:pos="990"/>
              </w:tabs>
              <w:spacing w:before="40" w:after="40"/>
              <w:rPr>
                <w:rFonts w:cs="Times New Roman"/>
                <w:noProof/>
                <w:sz w:val="16"/>
                <w:szCs w:val="16"/>
              </w:rPr>
            </w:pPr>
          </w:p>
          <w:p w14:paraId="3B05D2B5" w14:textId="77777777" w:rsidR="005B15B7" w:rsidRPr="009306D5" w:rsidRDefault="005B15B7" w:rsidP="000D13AA">
            <w:pPr>
              <w:tabs>
                <w:tab w:val="left" w:pos="990"/>
              </w:tabs>
              <w:spacing w:before="40" w:after="40"/>
              <w:rPr>
                <w:rFonts w:cs="Times New Roman"/>
                <w:noProof/>
                <w:sz w:val="16"/>
                <w:szCs w:val="16"/>
              </w:rPr>
            </w:pPr>
          </w:p>
          <w:p w14:paraId="697130B5" w14:textId="77777777" w:rsidR="005B15B7" w:rsidRPr="009306D5" w:rsidRDefault="005B15B7" w:rsidP="000D13AA">
            <w:pPr>
              <w:tabs>
                <w:tab w:val="left" w:pos="990"/>
              </w:tabs>
              <w:spacing w:before="40" w:after="40"/>
              <w:rPr>
                <w:rFonts w:cs="Times New Roman"/>
                <w:noProof/>
                <w:sz w:val="16"/>
                <w:szCs w:val="16"/>
              </w:rPr>
            </w:pPr>
            <w:r w:rsidRPr="009306D5">
              <w:rPr>
                <w:noProof/>
                <w:sz w:val="16"/>
                <w:szCs w:val="16"/>
              </w:rPr>
              <w:t>Liikmes-</w:t>
            </w:r>
          </w:p>
          <w:p w14:paraId="3666907B" w14:textId="77777777" w:rsidR="005B15B7" w:rsidRPr="009306D5" w:rsidRDefault="005B15B7" w:rsidP="000D13AA">
            <w:pPr>
              <w:tabs>
                <w:tab w:val="left" w:pos="990"/>
              </w:tabs>
              <w:spacing w:before="40" w:after="40"/>
              <w:rPr>
                <w:rFonts w:cs="Times New Roman"/>
                <w:noProof/>
                <w:sz w:val="16"/>
                <w:szCs w:val="16"/>
              </w:rPr>
            </w:pPr>
            <w:r w:rsidRPr="009306D5">
              <w:rPr>
                <w:noProof/>
                <w:sz w:val="16"/>
                <w:szCs w:val="16"/>
              </w:rPr>
              <w:t>riik</w:t>
            </w:r>
          </w:p>
        </w:tc>
        <w:tc>
          <w:tcPr>
            <w:tcW w:w="1842" w:type="dxa"/>
            <w:vAlign w:val="center"/>
          </w:tcPr>
          <w:p w14:paraId="17C19AC6" w14:textId="4B47D33D" w:rsidR="005B15B7" w:rsidRPr="009306D5" w:rsidRDefault="005B15B7" w:rsidP="000D13AA">
            <w:pPr>
              <w:tabs>
                <w:tab w:val="left" w:pos="990"/>
              </w:tabs>
              <w:spacing w:before="40" w:after="40"/>
              <w:jc w:val="center"/>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Maksumaksjatel on õigus vaidlustada käibemaksuotsused maksuhalduri sisekontrollina toimuva läbivaatamise teel.</w:t>
            </w:r>
          </w:p>
        </w:tc>
        <w:tc>
          <w:tcPr>
            <w:tcW w:w="1843" w:type="dxa"/>
            <w:vAlign w:val="center"/>
          </w:tcPr>
          <w:p w14:paraId="795B5A78" w14:textId="77777777" w:rsidR="005B15B7" w:rsidRPr="009306D5" w:rsidRDefault="005B15B7" w:rsidP="000D13AA">
            <w:pPr>
              <w:tabs>
                <w:tab w:val="left" w:pos="990"/>
              </w:tabs>
              <w:spacing w:before="40" w:after="40"/>
              <w:jc w:val="center"/>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Sisekontrolli teeb käibemaksuauditi osakonnast eraldiseisev spetsiaalne üksus.</w:t>
            </w:r>
          </w:p>
        </w:tc>
        <w:tc>
          <w:tcPr>
            <w:tcW w:w="1843" w:type="dxa"/>
            <w:vAlign w:val="center"/>
          </w:tcPr>
          <w:p w14:paraId="40AAA4CE" w14:textId="77777777" w:rsidR="005B15B7" w:rsidRPr="009306D5" w:rsidRDefault="005B15B7" w:rsidP="000D13AA">
            <w:pPr>
              <w:tabs>
                <w:tab w:val="left" w:pos="990"/>
              </w:tabs>
              <w:spacing w:before="40" w:after="40"/>
              <w:jc w:val="center"/>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Maksumaksjad võivad käibemaksuotsuseid vaidlustada välise asutuse korraldatud sõltumatu läbivaatamise teel.</w:t>
            </w:r>
          </w:p>
        </w:tc>
        <w:tc>
          <w:tcPr>
            <w:tcW w:w="1843" w:type="dxa"/>
            <w:vAlign w:val="center"/>
          </w:tcPr>
          <w:p w14:paraId="6D814C5F" w14:textId="77777777" w:rsidR="005B15B7" w:rsidRPr="009306D5" w:rsidRDefault="005B15B7" w:rsidP="000D13AA">
            <w:pPr>
              <w:tabs>
                <w:tab w:val="left" w:pos="990"/>
              </w:tabs>
              <w:spacing w:before="40" w:after="40"/>
              <w:jc w:val="center"/>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Maksumaksjad võivad sõltumatu läbivaatamise vaidlustada ka kõrgemas apellatsioonikohtus.</w:t>
            </w:r>
          </w:p>
        </w:tc>
      </w:tr>
      <w:tr w:rsidR="005B15B7" w:rsidRPr="009306D5" w14:paraId="2C42ACB8"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22EED24C" w14:textId="77777777" w:rsidR="005B15B7" w:rsidRPr="009306D5" w:rsidRDefault="005B15B7" w:rsidP="000D13AA">
            <w:pPr>
              <w:spacing w:before="40" w:after="40"/>
              <w:rPr>
                <w:rFonts w:cs="Times New Roman"/>
                <w:noProof/>
                <w:sz w:val="16"/>
                <w:szCs w:val="16"/>
              </w:rPr>
            </w:pPr>
            <w:r w:rsidRPr="009306D5">
              <w:rPr>
                <w:noProof/>
                <w:sz w:val="16"/>
                <w:szCs w:val="16"/>
              </w:rPr>
              <w:t>Austria</w:t>
            </w:r>
          </w:p>
        </w:tc>
        <w:tc>
          <w:tcPr>
            <w:tcW w:w="1842" w:type="dxa"/>
          </w:tcPr>
          <w:p w14:paraId="3F0661E9"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72E6F93D"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Ei</w:t>
            </w:r>
          </w:p>
        </w:tc>
        <w:tc>
          <w:tcPr>
            <w:tcW w:w="1843" w:type="dxa"/>
          </w:tcPr>
          <w:p w14:paraId="21F491F2"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3E8FC343"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52ADD1ED"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14E8DE58" w14:textId="77777777" w:rsidR="005B15B7" w:rsidRPr="009306D5" w:rsidRDefault="005B15B7" w:rsidP="000D13AA">
            <w:pPr>
              <w:spacing w:before="40" w:after="40"/>
              <w:rPr>
                <w:rFonts w:cs="Times New Roman"/>
                <w:noProof/>
                <w:sz w:val="16"/>
                <w:szCs w:val="16"/>
              </w:rPr>
            </w:pPr>
            <w:r w:rsidRPr="009306D5">
              <w:rPr>
                <w:noProof/>
                <w:sz w:val="16"/>
                <w:szCs w:val="16"/>
              </w:rPr>
              <w:t>Belgia</w:t>
            </w:r>
          </w:p>
        </w:tc>
        <w:tc>
          <w:tcPr>
            <w:tcW w:w="1842" w:type="dxa"/>
          </w:tcPr>
          <w:p w14:paraId="44A6A518"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48185C5D"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699C4309"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AC495A6"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3AB4CC44"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715B5C05" w14:textId="77777777" w:rsidR="005B15B7" w:rsidRPr="009306D5" w:rsidRDefault="005B15B7" w:rsidP="000D13AA">
            <w:pPr>
              <w:spacing w:before="40" w:after="40"/>
              <w:rPr>
                <w:rFonts w:cs="Times New Roman"/>
                <w:noProof/>
                <w:sz w:val="16"/>
                <w:szCs w:val="16"/>
              </w:rPr>
            </w:pPr>
            <w:r w:rsidRPr="009306D5">
              <w:rPr>
                <w:noProof/>
                <w:sz w:val="16"/>
                <w:szCs w:val="16"/>
              </w:rPr>
              <w:t>Bulgaaria</w:t>
            </w:r>
          </w:p>
        </w:tc>
        <w:tc>
          <w:tcPr>
            <w:tcW w:w="1842" w:type="dxa"/>
          </w:tcPr>
          <w:p w14:paraId="58E60D5F"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C9BE289"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534E6042"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0CFB08D"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219B34C9"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450D2BA3" w14:textId="77777777" w:rsidR="005B15B7" w:rsidRPr="009306D5" w:rsidRDefault="005B15B7" w:rsidP="000D13AA">
            <w:pPr>
              <w:spacing w:before="40" w:after="40"/>
              <w:rPr>
                <w:rFonts w:cs="Times New Roman"/>
                <w:noProof/>
                <w:sz w:val="16"/>
                <w:szCs w:val="16"/>
              </w:rPr>
            </w:pPr>
            <w:r w:rsidRPr="009306D5">
              <w:rPr>
                <w:noProof/>
                <w:sz w:val="16"/>
                <w:szCs w:val="16"/>
              </w:rPr>
              <w:t>Horvaatia</w:t>
            </w:r>
          </w:p>
        </w:tc>
        <w:tc>
          <w:tcPr>
            <w:tcW w:w="1842" w:type="dxa"/>
          </w:tcPr>
          <w:p w14:paraId="254FF6D7"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Ei</w:t>
            </w:r>
          </w:p>
        </w:tc>
        <w:tc>
          <w:tcPr>
            <w:tcW w:w="1843" w:type="dxa"/>
          </w:tcPr>
          <w:p w14:paraId="07BD5BCB"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w:t>
            </w:r>
          </w:p>
        </w:tc>
        <w:tc>
          <w:tcPr>
            <w:tcW w:w="1843" w:type="dxa"/>
          </w:tcPr>
          <w:p w14:paraId="06772B61"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4C7D74C"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6905D1F4"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5A44C302" w14:textId="77777777" w:rsidR="005B15B7" w:rsidRPr="009306D5" w:rsidRDefault="005B15B7" w:rsidP="000D13AA">
            <w:pPr>
              <w:spacing w:before="40" w:after="40"/>
              <w:rPr>
                <w:rFonts w:cs="Times New Roman"/>
                <w:noProof/>
                <w:sz w:val="16"/>
                <w:szCs w:val="16"/>
              </w:rPr>
            </w:pPr>
            <w:r w:rsidRPr="009306D5">
              <w:rPr>
                <w:noProof/>
                <w:sz w:val="16"/>
                <w:szCs w:val="16"/>
              </w:rPr>
              <w:t>Küpros</w:t>
            </w:r>
          </w:p>
        </w:tc>
        <w:tc>
          <w:tcPr>
            <w:tcW w:w="1842" w:type="dxa"/>
          </w:tcPr>
          <w:p w14:paraId="1AFA0237"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433AD55"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4D8D55F1"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4226E401"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6C647CB0"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1F546472" w14:textId="77777777" w:rsidR="005B15B7" w:rsidRPr="009306D5" w:rsidRDefault="005B15B7" w:rsidP="000D13AA">
            <w:pPr>
              <w:spacing w:before="40" w:after="40"/>
              <w:rPr>
                <w:rFonts w:cs="Times New Roman"/>
                <w:noProof/>
                <w:sz w:val="16"/>
                <w:szCs w:val="16"/>
              </w:rPr>
            </w:pPr>
            <w:r w:rsidRPr="009306D5">
              <w:rPr>
                <w:noProof/>
                <w:sz w:val="16"/>
                <w:szCs w:val="16"/>
              </w:rPr>
              <w:t>Tšehhi Vabariik</w:t>
            </w:r>
          </w:p>
        </w:tc>
        <w:tc>
          <w:tcPr>
            <w:tcW w:w="1842" w:type="dxa"/>
          </w:tcPr>
          <w:p w14:paraId="039E24FC"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64FD9A88"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701E3C14"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52F3C1F4"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2834CBC1"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66105DFA" w14:textId="77777777" w:rsidR="005B15B7" w:rsidRPr="009306D5" w:rsidRDefault="005B15B7" w:rsidP="000D13AA">
            <w:pPr>
              <w:spacing w:before="40" w:after="40"/>
              <w:rPr>
                <w:rFonts w:cs="Times New Roman"/>
                <w:noProof/>
                <w:sz w:val="16"/>
                <w:szCs w:val="16"/>
              </w:rPr>
            </w:pPr>
            <w:r w:rsidRPr="009306D5">
              <w:rPr>
                <w:noProof/>
                <w:sz w:val="16"/>
                <w:szCs w:val="16"/>
              </w:rPr>
              <w:t>Taani</w:t>
            </w:r>
          </w:p>
        </w:tc>
        <w:tc>
          <w:tcPr>
            <w:tcW w:w="1842" w:type="dxa"/>
          </w:tcPr>
          <w:p w14:paraId="1CF22B58"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1759B8C"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Ei kohaldata</w:t>
            </w:r>
          </w:p>
        </w:tc>
        <w:tc>
          <w:tcPr>
            <w:tcW w:w="1843" w:type="dxa"/>
          </w:tcPr>
          <w:p w14:paraId="67DD15C2"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798B3C1"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38F9499A"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0C798063" w14:textId="77777777" w:rsidR="005B15B7" w:rsidRPr="009306D5" w:rsidRDefault="005B15B7" w:rsidP="000D13AA">
            <w:pPr>
              <w:spacing w:before="40" w:after="40"/>
              <w:rPr>
                <w:rFonts w:cs="Times New Roman"/>
                <w:noProof/>
                <w:sz w:val="16"/>
                <w:szCs w:val="16"/>
              </w:rPr>
            </w:pPr>
            <w:r w:rsidRPr="009306D5">
              <w:rPr>
                <w:noProof/>
                <w:sz w:val="16"/>
                <w:szCs w:val="16"/>
              </w:rPr>
              <w:t>Eesti</w:t>
            </w:r>
          </w:p>
        </w:tc>
        <w:tc>
          <w:tcPr>
            <w:tcW w:w="1842" w:type="dxa"/>
          </w:tcPr>
          <w:p w14:paraId="2C3EFE34"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7AAD920"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405857FF"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834B465"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42764643"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4E897AA7" w14:textId="77777777" w:rsidR="005B15B7" w:rsidRPr="009306D5" w:rsidRDefault="005B15B7" w:rsidP="000D13AA">
            <w:pPr>
              <w:spacing w:before="40" w:after="40"/>
              <w:rPr>
                <w:rFonts w:cs="Times New Roman"/>
                <w:noProof/>
                <w:sz w:val="16"/>
                <w:szCs w:val="16"/>
              </w:rPr>
            </w:pPr>
            <w:r w:rsidRPr="009306D5">
              <w:rPr>
                <w:noProof/>
                <w:sz w:val="16"/>
                <w:szCs w:val="16"/>
              </w:rPr>
              <w:t>Soome</w:t>
            </w:r>
          </w:p>
        </w:tc>
        <w:tc>
          <w:tcPr>
            <w:tcW w:w="1842" w:type="dxa"/>
          </w:tcPr>
          <w:p w14:paraId="0B332D1E"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45568036"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28166D2"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5952398A"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72535FB6"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4E725E18" w14:textId="77777777" w:rsidR="005B15B7" w:rsidRPr="009306D5" w:rsidRDefault="005B15B7" w:rsidP="000D13AA">
            <w:pPr>
              <w:spacing w:before="40" w:after="40"/>
              <w:rPr>
                <w:rFonts w:cs="Times New Roman"/>
                <w:noProof/>
                <w:sz w:val="16"/>
                <w:szCs w:val="16"/>
              </w:rPr>
            </w:pPr>
            <w:r w:rsidRPr="009306D5">
              <w:rPr>
                <w:noProof/>
                <w:sz w:val="16"/>
                <w:szCs w:val="16"/>
              </w:rPr>
              <w:t>Prantsusmaa</w:t>
            </w:r>
          </w:p>
        </w:tc>
        <w:tc>
          <w:tcPr>
            <w:tcW w:w="1842" w:type="dxa"/>
          </w:tcPr>
          <w:p w14:paraId="14908BD3"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850CD9C"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Ei kohaldata</w:t>
            </w:r>
          </w:p>
        </w:tc>
        <w:tc>
          <w:tcPr>
            <w:tcW w:w="1843" w:type="dxa"/>
          </w:tcPr>
          <w:p w14:paraId="1EEC96BE"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755FABEB"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219A79AB"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038BC760" w14:textId="77777777" w:rsidR="005B15B7" w:rsidRPr="009306D5" w:rsidRDefault="005B15B7" w:rsidP="000D13AA">
            <w:pPr>
              <w:spacing w:before="40" w:after="40"/>
              <w:rPr>
                <w:rFonts w:cs="Times New Roman"/>
                <w:noProof/>
                <w:sz w:val="16"/>
                <w:szCs w:val="16"/>
              </w:rPr>
            </w:pPr>
            <w:r w:rsidRPr="009306D5">
              <w:rPr>
                <w:noProof/>
                <w:sz w:val="16"/>
                <w:szCs w:val="16"/>
              </w:rPr>
              <w:t>Saksamaa</w:t>
            </w:r>
          </w:p>
        </w:tc>
        <w:tc>
          <w:tcPr>
            <w:tcW w:w="1842" w:type="dxa"/>
          </w:tcPr>
          <w:p w14:paraId="246C63E6"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6D4146F8"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Ei</w:t>
            </w:r>
          </w:p>
        </w:tc>
        <w:tc>
          <w:tcPr>
            <w:tcW w:w="1843" w:type="dxa"/>
          </w:tcPr>
          <w:p w14:paraId="7C4C7ED1"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DAA1954"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4BE5E609"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3E3A59E8" w14:textId="77777777" w:rsidR="005B15B7" w:rsidRPr="009306D5" w:rsidRDefault="005B15B7" w:rsidP="000D13AA">
            <w:pPr>
              <w:spacing w:before="40" w:after="40"/>
              <w:rPr>
                <w:rFonts w:cs="Times New Roman"/>
                <w:noProof/>
                <w:sz w:val="16"/>
                <w:szCs w:val="16"/>
              </w:rPr>
            </w:pPr>
            <w:r w:rsidRPr="009306D5">
              <w:rPr>
                <w:noProof/>
                <w:sz w:val="16"/>
                <w:szCs w:val="16"/>
              </w:rPr>
              <w:t>Kreeka</w:t>
            </w:r>
          </w:p>
        </w:tc>
        <w:tc>
          <w:tcPr>
            <w:tcW w:w="1842" w:type="dxa"/>
          </w:tcPr>
          <w:p w14:paraId="5F97E961"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61E10EBF"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1FF8D6E"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3E178D9"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45A0F068"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4DB6D2DE" w14:textId="77777777" w:rsidR="005B15B7" w:rsidRPr="009306D5" w:rsidRDefault="005B15B7" w:rsidP="000D13AA">
            <w:pPr>
              <w:spacing w:before="40" w:after="40"/>
              <w:rPr>
                <w:rFonts w:cs="Times New Roman"/>
                <w:noProof/>
                <w:sz w:val="16"/>
                <w:szCs w:val="16"/>
              </w:rPr>
            </w:pPr>
            <w:r w:rsidRPr="009306D5">
              <w:rPr>
                <w:noProof/>
                <w:sz w:val="16"/>
                <w:szCs w:val="16"/>
              </w:rPr>
              <w:t>Ungari</w:t>
            </w:r>
          </w:p>
        </w:tc>
        <w:tc>
          <w:tcPr>
            <w:tcW w:w="1842" w:type="dxa"/>
          </w:tcPr>
          <w:p w14:paraId="79C46231"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7DF7DFF1"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957215B"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EA75CD4"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4189112F"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4A3392E2" w14:textId="77777777" w:rsidR="005B15B7" w:rsidRPr="009306D5" w:rsidRDefault="005B15B7" w:rsidP="000D13AA">
            <w:pPr>
              <w:spacing w:before="40" w:after="40"/>
              <w:rPr>
                <w:rFonts w:cs="Times New Roman"/>
                <w:noProof/>
                <w:sz w:val="16"/>
                <w:szCs w:val="16"/>
              </w:rPr>
            </w:pPr>
            <w:r w:rsidRPr="009306D5">
              <w:rPr>
                <w:noProof/>
                <w:sz w:val="16"/>
                <w:szCs w:val="16"/>
              </w:rPr>
              <w:t>Iirimaa</w:t>
            </w:r>
          </w:p>
        </w:tc>
        <w:tc>
          <w:tcPr>
            <w:tcW w:w="1842" w:type="dxa"/>
          </w:tcPr>
          <w:p w14:paraId="3796BE6B"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D13F24D"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71434F3C"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3E4393C7"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7A50028C"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42651463" w14:textId="77777777" w:rsidR="005B15B7" w:rsidRPr="009306D5" w:rsidRDefault="005B15B7" w:rsidP="000D13AA">
            <w:pPr>
              <w:spacing w:before="40" w:after="40"/>
              <w:rPr>
                <w:rFonts w:cs="Times New Roman"/>
                <w:noProof/>
                <w:sz w:val="16"/>
                <w:szCs w:val="16"/>
              </w:rPr>
            </w:pPr>
            <w:r w:rsidRPr="009306D5">
              <w:rPr>
                <w:noProof/>
                <w:sz w:val="16"/>
                <w:szCs w:val="16"/>
              </w:rPr>
              <w:t>Itaalia</w:t>
            </w:r>
          </w:p>
        </w:tc>
        <w:tc>
          <w:tcPr>
            <w:tcW w:w="1842" w:type="dxa"/>
          </w:tcPr>
          <w:p w14:paraId="3ACBEB6A"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3C1305FE"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40D9BBDD"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7C08D7E9"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3F96FDEB"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6A7EAD44" w14:textId="77777777" w:rsidR="005B15B7" w:rsidRPr="009306D5" w:rsidRDefault="005B15B7" w:rsidP="000D13AA">
            <w:pPr>
              <w:spacing w:before="40" w:after="40"/>
              <w:rPr>
                <w:rFonts w:cs="Times New Roman"/>
                <w:noProof/>
                <w:sz w:val="16"/>
                <w:szCs w:val="16"/>
              </w:rPr>
            </w:pPr>
            <w:r w:rsidRPr="009306D5">
              <w:rPr>
                <w:noProof/>
                <w:sz w:val="16"/>
                <w:szCs w:val="16"/>
              </w:rPr>
              <w:t>Läti</w:t>
            </w:r>
          </w:p>
        </w:tc>
        <w:tc>
          <w:tcPr>
            <w:tcW w:w="1842" w:type="dxa"/>
          </w:tcPr>
          <w:p w14:paraId="18CA0603"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95561AE"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7B9119B6"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8946297"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123A7EAD"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1E97E9A7" w14:textId="77777777" w:rsidR="005B15B7" w:rsidRPr="009306D5" w:rsidRDefault="005B15B7" w:rsidP="000D13AA">
            <w:pPr>
              <w:spacing w:before="40" w:after="40"/>
              <w:rPr>
                <w:rFonts w:cs="Times New Roman"/>
                <w:noProof/>
                <w:sz w:val="16"/>
                <w:szCs w:val="16"/>
              </w:rPr>
            </w:pPr>
            <w:r w:rsidRPr="009306D5">
              <w:rPr>
                <w:noProof/>
                <w:sz w:val="16"/>
                <w:szCs w:val="16"/>
              </w:rPr>
              <w:t>Leedu</w:t>
            </w:r>
          </w:p>
        </w:tc>
        <w:tc>
          <w:tcPr>
            <w:tcW w:w="1842" w:type="dxa"/>
          </w:tcPr>
          <w:p w14:paraId="44EB77DF"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8627570"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44011D9"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78F9623C"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4E0C6EF2"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691A7575" w14:textId="77777777" w:rsidR="005B15B7" w:rsidRPr="009306D5" w:rsidRDefault="005B15B7" w:rsidP="000D13AA">
            <w:pPr>
              <w:spacing w:before="40" w:after="40"/>
              <w:rPr>
                <w:rFonts w:cs="Times New Roman"/>
                <w:noProof/>
                <w:sz w:val="16"/>
                <w:szCs w:val="16"/>
              </w:rPr>
            </w:pPr>
            <w:r w:rsidRPr="009306D5">
              <w:rPr>
                <w:noProof/>
                <w:sz w:val="16"/>
                <w:szCs w:val="16"/>
              </w:rPr>
              <w:t>Luksemburg</w:t>
            </w:r>
          </w:p>
        </w:tc>
        <w:tc>
          <w:tcPr>
            <w:tcW w:w="1842" w:type="dxa"/>
          </w:tcPr>
          <w:p w14:paraId="3718F5B4"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5396B8F4"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58425C2E"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4D72E00"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7E09406E"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4E09158D" w14:textId="77777777" w:rsidR="005B15B7" w:rsidRPr="009306D5" w:rsidRDefault="005B15B7" w:rsidP="000D13AA">
            <w:pPr>
              <w:spacing w:before="40" w:after="40"/>
              <w:rPr>
                <w:rFonts w:cs="Times New Roman"/>
                <w:noProof/>
                <w:sz w:val="16"/>
                <w:szCs w:val="16"/>
              </w:rPr>
            </w:pPr>
            <w:r w:rsidRPr="009306D5">
              <w:rPr>
                <w:noProof/>
                <w:sz w:val="16"/>
                <w:szCs w:val="16"/>
              </w:rPr>
              <w:t>Malta</w:t>
            </w:r>
          </w:p>
        </w:tc>
        <w:tc>
          <w:tcPr>
            <w:tcW w:w="1842" w:type="dxa"/>
          </w:tcPr>
          <w:p w14:paraId="4D8CA1AE"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72379C9"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703EB3D"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C644720"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3F9E683B"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43F9C9CD" w14:textId="77777777" w:rsidR="005B15B7" w:rsidRPr="009306D5" w:rsidRDefault="005B15B7" w:rsidP="000D13AA">
            <w:pPr>
              <w:spacing w:before="40" w:after="40"/>
              <w:rPr>
                <w:rFonts w:cs="Times New Roman"/>
                <w:noProof/>
                <w:sz w:val="16"/>
                <w:szCs w:val="16"/>
              </w:rPr>
            </w:pPr>
            <w:r w:rsidRPr="009306D5">
              <w:rPr>
                <w:noProof/>
                <w:sz w:val="16"/>
                <w:szCs w:val="16"/>
              </w:rPr>
              <w:t>Madalmaad</w:t>
            </w:r>
          </w:p>
        </w:tc>
        <w:tc>
          <w:tcPr>
            <w:tcW w:w="1842" w:type="dxa"/>
          </w:tcPr>
          <w:p w14:paraId="60BF9177"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303C73D3"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Ei</w:t>
            </w:r>
          </w:p>
        </w:tc>
        <w:tc>
          <w:tcPr>
            <w:tcW w:w="1843" w:type="dxa"/>
          </w:tcPr>
          <w:p w14:paraId="1A342738"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5DD14058"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7DB4432B" w14:textId="77777777" w:rsidTr="000D13A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tcPr>
          <w:p w14:paraId="3B11675E" w14:textId="77777777" w:rsidR="005B15B7" w:rsidRPr="009306D5" w:rsidRDefault="005B15B7" w:rsidP="000D13AA">
            <w:pPr>
              <w:spacing w:before="40" w:after="40"/>
              <w:rPr>
                <w:rFonts w:cs="Times New Roman"/>
                <w:noProof/>
                <w:sz w:val="16"/>
                <w:szCs w:val="16"/>
              </w:rPr>
            </w:pPr>
            <w:r w:rsidRPr="009306D5">
              <w:rPr>
                <w:noProof/>
                <w:sz w:val="16"/>
                <w:szCs w:val="16"/>
              </w:rPr>
              <w:t>Poola</w:t>
            </w:r>
          </w:p>
        </w:tc>
        <w:tc>
          <w:tcPr>
            <w:tcW w:w="1842" w:type="dxa"/>
          </w:tcPr>
          <w:p w14:paraId="25B74303"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29296F8"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Ei kohaldata</w:t>
            </w:r>
          </w:p>
        </w:tc>
        <w:tc>
          <w:tcPr>
            <w:tcW w:w="1843" w:type="dxa"/>
          </w:tcPr>
          <w:p w14:paraId="4CB66981"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CFA69A9"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61C1C86D"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0781D378" w14:textId="77777777" w:rsidR="005B15B7" w:rsidRPr="009306D5" w:rsidRDefault="005B15B7" w:rsidP="000D13AA">
            <w:pPr>
              <w:spacing w:before="40" w:after="40"/>
              <w:rPr>
                <w:rFonts w:cs="Times New Roman"/>
                <w:noProof/>
                <w:sz w:val="16"/>
                <w:szCs w:val="16"/>
              </w:rPr>
            </w:pPr>
            <w:r w:rsidRPr="009306D5">
              <w:rPr>
                <w:noProof/>
                <w:sz w:val="16"/>
                <w:szCs w:val="16"/>
              </w:rPr>
              <w:t>Portugal</w:t>
            </w:r>
          </w:p>
        </w:tc>
        <w:tc>
          <w:tcPr>
            <w:tcW w:w="1842" w:type="dxa"/>
          </w:tcPr>
          <w:p w14:paraId="1A9A460A"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B7D9DE3"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D1EE668"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7579EE8F"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41CD89D0"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6232EDC3" w14:textId="77777777" w:rsidR="005B15B7" w:rsidRPr="009306D5" w:rsidRDefault="005B15B7" w:rsidP="000D13AA">
            <w:pPr>
              <w:spacing w:before="40" w:after="40"/>
              <w:rPr>
                <w:rFonts w:cs="Times New Roman"/>
                <w:noProof/>
                <w:sz w:val="16"/>
                <w:szCs w:val="16"/>
              </w:rPr>
            </w:pPr>
            <w:r w:rsidRPr="009306D5">
              <w:rPr>
                <w:noProof/>
                <w:sz w:val="16"/>
                <w:szCs w:val="16"/>
              </w:rPr>
              <w:t>Rumeenia</w:t>
            </w:r>
          </w:p>
        </w:tc>
        <w:tc>
          <w:tcPr>
            <w:tcW w:w="1842" w:type="dxa"/>
          </w:tcPr>
          <w:p w14:paraId="56D84ED2"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4354A73B"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1A04D37"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1DBEF519"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4F256F15"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052CC037" w14:textId="77777777" w:rsidR="005B15B7" w:rsidRPr="009306D5" w:rsidRDefault="005B15B7" w:rsidP="000D13AA">
            <w:pPr>
              <w:spacing w:before="40" w:after="40"/>
              <w:rPr>
                <w:rFonts w:cs="Times New Roman"/>
                <w:noProof/>
                <w:sz w:val="16"/>
                <w:szCs w:val="16"/>
              </w:rPr>
            </w:pPr>
            <w:r w:rsidRPr="009306D5">
              <w:rPr>
                <w:noProof/>
                <w:sz w:val="16"/>
                <w:szCs w:val="16"/>
              </w:rPr>
              <w:t>Slovakkia</w:t>
            </w:r>
          </w:p>
        </w:tc>
        <w:tc>
          <w:tcPr>
            <w:tcW w:w="1842" w:type="dxa"/>
          </w:tcPr>
          <w:p w14:paraId="20D6B4AE"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67DE419D"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54880C09"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0242939C"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04AB304E"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Pr>
          <w:p w14:paraId="6A23674C" w14:textId="77777777" w:rsidR="005B15B7" w:rsidRPr="009306D5" w:rsidRDefault="005B15B7" w:rsidP="000D13AA">
            <w:pPr>
              <w:spacing w:before="40" w:after="40"/>
              <w:rPr>
                <w:rFonts w:cs="Times New Roman"/>
                <w:noProof/>
                <w:sz w:val="16"/>
                <w:szCs w:val="16"/>
              </w:rPr>
            </w:pPr>
            <w:r w:rsidRPr="009306D5">
              <w:rPr>
                <w:noProof/>
                <w:sz w:val="16"/>
                <w:szCs w:val="16"/>
              </w:rPr>
              <w:t>Sloveenia</w:t>
            </w:r>
          </w:p>
        </w:tc>
        <w:tc>
          <w:tcPr>
            <w:tcW w:w="1842" w:type="dxa"/>
          </w:tcPr>
          <w:p w14:paraId="6B3ECA50"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62E45AFE"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6D83ACE5"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6F8CB93C"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20BCAA7C"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Pr>
          <w:p w14:paraId="3668DD67" w14:textId="77777777" w:rsidR="005B15B7" w:rsidRPr="009306D5" w:rsidRDefault="005B15B7" w:rsidP="000D13AA">
            <w:pPr>
              <w:spacing w:before="40" w:after="40"/>
              <w:rPr>
                <w:rFonts w:cs="Times New Roman"/>
                <w:noProof/>
                <w:sz w:val="16"/>
                <w:szCs w:val="16"/>
              </w:rPr>
            </w:pPr>
            <w:r w:rsidRPr="009306D5">
              <w:rPr>
                <w:noProof/>
                <w:sz w:val="16"/>
                <w:szCs w:val="16"/>
              </w:rPr>
              <w:t>Hispaania</w:t>
            </w:r>
          </w:p>
        </w:tc>
        <w:tc>
          <w:tcPr>
            <w:tcW w:w="1842" w:type="dxa"/>
          </w:tcPr>
          <w:p w14:paraId="700293AE"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2DE85D31"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464BF8B1"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Pr>
          <w:p w14:paraId="6B907A9C"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51EACEC8"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FFFFFF" w:themeColor="background1"/>
            </w:tcBorders>
          </w:tcPr>
          <w:p w14:paraId="00E51B9C" w14:textId="77777777" w:rsidR="005B15B7" w:rsidRPr="009306D5" w:rsidRDefault="005B15B7" w:rsidP="000D13AA">
            <w:pPr>
              <w:spacing w:before="40" w:after="40"/>
              <w:rPr>
                <w:rFonts w:cs="Times New Roman"/>
                <w:noProof/>
                <w:sz w:val="16"/>
                <w:szCs w:val="16"/>
              </w:rPr>
            </w:pPr>
            <w:r w:rsidRPr="009306D5">
              <w:rPr>
                <w:noProof/>
                <w:sz w:val="16"/>
                <w:szCs w:val="16"/>
              </w:rPr>
              <w:t>Rootsi</w:t>
            </w:r>
          </w:p>
        </w:tc>
        <w:tc>
          <w:tcPr>
            <w:tcW w:w="1842" w:type="dxa"/>
            <w:tcBorders>
              <w:bottom w:val="single" w:sz="4" w:space="0" w:color="FFFFFF" w:themeColor="background1"/>
            </w:tcBorders>
          </w:tcPr>
          <w:p w14:paraId="7060EADD"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Borders>
              <w:bottom w:val="single" w:sz="4" w:space="0" w:color="FFFFFF" w:themeColor="background1"/>
            </w:tcBorders>
          </w:tcPr>
          <w:p w14:paraId="511F0D28"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Ei</w:t>
            </w:r>
          </w:p>
        </w:tc>
        <w:tc>
          <w:tcPr>
            <w:tcW w:w="1843" w:type="dxa"/>
            <w:tcBorders>
              <w:bottom w:val="single" w:sz="4" w:space="0" w:color="FFFFFF" w:themeColor="background1"/>
            </w:tcBorders>
          </w:tcPr>
          <w:p w14:paraId="2F489A10"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Borders>
              <w:bottom w:val="single" w:sz="4" w:space="0" w:color="FFFFFF" w:themeColor="background1"/>
            </w:tcBorders>
          </w:tcPr>
          <w:p w14:paraId="0F4B2C2F"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7A7579B7" w14:textId="77777777" w:rsidTr="000D13AA">
        <w:trPr>
          <w:trHeight w:val="262"/>
        </w:trPr>
        <w:tc>
          <w:tcPr>
            <w:cnfStyle w:val="001000000000" w:firstRow="0" w:lastRow="0" w:firstColumn="1" w:lastColumn="0" w:oddVBand="0" w:evenVBand="0" w:oddHBand="0" w:evenHBand="0" w:firstRowFirstColumn="0" w:firstRowLastColumn="0" w:lastRowFirstColumn="0" w:lastRowLastColumn="0"/>
            <w:tcW w:w="1413" w:type="dxa"/>
            <w:tcBorders>
              <w:bottom w:val="single" w:sz="12" w:space="0" w:color="FFFFFF" w:themeColor="background1"/>
            </w:tcBorders>
          </w:tcPr>
          <w:p w14:paraId="380BA1FA" w14:textId="77777777" w:rsidR="005B15B7" w:rsidRPr="009306D5" w:rsidRDefault="005B15B7" w:rsidP="000D13AA">
            <w:pPr>
              <w:spacing w:before="40" w:after="40"/>
              <w:rPr>
                <w:rFonts w:cs="Times New Roman"/>
                <w:noProof/>
                <w:sz w:val="16"/>
                <w:szCs w:val="16"/>
              </w:rPr>
            </w:pPr>
            <w:r w:rsidRPr="009306D5">
              <w:rPr>
                <w:noProof/>
                <w:sz w:val="16"/>
                <w:szCs w:val="16"/>
              </w:rPr>
              <w:t>Ühendkuningriik</w:t>
            </w:r>
          </w:p>
        </w:tc>
        <w:tc>
          <w:tcPr>
            <w:tcW w:w="1842" w:type="dxa"/>
            <w:tcBorders>
              <w:bottom w:val="single" w:sz="12" w:space="0" w:color="FFFFFF" w:themeColor="background1"/>
            </w:tcBorders>
          </w:tcPr>
          <w:p w14:paraId="3151CD10"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Borders>
              <w:bottom w:val="single" w:sz="12" w:space="0" w:color="FFFFFF" w:themeColor="background1"/>
            </w:tcBorders>
          </w:tcPr>
          <w:p w14:paraId="2A349F1A"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Borders>
              <w:bottom w:val="single" w:sz="12" w:space="0" w:color="FFFFFF" w:themeColor="background1"/>
            </w:tcBorders>
          </w:tcPr>
          <w:p w14:paraId="3FC87C71"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c>
          <w:tcPr>
            <w:tcW w:w="1843" w:type="dxa"/>
            <w:tcBorders>
              <w:bottom w:val="single" w:sz="12" w:space="0" w:color="FFFFFF" w:themeColor="background1"/>
            </w:tcBorders>
          </w:tcPr>
          <w:p w14:paraId="095AC648"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306D5">
              <w:rPr>
                <w:noProof/>
                <w:sz w:val="16"/>
                <w:szCs w:val="16"/>
              </w:rPr>
              <w:t>Jah</w:t>
            </w:r>
          </w:p>
        </w:tc>
      </w:tr>
      <w:tr w:rsidR="005B15B7" w:rsidRPr="009306D5" w14:paraId="7C66F6D7" w14:textId="77777777" w:rsidTr="000D1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tcBorders>
              <w:top w:val="single" w:sz="12" w:space="0" w:color="FFFFFF" w:themeColor="background1"/>
            </w:tcBorders>
          </w:tcPr>
          <w:p w14:paraId="07CB5F37" w14:textId="77777777" w:rsidR="005B15B7" w:rsidRPr="009306D5" w:rsidRDefault="005B15B7" w:rsidP="000D13AA">
            <w:pPr>
              <w:spacing w:before="40" w:after="40"/>
              <w:rPr>
                <w:rFonts w:cs="Times New Roman"/>
                <w:noProof/>
                <w:sz w:val="16"/>
                <w:szCs w:val="16"/>
              </w:rPr>
            </w:pPr>
            <w:r w:rsidRPr="009306D5">
              <w:rPr>
                <w:noProof/>
                <w:sz w:val="16"/>
                <w:szCs w:val="16"/>
              </w:rPr>
              <w:t>KOKKU</w:t>
            </w:r>
          </w:p>
        </w:tc>
        <w:tc>
          <w:tcPr>
            <w:tcW w:w="1842" w:type="dxa"/>
            <w:tcBorders>
              <w:top w:val="single" w:sz="12" w:space="0" w:color="FFFFFF" w:themeColor="background1"/>
            </w:tcBorders>
          </w:tcPr>
          <w:p w14:paraId="20106CAA"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27</w:t>
            </w:r>
          </w:p>
        </w:tc>
        <w:tc>
          <w:tcPr>
            <w:tcW w:w="1843" w:type="dxa"/>
            <w:tcBorders>
              <w:top w:val="single" w:sz="12" w:space="0" w:color="FFFFFF" w:themeColor="background1"/>
            </w:tcBorders>
          </w:tcPr>
          <w:p w14:paraId="31258BA0"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20</w:t>
            </w:r>
          </w:p>
        </w:tc>
        <w:tc>
          <w:tcPr>
            <w:tcW w:w="1843" w:type="dxa"/>
            <w:tcBorders>
              <w:top w:val="single" w:sz="12" w:space="0" w:color="FFFFFF" w:themeColor="background1"/>
            </w:tcBorders>
          </w:tcPr>
          <w:p w14:paraId="086A591D"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28</w:t>
            </w:r>
          </w:p>
        </w:tc>
        <w:tc>
          <w:tcPr>
            <w:tcW w:w="1843" w:type="dxa"/>
            <w:tcBorders>
              <w:top w:val="single" w:sz="12" w:space="0" w:color="FFFFFF" w:themeColor="background1"/>
            </w:tcBorders>
          </w:tcPr>
          <w:p w14:paraId="72E954CB"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306D5">
              <w:rPr>
                <w:noProof/>
                <w:sz w:val="16"/>
                <w:szCs w:val="16"/>
              </w:rPr>
              <w:t>28</w:t>
            </w:r>
          </w:p>
        </w:tc>
      </w:tr>
    </w:tbl>
    <w:p w14:paraId="15188321"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686B478D" w14:textId="4A5C0F56" w:rsidR="005B15B7" w:rsidRPr="009306D5" w:rsidRDefault="005B15B7" w:rsidP="005B15B7">
      <w:pPr>
        <w:rPr>
          <w:rFonts w:cs="Times New Roman"/>
          <w:noProof/>
          <w:sz w:val="20"/>
        </w:rPr>
      </w:pPr>
      <w:r w:rsidRPr="009306D5">
        <w:rPr>
          <w:noProof/>
          <w:sz w:val="20"/>
        </w:rPr>
        <w:t>Komisjon soovis saada ülevaadet liikmesriikide vaidluste lahendamise süsteemidest. Selle ülesande teostamisel on siiski selged piirid: artikli 12 sätete kohaselt ei ole komisjon ja maksuhaldurid pädevad hindama kohtuliku kontrolli menetluste tulemuslikkust. Siiski võiksid maksuhaldurid hea tavana jälgida sisekontrollis läbivaatamisel olevate vaidluste seisu ja kulgu menetluste arvu ja vaidlusaluste maksude väärtuse alusel.</w:t>
      </w:r>
    </w:p>
    <w:p w14:paraId="76A4DFC2" w14:textId="26D34D1F" w:rsidR="005B15B7" w:rsidRPr="009306D5" w:rsidRDefault="005B15B7" w:rsidP="00FE0EC3">
      <w:pPr>
        <w:pStyle w:val="Caption"/>
      </w:pPr>
      <w:bookmarkStart w:id="2053" w:name="_Toc95816279"/>
      <w:r w:rsidRPr="009306D5">
        <w:t>Joonis </w:t>
      </w:r>
      <w:r w:rsidRPr="009306D5">
        <w:fldChar w:fldCharType="begin"/>
      </w:r>
      <w:r w:rsidRPr="009306D5">
        <w:instrText xml:space="preserve"> SEQ Figure \* ARABIC </w:instrText>
      </w:r>
      <w:r w:rsidRPr="009306D5">
        <w:fldChar w:fldCharType="separate"/>
      </w:r>
      <w:r w:rsidR="008A2E1E" w:rsidRPr="009306D5">
        <w:t>52</w:t>
      </w:r>
      <w:r w:rsidRPr="009306D5">
        <w:fldChar w:fldCharType="end"/>
      </w:r>
      <w:r w:rsidRPr="009306D5">
        <w:t>. Vaidluste lahendamine – järelevalveprotsess</w:t>
      </w:r>
      <w:bookmarkEnd w:id="2053"/>
    </w:p>
    <w:p w14:paraId="3B35E79A" w14:textId="3DC7FA87" w:rsidR="00671CFF" w:rsidRPr="009306D5" w:rsidRDefault="00671CFF" w:rsidP="009F6CEA">
      <w:pPr>
        <w:pStyle w:val="Question"/>
        <w:rPr>
          <w:noProof/>
        </w:rPr>
      </w:pPr>
      <w:r w:rsidRPr="009306D5">
        <w:rPr>
          <w:noProof/>
        </w:rPr>
        <w:t>Küsimus 7.4. „Vaidluste lahendamine: kas teie maksuhaldurid jälgivad sisekontrollis läbivaatamisel olevate vaidluste seisu ja kulgu menetluste arvu ja vaidlusaluste maksude väärtuse alusel?“</w:t>
      </w:r>
    </w:p>
    <w:p w14:paraId="2E291921" w14:textId="4C7879FE" w:rsidR="005B15B7" w:rsidRPr="009306D5" w:rsidRDefault="00421037" w:rsidP="00EF59B5">
      <w:pPr>
        <w:pStyle w:val="FIgure"/>
        <w:rPr>
          <w:rFonts w:cs="Times New Roman"/>
          <w:sz w:val="20"/>
        </w:rPr>
      </w:pPr>
      <w:r w:rsidRPr="009306D5">
        <w:rPr>
          <w:lang w:val="en-GB"/>
        </w:rPr>
        <w:drawing>
          <wp:inline distT="0" distB="0" distL="0" distR="0" wp14:anchorId="44ECD898" wp14:editId="087511FF">
            <wp:extent cx="5760085" cy="1678940"/>
            <wp:effectExtent l="0" t="0" r="0" b="0"/>
            <wp:docPr id="165" name="Chart 165">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9B5C001"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4C93EF55" w14:textId="1E4DD36B" w:rsidR="005B15B7" w:rsidRPr="009306D5" w:rsidRDefault="005B15B7" w:rsidP="00FE0EC3">
      <w:pPr>
        <w:pStyle w:val="Recommendation"/>
      </w:pPr>
      <w:bookmarkStart w:id="2054" w:name="_Toc95816226"/>
      <w:r w:rsidRPr="009306D5">
        <w:t xml:space="preserve">Soovitus </w:t>
      </w:r>
      <w:r w:rsidRPr="009306D5">
        <w:fldChar w:fldCharType="begin"/>
      </w:r>
      <w:r w:rsidRPr="009306D5">
        <w:instrText>SEQ Recommendation \* ARABIC</w:instrText>
      </w:r>
      <w:r w:rsidRPr="009306D5">
        <w:fldChar w:fldCharType="separate"/>
      </w:r>
      <w:bookmarkStart w:id="2055" w:name="_Toc65778323"/>
      <w:bookmarkStart w:id="2056" w:name="_Toc66116376"/>
      <w:r w:rsidR="008A2E1E" w:rsidRPr="009306D5">
        <w:t>38</w:t>
      </w:r>
      <w:r w:rsidRPr="009306D5">
        <w:fldChar w:fldCharType="end"/>
      </w:r>
      <w:r w:rsidRPr="009306D5">
        <w:t xml:space="preserve">. </w:t>
      </w:r>
      <w:bookmarkStart w:id="2057" w:name="_Toc65673352"/>
      <w:r w:rsidRPr="009306D5">
        <w:t>Jälgida vaidluste lahendamise protsessi ning teha järeldusi, millest oleks abi üldiste uurimismeetodite parandamisel ja maksuotsuste tegemise menetluste täiendamisel</w:t>
      </w:r>
      <w:bookmarkEnd w:id="2057"/>
      <w:bookmarkEnd w:id="2055"/>
      <w:bookmarkEnd w:id="2056"/>
      <w:r w:rsidRPr="009306D5">
        <w:t>.</w:t>
      </w:r>
      <w:bookmarkEnd w:id="2054"/>
    </w:p>
    <w:p w14:paraId="62516B37" w14:textId="77777777" w:rsidR="005B15B7" w:rsidRPr="009306D5" w:rsidRDefault="005B15B7" w:rsidP="000D13AA">
      <w:pPr>
        <w:pStyle w:val="Heading1"/>
        <w:numPr>
          <w:ilvl w:val="0"/>
          <w:numId w:val="35"/>
        </w:numPr>
        <w:rPr>
          <w:noProof/>
        </w:rPr>
      </w:pPr>
      <w:bookmarkStart w:id="2058" w:name="_Toc95812979"/>
      <w:bookmarkStart w:id="2059" w:name="_Toc69994953"/>
      <w:bookmarkStart w:id="2060" w:name="_Toc62138850"/>
      <w:bookmarkStart w:id="2061" w:name="_Toc65836488"/>
      <w:bookmarkStart w:id="2062" w:name="_Toc66116429"/>
      <w:bookmarkStart w:id="2063" w:name="_Toc66202098"/>
      <w:bookmarkStart w:id="2064" w:name="_Toc67414275"/>
      <w:bookmarkStart w:id="2065" w:name="_Toc67415201"/>
      <w:bookmarkStart w:id="2066" w:name="_Toc67415366"/>
      <w:bookmarkStart w:id="2067" w:name="_Toc67415646"/>
      <w:bookmarkStart w:id="2068" w:name="_Toc67415907"/>
      <w:bookmarkStart w:id="2069" w:name="_Toc82790301"/>
      <w:bookmarkStart w:id="2070" w:name="_Toc82792870"/>
      <w:bookmarkStart w:id="2071" w:name="_Toc90291265"/>
      <w:r w:rsidRPr="009306D5">
        <w:rPr>
          <w:noProof/>
        </w:rPr>
        <w:t>COVID-19 ja käibemaks: soovitused käibemaksu kogumiseks ja majanduse taastumiseks</w:t>
      </w:r>
      <w:bookmarkEnd w:id="2058"/>
      <w:r w:rsidRPr="009306D5">
        <w:rPr>
          <w:noProof/>
        </w:rPr>
        <w:t xml:space="preserve"> </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688B06ED" w14:textId="77777777" w:rsidR="005B15B7" w:rsidRPr="009306D5" w:rsidRDefault="005B15B7" w:rsidP="005B15B7">
      <w:pPr>
        <w:rPr>
          <w:rFonts w:cs="Times New Roman"/>
          <w:noProof/>
          <w:sz w:val="20"/>
        </w:rPr>
      </w:pPr>
      <w:r w:rsidRPr="009306D5">
        <w:rPr>
          <w:noProof/>
          <w:sz w:val="20"/>
        </w:rPr>
        <w:t>Enamikul maksuhalduritel on talitluspidevuse kavad, et reageerida mitmesugustele äritegevust mõjutavatele sündmustele, nagu seadmete rikked, häired ja muud intsidendid. Mõned kavad hõlmavad mitmesuguseid pandeemiaga seotud küsimusi, eelkõige terviseriske, mõju töötajatele ja töökohtadele, pikaajalisi katkestusi ja liikumispiiranguid ning kogu majandust hõlmavate üldiste šokkide survet IT-taristule.</w:t>
      </w:r>
    </w:p>
    <w:p w14:paraId="3895AC28" w14:textId="77777777" w:rsidR="005B15B7" w:rsidRPr="009306D5" w:rsidRDefault="005B15B7" w:rsidP="005B15B7">
      <w:pPr>
        <w:rPr>
          <w:rFonts w:cs="Times New Roman"/>
          <w:noProof/>
          <w:sz w:val="20"/>
        </w:rPr>
      </w:pPr>
      <w:r w:rsidRPr="009306D5">
        <w:rPr>
          <w:noProof/>
          <w:sz w:val="20"/>
        </w:rPr>
        <w:t>Talitluspidevuse tagamise kavad lisatakse tavaliselt riskiregistritesse. Valdav enamik maksuhaldureid (22/28) märkis, et nad kasutavad riskiregistrit, st keskset andmekogu tuvastatud riskide kohta, mis võivad ohustada tegevuse talitluspidevust.</w:t>
      </w:r>
    </w:p>
    <w:p w14:paraId="60FA503F" w14:textId="3781581C" w:rsidR="005B15B7" w:rsidRPr="009306D5" w:rsidRDefault="005B15B7" w:rsidP="00FE0EC3">
      <w:pPr>
        <w:pStyle w:val="Caption"/>
      </w:pPr>
      <w:bookmarkStart w:id="2072" w:name="_Toc62138815"/>
      <w:bookmarkStart w:id="2073" w:name="_Toc95816280"/>
      <w:r w:rsidRPr="009306D5">
        <w:t>Joonis </w:t>
      </w:r>
      <w:r w:rsidRPr="009306D5">
        <w:fldChar w:fldCharType="begin"/>
      </w:r>
      <w:r w:rsidRPr="009306D5">
        <w:instrText xml:space="preserve"> SEQ Figure \* ARABIC </w:instrText>
      </w:r>
      <w:r w:rsidRPr="009306D5">
        <w:fldChar w:fldCharType="separate"/>
      </w:r>
      <w:r w:rsidR="008A2E1E" w:rsidRPr="009306D5">
        <w:t>53</w:t>
      </w:r>
      <w:r w:rsidRPr="009306D5">
        <w:fldChar w:fldCharType="end"/>
      </w:r>
      <w:r w:rsidRPr="009306D5">
        <w:t>. Talitluspidevus – keskse riskiregistri olemasolu</w:t>
      </w:r>
      <w:bookmarkEnd w:id="2072"/>
      <w:bookmarkEnd w:id="2073"/>
    </w:p>
    <w:p w14:paraId="733F23DA" w14:textId="3BE2E037" w:rsidR="00671CFF" w:rsidRPr="009306D5" w:rsidRDefault="00671CFF" w:rsidP="009F6CEA">
      <w:pPr>
        <w:pStyle w:val="Question"/>
        <w:rPr>
          <w:noProof/>
        </w:rPr>
      </w:pPr>
      <w:r w:rsidRPr="009306D5">
        <w:rPr>
          <w:noProof/>
        </w:rPr>
        <w:t>Küsimus 4.2. „Kas teie maksuhaldurid kasutavad riskiregistrit (st keskset registrit kindlaksmääratud riskidest, mis võivad ohustada maksuhalduse talitluspidevust)?“</w:t>
      </w:r>
    </w:p>
    <w:p w14:paraId="4BF9A07A" w14:textId="48BFF9E7" w:rsidR="005B15B7" w:rsidRPr="009306D5" w:rsidRDefault="00421037" w:rsidP="00EF59B5">
      <w:pPr>
        <w:pStyle w:val="FIgure"/>
        <w:rPr>
          <w:rFonts w:cs="Times New Roman"/>
          <w:sz w:val="20"/>
        </w:rPr>
      </w:pPr>
      <w:r w:rsidRPr="009306D5">
        <w:rPr>
          <w:lang w:val="en-GB"/>
        </w:rPr>
        <w:drawing>
          <wp:inline distT="0" distB="0" distL="0" distR="0" wp14:anchorId="07E2E80A" wp14:editId="2D012580">
            <wp:extent cx="5760085" cy="1678940"/>
            <wp:effectExtent l="0" t="0" r="0" b="0"/>
            <wp:docPr id="166" name="Chart 166">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76B2E7A" w14:textId="77777777" w:rsidR="005B15B7" w:rsidRPr="009306D5" w:rsidRDefault="005B15B7" w:rsidP="005B15B7">
      <w:pPr>
        <w:pStyle w:val="Source"/>
        <w:rPr>
          <w:rFonts w:ascii="Times New Roman" w:hAnsi="Times New Roman"/>
          <w:noProof/>
        </w:rPr>
      </w:pPr>
      <w:r w:rsidRPr="009306D5">
        <w:rPr>
          <w:rFonts w:ascii="Times New Roman" w:hAnsi="Times New Roman"/>
          <w:noProof/>
        </w:rPr>
        <w:t>Allikas:</w:t>
      </w:r>
      <w:r w:rsidRPr="009306D5">
        <w:rPr>
          <w:rFonts w:ascii="Times New Roman" w:hAnsi="Times New Roman"/>
          <w:noProof/>
        </w:rPr>
        <w:tab/>
        <w:t>Euroopa Komisjon (2019). Käibemaksu haldamist, kogumist ja kontrolli käsitlev uuring</w:t>
      </w:r>
    </w:p>
    <w:p w14:paraId="15E2DE75" w14:textId="21C666A5" w:rsidR="005B15B7" w:rsidRPr="009306D5" w:rsidRDefault="005B15B7" w:rsidP="005B15B7">
      <w:pPr>
        <w:rPr>
          <w:rFonts w:cs="Times New Roman"/>
          <w:noProof/>
          <w:sz w:val="20"/>
        </w:rPr>
      </w:pPr>
      <w:r w:rsidRPr="009306D5">
        <w:rPr>
          <w:noProof/>
          <w:sz w:val="20"/>
        </w:rPr>
        <w:t>Riskiregistrites esitatakse tavaliselt riski lühikirjeldus, ajaline viide, esinemise tõenäosus, mõju tõsidus ja mõned leevendusmeetmed. Kõigepealt on vaja koostada kava tegevuse talitluspidevuse tagamiseks häiringute korral, mis mõjutavad osaliselt või täielikult maksuhalduri vara ja ressursse, sealhulgas inimressursside kättesaamatus, hoonete sulgemine, kaugjuurdepääs IT- ja muudele seadmetele, et tagada andmete ja muude kirjete pidev kättesaadavus.</w:t>
      </w:r>
    </w:p>
    <w:p w14:paraId="3B7CE3B4" w14:textId="535C9DA9" w:rsidR="005B15B7" w:rsidRPr="009306D5" w:rsidRDefault="005B15B7" w:rsidP="005B15B7">
      <w:pPr>
        <w:rPr>
          <w:rFonts w:cs="Times New Roman"/>
          <w:noProof/>
          <w:sz w:val="20"/>
        </w:rPr>
      </w:pPr>
      <w:r w:rsidRPr="009306D5">
        <w:rPr>
          <w:noProof/>
          <w:sz w:val="20"/>
        </w:rPr>
        <w:t>Hädaolukorra lahendamise plaane tuleb aga pidevalt läbi vaadata ja kohandada, et võtta arvesse pandeemia korral tekkivaid erinevaid kaalutlusi, pidades silmas, kui kiiresti võivad asjaolud muutuda ja planeerimisel kasutatud eeldused aeguda.</w:t>
      </w:r>
    </w:p>
    <w:p w14:paraId="413848E2" w14:textId="131D8E2F" w:rsidR="005B15B7" w:rsidRPr="009306D5" w:rsidRDefault="005B15B7" w:rsidP="00FE0EC3">
      <w:pPr>
        <w:pStyle w:val="Recommendation"/>
      </w:pPr>
      <w:bookmarkStart w:id="2074" w:name="_Toc95816227"/>
      <w:r w:rsidRPr="009306D5">
        <w:t xml:space="preserve">Soovitus </w:t>
      </w:r>
      <w:r w:rsidRPr="009306D5">
        <w:fldChar w:fldCharType="begin"/>
      </w:r>
      <w:r w:rsidRPr="009306D5">
        <w:instrText>SEQ Recommendation \* ARABIC</w:instrText>
      </w:r>
      <w:r w:rsidRPr="009306D5">
        <w:fldChar w:fldCharType="separate"/>
      </w:r>
      <w:bookmarkStart w:id="2075" w:name="_Toc65778324"/>
      <w:bookmarkStart w:id="2076" w:name="_Toc66116377"/>
      <w:r w:rsidR="008A2E1E" w:rsidRPr="009306D5">
        <w:t>39</w:t>
      </w:r>
      <w:r w:rsidRPr="009306D5">
        <w:fldChar w:fldCharType="end"/>
      </w:r>
      <w:r w:rsidRPr="009306D5">
        <w:t xml:space="preserve">. </w:t>
      </w:r>
      <w:bookmarkStart w:id="2077" w:name="_Toc65673353"/>
      <w:r w:rsidRPr="009306D5">
        <w:t>Vaadata läbi talitluspidevuse kavad, neid ajakohastada ja neid korrapäraselt testida reaalaja sündmustel põhinevate stsenaariumide alusel</w:t>
      </w:r>
      <w:bookmarkEnd w:id="2077"/>
      <w:bookmarkEnd w:id="2075"/>
      <w:bookmarkEnd w:id="2076"/>
      <w:r w:rsidRPr="009306D5">
        <w:t>.</w:t>
      </w:r>
      <w:bookmarkEnd w:id="2074"/>
    </w:p>
    <w:p w14:paraId="2750CD6F" w14:textId="0AEB32B4" w:rsidR="005B15B7" w:rsidRPr="009306D5" w:rsidRDefault="005B15B7" w:rsidP="005B15B7">
      <w:pPr>
        <w:rPr>
          <w:rFonts w:cs="Times New Roman"/>
          <w:noProof/>
          <w:sz w:val="20"/>
        </w:rPr>
      </w:pPr>
      <w:r w:rsidRPr="009306D5">
        <w:rPr>
          <w:noProof/>
          <w:sz w:val="20"/>
        </w:rPr>
        <w:t>COVID-19 pandeemia tõttu on liikmesriikide ja liidu tasandil võetud enneolematuid meetmeid, et toetada liikmesriikide majandust ja hõlbustada selle taastumist. Kuigi maksuhaldusest ja poliitikameetmetest</w:t>
      </w:r>
      <w:r w:rsidRPr="009306D5">
        <w:rPr>
          <w:rStyle w:val="FootnoteReference"/>
          <w:rFonts w:cs="Times New Roman"/>
          <w:noProof/>
          <w:sz w:val="20"/>
        </w:rPr>
        <w:footnoteReference w:id="27"/>
      </w:r>
      <w:r w:rsidRPr="009306D5">
        <w:rPr>
          <w:noProof/>
          <w:sz w:val="20"/>
        </w:rPr>
        <w:t xml:space="preserve"> üksi ei piisa, mängisid need olulist rolli kriisi vahetu mõju leevendamisel.</w:t>
      </w:r>
    </w:p>
    <w:p w14:paraId="61E5F22A" w14:textId="77777777" w:rsidR="005B15B7" w:rsidRPr="009306D5" w:rsidRDefault="005B15B7" w:rsidP="005B15B7">
      <w:pPr>
        <w:rPr>
          <w:rFonts w:cs="Times New Roman"/>
          <w:noProof/>
          <w:sz w:val="20"/>
        </w:rPr>
      </w:pPr>
      <w:r w:rsidRPr="009306D5">
        <w:rPr>
          <w:noProof/>
          <w:sz w:val="20"/>
        </w:rPr>
        <w:t>Liikmesriigid on otsustavalt rakendanud maksuhaldus- ja poliitikameetmeid, mis tunduvad olevat üldiselt asjakohased, andes peamiselt ettevõtjatele ja kodumajapidamistele lisaaega maksuasjade käsitlemiseks. Seega on tagatud pidev likviidsus.</w:t>
      </w:r>
    </w:p>
    <w:p w14:paraId="4D88231A" w14:textId="77777777" w:rsidR="005B15B7" w:rsidRPr="009306D5" w:rsidRDefault="005B15B7" w:rsidP="005B15B7">
      <w:pPr>
        <w:rPr>
          <w:rFonts w:cs="Times New Roman"/>
          <w:noProof/>
          <w:sz w:val="20"/>
        </w:rPr>
      </w:pPr>
      <w:r w:rsidRPr="009306D5">
        <w:rPr>
          <w:noProof/>
          <w:sz w:val="20"/>
        </w:rPr>
        <w:t>Ajal, mil liikmesriikide majandus liigub taastumise faasi või on juba taastumas, peaksid liikmesriigid vältima eelarve konsolideerimismeetmete kuhjumist varasemasse etappi ja selle asemel kavandama sihipärasemaid maksumeetmeid. Need meetmed peaksid tagama maksukoormuse õiglase jaotumise majandustegevuses osalejate vahel.</w:t>
      </w:r>
    </w:p>
    <w:p w14:paraId="7AB78138" w14:textId="77777777" w:rsidR="005B15B7" w:rsidRPr="009306D5" w:rsidRDefault="005B15B7" w:rsidP="005B15B7">
      <w:pPr>
        <w:rPr>
          <w:rFonts w:cs="Times New Roman"/>
          <w:noProof/>
          <w:sz w:val="20"/>
        </w:rPr>
      </w:pPr>
      <w:r w:rsidRPr="009306D5">
        <w:rPr>
          <w:noProof/>
          <w:sz w:val="20"/>
        </w:rPr>
        <w:t>Kuigi kriis kujutab endast tohutut väljakutset, annab see ka võimaluse kasutada maksupoliitikat ELi majanduse vastupanu- ja konkurentsivõime tugevdamiseks, mis on kooskõlas üleminekuga keskkonnahoidlikumale, õiglasemale ja digitaalsemale majandusele, nagu on sätestatud komisjoni poliitilises tegevuskavas.</w:t>
      </w:r>
    </w:p>
    <w:p w14:paraId="6CE54D4F" w14:textId="77777777" w:rsidR="005B15B7" w:rsidRPr="009306D5" w:rsidRDefault="005B15B7" w:rsidP="005B15B7">
      <w:pPr>
        <w:rPr>
          <w:rFonts w:cs="Times New Roman"/>
          <w:noProof/>
          <w:sz w:val="20"/>
        </w:rPr>
      </w:pPr>
      <w:r w:rsidRPr="009306D5">
        <w:rPr>
          <w:noProof/>
          <w:sz w:val="20"/>
        </w:rPr>
        <w:t>Enamik käesolevas aruandes esitatud soovitustest – eelkõige need, mis on seotud digitaliseerimise, veebipõhise registreerimise ja teenuste, IT-investeeringute ja talitluspidevusega – aitavad maksuhalduritel ohutult loovida läbi rasketest aegadest, nagu COVID-19 pandeemia. Need aitavad kaasa käibemaksu paremale haldamisele ja kogumisele.</w:t>
      </w:r>
    </w:p>
    <w:p w14:paraId="33D3B53A" w14:textId="77777777" w:rsidR="005B15B7" w:rsidRPr="009306D5" w:rsidRDefault="005B15B7" w:rsidP="000D13AA">
      <w:pPr>
        <w:pStyle w:val="Heading1"/>
        <w:numPr>
          <w:ilvl w:val="0"/>
          <w:numId w:val="35"/>
        </w:numPr>
        <w:rPr>
          <w:noProof/>
        </w:rPr>
      </w:pPr>
      <w:bookmarkStart w:id="2078" w:name="_Toc69994954"/>
      <w:bookmarkStart w:id="2079" w:name="_Toc62138851"/>
      <w:bookmarkStart w:id="2080" w:name="_Toc66202099"/>
      <w:bookmarkStart w:id="2081" w:name="_Toc67414276"/>
      <w:bookmarkStart w:id="2082" w:name="_Toc67415202"/>
      <w:bookmarkStart w:id="2083" w:name="_Toc67415367"/>
      <w:bookmarkStart w:id="2084" w:name="_Toc67415647"/>
      <w:bookmarkStart w:id="2085" w:name="_Toc67415908"/>
      <w:bookmarkStart w:id="2086" w:name="_Toc82790302"/>
      <w:bookmarkStart w:id="2087" w:name="_Toc82792871"/>
      <w:bookmarkStart w:id="2088" w:name="_Toc90291266"/>
      <w:bookmarkStart w:id="2089" w:name="_Toc95812980"/>
      <w:r w:rsidRPr="009306D5">
        <w:rPr>
          <w:noProof/>
        </w:rPr>
        <w:t>Kokkuvõte</w:t>
      </w:r>
      <w:bookmarkEnd w:id="2078"/>
      <w:bookmarkEnd w:id="2079"/>
      <w:bookmarkEnd w:id="2080"/>
      <w:bookmarkEnd w:id="2081"/>
      <w:bookmarkEnd w:id="2082"/>
      <w:bookmarkEnd w:id="2083"/>
      <w:bookmarkEnd w:id="2084"/>
      <w:bookmarkEnd w:id="2085"/>
      <w:bookmarkEnd w:id="2086"/>
      <w:bookmarkEnd w:id="2087"/>
      <w:bookmarkEnd w:id="2088"/>
      <w:bookmarkEnd w:id="2089"/>
    </w:p>
    <w:p w14:paraId="5BDC50B4" w14:textId="77777777" w:rsidR="005B15B7" w:rsidRPr="009306D5" w:rsidRDefault="005B15B7" w:rsidP="005B15B7">
      <w:pPr>
        <w:rPr>
          <w:rFonts w:cs="Times New Roman"/>
          <w:noProof/>
          <w:sz w:val="20"/>
        </w:rPr>
      </w:pPr>
      <w:r w:rsidRPr="009306D5">
        <w:rPr>
          <w:noProof/>
          <w:sz w:val="20"/>
        </w:rPr>
        <w:t>Ebajärjekindlad ja mitteoptimaalsed käibemaksuprotsessid ja -menetlused vähendavad ELi liikmesriikide maksutulu. Väiksem käibemaksutulu ei vähenda mitte ainult liidu eelarve omavahendeid, vaid ka liikmesriikide eelarveid, kuna käibemaks on oluline rahvatulu allikas. Puudulik käibemaksuhaldus kahjustab ausate käibemaksumaksjate õigusi ja loob ahvatlusi pettusteks. Selleks, et käibemaksukohustuslastele igati abiks olla, peaksid ELi maksuhaldurid võtma eesmärgiks pakkuda kvaliteetset teenust ning tagama õiglase käibemaksusüsteemi.</w:t>
      </w:r>
    </w:p>
    <w:p w14:paraId="2E10F30A" w14:textId="44F19211" w:rsidR="005B15B7" w:rsidRPr="009306D5" w:rsidRDefault="005B15B7" w:rsidP="005B15B7">
      <w:pPr>
        <w:rPr>
          <w:rFonts w:cs="Times New Roman"/>
          <w:noProof/>
          <w:sz w:val="20"/>
        </w:rPr>
      </w:pPr>
      <w:r w:rsidRPr="009306D5">
        <w:rPr>
          <w:noProof/>
          <w:sz w:val="20"/>
        </w:rPr>
        <w:t>Eelmises aruandes (2017)</w:t>
      </w:r>
      <w:r w:rsidRPr="009306D5">
        <w:rPr>
          <w:rStyle w:val="FootnoteReference"/>
          <w:rFonts w:cs="Times New Roman"/>
          <w:noProof/>
          <w:sz w:val="20"/>
        </w:rPr>
        <w:footnoteReference w:id="28"/>
      </w:r>
      <w:r w:rsidRPr="009306D5">
        <w:rPr>
          <w:noProof/>
          <w:sz w:val="20"/>
        </w:rPr>
        <w:t xml:space="preserve"> esitas komisjon üldised suunised riiklikele käibemaksu kogumise ja kontrolli süsteemidele. Üldiselt järgisid ELi maksuhaldurid varasemaid soovitusi ja tegid mõningaid edusamme, eelkõige tulude kogumises, auditeerimises ja digitaliseerimises. Selliseid käibemaksu haldamise meetmeid tuleb siiski toetada täiendavate maksupoliitika reformidega (mis jäävad aruande ulatusest välja), mis tooksid palju suuremat kasu.</w:t>
      </w:r>
    </w:p>
    <w:p w14:paraId="5B48A4D1" w14:textId="77777777" w:rsidR="005B15B7" w:rsidRPr="009306D5" w:rsidRDefault="005B15B7" w:rsidP="005B15B7">
      <w:pPr>
        <w:rPr>
          <w:rFonts w:cs="Times New Roman"/>
          <w:noProof/>
          <w:sz w:val="20"/>
        </w:rPr>
      </w:pPr>
      <w:r w:rsidRPr="009306D5">
        <w:rPr>
          <w:noProof/>
          <w:sz w:val="20"/>
        </w:rPr>
        <w:t>Käesolev aruanne sisaldab põhjalikku ülevaadet tavadest ja soovitustest, millest maksuhalduritel võib olla abi, et täiustada oma sisemisi protsesse, mis hõlmavad kõiki käibemaksuhalduse põhifunktsioone. Liidu maksuhalduse üldise tulemuslikkuse parandamiseks on äärmiselt oluline tõhustada koostööd maksumaksjate ja muude sidusrühmadega, nagu riiklikud statistikaasutused või teiste liikmesriikide maksuhaldurid.</w:t>
      </w:r>
    </w:p>
    <w:p w14:paraId="0CE7CC22" w14:textId="77777777" w:rsidR="005B15B7" w:rsidRPr="009306D5" w:rsidRDefault="005B15B7" w:rsidP="005B15B7">
      <w:pPr>
        <w:rPr>
          <w:rFonts w:cs="Times New Roman"/>
          <w:noProof/>
          <w:sz w:val="20"/>
        </w:rPr>
      </w:pPr>
      <w:r w:rsidRPr="009306D5">
        <w:rPr>
          <w:noProof/>
          <w:sz w:val="20"/>
        </w:rPr>
        <w:t>Maksuhaldurid peavad suurendama jõupingutusi sellistes valdkondades nagu riskianalüüs, protsesside automatiseerimine ja teabevahetus. Nad peavad ajakohastama oma IT-süsteeme, suurendama IT-töötajate arvu ja koolitust, uurima mitme andmekogumi ja kolmandate isikute andmete kasutamist ning investeerima põhjalikku andmeanalüüsi.</w:t>
      </w:r>
    </w:p>
    <w:p w14:paraId="338EDE8A" w14:textId="77777777" w:rsidR="005B15B7" w:rsidRPr="009306D5" w:rsidRDefault="005B15B7" w:rsidP="005B15B7">
      <w:pPr>
        <w:rPr>
          <w:rFonts w:cs="Times New Roman"/>
          <w:noProof/>
          <w:sz w:val="20"/>
        </w:rPr>
      </w:pPr>
      <w:r w:rsidRPr="009306D5">
        <w:rPr>
          <w:noProof/>
          <w:sz w:val="20"/>
        </w:rPr>
        <w:t>Et hõlbustada ELi maksuhaldurite ülesannete täitmist, vaatas komisjon läbi heade tavade kirjelduse ja ajakohastas seda, suurendas soovituste arvu ja muutis need konkreetsemaks, et käsitleda tõhusamalt võõrväärtusi.</w:t>
      </w:r>
    </w:p>
    <w:p w14:paraId="0AFC11BA" w14:textId="77777777" w:rsidR="005B15B7" w:rsidRPr="009306D5" w:rsidRDefault="005B15B7" w:rsidP="005B15B7">
      <w:pPr>
        <w:rPr>
          <w:rFonts w:cs="Times New Roman"/>
          <w:noProof/>
          <w:sz w:val="20"/>
        </w:rPr>
      </w:pPr>
      <w:r w:rsidRPr="009306D5">
        <w:rPr>
          <w:noProof/>
          <w:sz w:val="20"/>
        </w:rPr>
        <w:t>Komisjon kutsub ELi liikmesriike üles järgima siinseid soovitusi mitte ainult selleks, et aidata luua maksutulu, mida on vaja praeguse kriisi peamiste probleemide lahendamiseks, vaid ka võrdsete võimaluste loomiseks siseturul ning selleks, et sillutada teed kiiremale ja püsivamale pandeemiajärgsele taastumisele.</w:t>
      </w:r>
    </w:p>
    <w:p w14:paraId="0340CBE4" w14:textId="77777777" w:rsidR="005B15B7" w:rsidRPr="009306D5" w:rsidRDefault="005B15B7" w:rsidP="005B15B7">
      <w:pPr>
        <w:rPr>
          <w:rFonts w:cs="Times New Roman"/>
          <w:noProof/>
        </w:rPr>
      </w:pPr>
      <w:bookmarkStart w:id="2090" w:name="_Toc494897689"/>
      <w:bookmarkStart w:id="2091" w:name="_Toc494898403"/>
      <w:bookmarkStart w:id="2092" w:name="_Toc529548601"/>
      <w:bookmarkStart w:id="2093" w:name="_Toc529548672"/>
      <w:bookmarkStart w:id="2094" w:name="_Toc62138855"/>
      <w:r w:rsidRPr="009306D5">
        <w:rPr>
          <w:noProof/>
        </w:rPr>
        <w:br w:type="page"/>
      </w:r>
    </w:p>
    <w:p w14:paraId="67DA8998" w14:textId="77777777" w:rsidR="005B15B7" w:rsidRPr="009306D5" w:rsidRDefault="005B15B7" w:rsidP="005B15B7">
      <w:pPr>
        <w:pStyle w:val="Heading1"/>
        <w:rPr>
          <w:b w:val="0"/>
          <w:i w:val="0"/>
          <w:noProof/>
        </w:rPr>
      </w:pPr>
      <w:bookmarkStart w:id="2095" w:name="_Toc82790303"/>
      <w:bookmarkStart w:id="2096" w:name="_Toc82792872"/>
      <w:bookmarkStart w:id="2097" w:name="_Toc90291267"/>
      <w:bookmarkStart w:id="2098" w:name="_Toc95812981"/>
      <w:r w:rsidRPr="009306D5">
        <w:rPr>
          <w:noProof/>
        </w:rPr>
        <w:t>Lisa 1.</w:t>
      </w:r>
      <w:r w:rsidRPr="009306D5">
        <w:rPr>
          <w:noProof/>
          <w:color w:val="000000"/>
        </w:rPr>
        <w:t xml:space="preserve"> </w:t>
      </w:r>
      <w:r w:rsidRPr="009306D5">
        <w:rPr>
          <w:noProof/>
        </w:rPr>
        <w:t>Soovituste register</w:t>
      </w:r>
      <w:bookmarkEnd w:id="2095"/>
      <w:bookmarkEnd w:id="2096"/>
      <w:bookmarkEnd w:id="2097"/>
      <w:bookmarkEnd w:id="2098"/>
    </w:p>
    <w:p w14:paraId="1673E4B8" w14:textId="65D6B398" w:rsidR="006628FB" w:rsidRPr="009306D5" w:rsidRDefault="005B15B7">
      <w:pPr>
        <w:pStyle w:val="TableofFigures"/>
        <w:tabs>
          <w:tab w:val="right" w:leader="dot" w:pos="9061"/>
        </w:tabs>
        <w:rPr>
          <w:rFonts w:asciiTheme="minorHAnsi" w:eastAsiaTheme="minorEastAsia" w:hAnsiTheme="minorHAnsi" w:cstheme="minorBidi"/>
          <w:noProof/>
          <w:sz w:val="22"/>
          <w:szCs w:val="22"/>
        </w:rPr>
      </w:pPr>
      <w:r w:rsidRPr="009306D5">
        <w:rPr>
          <w:noProof/>
        </w:rPr>
        <w:fldChar w:fldCharType="begin"/>
      </w:r>
      <w:r w:rsidRPr="009306D5">
        <w:rPr>
          <w:noProof/>
        </w:rPr>
        <w:instrText xml:space="preserve"> TOC \h \z \c "Recommendation" </w:instrText>
      </w:r>
      <w:r w:rsidRPr="009306D5">
        <w:rPr>
          <w:noProof/>
        </w:rPr>
        <w:fldChar w:fldCharType="separate"/>
      </w:r>
      <w:hyperlink w:anchor="_Toc95816189" w:history="1">
        <w:r w:rsidR="006628FB" w:rsidRPr="009306D5">
          <w:rPr>
            <w:rStyle w:val="Hyperlink"/>
            <w:noProof/>
          </w:rPr>
          <w:t>Soovitus 1. Arvutada siseriiklik käibemaksulõhe ja selle komponendid (varifirmade ühendusesisesed pettused, e-kaubandus jne) ja neid analüüsida.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_Toc95816189 \h </w:instrText>
        </w:r>
        <w:r w:rsidR="006628FB" w:rsidRPr="009306D5">
          <w:rPr>
            <w:noProof/>
            <w:webHidden/>
          </w:rPr>
        </w:r>
        <w:r w:rsidR="006628FB" w:rsidRPr="009306D5">
          <w:rPr>
            <w:noProof/>
            <w:webHidden/>
          </w:rPr>
          <w:fldChar w:fldCharType="separate"/>
        </w:r>
        <w:r w:rsidR="006628FB" w:rsidRPr="009306D5">
          <w:rPr>
            <w:noProof/>
            <w:webHidden/>
          </w:rPr>
          <w:t>13</w:t>
        </w:r>
        <w:r w:rsidR="006628FB" w:rsidRPr="009306D5">
          <w:rPr>
            <w:noProof/>
            <w:webHidden/>
          </w:rPr>
          <w:fldChar w:fldCharType="end"/>
        </w:r>
      </w:hyperlink>
    </w:p>
    <w:p w14:paraId="771A1BBD" w14:textId="75373B9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0" w:history="1">
        <w:r w:rsidR="006628FB" w:rsidRPr="009306D5">
          <w:rPr>
            <w:rStyle w:val="Hyperlink"/>
            <w:noProof/>
          </w:rPr>
          <w:t>Soovitus 2. Teavitada maksumaksjaid veebis nende käibemaksualastest kohustustest ja näha ette veebipõhine registreerimine.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_Toc95816190 \h </w:instrText>
        </w:r>
        <w:r w:rsidR="006628FB" w:rsidRPr="009306D5">
          <w:rPr>
            <w:noProof/>
            <w:webHidden/>
          </w:rPr>
        </w:r>
        <w:r w:rsidR="006628FB" w:rsidRPr="009306D5">
          <w:rPr>
            <w:noProof/>
            <w:webHidden/>
          </w:rPr>
          <w:fldChar w:fldCharType="separate"/>
        </w:r>
        <w:r w:rsidR="006628FB" w:rsidRPr="009306D5">
          <w:rPr>
            <w:noProof/>
            <w:webHidden/>
          </w:rPr>
          <w:t>14</w:t>
        </w:r>
        <w:r w:rsidR="006628FB" w:rsidRPr="009306D5">
          <w:rPr>
            <w:noProof/>
            <w:webHidden/>
          </w:rPr>
          <w:fldChar w:fldCharType="end"/>
        </w:r>
      </w:hyperlink>
    </w:p>
    <w:p w14:paraId="3FA72B01" w14:textId="3DC910C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1" w:history="1">
        <w:r w:rsidR="006628FB" w:rsidRPr="009306D5">
          <w:rPr>
            <w:rStyle w:val="Hyperlink"/>
            <w:noProof/>
          </w:rPr>
          <w:t>Soovitus 3. Parandada automaatset teabevahetust maksuhaldurite ja muude riiklike asutuste vahel.</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_Toc95816191 \h </w:instrText>
        </w:r>
        <w:r w:rsidR="006628FB" w:rsidRPr="009306D5">
          <w:rPr>
            <w:noProof/>
            <w:webHidden/>
          </w:rPr>
        </w:r>
        <w:r w:rsidR="006628FB" w:rsidRPr="009306D5">
          <w:rPr>
            <w:noProof/>
            <w:webHidden/>
          </w:rPr>
          <w:fldChar w:fldCharType="separate"/>
        </w:r>
        <w:r w:rsidR="006628FB" w:rsidRPr="009306D5">
          <w:rPr>
            <w:noProof/>
            <w:webHidden/>
          </w:rPr>
          <w:t>15</w:t>
        </w:r>
        <w:r w:rsidR="006628FB" w:rsidRPr="009306D5">
          <w:rPr>
            <w:noProof/>
            <w:webHidden/>
          </w:rPr>
          <w:fldChar w:fldCharType="end"/>
        </w:r>
      </w:hyperlink>
    </w:p>
    <w:p w14:paraId="0B299D42" w14:textId="77D6FF88"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2" w:history="1">
        <w:r w:rsidR="006628FB" w:rsidRPr="009306D5">
          <w:rPr>
            <w:rStyle w:val="Hyperlink"/>
            <w:noProof/>
          </w:rPr>
          <w:t>Soovitus 4. Hallata käibemaksuandmebaasi nii, et see oleks täpne ja täielik.</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_Toc95816192 \h </w:instrText>
        </w:r>
        <w:r w:rsidR="006628FB" w:rsidRPr="009306D5">
          <w:rPr>
            <w:noProof/>
            <w:webHidden/>
          </w:rPr>
        </w:r>
        <w:r w:rsidR="006628FB" w:rsidRPr="009306D5">
          <w:rPr>
            <w:noProof/>
            <w:webHidden/>
          </w:rPr>
          <w:fldChar w:fldCharType="separate"/>
        </w:r>
        <w:r w:rsidR="006628FB" w:rsidRPr="009306D5">
          <w:rPr>
            <w:noProof/>
            <w:webHidden/>
          </w:rPr>
          <w:t>16</w:t>
        </w:r>
        <w:r w:rsidR="006628FB" w:rsidRPr="009306D5">
          <w:rPr>
            <w:noProof/>
            <w:webHidden/>
          </w:rPr>
          <w:fldChar w:fldCharType="end"/>
        </w:r>
      </w:hyperlink>
    </w:p>
    <w:p w14:paraId="5682A2ED" w14:textId="19606076"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3" w:history="1">
        <w:r w:rsidR="006628FB" w:rsidRPr="009306D5">
          <w:rPr>
            <w:rStyle w:val="Hyperlink"/>
            <w:noProof/>
          </w:rPr>
          <w:t>Soovitus 5. Teha õiguslikke ja isikusamasuse tõendamise kontrolle ning riskinäitajatel põhinevaid süstemaatilisi eelkontrolle.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_Toc95816193 \h </w:instrText>
        </w:r>
        <w:r w:rsidR="006628FB" w:rsidRPr="009306D5">
          <w:rPr>
            <w:noProof/>
            <w:webHidden/>
          </w:rPr>
        </w:r>
        <w:r w:rsidR="006628FB" w:rsidRPr="009306D5">
          <w:rPr>
            <w:noProof/>
            <w:webHidden/>
          </w:rPr>
          <w:fldChar w:fldCharType="separate"/>
        </w:r>
        <w:r w:rsidR="006628FB" w:rsidRPr="009306D5">
          <w:rPr>
            <w:noProof/>
            <w:webHidden/>
          </w:rPr>
          <w:t>17</w:t>
        </w:r>
        <w:r w:rsidR="006628FB" w:rsidRPr="009306D5">
          <w:rPr>
            <w:noProof/>
            <w:webHidden/>
          </w:rPr>
          <w:fldChar w:fldCharType="end"/>
        </w:r>
      </w:hyperlink>
    </w:p>
    <w:p w14:paraId="6CB12F8B" w14:textId="21FF12E1"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4" w:history="1">
        <w:r w:rsidR="006628FB" w:rsidRPr="009306D5">
          <w:rPr>
            <w:rStyle w:val="Hyperlink"/>
            <w:noProof/>
          </w:rPr>
          <w:t>Soovitus 6. Säilitada andmed taotlejate kohta, kelle registreerimistaotlus on tagasi lükatud.</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_Toc95816194 \h </w:instrText>
        </w:r>
        <w:r w:rsidR="006628FB" w:rsidRPr="009306D5">
          <w:rPr>
            <w:noProof/>
            <w:webHidden/>
          </w:rPr>
        </w:r>
        <w:r w:rsidR="006628FB" w:rsidRPr="009306D5">
          <w:rPr>
            <w:noProof/>
            <w:webHidden/>
          </w:rPr>
          <w:fldChar w:fldCharType="separate"/>
        </w:r>
        <w:r w:rsidR="006628FB" w:rsidRPr="009306D5">
          <w:rPr>
            <w:noProof/>
            <w:webHidden/>
          </w:rPr>
          <w:t>18</w:t>
        </w:r>
        <w:r w:rsidR="006628FB" w:rsidRPr="009306D5">
          <w:rPr>
            <w:noProof/>
            <w:webHidden/>
          </w:rPr>
          <w:fldChar w:fldCharType="end"/>
        </w:r>
      </w:hyperlink>
    </w:p>
    <w:p w14:paraId="6479D258" w14:textId="438FE821"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5" w:history="1">
        <w:r w:rsidR="006628FB" w:rsidRPr="009306D5">
          <w:rPr>
            <w:rStyle w:val="Hyperlink"/>
            <w:noProof/>
          </w:rPr>
          <w:t>Soovitus 7. Võrrelda käibemaksukohustuslasena registreerimise andmebaasis hoitavat teavet kolmandate isikute teabeallikatega.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_Toc95816195 \h </w:instrText>
        </w:r>
        <w:r w:rsidR="006628FB" w:rsidRPr="009306D5">
          <w:rPr>
            <w:noProof/>
            <w:webHidden/>
          </w:rPr>
        </w:r>
        <w:r w:rsidR="006628FB" w:rsidRPr="009306D5">
          <w:rPr>
            <w:noProof/>
            <w:webHidden/>
          </w:rPr>
          <w:fldChar w:fldCharType="separate"/>
        </w:r>
        <w:r w:rsidR="006628FB" w:rsidRPr="009306D5">
          <w:rPr>
            <w:noProof/>
            <w:webHidden/>
          </w:rPr>
          <w:t>18</w:t>
        </w:r>
        <w:r w:rsidR="006628FB" w:rsidRPr="009306D5">
          <w:rPr>
            <w:noProof/>
            <w:webHidden/>
          </w:rPr>
          <w:fldChar w:fldCharType="end"/>
        </w:r>
      </w:hyperlink>
    </w:p>
    <w:p w14:paraId="308754B5" w14:textId="64839019"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6" w:history="1">
        <w:r w:rsidR="006628FB" w:rsidRPr="009306D5">
          <w:rPr>
            <w:rStyle w:val="Hyperlink"/>
            <w:noProof/>
          </w:rPr>
          <w:t>Soovitus 8. Kehtestada menetlused selliste maksumaksjate tuvastamiseks, kes ei ole end registreerinud, ja keskenduda märkimisväärse arvu registreerimata ettevõtjatega majandussektoritele.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_Toc95816196 \h </w:instrText>
        </w:r>
        <w:r w:rsidR="006628FB" w:rsidRPr="009306D5">
          <w:rPr>
            <w:noProof/>
            <w:webHidden/>
          </w:rPr>
        </w:r>
        <w:r w:rsidR="006628FB" w:rsidRPr="009306D5">
          <w:rPr>
            <w:noProof/>
            <w:webHidden/>
          </w:rPr>
          <w:fldChar w:fldCharType="separate"/>
        </w:r>
        <w:r w:rsidR="006628FB" w:rsidRPr="009306D5">
          <w:rPr>
            <w:noProof/>
            <w:webHidden/>
          </w:rPr>
          <w:t>20</w:t>
        </w:r>
        <w:r w:rsidR="006628FB" w:rsidRPr="009306D5">
          <w:rPr>
            <w:noProof/>
            <w:webHidden/>
          </w:rPr>
          <w:fldChar w:fldCharType="end"/>
        </w:r>
      </w:hyperlink>
    </w:p>
    <w:p w14:paraId="52C97C51" w14:textId="039294BF"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7" w:history="1">
        <w:r w:rsidR="006628FB" w:rsidRPr="009306D5">
          <w:rPr>
            <w:rStyle w:val="Hyperlink"/>
            <w:noProof/>
          </w:rPr>
          <w:t>Soovitus 9. Lisada registreerimisprotsessi riskihindamismenetlus.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_Toc95816197 \h </w:instrText>
        </w:r>
        <w:r w:rsidR="006628FB" w:rsidRPr="009306D5">
          <w:rPr>
            <w:noProof/>
            <w:webHidden/>
          </w:rPr>
        </w:r>
        <w:r w:rsidR="006628FB" w:rsidRPr="009306D5">
          <w:rPr>
            <w:noProof/>
            <w:webHidden/>
          </w:rPr>
          <w:fldChar w:fldCharType="separate"/>
        </w:r>
        <w:r w:rsidR="006628FB" w:rsidRPr="009306D5">
          <w:rPr>
            <w:noProof/>
            <w:webHidden/>
          </w:rPr>
          <w:t>20</w:t>
        </w:r>
        <w:r w:rsidR="006628FB" w:rsidRPr="009306D5">
          <w:rPr>
            <w:noProof/>
            <w:webHidden/>
          </w:rPr>
          <w:fldChar w:fldCharType="end"/>
        </w:r>
      </w:hyperlink>
    </w:p>
    <w:p w14:paraId="16B32418" w14:textId="0039594B"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8" w:history="1">
        <w:r w:rsidR="006628FB" w:rsidRPr="009306D5">
          <w:rPr>
            <w:rStyle w:val="Hyperlink"/>
            <w:noProof/>
          </w:rPr>
          <w:t>Soovitus 10. Teha VIESi registreerimisnumbrite järelkontroll ja analüüsida VIESi numbri kehtivuse peatamise või numbri eemaldamise võimalust pettuse korral.</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_Toc95816198 \h </w:instrText>
        </w:r>
        <w:r w:rsidR="006628FB" w:rsidRPr="009306D5">
          <w:rPr>
            <w:noProof/>
            <w:webHidden/>
          </w:rPr>
        </w:r>
        <w:r w:rsidR="006628FB" w:rsidRPr="009306D5">
          <w:rPr>
            <w:noProof/>
            <w:webHidden/>
          </w:rPr>
          <w:fldChar w:fldCharType="separate"/>
        </w:r>
        <w:r w:rsidR="006628FB" w:rsidRPr="009306D5">
          <w:rPr>
            <w:noProof/>
            <w:webHidden/>
          </w:rPr>
          <w:t>21</w:t>
        </w:r>
        <w:r w:rsidR="006628FB" w:rsidRPr="009306D5">
          <w:rPr>
            <w:noProof/>
            <w:webHidden/>
          </w:rPr>
          <w:fldChar w:fldCharType="end"/>
        </w:r>
      </w:hyperlink>
    </w:p>
    <w:p w14:paraId="717C5913" w14:textId="64E0A215"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199" w:history="1">
        <w:r w:rsidR="006628FB" w:rsidRPr="009306D5">
          <w:rPr>
            <w:rStyle w:val="Hyperlink"/>
            <w:noProof/>
          </w:rPr>
          <w:t>Soovitus 11. Siduda registreerimise IT-infosüsteem teiste maksuhalduri allsüsteemidega, nagu deklaratsioonide esitamise ja maksu tasumise, kogumise ja auditeerimise süsteemid.</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_Toc95816199 \h </w:instrText>
        </w:r>
        <w:r w:rsidR="006628FB" w:rsidRPr="009306D5">
          <w:rPr>
            <w:noProof/>
            <w:webHidden/>
          </w:rPr>
        </w:r>
        <w:r w:rsidR="006628FB" w:rsidRPr="009306D5">
          <w:rPr>
            <w:noProof/>
            <w:webHidden/>
          </w:rPr>
          <w:fldChar w:fldCharType="separate"/>
        </w:r>
        <w:r w:rsidR="006628FB" w:rsidRPr="009306D5">
          <w:rPr>
            <w:noProof/>
            <w:webHidden/>
          </w:rPr>
          <w:t>22</w:t>
        </w:r>
        <w:r w:rsidR="006628FB" w:rsidRPr="009306D5">
          <w:rPr>
            <w:noProof/>
            <w:webHidden/>
          </w:rPr>
          <w:fldChar w:fldCharType="end"/>
        </w:r>
      </w:hyperlink>
    </w:p>
    <w:p w14:paraId="4A721C1F" w14:textId="7DDEFEC0"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0" w:history="1">
        <w:r w:rsidR="006628FB" w:rsidRPr="009306D5">
          <w:rPr>
            <w:rStyle w:val="Hyperlink"/>
            <w:noProof/>
          </w:rPr>
          <w:t>Soovitus 12. Võimaldada käibemaksukohustuslastel oma käibemaksuandmetele juurde pääseda, neid visualiseerida ja muuta turvalise veebiühenduse kaudu.</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_Toc95816200 \h </w:instrText>
        </w:r>
        <w:r w:rsidR="006628FB" w:rsidRPr="009306D5">
          <w:rPr>
            <w:noProof/>
            <w:webHidden/>
          </w:rPr>
        </w:r>
        <w:r w:rsidR="006628FB" w:rsidRPr="009306D5">
          <w:rPr>
            <w:noProof/>
            <w:webHidden/>
          </w:rPr>
          <w:fldChar w:fldCharType="separate"/>
        </w:r>
        <w:r w:rsidR="006628FB" w:rsidRPr="009306D5">
          <w:rPr>
            <w:noProof/>
            <w:webHidden/>
          </w:rPr>
          <w:t>22</w:t>
        </w:r>
        <w:r w:rsidR="006628FB" w:rsidRPr="009306D5">
          <w:rPr>
            <w:noProof/>
            <w:webHidden/>
          </w:rPr>
          <w:fldChar w:fldCharType="end"/>
        </w:r>
      </w:hyperlink>
    </w:p>
    <w:p w14:paraId="16ADB299" w14:textId="39B10A3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1" w:history="1">
        <w:r w:rsidR="006628FB" w:rsidRPr="009306D5">
          <w:rPr>
            <w:rStyle w:val="Hyperlink"/>
            <w:noProof/>
          </w:rPr>
          <w:t>Soovitus 13. Luua e-kaubanduse maksumaksjate register või seda pidada.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_Toc95816201 \h </w:instrText>
        </w:r>
        <w:r w:rsidR="006628FB" w:rsidRPr="009306D5">
          <w:rPr>
            <w:noProof/>
            <w:webHidden/>
          </w:rPr>
        </w:r>
        <w:r w:rsidR="006628FB" w:rsidRPr="009306D5">
          <w:rPr>
            <w:noProof/>
            <w:webHidden/>
          </w:rPr>
          <w:fldChar w:fldCharType="separate"/>
        </w:r>
        <w:r w:rsidR="006628FB" w:rsidRPr="009306D5">
          <w:rPr>
            <w:noProof/>
            <w:webHidden/>
          </w:rPr>
          <w:t>23</w:t>
        </w:r>
        <w:r w:rsidR="006628FB" w:rsidRPr="009306D5">
          <w:rPr>
            <w:noProof/>
            <w:webHidden/>
          </w:rPr>
          <w:fldChar w:fldCharType="end"/>
        </w:r>
      </w:hyperlink>
    </w:p>
    <w:p w14:paraId="20A94930" w14:textId="42B4864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2" w:history="1">
        <w:r w:rsidR="006628FB" w:rsidRPr="009306D5">
          <w:rPr>
            <w:rStyle w:val="Hyperlink"/>
            <w:noProof/>
          </w:rPr>
          <w:t>Soovitus 14. Luua MOSSi jaoks spetsiaalne teabekanal ja teha MOSSis registreerimisel süstemaatiliselt eelkontrolle.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_Toc95816202 \h </w:instrText>
        </w:r>
        <w:r w:rsidR="006628FB" w:rsidRPr="009306D5">
          <w:rPr>
            <w:noProof/>
            <w:webHidden/>
          </w:rPr>
        </w:r>
        <w:r w:rsidR="006628FB" w:rsidRPr="009306D5">
          <w:rPr>
            <w:noProof/>
            <w:webHidden/>
          </w:rPr>
          <w:fldChar w:fldCharType="separate"/>
        </w:r>
        <w:r w:rsidR="006628FB" w:rsidRPr="009306D5">
          <w:rPr>
            <w:noProof/>
            <w:webHidden/>
          </w:rPr>
          <w:t>26</w:t>
        </w:r>
        <w:r w:rsidR="006628FB" w:rsidRPr="009306D5">
          <w:rPr>
            <w:noProof/>
            <w:webHidden/>
          </w:rPr>
          <w:fldChar w:fldCharType="end"/>
        </w:r>
      </w:hyperlink>
    </w:p>
    <w:p w14:paraId="1969735B" w14:textId="2E0B760D"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3" w:history="1">
        <w:r w:rsidR="006628FB" w:rsidRPr="009306D5">
          <w:rPr>
            <w:rStyle w:val="Hyperlink"/>
            <w:noProof/>
          </w:rPr>
          <w:t>Soovitus 15. Suurendada jõupingutusi MOSSi andmebaasi täpsuse tagamiseks.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_Toc95816203 \h </w:instrText>
        </w:r>
        <w:r w:rsidR="006628FB" w:rsidRPr="009306D5">
          <w:rPr>
            <w:noProof/>
            <w:webHidden/>
          </w:rPr>
        </w:r>
        <w:r w:rsidR="006628FB" w:rsidRPr="009306D5">
          <w:rPr>
            <w:noProof/>
            <w:webHidden/>
          </w:rPr>
          <w:fldChar w:fldCharType="separate"/>
        </w:r>
        <w:r w:rsidR="006628FB" w:rsidRPr="009306D5">
          <w:rPr>
            <w:noProof/>
            <w:webHidden/>
          </w:rPr>
          <w:t>27</w:t>
        </w:r>
        <w:r w:rsidR="006628FB" w:rsidRPr="009306D5">
          <w:rPr>
            <w:noProof/>
            <w:webHidden/>
          </w:rPr>
          <w:fldChar w:fldCharType="end"/>
        </w:r>
      </w:hyperlink>
    </w:p>
    <w:p w14:paraId="7D7B3762" w14:textId="75741536"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4" w:history="1">
        <w:r w:rsidR="006628FB" w:rsidRPr="009306D5">
          <w:rPr>
            <w:rStyle w:val="Hyperlink"/>
            <w:noProof/>
          </w:rPr>
          <w:t>Soovitus 16. Parandada MOSSis registreeritud ettevõtjate suhtes auditeerimistegevust.</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_Toc95816204 \h </w:instrText>
        </w:r>
        <w:r w:rsidR="006628FB" w:rsidRPr="009306D5">
          <w:rPr>
            <w:noProof/>
            <w:webHidden/>
          </w:rPr>
        </w:r>
        <w:r w:rsidR="006628FB" w:rsidRPr="009306D5">
          <w:rPr>
            <w:noProof/>
            <w:webHidden/>
          </w:rPr>
          <w:fldChar w:fldCharType="separate"/>
        </w:r>
        <w:r w:rsidR="006628FB" w:rsidRPr="009306D5">
          <w:rPr>
            <w:noProof/>
            <w:webHidden/>
          </w:rPr>
          <w:t>28</w:t>
        </w:r>
        <w:r w:rsidR="006628FB" w:rsidRPr="009306D5">
          <w:rPr>
            <w:noProof/>
            <w:webHidden/>
          </w:rPr>
          <w:fldChar w:fldCharType="end"/>
        </w:r>
      </w:hyperlink>
    </w:p>
    <w:p w14:paraId="7B0895D2" w14:textId="1E58F24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5" w:history="1">
        <w:r w:rsidR="006628FB" w:rsidRPr="009306D5">
          <w:rPr>
            <w:rStyle w:val="Hyperlink"/>
            <w:noProof/>
          </w:rPr>
          <w:t>Soovitus 17. Investeerida olulistesse IT-täiendustesse, hooldades samal ajal olemasolevaid IT-süsteeme, lähtudes üldisest vajaduste analüüsist.</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_Toc95816205 \h </w:instrText>
        </w:r>
        <w:r w:rsidR="006628FB" w:rsidRPr="009306D5">
          <w:rPr>
            <w:noProof/>
            <w:webHidden/>
          </w:rPr>
        </w:r>
        <w:r w:rsidR="006628FB" w:rsidRPr="009306D5">
          <w:rPr>
            <w:noProof/>
            <w:webHidden/>
          </w:rPr>
          <w:fldChar w:fldCharType="separate"/>
        </w:r>
        <w:r w:rsidR="006628FB" w:rsidRPr="009306D5">
          <w:rPr>
            <w:noProof/>
            <w:webHidden/>
          </w:rPr>
          <w:t>30</w:t>
        </w:r>
        <w:r w:rsidR="006628FB" w:rsidRPr="009306D5">
          <w:rPr>
            <w:noProof/>
            <w:webHidden/>
          </w:rPr>
          <w:fldChar w:fldCharType="end"/>
        </w:r>
      </w:hyperlink>
    </w:p>
    <w:p w14:paraId="136896CC" w14:textId="19DC794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6" w:history="1">
        <w:r w:rsidR="006628FB" w:rsidRPr="009306D5">
          <w:rPr>
            <w:rStyle w:val="Hyperlink"/>
            <w:noProof/>
          </w:rPr>
          <w:t>Soovitus 18. Investeerida IT-töötajatesse, suurendades nende arvu ja täiendades nende oskusi.</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_Toc95816206 \h </w:instrText>
        </w:r>
        <w:r w:rsidR="006628FB" w:rsidRPr="009306D5">
          <w:rPr>
            <w:noProof/>
            <w:webHidden/>
          </w:rPr>
        </w:r>
        <w:r w:rsidR="006628FB" w:rsidRPr="009306D5">
          <w:rPr>
            <w:noProof/>
            <w:webHidden/>
          </w:rPr>
          <w:fldChar w:fldCharType="separate"/>
        </w:r>
        <w:r w:rsidR="006628FB" w:rsidRPr="009306D5">
          <w:rPr>
            <w:noProof/>
            <w:webHidden/>
          </w:rPr>
          <w:t>30</w:t>
        </w:r>
        <w:r w:rsidR="006628FB" w:rsidRPr="009306D5">
          <w:rPr>
            <w:noProof/>
            <w:webHidden/>
          </w:rPr>
          <w:fldChar w:fldCharType="end"/>
        </w:r>
      </w:hyperlink>
    </w:p>
    <w:p w14:paraId="2E6DCD2D" w14:textId="2AE7914A"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7" w:history="1">
        <w:r w:rsidR="006628FB" w:rsidRPr="009306D5">
          <w:rPr>
            <w:rStyle w:val="Hyperlink"/>
            <w:noProof/>
          </w:rPr>
          <w:t>Soovitus 19. Leevendada riske maksukuulekuskava abil, mis hõlmab peamisi nõuetelevastavusega seotud ohte, ja jälgida korrapäraselt selle rakendamist.</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_Toc95816207 \h </w:instrText>
        </w:r>
        <w:r w:rsidR="006628FB" w:rsidRPr="009306D5">
          <w:rPr>
            <w:noProof/>
            <w:webHidden/>
          </w:rPr>
        </w:r>
        <w:r w:rsidR="006628FB" w:rsidRPr="009306D5">
          <w:rPr>
            <w:noProof/>
            <w:webHidden/>
          </w:rPr>
          <w:fldChar w:fldCharType="separate"/>
        </w:r>
        <w:r w:rsidR="006628FB" w:rsidRPr="009306D5">
          <w:rPr>
            <w:noProof/>
            <w:webHidden/>
          </w:rPr>
          <w:t>32</w:t>
        </w:r>
        <w:r w:rsidR="006628FB" w:rsidRPr="009306D5">
          <w:rPr>
            <w:noProof/>
            <w:webHidden/>
          </w:rPr>
          <w:fldChar w:fldCharType="end"/>
        </w:r>
      </w:hyperlink>
    </w:p>
    <w:p w14:paraId="4565129C" w14:textId="5470D6BD"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8" w:history="1">
        <w:r w:rsidR="006628FB" w:rsidRPr="009306D5">
          <w:rPr>
            <w:rStyle w:val="Hyperlink"/>
            <w:noProof/>
          </w:rPr>
          <w:t>Soovitus 20. Võtta käibemaksukohustuslaste suhtes teenusekeskne hoiak ja kasutada võimalust, mida pakub suhtlemine maksumaksjatega, kvaliteetsete käibemaksuhalduse teenuste pakkumiseks.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_Toc95816208 \h </w:instrText>
        </w:r>
        <w:r w:rsidR="006628FB" w:rsidRPr="009306D5">
          <w:rPr>
            <w:noProof/>
            <w:webHidden/>
          </w:rPr>
        </w:r>
        <w:r w:rsidR="006628FB" w:rsidRPr="009306D5">
          <w:rPr>
            <w:noProof/>
            <w:webHidden/>
          </w:rPr>
          <w:fldChar w:fldCharType="separate"/>
        </w:r>
        <w:r w:rsidR="006628FB" w:rsidRPr="009306D5">
          <w:rPr>
            <w:noProof/>
            <w:webHidden/>
          </w:rPr>
          <w:t>34</w:t>
        </w:r>
        <w:r w:rsidR="006628FB" w:rsidRPr="009306D5">
          <w:rPr>
            <w:noProof/>
            <w:webHidden/>
          </w:rPr>
          <w:fldChar w:fldCharType="end"/>
        </w:r>
      </w:hyperlink>
    </w:p>
    <w:p w14:paraId="5187CDA7" w14:textId="6EEE1812"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09" w:history="1">
        <w:r w:rsidR="006628FB" w:rsidRPr="009306D5">
          <w:rPr>
            <w:rStyle w:val="Hyperlink"/>
            <w:noProof/>
          </w:rPr>
          <w:t>Soovitus 21. Uurida võimalust kasutada käibemaksualase maksukuulekuse parandamiseks mitut andmekogumit ning pidevalt parandada teabevahetuse ja halduskoostöö kvaliteeti.</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_Toc95816209 \h </w:instrText>
        </w:r>
        <w:r w:rsidR="006628FB" w:rsidRPr="009306D5">
          <w:rPr>
            <w:noProof/>
            <w:webHidden/>
          </w:rPr>
        </w:r>
        <w:r w:rsidR="006628FB" w:rsidRPr="009306D5">
          <w:rPr>
            <w:noProof/>
            <w:webHidden/>
          </w:rPr>
          <w:fldChar w:fldCharType="separate"/>
        </w:r>
        <w:r w:rsidR="006628FB" w:rsidRPr="009306D5">
          <w:rPr>
            <w:noProof/>
            <w:webHidden/>
          </w:rPr>
          <w:t>35</w:t>
        </w:r>
        <w:r w:rsidR="006628FB" w:rsidRPr="009306D5">
          <w:rPr>
            <w:noProof/>
            <w:webHidden/>
          </w:rPr>
          <w:fldChar w:fldCharType="end"/>
        </w:r>
      </w:hyperlink>
    </w:p>
    <w:p w14:paraId="61E9577B" w14:textId="7B884DF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0" w:history="1">
        <w:r w:rsidR="006628FB" w:rsidRPr="009306D5">
          <w:rPr>
            <w:rStyle w:val="Hyperlink"/>
            <w:noProof/>
          </w:rPr>
          <w:t>Soovitus 22. Koguda sisukaid andmeid, tasakaalustada riskianalüüsi ja profileerimislahendusi ning jätkata investeerimist analüüsivõimesse.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_Toc95816210 \h </w:instrText>
        </w:r>
        <w:r w:rsidR="006628FB" w:rsidRPr="009306D5">
          <w:rPr>
            <w:noProof/>
            <w:webHidden/>
          </w:rPr>
        </w:r>
        <w:r w:rsidR="006628FB" w:rsidRPr="009306D5">
          <w:rPr>
            <w:noProof/>
            <w:webHidden/>
          </w:rPr>
          <w:fldChar w:fldCharType="separate"/>
        </w:r>
        <w:r w:rsidR="006628FB" w:rsidRPr="009306D5">
          <w:rPr>
            <w:noProof/>
            <w:webHidden/>
          </w:rPr>
          <w:t>37</w:t>
        </w:r>
        <w:r w:rsidR="006628FB" w:rsidRPr="009306D5">
          <w:rPr>
            <w:noProof/>
            <w:webHidden/>
          </w:rPr>
          <w:fldChar w:fldCharType="end"/>
        </w:r>
      </w:hyperlink>
    </w:p>
    <w:p w14:paraId="4FCE0564" w14:textId="25CB6B41"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1" w:history="1">
        <w:r w:rsidR="006628FB" w:rsidRPr="009306D5">
          <w:rPr>
            <w:rStyle w:val="Hyperlink"/>
            <w:noProof/>
          </w:rPr>
          <w:t>Soovitus 23. Jätkata tööd deklaratsioonide õigeaegse esitamise määra tõstmiseks, kuna see on hea näitaja käibemaksusüsteemi tugevuse mõõtmiseks.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_Toc95816211 \h </w:instrText>
        </w:r>
        <w:r w:rsidR="006628FB" w:rsidRPr="009306D5">
          <w:rPr>
            <w:noProof/>
            <w:webHidden/>
          </w:rPr>
        </w:r>
        <w:r w:rsidR="006628FB" w:rsidRPr="009306D5">
          <w:rPr>
            <w:noProof/>
            <w:webHidden/>
          </w:rPr>
          <w:fldChar w:fldCharType="separate"/>
        </w:r>
        <w:r w:rsidR="006628FB" w:rsidRPr="009306D5">
          <w:rPr>
            <w:noProof/>
            <w:webHidden/>
          </w:rPr>
          <w:t>38</w:t>
        </w:r>
        <w:r w:rsidR="006628FB" w:rsidRPr="009306D5">
          <w:rPr>
            <w:noProof/>
            <w:webHidden/>
          </w:rPr>
          <w:fldChar w:fldCharType="end"/>
        </w:r>
      </w:hyperlink>
    </w:p>
    <w:p w14:paraId="2DB1A2E6" w14:textId="037EA736"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2" w:history="1">
        <w:r w:rsidR="006628FB" w:rsidRPr="009306D5">
          <w:rPr>
            <w:rStyle w:val="Hyperlink"/>
            <w:noProof/>
          </w:rPr>
          <w:t>Soovitus 24. Tuletada maksumaksjatele ennetavalt meelde deklaratsioonide esitamise tähtaegu ja kasutada spetsiaalseid toetavaid vahendeid.</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_Toc95816212 \h </w:instrText>
        </w:r>
        <w:r w:rsidR="006628FB" w:rsidRPr="009306D5">
          <w:rPr>
            <w:noProof/>
            <w:webHidden/>
          </w:rPr>
        </w:r>
        <w:r w:rsidR="006628FB" w:rsidRPr="009306D5">
          <w:rPr>
            <w:noProof/>
            <w:webHidden/>
          </w:rPr>
          <w:fldChar w:fldCharType="separate"/>
        </w:r>
        <w:r w:rsidR="006628FB" w:rsidRPr="009306D5">
          <w:rPr>
            <w:noProof/>
            <w:webHidden/>
          </w:rPr>
          <w:t>39</w:t>
        </w:r>
        <w:r w:rsidR="006628FB" w:rsidRPr="009306D5">
          <w:rPr>
            <w:noProof/>
            <w:webHidden/>
          </w:rPr>
          <w:fldChar w:fldCharType="end"/>
        </w:r>
      </w:hyperlink>
    </w:p>
    <w:p w14:paraId="12C315AB" w14:textId="6142BD46"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3" w:history="1">
        <w:r w:rsidR="006628FB" w:rsidRPr="009306D5">
          <w:rPr>
            <w:rStyle w:val="Hyperlink"/>
            <w:noProof/>
          </w:rPr>
          <w:t>Soovitus 25. Töötada välja karistussüsteem käibedeklaratsioonide õigel ajal esitamata jätmise ja maksu õigel ajal tasumata jätmise eest, pidades silmas kahte peamist põhimõtet: lihtsus ja proportsionaalsus.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_Toc95816213 \h </w:instrText>
        </w:r>
        <w:r w:rsidR="006628FB" w:rsidRPr="009306D5">
          <w:rPr>
            <w:noProof/>
            <w:webHidden/>
          </w:rPr>
        </w:r>
        <w:r w:rsidR="006628FB" w:rsidRPr="009306D5">
          <w:rPr>
            <w:noProof/>
            <w:webHidden/>
          </w:rPr>
          <w:fldChar w:fldCharType="separate"/>
        </w:r>
        <w:r w:rsidR="006628FB" w:rsidRPr="009306D5">
          <w:rPr>
            <w:noProof/>
            <w:webHidden/>
          </w:rPr>
          <w:t>40</w:t>
        </w:r>
        <w:r w:rsidR="006628FB" w:rsidRPr="009306D5">
          <w:rPr>
            <w:noProof/>
            <w:webHidden/>
          </w:rPr>
          <w:fldChar w:fldCharType="end"/>
        </w:r>
      </w:hyperlink>
    </w:p>
    <w:p w14:paraId="6122F8DE" w14:textId="5C9BCC65"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4" w:history="1">
        <w:r w:rsidR="006628FB" w:rsidRPr="009306D5">
          <w:rPr>
            <w:rStyle w:val="Hyperlink"/>
            <w:noProof/>
          </w:rPr>
          <w:t>Soovitus 26. Piirata nii palju kui võimalik käibemaksu tasumist sularahas.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_Toc95816214 \h </w:instrText>
        </w:r>
        <w:r w:rsidR="006628FB" w:rsidRPr="009306D5">
          <w:rPr>
            <w:noProof/>
            <w:webHidden/>
          </w:rPr>
        </w:r>
        <w:r w:rsidR="006628FB" w:rsidRPr="009306D5">
          <w:rPr>
            <w:noProof/>
            <w:webHidden/>
          </w:rPr>
          <w:fldChar w:fldCharType="separate"/>
        </w:r>
        <w:r w:rsidR="006628FB" w:rsidRPr="009306D5">
          <w:rPr>
            <w:noProof/>
            <w:webHidden/>
          </w:rPr>
          <w:t>41</w:t>
        </w:r>
        <w:r w:rsidR="006628FB" w:rsidRPr="009306D5">
          <w:rPr>
            <w:noProof/>
            <w:webHidden/>
          </w:rPr>
          <w:fldChar w:fldCharType="end"/>
        </w:r>
      </w:hyperlink>
    </w:p>
    <w:p w14:paraId="15B23BE3" w14:textId="32CD52C7"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5" w:history="1">
        <w:r w:rsidR="006628FB" w:rsidRPr="009306D5">
          <w:rPr>
            <w:rStyle w:val="Hyperlink"/>
            <w:noProof/>
          </w:rPr>
          <w:t>Soovitus 27. Kasutada käibemaksukohustuslastega suhtlemiseks mõnd veebipõhise kanali lahendust ning hallata ja ajakohastada ka muid varukanaleid.</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_Toc95816215 \h </w:instrText>
        </w:r>
        <w:r w:rsidR="006628FB" w:rsidRPr="009306D5">
          <w:rPr>
            <w:noProof/>
            <w:webHidden/>
          </w:rPr>
        </w:r>
        <w:r w:rsidR="006628FB" w:rsidRPr="009306D5">
          <w:rPr>
            <w:noProof/>
            <w:webHidden/>
          </w:rPr>
          <w:fldChar w:fldCharType="separate"/>
        </w:r>
        <w:r w:rsidR="006628FB" w:rsidRPr="009306D5">
          <w:rPr>
            <w:noProof/>
            <w:webHidden/>
          </w:rPr>
          <w:t>42</w:t>
        </w:r>
        <w:r w:rsidR="006628FB" w:rsidRPr="009306D5">
          <w:rPr>
            <w:noProof/>
            <w:webHidden/>
          </w:rPr>
          <w:fldChar w:fldCharType="end"/>
        </w:r>
      </w:hyperlink>
    </w:p>
    <w:p w14:paraId="71B021C5" w14:textId="76E16297"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6" w:history="1">
        <w:r w:rsidR="006628FB" w:rsidRPr="009306D5">
          <w:rPr>
            <w:rStyle w:val="Hyperlink"/>
            <w:noProof/>
          </w:rPr>
          <w:t>Soovitus 28. Tagada paindliku IT-allsüsteemi olemasolu käibemaksuvõlgade haldamiseks ja tähtsuse järjekorda seadmiseks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_Toc95816216 \h </w:instrText>
        </w:r>
        <w:r w:rsidR="006628FB" w:rsidRPr="009306D5">
          <w:rPr>
            <w:noProof/>
            <w:webHidden/>
          </w:rPr>
        </w:r>
        <w:r w:rsidR="006628FB" w:rsidRPr="009306D5">
          <w:rPr>
            <w:noProof/>
            <w:webHidden/>
          </w:rPr>
          <w:fldChar w:fldCharType="separate"/>
        </w:r>
        <w:r w:rsidR="006628FB" w:rsidRPr="009306D5">
          <w:rPr>
            <w:noProof/>
            <w:webHidden/>
          </w:rPr>
          <w:t>43</w:t>
        </w:r>
        <w:r w:rsidR="006628FB" w:rsidRPr="009306D5">
          <w:rPr>
            <w:noProof/>
            <w:webHidden/>
          </w:rPr>
          <w:fldChar w:fldCharType="end"/>
        </w:r>
      </w:hyperlink>
    </w:p>
    <w:p w14:paraId="0D0C6626" w14:textId="0C2CA721"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7" w:history="1">
        <w:r w:rsidR="006628FB" w:rsidRPr="009306D5">
          <w:rPr>
            <w:rStyle w:val="Hyperlink"/>
            <w:noProof/>
          </w:rPr>
          <w:t>Soovitus 29. Teha õiguspärased maksutagastused viivitamata, kehtestades samal ajal menetlused, et vältida pettusega seotud maksutagastusnõuete rahuldamist.</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_Toc95816217 \h </w:instrText>
        </w:r>
        <w:r w:rsidR="006628FB" w:rsidRPr="009306D5">
          <w:rPr>
            <w:noProof/>
            <w:webHidden/>
          </w:rPr>
        </w:r>
        <w:r w:rsidR="006628FB" w:rsidRPr="009306D5">
          <w:rPr>
            <w:noProof/>
            <w:webHidden/>
          </w:rPr>
          <w:fldChar w:fldCharType="separate"/>
        </w:r>
        <w:r w:rsidR="006628FB" w:rsidRPr="009306D5">
          <w:rPr>
            <w:noProof/>
            <w:webHidden/>
          </w:rPr>
          <w:t>44</w:t>
        </w:r>
        <w:r w:rsidR="006628FB" w:rsidRPr="009306D5">
          <w:rPr>
            <w:noProof/>
            <w:webHidden/>
          </w:rPr>
          <w:fldChar w:fldCharType="end"/>
        </w:r>
      </w:hyperlink>
    </w:p>
    <w:p w14:paraId="2FB782B8" w14:textId="61B756C1"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8" w:history="1">
        <w:r w:rsidR="006628FB" w:rsidRPr="009306D5">
          <w:rPr>
            <w:rStyle w:val="Hyperlink"/>
            <w:noProof/>
          </w:rPr>
          <w:t>Soovitus 30. Rakendada täheldatud häid tavasid, kui käibemaksutagastusi tehakse suures mahus pärast seadusjärgset kuupäeva.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_Toc95816218 \h </w:instrText>
        </w:r>
        <w:r w:rsidR="006628FB" w:rsidRPr="009306D5">
          <w:rPr>
            <w:noProof/>
            <w:webHidden/>
          </w:rPr>
        </w:r>
        <w:r w:rsidR="006628FB" w:rsidRPr="009306D5">
          <w:rPr>
            <w:noProof/>
            <w:webHidden/>
          </w:rPr>
          <w:fldChar w:fldCharType="separate"/>
        </w:r>
        <w:r w:rsidR="006628FB" w:rsidRPr="009306D5">
          <w:rPr>
            <w:noProof/>
            <w:webHidden/>
          </w:rPr>
          <w:t>45</w:t>
        </w:r>
        <w:r w:rsidR="006628FB" w:rsidRPr="009306D5">
          <w:rPr>
            <w:noProof/>
            <w:webHidden/>
          </w:rPr>
          <w:fldChar w:fldCharType="end"/>
        </w:r>
      </w:hyperlink>
    </w:p>
    <w:p w14:paraId="2E1E8830" w14:textId="5AEA0E6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19" w:history="1">
        <w:r w:rsidR="006628FB" w:rsidRPr="009306D5">
          <w:rPr>
            <w:rStyle w:val="Hyperlink"/>
            <w:noProof/>
          </w:rPr>
          <w:t>Soovitus 31. Siduda tagastamisprotsess registreerimiskomponendiga (kontrollida maksumaksjate identiteeti, et takistada fiktiivsetel ettevõtjatel käibemaksusüsteemi siseneda) ja integreerida see oma maksukuulekuse riskide juhtimise süsteemiga.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_Toc95816219 \h </w:instrText>
        </w:r>
        <w:r w:rsidR="006628FB" w:rsidRPr="009306D5">
          <w:rPr>
            <w:noProof/>
            <w:webHidden/>
          </w:rPr>
        </w:r>
        <w:r w:rsidR="006628FB" w:rsidRPr="009306D5">
          <w:rPr>
            <w:noProof/>
            <w:webHidden/>
          </w:rPr>
          <w:fldChar w:fldCharType="separate"/>
        </w:r>
        <w:r w:rsidR="006628FB" w:rsidRPr="009306D5">
          <w:rPr>
            <w:noProof/>
            <w:webHidden/>
          </w:rPr>
          <w:t>45</w:t>
        </w:r>
        <w:r w:rsidR="006628FB" w:rsidRPr="009306D5">
          <w:rPr>
            <w:noProof/>
            <w:webHidden/>
          </w:rPr>
          <w:fldChar w:fldCharType="end"/>
        </w:r>
      </w:hyperlink>
    </w:p>
    <w:p w14:paraId="645B6DE1" w14:textId="6F1C81C0"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20" w:history="1">
        <w:r w:rsidR="006628FB" w:rsidRPr="009306D5">
          <w:rPr>
            <w:rStyle w:val="Hyperlink"/>
            <w:noProof/>
          </w:rPr>
          <w:t>Soovitus 32. Kasutada sektoripõhiseid auditijuhendeid, teha koostööd teiste asutustega, ajakohastada ja vaadata läbi auditikavasid ning jälgida auditifunktsiooni kvaliteeti vastavalt dokumenteeritud protsessile.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_Toc95816220 \h </w:instrText>
        </w:r>
        <w:r w:rsidR="006628FB" w:rsidRPr="009306D5">
          <w:rPr>
            <w:noProof/>
            <w:webHidden/>
          </w:rPr>
        </w:r>
        <w:r w:rsidR="006628FB" w:rsidRPr="009306D5">
          <w:rPr>
            <w:noProof/>
            <w:webHidden/>
          </w:rPr>
          <w:fldChar w:fldCharType="separate"/>
        </w:r>
        <w:r w:rsidR="006628FB" w:rsidRPr="009306D5">
          <w:rPr>
            <w:noProof/>
            <w:webHidden/>
          </w:rPr>
          <w:t>47</w:t>
        </w:r>
        <w:r w:rsidR="006628FB" w:rsidRPr="009306D5">
          <w:rPr>
            <w:noProof/>
            <w:webHidden/>
          </w:rPr>
          <w:fldChar w:fldCharType="end"/>
        </w:r>
      </w:hyperlink>
    </w:p>
    <w:p w14:paraId="229345C7" w14:textId="5A03D7AC"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21" w:history="1">
        <w:r w:rsidR="006628FB" w:rsidRPr="009306D5">
          <w:rPr>
            <w:rStyle w:val="Hyperlink"/>
            <w:noProof/>
          </w:rPr>
          <w:t>Soovitus 33. Kasutada olemasolevaid ELi vahendeid, vahetada kogemusi ja häid tavasid eri vahendite ja menetluste kasutamisel ning teha koostööd (nt ühisauditite kujul), et suurendada auditifunktsioonide tõhusust.</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_Toc95816221 \h </w:instrText>
        </w:r>
        <w:r w:rsidR="006628FB" w:rsidRPr="009306D5">
          <w:rPr>
            <w:noProof/>
            <w:webHidden/>
          </w:rPr>
        </w:r>
        <w:r w:rsidR="006628FB" w:rsidRPr="009306D5">
          <w:rPr>
            <w:noProof/>
            <w:webHidden/>
          </w:rPr>
          <w:fldChar w:fldCharType="separate"/>
        </w:r>
        <w:r w:rsidR="006628FB" w:rsidRPr="009306D5">
          <w:rPr>
            <w:noProof/>
            <w:webHidden/>
          </w:rPr>
          <w:t>48</w:t>
        </w:r>
        <w:r w:rsidR="006628FB" w:rsidRPr="009306D5">
          <w:rPr>
            <w:noProof/>
            <w:webHidden/>
          </w:rPr>
          <w:fldChar w:fldCharType="end"/>
        </w:r>
      </w:hyperlink>
    </w:p>
    <w:p w14:paraId="06E8B27F" w14:textId="61191420"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22" w:history="1">
        <w:r w:rsidR="006628FB" w:rsidRPr="009306D5">
          <w:rPr>
            <w:rStyle w:val="Hyperlink"/>
            <w:noProof/>
          </w:rPr>
          <w:t>Soovitus 34. Kohandada käibemaksuauditite ulatust ja intensiivsust vastavalt vajadustele.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_Toc95816222 \h </w:instrText>
        </w:r>
        <w:r w:rsidR="006628FB" w:rsidRPr="009306D5">
          <w:rPr>
            <w:noProof/>
            <w:webHidden/>
          </w:rPr>
        </w:r>
        <w:r w:rsidR="006628FB" w:rsidRPr="009306D5">
          <w:rPr>
            <w:noProof/>
            <w:webHidden/>
          </w:rPr>
          <w:fldChar w:fldCharType="separate"/>
        </w:r>
        <w:r w:rsidR="006628FB" w:rsidRPr="009306D5">
          <w:rPr>
            <w:noProof/>
            <w:webHidden/>
          </w:rPr>
          <w:t>49</w:t>
        </w:r>
        <w:r w:rsidR="006628FB" w:rsidRPr="009306D5">
          <w:rPr>
            <w:noProof/>
            <w:webHidden/>
          </w:rPr>
          <w:fldChar w:fldCharType="end"/>
        </w:r>
      </w:hyperlink>
    </w:p>
    <w:p w14:paraId="28146564" w14:textId="489AB6E4"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23" w:history="1">
        <w:r w:rsidR="006628FB" w:rsidRPr="009306D5">
          <w:rPr>
            <w:rStyle w:val="Hyperlink"/>
            <w:noProof/>
          </w:rPr>
          <w:t>Soovitus 35. Täiendada auditimeetmeid muude auditiväliste maksukuulekuse suurendamise meetmetega.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_Toc95816223 \h </w:instrText>
        </w:r>
        <w:r w:rsidR="006628FB" w:rsidRPr="009306D5">
          <w:rPr>
            <w:noProof/>
            <w:webHidden/>
          </w:rPr>
        </w:r>
        <w:r w:rsidR="006628FB" w:rsidRPr="009306D5">
          <w:rPr>
            <w:noProof/>
            <w:webHidden/>
          </w:rPr>
          <w:fldChar w:fldCharType="separate"/>
        </w:r>
        <w:r w:rsidR="006628FB" w:rsidRPr="009306D5">
          <w:rPr>
            <w:noProof/>
            <w:webHidden/>
          </w:rPr>
          <w:t>50</w:t>
        </w:r>
        <w:r w:rsidR="006628FB" w:rsidRPr="009306D5">
          <w:rPr>
            <w:noProof/>
            <w:webHidden/>
          </w:rPr>
          <w:fldChar w:fldCharType="end"/>
        </w:r>
      </w:hyperlink>
    </w:p>
    <w:p w14:paraId="31826A19" w14:textId="1A5C8724"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24" w:history="1">
        <w:r w:rsidR="006628FB" w:rsidRPr="009306D5">
          <w:rPr>
            <w:rStyle w:val="Hyperlink"/>
            <w:noProof/>
          </w:rPr>
          <w:t>Soovitus 36. Tagada, et arvestussüsteemid on seotud muude süsteemidega ning et need sisaldavad menetlusi maksumaksja andmete süstemaatiliseks läbivaatamiseks ja parandamiseks.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_Toc95816224 \h </w:instrText>
        </w:r>
        <w:r w:rsidR="006628FB" w:rsidRPr="009306D5">
          <w:rPr>
            <w:noProof/>
            <w:webHidden/>
          </w:rPr>
        </w:r>
        <w:r w:rsidR="006628FB" w:rsidRPr="009306D5">
          <w:rPr>
            <w:noProof/>
            <w:webHidden/>
          </w:rPr>
          <w:fldChar w:fldCharType="separate"/>
        </w:r>
        <w:r w:rsidR="006628FB" w:rsidRPr="009306D5">
          <w:rPr>
            <w:noProof/>
            <w:webHidden/>
          </w:rPr>
          <w:t>51</w:t>
        </w:r>
        <w:r w:rsidR="006628FB" w:rsidRPr="009306D5">
          <w:rPr>
            <w:noProof/>
            <w:webHidden/>
          </w:rPr>
          <w:fldChar w:fldCharType="end"/>
        </w:r>
      </w:hyperlink>
    </w:p>
    <w:p w14:paraId="732D0078" w14:textId="02E33392"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25" w:history="1">
        <w:r w:rsidR="006628FB" w:rsidRPr="009306D5">
          <w:rPr>
            <w:rStyle w:val="Hyperlink"/>
            <w:noProof/>
          </w:rPr>
          <w:t>Soovitus 37. Kehtestada arvestussüsteemi jaoks asjakohane siseauditi protsess, et tagada kooskõla maksualaste õigusaktide ja maksuarvestusstandarditega.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_Toc95816225 \h </w:instrText>
        </w:r>
        <w:r w:rsidR="006628FB" w:rsidRPr="009306D5">
          <w:rPr>
            <w:noProof/>
            <w:webHidden/>
          </w:rPr>
        </w:r>
        <w:r w:rsidR="006628FB" w:rsidRPr="009306D5">
          <w:rPr>
            <w:noProof/>
            <w:webHidden/>
          </w:rPr>
          <w:fldChar w:fldCharType="separate"/>
        </w:r>
        <w:r w:rsidR="006628FB" w:rsidRPr="009306D5">
          <w:rPr>
            <w:noProof/>
            <w:webHidden/>
          </w:rPr>
          <w:t>51</w:t>
        </w:r>
        <w:r w:rsidR="006628FB" w:rsidRPr="009306D5">
          <w:rPr>
            <w:noProof/>
            <w:webHidden/>
          </w:rPr>
          <w:fldChar w:fldCharType="end"/>
        </w:r>
      </w:hyperlink>
    </w:p>
    <w:p w14:paraId="2077EF0F" w14:textId="30E7A934"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26" w:history="1">
        <w:r w:rsidR="006628FB" w:rsidRPr="009306D5">
          <w:rPr>
            <w:rStyle w:val="Hyperlink"/>
            <w:noProof/>
          </w:rPr>
          <w:t>Soovitus 38. Jälgida vaidluste lahendamise protsessi ning teha järeldusi, millest oleks abi üldiste uurimismeetodite parandamisel ja maksuotsuste tegemise menetluste täiendamisel.</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_Toc95816226 \h </w:instrText>
        </w:r>
        <w:r w:rsidR="006628FB" w:rsidRPr="009306D5">
          <w:rPr>
            <w:noProof/>
            <w:webHidden/>
          </w:rPr>
        </w:r>
        <w:r w:rsidR="006628FB" w:rsidRPr="009306D5">
          <w:rPr>
            <w:noProof/>
            <w:webHidden/>
          </w:rPr>
          <w:fldChar w:fldCharType="separate"/>
        </w:r>
        <w:r w:rsidR="006628FB" w:rsidRPr="009306D5">
          <w:rPr>
            <w:noProof/>
            <w:webHidden/>
          </w:rPr>
          <w:t>53</w:t>
        </w:r>
        <w:r w:rsidR="006628FB" w:rsidRPr="009306D5">
          <w:rPr>
            <w:noProof/>
            <w:webHidden/>
          </w:rPr>
          <w:fldChar w:fldCharType="end"/>
        </w:r>
      </w:hyperlink>
    </w:p>
    <w:p w14:paraId="341AE8D8" w14:textId="20C20AF6"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27" w:history="1">
        <w:r w:rsidR="006628FB" w:rsidRPr="009306D5">
          <w:rPr>
            <w:rStyle w:val="Hyperlink"/>
            <w:noProof/>
          </w:rPr>
          <w:t>Soovitus 39. Vaadata läbi talitluspidevuse kavad, neid ajakohastada ja neid korrapäraselt testida reaalaja sündmustel põhinevate stsenaariumide alusel.</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_Toc95816227 \h </w:instrText>
        </w:r>
        <w:r w:rsidR="006628FB" w:rsidRPr="009306D5">
          <w:rPr>
            <w:noProof/>
            <w:webHidden/>
          </w:rPr>
        </w:r>
        <w:r w:rsidR="006628FB" w:rsidRPr="009306D5">
          <w:rPr>
            <w:noProof/>
            <w:webHidden/>
          </w:rPr>
          <w:fldChar w:fldCharType="separate"/>
        </w:r>
        <w:r w:rsidR="006628FB" w:rsidRPr="009306D5">
          <w:rPr>
            <w:noProof/>
            <w:webHidden/>
          </w:rPr>
          <w:t>54</w:t>
        </w:r>
        <w:r w:rsidR="006628FB" w:rsidRPr="009306D5">
          <w:rPr>
            <w:noProof/>
            <w:webHidden/>
          </w:rPr>
          <w:fldChar w:fldCharType="end"/>
        </w:r>
      </w:hyperlink>
    </w:p>
    <w:p w14:paraId="50BC8B9C" w14:textId="51D93FDD" w:rsidR="005B15B7" w:rsidRPr="009306D5" w:rsidRDefault="005B15B7" w:rsidP="005B15B7">
      <w:pPr>
        <w:rPr>
          <w:rFonts w:cs="Times New Roman"/>
          <w:noProof/>
          <w:sz w:val="20"/>
        </w:rPr>
      </w:pPr>
      <w:r w:rsidRPr="009306D5">
        <w:rPr>
          <w:rFonts w:cs="Times New Roman"/>
          <w:noProof/>
          <w:sz w:val="20"/>
        </w:rPr>
        <w:fldChar w:fldCharType="end"/>
      </w:r>
    </w:p>
    <w:p w14:paraId="6C44BE87" w14:textId="77777777" w:rsidR="005B15B7" w:rsidRPr="009306D5" w:rsidRDefault="005B15B7" w:rsidP="005B15B7">
      <w:pPr>
        <w:rPr>
          <w:rFonts w:cs="Times New Roman"/>
          <w:noProof/>
        </w:rPr>
      </w:pPr>
      <w:r w:rsidRPr="009306D5">
        <w:rPr>
          <w:noProof/>
        </w:rPr>
        <w:br w:type="page"/>
      </w:r>
    </w:p>
    <w:p w14:paraId="244E3F99" w14:textId="5A4E0C79" w:rsidR="005B15B7" w:rsidRPr="009306D5" w:rsidRDefault="005B15B7" w:rsidP="005B15B7">
      <w:pPr>
        <w:pStyle w:val="Heading1"/>
        <w:rPr>
          <w:noProof/>
        </w:rPr>
      </w:pPr>
      <w:bookmarkStart w:id="2099" w:name="_Toc82790304"/>
      <w:bookmarkStart w:id="2100" w:name="_Toc82792873"/>
      <w:bookmarkStart w:id="2101" w:name="_Toc90291268"/>
      <w:bookmarkStart w:id="2102" w:name="_Toc95812982"/>
      <w:bookmarkStart w:id="2103" w:name="_Toc529548538"/>
      <w:bookmarkStart w:id="2104" w:name="_Toc529548609"/>
      <w:r w:rsidRPr="009306D5">
        <w:rPr>
          <w:noProof/>
        </w:rPr>
        <w:t>Lisa 2.</w:t>
      </w:r>
      <w:r w:rsidRPr="009306D5">
        <w:rPr>
          <w:noProof/>
          <w:color w:val="000000"/>
        </w:rPr>
        <w:t xml:space="preserve"> </w:t>
      </w:r>
      <w:r w:rsidRPr="009306D5">
        <w:rPr>
          <w:noProof/>
        </w:rPr>
        <w:t>Jooniste ja tabelite register</w:t>
      </w:r>
      <w:bookmarkEnd w:id="2099"/>
      <w:bookmarkEnd w:id="2100"/>
      <w:bookmarkEnd w:id="2101"/>
      <w:bookmarkEnd w:id="2102"/>
      <w:r w:rsidRPr="009306D5">
        <w:rPr>
          <w:noProof/>
        </w:rPr>
        <w:t xml:space="preserve"> </w:t>
      </w:r>
    </w:p>
    <w:p w14:paraId="7F415A7D" w14:textId="649D3BD7" w:rsidR="00955890" w:rsidRPr="009306D5" w:rsidRDefault="00955890" w:rsidP="00955890">
      <w:pPr>
        <w:pStyle w:val="Text1"/>
        <w:ind w:left="0"/>
        <w:rPr>
          <w:b/>
          <w:i/>
          <w:noProof/>
          <w:sz w:val="20"/>
        </w:rPr>
      </w:pPr>
      <w:r w:rsidRPr="009306D5">
        <w:rPr>
          <w:b/>
          <w:i/>
          <w:noProof/>
          <w:sz w:val="20"/>
        </w:rPr>
        <w:t>Jooniste register</w:t>
      </w:r>
    </w:p>
    <w:bookmarkEnd w:id="2103"/>
    <w:bookmarkEnd w:id="2104"/>
    <w:p w14:paraId="06685D62" w14:textId="6574DD60" w:rsidR="006628FB" w:rsidRPr="009306D5" w:rsidRDefault="005B15B7">
      <w:pPr>
        <w:pStyle w:val="TableofFigures"/>
        <w:tabs>
          <w:tab w:val="right" w:leader="dot" w:pos="9061"/>
        </w:tabs>
        <w:rPr>
          <w:rFonts w:asciiTheme="minorHAnsi" w:eastAsiaTheme="minorEastAsia" w:hAnsiTheme="minorHAnsi" w:cstheme="minorBidi"/>
          <w:noProof/>
          <w:sz w:val="22"/>
          <w:szCs w:val="22"/>
        </w:rPr>
      </w:pPr>
      <w:r w:rsidRPr="009306D5">
        <w:rPr>
          <w:noProof/>
        </w:rPr>
        <w:fldChar w:fldCharType="begin"/>
      </w:r>
      <w:r w:rsidRPr="009306D5">
        <w:rPr>
          <w:noProof/>
        </w:rPr>
        <w:instrText xml:space="preserve"> TOC \h \z \c "Figure" </w:instrText>
      </w:r>
      <w:r w:rsidRPr="009306D5">
        <w:rPr>
          <w:noProof/>
        </w:rPr>
        <w:fldChar w:fldCharType="separate"/>
      </w:r>
      <w:hyperlink w:anchor="_Toc95816228" w:history="1">
        <w:r w:rsidR="006628FB" w:rsidRPr="009306D5">
          <w:rPr>
            <w:rStyle w:val="Hyperlink"/>
            <w:noProof/>
          </w:rPr>
          <w:t>Joonis 1. ELi käibemaksulõhe areng</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_Toc95816228 \h </w:instrText>
        </w:r>
        <w:r w:rsidR="006628FB" w:rsidRPr="009306D5">
          <w:rPr>
            <w:noProof/>
            <w:webHidden/>
          </w:rPr>
        </w:r>
        <w:r w:rsidR="006628FB" w:rsidRPr="009306D5">
          <w:rPr>
            <w:noProof/>
            <w:webHidden/>
          </w:rPr>
          <w:fldChar w:fldCharType="separate"/>
        </w:r>
        <w:r w:rsidR="006628FB" w:rsidRPr="009306D5">
          <w:rPr>
            <w:noProof/>
            <w:webHidden/>
          </w:rPr>
          <w:t>9</w:t>
        </w:r>
        <w:r w:rsidR="006628FB" w:rsidRPr="009306D5">
          <w:rPr>
            <w:noProof/>
            <w:webHidden/>
          </w:rPr>
          <w:fldChar w:fldCharType="end"/>
        </w:r>
      </w:hyperlink>
    </w:p>
    <w:p w14:paraId="6CD324F5" w14:textId="447E3FBB"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29" w:history="1">
        <w:r w:rsidR="006628FB" w:rsidRPr="009306D5">
          <w:rPr>
            <w:rStyle w:val="Hyperlink"/>
            <w:noProof/>
          </w:rPr>
          <w:t>Joonis 2. Käibemaksulõhe osakaaluna käibemaksu teoreetilisest kogukohustusest 2018. ja 2019. aastal, %</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_Toc95816229 \h </w:instrText>
        </w:r>
        <w:r w:rsidR="006628FB" w:rsidRPr="009306D5">
          <w:rPr>
            <w:noProof/>
            <w:webHidden/>
          </w:rPr>
        </w:r>
        <w:r w:rsidR="006628FB" w:rsidRPr="009306D5">
          <w:rPr>
            <w:noProof/>
            <w:webHidden/>
          </w:rPr>
          <w:fldChar w:fldCharType="separate"/>
        </w:r>
        <w:r w:rsidR="006628FB" w:rsidRPr="009306D5">
          <w:rPr>
            <w:noProof/>
            <w:webHidden/>
          </w:rPr>
          <w:t>10</w:t>
        </w:r>
        <w:r w:rsidR="006628FB" w:rsidRPr="009306D5">
          <w:rPr>
            <w:noProof/>
            <w:webHidden/>
          </w:rPr>
          <w:fldChar w:fldCharType="end"/>
        </w:r>
      </w:hyperlink>
    </w:p>
    <w:p w14:paraId="7B3DB938" w14:textId="0F1BEF65"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0" w:history="1">
        <w:r w:rsidR="006628FB" w:rsidRPr="009306D5">
          <w:rPr>
            <w:rStyle w:val="Hyperlink"/>
            <w:noProof/>
          </w:rPr>
          <w:t>Joonis 3. Käibemaksulõhe hinnangute tajutav kasulikkus seoses liikmesriikide maksuhaldurite tööga maksukuulekuse valdkonnas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_Toc95816230 \h </w:instrText>
        </w:r>
        <w:r w:rsidR="006628FB" w:rsidRPr="009306D5">
          <w:rPr>
            <w:noProof/>
            <w:webHidden/>
          </w:rPr>
        </w:r>
        <w:r w:rsidR="006628FB" w:rsidRPr="009306D5">
          <w:rPr>
            <w:noProof/>
            <w:webHidden/>
          </w:rPr>
          <w:fldChar w:fldCharType="separate"/>
        </w:r>
        <w:r w:rsidR="006628FB" w:rsidRPr="009306D5">
          <w:rPr>
            <w:noProof/>
            <w:webHidden/>
          </w:rPr>
          <w:t>12</w:t>
        </w:r>
        <w:r w:rsidR="006628FB" w:rsidRPr="009306D5">
          <w:rPr>
            <w:noProof/>
            <w:webHidden/>
          </w:rPr>
          <w:fldChar w:fldCharType="end"/>
        </w:r>
      </w:hyperlink>
    </w:p>
    <w:p w14:paraId="09F7A10B" w14:textId="431B3EA7"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1" w:history="1">
        <w:r w:rsidR="006628FB" w:rsidRPr="009306D5">
          <w:rPr>
            <w:rStyle w:val="Hyperlink"/>
            <w:noProof/>
          </w:rPr>
          <w:t>Joonis 4. Käibemaksulõhe keskmine väärtus ELis aruandeperioodil</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_Toc95816231 \h </w:instrText>
        </w:r>
        <w:r w:rsidR="006628FB" w:rsidRPr="009306D5">
          <w:rPr>
            <w:noProof/>
            <w:webHidden/>
          </w:rPr>
        </w:r>
        <w:r w:rsidR="006628FB" w:rsidRPr="009306D5">
          <w:rPr>
            <w:noProof/>
            <w:webHidden/>
          </w:rPr>
          <w:fldChar w:fldCharType="separate"/>
        </w:r>
        <w:r w:rsidR="006628FB" w:rsidRPr="009306D5">
          <w:rPr>
            <w:noProof/>
            <w:webHidden/>
          </w:rPr>
          <w:t>13</w:t>
        </w:r>
        <w:r w:rsidR="006628FB" w:rsidRPr="009306D5">
          <w:rPr>
            <w:noProof/>
            <w:webHidden/>
          </w:rPr>
          <w:fldChar w:fldCharType="end"/>
        </w:r>
      </w:hyperlink>
    </w:p>
    <w:p w14:paraId="7BE9D4AC" w14:textId="5C23D1F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2" w:history="1">
        <w:r w:rsidR="006628FB" w:rsidRPr="009306D5">
          <w:rPr>
            <w:rStyle w:val="Hyperlink"/>
            <w:noProof/>
          </w:rPr>
          <w:t xml:space="preserve">Joonis 5. </w:t>
        </w:r>
        <w:r w:rsidR="006628FB" w:rsidRPr="009306D5">
          <w:rPr>
            <w:rStyle w:val="Hyperlink"/>
            <w:i/>
            <w:iCs/>
            <w:noProof/>
          </w:rPr>
          <w:t>Veebipõhine teave käibemaksukohustuslasena registreerimise kohustuste kohta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_Toc95816232 \h </w:instrText>
        </w:r>
        <w:r w:rsidR="006628FB" w:rsidRPr="009306D5">
          <w:rPr>
            <w:noProof/>
            <w:webHidden/>
          </w:rPr>
        </w:r>
        <w:r w:rsidR="006628FB" w:rsidRPr="009306D5">
          <w:rPr>
            <w:noProof/>
            <w:webHidden/>
          </w:rPr>
          <w:fldChar w:fldCharType="separate"/>
        </w:r>
        <w:r w:rsidR="006628FB" w:rsidRPr="009306D5">
          <w:rPr>
            <w:noProof/>
            <w:webHidden/>
          </w:rPr>
          <w:t>14</w:t>
        </w:r>
        <w:r w:rsidR="006628FB" w:rsidRPr="009306D5">
          <w:rPr>
            <w:noProof/>
            <w:webHidden/>
          </w:rPr>
          <w:fldChar w:fldCharType="end"/>
        </w:r>
      </w:hyperlink>
    </w:p>
    <w:p w14:paraId="5490B4BB" w14:textId="373CAFC7"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3" w:history="1">
        <w:r w:rsidR="006628FB" w:rsidRPr="009306D5">
          <w:rPr>
            <w:rStyle w:val="Hyperlink"/>
            <w:noProof/>
          </w:rPr>
          <w:t>Joonis 6. Veebipõhise registreerimise võimaluse kättesaadavus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_Toc95816233 \h </w:instrText>
        </w:r>
        <w:r w:rsidR="006628FB" w:rsidRPr="009306D5">
          <w:rPr>
            <w:noProof/>
            <w:webHidden/>
          </w:rPr>
        </w:r>
        <w:r w:rsidR="006628FB" w:rsidRPr="009306D5">
          <w:rPr>
            <w:noProof/>
            <w:webHidden/>
          </w:rPr>
          <w:fldChar w:fldCharType="separate"/>
        </w:r>
        <w:r w:rsidR="006628FB" w:rsidRPr="009306D5">
          <w:rPr>
            <w:noProof/>
            <w:webHidden/>
          </w:rPr>
          <w:t>14</w:t>
        </w:r>
        <w:r w:rsidR="006628FB" w:rsidRPr="009306D5">
          <w:rPr>
            <w:noProof/>
            <w:webHidden/>
          </w:rPr>
          <w:fldChar w:fldCharType="end"/>
        </w:r>
      </w:hyperlink>
    </w:p>
    <w:p w14:paraId="4E7259A7" w14:textId="760D148D"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4" w:history="1">
        <w:r w:rsidR="006628FB" w:rsidRPr="009306D5">
          <w:rPr>
            <w:rStyle w:val="Hyperlink"/>
            <w:noProof/>
          </w:rPr>
          <w:t>Joonis 7. Automaatne teabevahetus maksuhaldurite ja liikmesriikide muude registreerimise eest vastutavate asutuste vahel</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_Toc95816234 \h </w:instrText>
        </w:r>
        <w:r w:rsidR="006628FB" w:rsidRPr="009306D5">
          <w:rPr>
            <w:noProof/>
            <w:webHidden/>
          </w:rPr>
        </w:r>
        <w:r w:rsidR="006628FB" w:rsidRPr="009306D5">
          <w:rPr>
            <w:noProof/>
            <w:webHidden/>
          </w:rPr>
          <w:fldChar w:fldCharType="separate"/>
        </w:r>
        <w:r w:rsidR="006628FB" w:rsidRPr="009306D5">
          <w:rPr>
            <w:noProof/>
            <w:webHidden/>
          </w:rPr>
          <w:t>15</w:t>
        </w:r>
        <w:r w:rsidR="006628FB" w:rsidRPr="009306D5">
          <w:rPr>
            <w:noProof/>
            <w:webHidden/>
          </w:rPr>
          <w:fldChar w:fldCharType="end"/>
        </w:r>
      </w:hyperlink>
    </w:p>
    <w:p w14:paraId="13E62ED7" w14:textId="4147D5EE"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5" w:history="1">
        <w:r w:rsidR="006628FB" w:rsidRPr="009306D5">
          <w:rPr>
            <w:rStyle w:val="Hyperlink"/>
            <w:noProof/>
          </w:rPr>
          <w:t>Joonis 8. Nõutav teave uue käibemaksukohustuslasena registreerimiseks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_Toc95816235 \h </w:instrText>
        </w:r>
        <w:r w:rsidR="006628FB" w:rsidRPr="009306D5">
          <w:rPr>
            <w:noProof/>
            <w:webHidden/>
          </w:rPr>
        </w:r>
        <w:r w:rsidR="006628FB" w:rsidRPr="009306D5">
          <w:rPr>
            <w:noProof/>
            <w:webHidden/>
          </w:rPr>
          <w:fldChar w:fldCharType="separate"/>
        </w:r>
        <w:r w:rsidR="006628FB" w:rsidRPr="009306D5">
          <w:rPr>
            <w:noProof/>
            <w:webHidden/>
          </w:rPr>
          <w:t>16</w:t>
        </w:r>
        <w:r w:rsidR="006628FB" w:rsidRPr="009306D5">
          <w:rPr>
            <w:noProof/>
            <w:webHidden/>
          </w:rPr>
          <w:fldChar w:fldCharType="end"/>
        </w:r>
      </w:hyperlink>
    </w:p>
    <w:p w14:paraId="009FB96A" w14:textId="5E624C2A"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6" w:history="1">
        <w:r w:rsidR="006628FB" w:rsidRPr="009306D5">
          <w:rPr>
            <w:rStyle w:val="Hyperlink"/>
            <w:noProof/>
          </w:rPr>
          <w:t>Joonis 9. Käibemaksukohustuslasena registreerimise kontroll ja eelkontroll</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_Toc95816236 \h </w:instrText>
        </w:r>
        <w:r w:rsidR="006628FB" w:rsidRPr="009306D5">
          <w:rPr>
            <w:noProof/>
            <w:webHidden/>
          </w:rPr>
        </w:r>
        <w:r w:rsidR="006628FB" w:rsidRPr="009306D5">
          <w:rPr>
            <w:noProof/>
            <w:webHidden/>
          </w:rPr>
          <w:fldChar w:fldCharType="separate"/>
        </w:r>
        <w:r w:rsidR="006628FB" w:rsidRPr="009306D5">
          <w:rPr>
            <w:noProof/>
            <w:webHidden/>
          </w:rPr>
          <w:t>17</w:t>
        </w:r>
        <w:r w:rsidR="006628FB" w:rsidRPr="009306D5">
          <w:rPr>
            <w:noProof/>
            <w:webHidden/>
          </w:rPr>
          <w:fldChar w:fldCharType="end"/>
        </w:r>
      </w:hyperlink>
    </w:p>
    <w:p w14:paraId="0A98B9AE" w14:textId="3BEFFC12"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7" w:history="1">
        <w:r w:rsidR="006628FB" w:rsidRPr="009306D5">
          <w:rPr>
            <w:rStyle w:val="Hyperlink"/>
            <w:noProof/>
          </w:rPr>
          <w:t>Joonis 10. Tagasilükatud registreerimistaotluste kohta andmete säilitamine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_Toc95816237 \h </w:instrText>
        </w:r>
        <w:r w:rsidR="006628FB" w:rsidRPr="009306D5">
          <w:rPr>
            <w:noProof/>
            <w:webHidden/>
          </w:rPr>
        </w:r>
        <w:r w:rsidR="006628FB" w:rsidRPr="009306D5">
          <w:rPr>
            <w:noProof/>
            <w:webHidden/>
          </w:rPr>
          <w:fldChar w:fldCharType="separate"/>
        </w:r>
        <w:r w:rsidR="006628FB" w:rsidRPr="009306D5">
          <w:rPr>
            <w:noProof/>
            <w:webHidden/>
          </w:rPr>
          <w:t>18</w:t>
        </w:r>
        <w:r w:rsidR="006628FB" w:rsidRPr="009306D5">
          <w:rPr>
            <w:noProof/>
            <w:webHidden/>
          </w:rPr>
          <w:fldChar w:fldCharType="end"/>
        </w:r>
      </w:hyperlink>
    </w:p>
    <w:p w14:paraId="2017F519" w14:textId="1D84D94C"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8" w:history="1">
        <w:r w:rsidR="006628FB" w:rsidRPr="009306D5">
          <w:rPr>
            <w:rStyle w:val="Hyperlink"/>
            <w:noProof/>
          </w:rPr>
          <w:t>Joonis 11. Käibemaksukohustuslasena registreerimise andmete võrdlemine kolmandate isikute teabeallikatega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_Toc95816238 \h </w:instrText>
        </w:r>
        <w:r w:rsidR="006628FB" w:rsidRPr="009306D5">
          <w:rPr>
            <w:noProof/>
            <w:webHidden/>
          </w:rPr>
        </w:r>
        <w:r w:rsidR="006628FB" w:rsidRPr="009306D5">
          <w:rPr>
            <w:noProof/>
            <w:webHidden/>
          </w:rPr>
          <w:fldChar w:fldCharType="separate"/>
        </w:r>
        <w:r w:rsidR="006628FB" w:rsidRPr="009306D5">
          <w:rPr>
            <w:noProof/>
            <w:webHidden/>
          </w:rPr>
          <w:t>18</w:t>
        </w:r>
        <w:r w:rsidR="006628FB" w:rsidRPr="009306D5">
          <w:rPr>
            <w:noProof/>
            <w:webHidden/>
          </w:rPr>
          <w:fldChar w:fldCharType="end"/>
        </w:r>
      </w:hyperlink>
    </w:p>
    <w:p w14:paraId="5222777E" w14:textId="121B1BC1"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39" w:history="1">
        <w:r w:rsidR="006628FB" w:rsidRPr="009306D5">
          <w:rPr>
            <w:rStyle w:val="Hyperlink"/>
            <w:noProof/>
          </w:rPr>
          <w:t>Joonis 12. Menetlused selliste maksumaksjate tuvastamiseks, kes ei ole end registreerinud, ja märkimisväärse arvu registreerimata ettevõtjatega majandussektorite tuvastamiseks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_Toc95816239 \h </w:instrText>
        </w:r>
        <w:r w:rsidR="006628FB" w:rsidRPr="009306D5">
          <w:rPr>
            <w:noProof/>
            <w:webHidden/>
          </w:rPr>
        </w:r>
        <w:r w:rsidR="006628FB" w:rsidRPr="009306D5">
          <w:rPr>
            <w:noProof/>
            <w:webHidden/>
          </w:rPr>
          <w:fldChar w:fldCharType="separate"/>
        </w:r>
        <w:r w:rsidR="006628FB" w:rsidRPr="009306D5">
          <w:rPr>
            <w:noProof/>
            <w:webHidden/>
          </w:rPr>
          <w:t>19</w:t>
        </w:r>
        <w:r w:rsidR="006628FB" w:rsidRPr="009306D5">
          <w:rPr>
            <w:noProof/>
            <w:webHidden/>
          </w:rPr>
          <w:fldChar w:fldCharType="end"/>
        </w:r>
      </w:hyperlink>
    </w:p>
    <w:p w14:paraId="0F4EEFD6" w14:textId="7EE2FBBE"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0" w:history="1">
        <w:r w:rsidR="006628FB" w:rsidRPr="009306D5">
          <w:rPr>
            <w:rStyle w:val="Hyperlink"/>
            <w:noProof/>
          </w:rPr>
          <w:t>Joonis 13. Menetlused selliste maksumaksjate tuvastamiseks, kes ei ole end registreerinud, ja märkimisväärse arvu registreerimata ettevõtjatega majandussektorite tuvastamiseks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_Toc95816240 \h </w:instrText>
        </w:r>
        <w:r w:rsidR="006628FB" w:rsidRPr="009306D5">
          <w:rPr>
            <w:noProof/>
            <w:webHidden/>
          </w:rPr>
        </w:r>
        <w:r w:rsidR="006628FB" w:rsidRPr="009306D5">
          <w:rPr>
            <w:noProof/>
            <w:webHidden/>
          </w:rPr>
          <w:fldChar w:fldCharType="separate"/>
        </w:r>
        <w:r w:rsidR="006628FB" w:rsidRPr="009306D5">
          <w:rPr>
            <w:noProof/>
            <w:webHidden/>
          </w:rPr>
          <w:t>19</w:t>
        </w:r>
        <w:r w:rsidR="006628FB" w:rsidRPr="009306D5">
          <w:rPr>
            <w:noProof/>
            <w:webHidden/>
          </w:rPr>
          <w:fldChar w:fldCharType="end"/>
        </w:r>
      </w:hyperlink>
    </w:p>
    <w:p w14:paraId="62539272" w14:textId="4AA36CA8"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1" w:history="1">
        <w:r w:rsidR="006628FB" w:rsidRPr="009306D5">
          <w:rPr>
            <w:rStyle w:val="Hyperlink"/>
            <w:noProof/>
          </w:rPr>
          <w:t>Joonis 14. Aeg (päevades), mis kulub käibemaksukohustuslasena registreerimise numbri ja VIESi registreerimisnumbri saamiseks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_Toc95816241 \h </w:instrText>
        </w:r>
        <w:r w:rsidR="006628FB" w:rsidRPr="009306D5">
          <w:rPr>
            <w:noProof/>
            <w:webHidden/>
          </w:rPr>
        </w:r>
        <w:r w:rsidR="006628FB" w:rsidRPr="009306D5">
          <w:rPr>
            <w:noProof/>
            <w:webHidden/>
          </w:rPr>
          <w:fldChar w:fldCharType="separate"/>
        </w:r>
        <w:r w:rsidR="006628FB" w:rsidRPr="009306D5">
          <w:rPr>
            <w:noProof/>
            <w:webHidden/>
          </w:rPr>
          <w:t>20</w:t>
        </w:r>
        <w:r w:rsidR="006628FB" w:rsidRPr="009306D5">
          <w:rPr>
            <w:noProof/>
            <w:webHidden/>
          </w:rPr>
          <w:fldChar w:fldCharType="end"/>
        </w:r>
      </w:hyperlink>
    </w:p>
    <w:p w14:paraId="3B2617F9" w14:textId="17BDEA4F"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2" w:history="1">
        <w:r w:rsidR="006628FB" w:rsidRPr="009306D5">
          <w:rPr>
            <w:rStyle w:val="Hyperlink"/>
            <w:noProof/>
          </w:rPr>
          <w:t>Joonis 15. VIESi registreerimisnumbrite järelkontroll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_Toc95816242 \h </w:instrText>
        </w:r>
        <w:r w:rsidR="006628FB" w:rsidRPr="009306D5">
          <w:rPr>
            <w:noProof/>
            <w:webHidden/>
          </w:rPr>
        </w:r>
        <w:r w:rsidR="006628FB" w:rsidRPr="009306D5">
          <w:rPr>
            <w:noProof/>
            <w:webHidden/>
          </w:rPr>
          <w:fldChar w:fldCharType="separate"/>
        </w:r>
        <w:r w:rsidR="006628FB" w:rsidRPr="009306D5">
          <w:rPr>
            <w:noProof/>
            <w:webHidden/>
          </w:rPr>
          <w:t>21</w:t>
        </w:r>
        <w:r w:rsidR="006628FB" w:rsidRPr="009306D5">
          <w:rPr>
            <w:noProof/>
            <w:webHidden/>
          </w:rPr>
          <w:fldChar w:fldCharType="end"/>
        </w:r>
      </w:hyperlink>
    </w:p>
    <w:p w14:paraId="3F728F43" w14:textId="282C6847"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3" w:history="1">
        <w:r w:rsidR="006628FB" w:rsidRPr="009306D5">
          <w:rPr>
            <w:rStyle w:val="Hyperlink"/>
            <w:noProof/>
          </w:rPr>
          <w:t>Joonis 16. Registreerimise IT-allsüsteemi põhikomponentide analüüs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_Toc95816243 \h </w:instrText>
        </w:r>
        <w:r w:rsidR="006628FB" w:rsidRPr="009306D5">
          <w:rPr>
            <w:noProof/>
            <w:webHidden/>
          </w:rPr>
        </w:r>
        <w:r w:rsidR="006628FB" w:rsidRPr="009306D5">
          <w:rPr>
            <w:noProof/>
            <w:webHidden/>
          </w:rPr>
          <w:fldChar w:fldCharType="separate"/>
        </w:r>
        <w:r w:rsidR="006628FB" w:rsidRPr="009306D5">
          <w:rPr>
            <w:noProof/>
            <w:webHidden/>
          </w:rPr>
          <w:t>22</w:t>
        </w:r>
        <w:r w:rsidR="006628FB" w:rsidRPr="009306D5">
          <w:rPr>
            <w:noProof/>
            <w:webHidden/>
          </w:rPr>
          <w:fldChar w:fldCharType="end"/>
        </w:r>
      </w:hyperlink>
    </w:p>
    <w:p w14:paraId="28EED515" w14:textId="49B2380F"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4" w:history="1">
        <w:r w:rsidR="006628FB" w:rsidRPr="009306D5">
          <w:rPr>
            <w:rStyle w:val="Hyperlink"/>
            <w:noProof/>
          </w:rPr>
          <w:t>Joonis 17. Liikmesriigid, kes peavad arvet internetis kaupu või teenuseid müüvate käibemaksukohustuslasena registreeritud maksumaksjate üle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_Toc95816244 \h </w:instrText>
        </w:r>
        <w:r w:rsidR="006628FB" w:rsidRPr="009306D5">
          <w:rPr>
            <w:noProof/>
            <w:webHidden/>
          </w:rPr>
        </w:r>
        <w:r w:rsidR="006628FB" w:rsidRPr="009306D5">
          <w:rPr>
            <w:noProof/>
            <w:webHidden/>
          </w:rPr>
          <w:fldChar w:fldCharType="separate"/>
        </w:r>
        <w:r w:rsidR="006628FB" w:rsidRPr="009306D5">
          <w:rPr>
            <w:noProof/>
            <w:webHidden/>
          </w:rPr>
          <w:t>23</w:t>
        </w:r>
        <w:r w:rsidR="006628FB" w:rsidRPr="009306D5">
          <w:rPr>
            <w:noProof/>
            <w:webHidden/>
          </w:rPr>
          <w:fldChar w:fldCharType="end"/>
        </w:r>
      </w:hyperlink>
    </w:p>
    <w:p w14:paraId="6D715500" w14:textId="760A3066"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5" w:history="1">
        <w:r w:rsidR="006628FB" w:rsidRPr="009306D5">
          <w:rPr>
            <w:rStyle w:val="Hyperlink"/>
            <w:noProof/>
          </w:rPr>
          <w:t>Joonis 18. Väikeste ühe akna süsteemide (MOSSide) koguarvud 2019. aastal ELi liikmesriikides (hõlmab nii liidu kui ka liiduvälist korda)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_Toc95816245 \h </w:instrText>
        </w:r>
        <w:r w:rsidR="006628FB" w:rsidRPr="009306D5">
          <w:rPr>
            <w:noProof/>
            <w:webHidden/>
          </w:rPr>
        </w:r>
        <w:r w:rsidR="006628FB" w:rsidRPr="009306D5">
          <w:rPr>
            <w:noProof/>
            <w:webHidden/>
          </w:rPr>
          <w:fldChar w:fldCharType="separate"/>
        </w:r>
        <w:r w:rsidR="006628FB" w:rsidRPr="009306D5">
          <w:rPr>
            <w:noProof/>
            <w:webHidden/>
          </w:rPr>
          <w:t>24</w:t>
        </w:r>
        <w:r w:rsidR="006628FB" w:rsidRPr="009306D5">
          <w:rPr>
            <w:noProof/>
            <w:webHidden/>
          </w:rPr>
          <w:fldChar w:fldCharType="end"/>
        </w:r>
      </w:hyperlink>
    </w:p>
    <w:p w14:paraId="2FD6E10E" w14:textId="44194949"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6" w:history="1">
        <w:r w:rsidR="006628FB" w:rsidRPr="009306D5">
          <w:rPr>
            <w:rStyle w:val="Hyperlink"/>
            <w:noProof/>
          </w:rPr>
          <w:t>Joonis 19. MOSS – käibemaksukohustuslasena registreerimise kontroll</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_Toc95816246 \h </w:instrText>
        </w:r>
        <w:r w:rsidR="006628FB" w:rsidRPr="009306D5">
          <w:rPr>
            <w:noProof/>
            <w:webHidden/>
          </w:rPr>
        </w:r>
        <w:r w:rsidR="006628FB" w:rsidRPr="009306D5">
          <w:rPr>
            <w:noProof/>
            <w:webHidden/>
          </w:rPr>
          <w:fldChar w:fldCharType="separate"/>
        </w:r>
        <w:r w:rsidR="006628FB" w:rsidRPr="009306D5">
          <w:rPr>
            <w:noProof/>
            <w:webHidden/>
          </w:rPr>
          <w:t>25</w:t>
        </w:r>
        <w:r w:rsidR="006628FB" w:rsidRPr="009306D5">
          <w:rPr>
            <w:noProof/>
            <w:webHidden/>
          </w:rPr>
          <w:fldChar w:fldCharType="end"/>
        </w:r>
      </w:hyperlink>
    </w:p>
    <w:p w14:paraId="618499E5" w14:textId="7DEB1097"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7" w:history="1">
        <w:r w:rsidR="006628FB" w:rsidRPr="009306D5">
          <w:rPr>
            <w:rStyle w:val="Hyperlink"/>
            <w:noProof/>
          </w:rPr>
          <w:t>Joonis 20. MOSS – spetsiaalsed teabekanalid</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_Toc95816247 \h </w:instrText>
        </w:r>
        <w:r w:rsidR="006628FB" w:rsidRPr="009306D5">
          <w:rPr>
            <w:noProof/>
            <w:webHidden/>
          </w:rPr>
        </w:r>
        <w:r w:rsidR="006628FB" w:rsidRPr="009306D5">
          <w:rPr>
            <w:noProof/>
            <w:webHidden/>
          </w:rPr>
          <w:fldChar w:fldCharType="separate"/>
        </w:r>
        <w:r w:rsidR="006628FB" w:rsidRPr="009306D5">
          <w:rPr>
            <w:noProof/>
            <w:webHidden/>
          </w:rPr>
          <w:t>25</w:t>
        </w:r>
        <w:r w:rsidR="006628FB" w:rsidRPr="009306D5">
          <w:rPr>
            <w:noProof/>
            <w:webHidden/>
          </w:rPr>
          <w:fldChar w:fldCharType="end"/>
        </w:r>
      </w:hyperlink>
    </w:p>
    <w:p w14:paraId="3710CECB" w14:textId="6B59E9BE"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8" w:history="1">
        <w:r w:rsidR="006628FB" w:rsidRPr="009306D5">
          <w:rPr>
            <w:rStyle w:val="Hyperlink"/>
            <w:noProof/>
          </w:rPr>
          <w:t>Joonis 21. MOSS – registreerimise / registrist kustutamise suundumused ELi tasandil (2016–2019)</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_Toc95816248 \h </w:instrText>
        </w:r>
        <w:r w:rsidR="006628FB" w:rsidRPr="009306D5">
          <w:rPr>
            <w:noProof/>
            <w:webHidden/>
          </w:rPr>
        </w:r>
        <w:r w:rsidR="006628FB" w:rsidRPr="009306D5">
          <w:rPr>
            <w:noProof/>
            <w:webHidden/>
          </w:rPr>
          <w:fldChar w:fldCharType="separate"/>
        </w:r>
        <w:r w:rsidR="006628FB" w:rsidRPr="009306D5">
          <w:rPr>
            <w:noProof/>
            <w:webHidden/>
          </w:rPr>
          <w:t>26</w:t>
        </w:r>
        <w:r w:rsidR="006628FB" w:rsidRPr="009306D5">
          <w:rPr>
            <w:noProof/>
            <w:webHidden/>
          </w:rPr>
          <w:fldChar w:fldCharType="end"/>
        </w:r>
      </w:hyperlink>
    </w:p>
    <w:p w14:paraId="1ADA0B1A" w14:textId="69407556"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49" w:history="1">
        <w:r w:rsidR="006628FB" w:rsidRPr="009306D5">
          <w:rPr>
            <w:rStyle w:val="Hyperlink"/>
            <w:noProof/>
          </w:rPr>
          <w:t>Joonis 22. MOSSis registreerimise suundumused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_Toc95816249 \h </w:instrText>
        </w:r>
        <w:r w:rsidR="006628FB" w:rsidRPr="009306D5">
          <w:rPr>
            <w:noProof/>
            <w:webHidden/>
          </w:rPr>
        </w:r>
        <w:r w:rsidR="006628FB" w:rsidRPr="009306D5">
          <w:rPr>
            <w:noProof/>
            <w:webHidden/>
          </w:rPr>
          <w:fldChar w:fldCharType="separate"/>
        </w:r>
        <w:r w:rsidR="006628FB" w:rsidRPr="009306D5">
          <w:rPr>
            <w:noProof/>
            <w:webHidden/>
          </w:rPr>
          <w:t>27</w:t>
        </w:r>
        <w:r w:rsidR="006628FB" w:rsidRPr="009306D5">
          <w:rPr>
            <w:noProof/>
            <w:webHidden/>
          </w:rPr>
          <w:fldChar w:fldCharType="end"/>
        </w:r>
      </w:hyperlink>
    </w:p>
    <w:p w14:paraId="39E8B79E" w14:textId="78367291"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0" w:history="1">
        <w:r w:rsidR="006628FB" w:rsidRPr="009306D5">
          <w:rPr>
            <w:rStyle w:val="Hyperlink"/>
            <w:noProof/>
          </w:rPr>
          <w:t>Joonis 23. MOSSi registrist kustutamine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_Toc95816250 \h </w:instrText>
        </w:r>
        <w:r w:rsidR="006628FB" w:rsidRPr="009306D5">
          <w:rPr>
            <w:noProof/>
            <w:webHidden/>
          </w:rPr>
        </w:r>
        <w:r w:rsidR="006628FB" w:rsidRPr="009306D5">
          <w:rPr>
            <w:noProof/>
            <w:webHidden/>
          </w:rPr>
          <w:fldChar w:fldCharType="separate"/>
        </w:r>
        <w:r w:rsidR="006628FB" w:rsidRPr="009306D5">
          <w:rPr>
            <w:noProof/>
            <w:webHidden/>
          </w:rPr>
          <w:t>27</w:t>
        </w:r>
        <w:r w:rsidR="006628FB" w:rsidRPr="009306D5">
          <w:rPr>
            <w:noProof/>
            <w:webHidden/>
          </w:rPr>
          <w:fldChar w:fldCharType="end"/>
        </w:r>
      </w:hyperlink>
    </w:p>
    <w:p w14:paraId="2FD8F3B4" w14:textId="6A09AADC"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1" w:history="1">
        <w:r w:rsidR="006628FB" w:rsidRPr="009306D5">
          <w:rPr>
            <w:rStyle w:val="Hyperlink"/>
            <w:noProof/>
          </w:rPr>
          <w:t>Joonis 24. MOSS-maksukohustuslaste suhtes 2019. aastal tehtud käibemaksuauditite arv</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_Toc95816251 \h </w:instrText>
        </w:r>
        <w:r w:rsidR="006628FB" w:rsidRPr="009306D5">
          <w:rPr>
            <w:noProof/>
            <w:webHidden/>
          </w:rPr>
        </w:r>
        <w:r w:rsidR="006628FB" w:rsidRPr="009306D5">
          <w:rPr>
            <w:noProof/>
            <w:webHidden/>
          </w:rPr>
          <w:fldChar w:fldCharType="separate"/>
        </w:r>
        <w:r w:rsidR="006628FB" w:rsidRPr="009306D5">
          <w:rPr>
            <w:noProof/>
            <w:webHidden/>
          </w:rPr>
          <w:t>28</w:t>
        </w:r>
        <w:r w:rsidR="006628FB" w:rsidRPr="009306D5">
          <w:rPr>
            <w:noProof/>
            <w:webHidden/>
          </w:rPr>
          <w:fldChar w:fldCharType="end"/>
        </w:r>
      </w:hyperlink>
    </w:p>
    <w:p w14:paraId="310A08EC" w14:textId="2429702C"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2" w:history="1">
        <w:r w:rsidR="006628FB" w:rsidRPr="009306D5">
          <w:rPr>
            <w:rStyle w:val="Hyperlink"/>
            <w:noProof/>
          </w:rPr>
          <w:t>Joonis 25. Olulised IT-algatused ja keskmised käibemaksualased tulemused ELi liikmesriikides (2016–2019)</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_Toc95816252 \h </w:instrText>
        </w:r>
        <w:r w:rsidR="006628FB" w:rsidRPr="009306D5">
          <w:rPr>
            <w:noProof/>
            <w:webHidden/>
          </w:rPr>
        </w:r>
        <w:r w:rsidR="006628FB" w:rsidRPr="009306D5">
          <w:rPr>
            <w:noProof/>
            <w:webHidden/>
          </w:rPr>
          <w:fldChar w:fldCharType="separate"/>
        </w:r>
        <w:r w:rsidR="006628FB" w:rsidRPr="009306D5">
          <w:rPr>
            <w:noProof/>
            <w:webHidden/>
          </w:rPr>
          <w:t>29</w:t>
        </w:r>
        <w:r w:rsidR="006628FB" w:rsidRPr="009306D5">
          <w:rPr>
            <w:noProof/>
            <w:webHidden/>
          </w:rPr>
          <w:fldChar w:fldCharType="end"/>
        </w:r>
      </w:hyperlink>
    </w:p>
    <w:p w14:paraId="690518FA" w14:textId="64970D4A"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3" w:history="1">
        <w:r w:rsidR="006628FB" w:rsidRPr="009306D5">
          <w:rPr>
            <w:rStyle w:val="Hyperlink"/>
            <w:noProof/>
          </w:rPr>
          <w:t>Joonis 26. Käibemaksulõhe muutus (protsendipunktides) ja käibemaksutulu suurenemine (%) (2016–2019)</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_Toc95816253 \h </w:instrText>
        </w:r>
        <w:r w:rsidR="006628FB" w:rsidRPr="009306D5">
          <w:rPr>
            <w:noProof/>
            <w:webHidden/>
          </w:rPr>
        </w:r>
        <w:r w:rsidR="006628FB" w:rsidRPr="009306D5">
          <w:rPr>
            <w:noProof/>
            <w:webHidden/>
          </w:rPr>
          <w:fldChar w:fldCharType="separate"/>
        </w:r>
        <w:r w:rsidR="006628FB" w:rsidRPr="009306D5">
          <w:rPr>
            <w:noProof/>
            <w:webHidden/>
          </w:rPr>
          <w:t>30</w:t>
        </w:r>
        <w:r w:rsidR="006628FB" w:rsidRPr="009306D5">
          <w:rPr>
            <w:noProof/>
            <w:webHidden/>
          </w:rPr>
          <w:fldChar w:fldCharType="end"/>
        </w:r>
      </w:hyperlink>
    </w:p>
    <w:p w14:paraId="039C2775" w14:textId="144E211E"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4" w:history="1">
        <w:r w:rsidR="006628FB" w:rsidRPr="009306D5">
          <w:rPr>
            <w:rStyle w:val="Hyperlink"/>
            <w:noProof/>
          </w:rPr>
          <w:t>Joonis 27. Käibemaksualase maksukuulekuse parandamise kavad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_Toc95816254 \h </w:instrText>
        </w:r>
        <w:r w:rsidR="006628FB" w:rsidRPr="009306D5">
          <w:rPr>
            <w:noProof/>
            <w:webHidden/>
          </w:rPr>
        </w:r>
        <w:r w:rsidR="006628FB" w:rsidRPr="009306D5">
          <w:rPr>
            <w:noProof/>
            <w:webHidden/>
          </w:rPr>
          <w:fldChar w:fldCharType="separate"/>
        </w:r>
        <w:r w:rsidR="006628FB" w:rsidRPr="009306D5">
          <w:rPr>
            <w:noProof/>
            <w:webHidden/>
          </w:rPr>
          <w:t>31</w:t>
        </w:r>
        <w:r w:rsidR="006628FB" w:rsidRPr="009306D5">
          <w:rPr>
            <w:noProof/>
            <w:webHidden/>
          </w:rPr>
          <w:fldChar w:fldCharType="end"/>
        </w:r>
      </w:hyperlink>
    </w:p>
    <w:p w14:paraId="18A277EB" w14:textId="6287DCE2"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5" w:history="1">
        <w:r w:rsidR="006628FB" w:rsidRPr="009306D5">
          <w:rPr>
            <w:rStyle w:val="Hyperlink"/>
            <w:noProof/>
          </w:rPr>
          <w:t>Joonis 28. Maksukuulekuse kavad ELi liikmesriikides (sisu)</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_Toc95816255 \h </w:instrText>
        </w:r>
        <w:r w:rsidR="006628FB" w:rsidRPr="009306D5">
          <w:rPr>
            <w:noProof/>
            <w:webHidden/>
          </w:rPr>
        </w:r>
        <w:r w:rsidR="006628FB" w:rsidRPr="009306D5">
          <w:rPr>
            <w:noProof/>
            <w:webHidden/>
          </w:rPr>
          <w:fldChar w:fldCharType="separate"/>
        </w:r>
        <w:r w:rsidR="006628FB" w:rsidRPr="009306D5">
          <w:rPr>
            <w:noProof/>
            <w:webHidden/>
          </w:rPr>
          <w:t>32</w:t>
        </w:r>
        <w:r w:rsidR="006628FB" w:rsidRPr="009306D5">
          <w:rPr>
            <w:noProof/>
            <w:webHidden/>
          </w:rPr>
          <w:fldChar w:fldCharType="end"/>
        </w:r>
      </w:hyperlink>
    </w:p>
    <w:p w14:paraId="2BDF1FA1" w14:textId="3A45EDD5"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6" w:history="1">
        <w:r w:rsidR="006628FB" w:rsidRPr="009306D5">
          <w:rPr>
            <w:rStyle w:val="Hyperlink"/>
            <w:noProof/>
          </w:rPr>
          <w:t>Joonis 29: Maksumaksjatele pakutavad teenused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_Toc95816256 \h </w:instrText>
        </w:r>
        <w:r w:rsidR="006628FB" w:rsidRPr="009306D5">
          <w:rPr>
            <w:noProof/>
            <w:webHidden/>
          </w:rPr>
        </w:r>
        <w:r w:rsidR="006628FB" w:rsidRPr="009306D5">
          <w:rPr>
            <w:noProof/>
            <w:webHidden/>
          </w:rPr>
          <w:fldChar w:fldCharType="separate"/>
        </w:r>
        <w:r w:rsidR="006628FB" w:rsidRPr="009306D5">
          <w:rPr>
            <w:noProof/>
            <w:webHidden/>
          </w:rPr>
          <w:t>33</w:t>
        </w:r>
        <w:r w:rsidR="006628FB" w:rsidRPr="009306D5">
          <w:rPr>
            <w:noProof/>
            <w:webHidden/>
          </w:rPr>
          <w:fldChar w:fldCharType="end"/>
        </w:r>
      </w:hyperlink>
    </w:p>
    <w:p w14:paraId="29CD323D" w14:textId="78A6E7D8"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7" w:history="1">
        <w:r w:rsidR="006628FB" w:rsidRPr="009306D5">
          <w:rPr>
            <w:rStyle w:val="Hyperlink"/>
            <w:noProof/>
          </w:rPr>
          <w:t>Joonis 30. Maksumaksjatele teenuste osutamist käsitlevate tulemusaruannete avaldamine (2016–2019)</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_Toc95816257 \h </w:instrText>
        </w:r>
        <w:r w:rsidR="006628FB" w:rsidRPr="009306D5">
          <w:rPr>
            <w:noProof/>
            <w:webHidden/>
          </w:rPr>
        </w:r>
        <w:r w:rsidR="006628FB" w:rsidRPr="009306D5">
          <w:rPr>
            <w:noProof/>
            <w:webHidden/>
          </w:rPr>
          <w:fldChar w:fldCharType="separate"/>
        </w:r>
        <w:r w:rsidR="006628FB" w:rsidRPr="009306D5">
          <w:rPr>
            <w:noProof/>
            <w:webHidden/>
          </w:rPr>
          <w:t>33</w:t>
        </w:r>
        <w:r w:rsidR="006628FB" w:rsidRPr="009306D5">
          <w:rPr>
            <w:noProof/>
            <w:webHidden/>
          </w:rPr>
          <w:fldChar w:fldCharType="end"/>
        </w:r>
      </w:hyperlink>
    </w:p>
    <w:p w14:paraId="400D2454" w14:textId="24A6D62E"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8" w:history="1">
        <w:r w:rsidR="006628FB" w:rsidRPr="009306D5">
          <w:rPr>
            <w:rStyle w:val="Hyperlink"/>
            <w:noProof/>
          </w:rPr>
          <w:t>Joonis 31. Maksumaksjatele pakutavad teenused. Internetis kättesaadav teave käibemaksukohustuslasena registreerimise kohta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_Toc95816258 \h </w:instrText>
        </w:r>
        <w:r w:rsidR="006628FB" w:rsidRPr="009306D5">
          <w:rPr>
            <w:noProof/>
            <w:webHidden/>
          </w:rPr>
        </w:r>
        <w:r w:rsidR="006628FB" w:rsidRPr="009306D5">
          <w:rPr>
            <w:noProof/>
            <w:webHidden/>
          </w:rPr>
          <w:fldChar w:fldCharType="separate"/>
        </w:r>
        <w:r w:rsidR="006628FB" w:rsidRPr="009306D5">
          <w:rPr>
            <w:noProof/>
            <w:webHidden/>
          </w:rPr>
          <w:t>34</w:t>
        </w:r>
        <w:r w:rsidR="006628FB" w:rsidRPr="009306D5">
          <w:rPr>
            <w:noProof/>
            <w:webHidden/>
          </w:rPr>
          <w:fldChar w:fldCharType="end"/>
        </w:r>
      </w:hyperlink>
    </w:p>
    <w:p w14:paraId="53378002" w14:textId="31E8C197"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59" w:history="1">
        <w:r w:rsidR="006628FB" w:rsidRPr="009306D5">
          <w:rPr>
            <w:rStyle w:val="Hyperlink"/>
            <w:noProof/>
          </w:rPr>
          <w:t>Joonis 32. Andmed, mida ELi maksuhaldurid kasutavad käibemaksualase maksukuulekuse parandamiseks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_Toc95816259 \h </w:instrText>
        </w:r>
        <w:r w:rsidR="006628FB" w:rsidRPr="009306D5">
          <w:rPr>
            <w:noProof/>
            <w:webHidden/>
          </w:rPr>
        </w:r>
        <w:r w:rsidR="006628FB" w:rsidRPr="009306D5">
          <w:rPr>
            <w:noProof/>
            <w:webHidden/>
          </w:rPr>
          <w:fldChar w:fldCharType="separate"/>
        </w:r>
        <w:r w:rsidR="006628FB" w:rsidRPr="009306D5">
          <w:rPr>
            <w:noProof/>
            <w:webHidden/>
          </w:rPr>
          <w:t>35</w:t>
        </w:r>
        <w:r w:rsidR="006628FB" w:rsidRPr="009306D5">
          <w:rPr>
            <w:noProof/>
            <w:webHidden/>
          </w:rPr>
          <w:fldChar w:fldCharType="end"/>
        </w:r>
      </w:hyperlink>
    </w:p>
    <w:p w14:paraId="1336B03C" w14:textId="423FCCFF"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0" w:history="1">
        <w:r w:rsidR="006628FB" w:rsidRPr="009306D5">
          <w:rPr>
            <w:rStyle w:val="Hyperlink"/>
            <w:noProof/>
          </w:rPr>
          <w:t>Joonis 33. Aruanded, mis on kättesaadavad kõrgemale juhtkonnale käibemaksuhalduse eri valdkondades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_Toc95816260 \h </w:instrText>
        </w:r>
        <w:r w:rsidR="006628FB" w:rsidRPr="009306D5">
          <w:rPr>
            <w:noProof/>
            <w:webHidden/>
          </w:rPr>
        </w:r>
        <w:r w:rsidR="006628FB" w:rsidRPr="009306D5">
          <w:rPr>
            <w:noProof/>
            <w:webHidden/>
          </w:rPr>
          <w:fldChar w:fldCharType="separate"/>
        </w:r>
        <w:r w:rsidR="006628FB" w:rsidRPr="009306D5">
          <w:rPr>
            <w:noProof/>
            <w:webHidden/>
          </w:rPr>
          <w:t>36</w:t>
        </w:r>
        <w:r w:rsidR="006628FB" w:rsidRPr="009306D5">
          <w:rPr>
            <w:noProof/>
            <w:webHidden/>
          </w:rPr>
          <w:fldChar w:fldCharType="end"/>
        </w:r>
      </w:hyperlink>
    </w:p>
    <w:p w14:paraId="3413A9AA" w14:textId="197ABC87"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1" w:history="1">
        <w:r w:rsidR="006628FB" w:rsidRPr="009306D5">
          <w:rPr>
            <w:rStyle w:val="Hyperlink"/>
            <w:noProof/>
          </w:rPr>
          <w:t>Joonis 34. Käibedeklaratsioonide elektrooniline esitamine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_Toc95816261 \h </w:instrText>
        </w:r>
        <w:r w:rsidR="006628FB" w:rsidRPr="009306D5">
          <w:rPr>
            <w:noProof/>
            <w:webHidden/>
          </w:rPr>
        </w:r>
        <w:r w:rsidR="006628FB" w:rsidRPr="009306D5">
          <w:rPr>
            <w:noProof/>
            <w:webHidden/>
          </w:rPr>
          <w:fldChar w:fldCharType="separate"/>
        </w:r>
        <w:r w:rsidR="006628FB" w:rsidRPr="009306D5">
          <w:rPr>
            <w:noProof/>
            <w:webHidden/>
          </w:rPr>
          <w:t>37</w:t>
        </w:r>
        <w:r w:rsidR="006628FB" w:rsidRPr="009306D5">
          <w:rPr>
            <w:noProof/>
            <w:webHidden/>
          </w:rPr>
          <w:fldChar w:fldCharType="end"/>
        </w:r>
      </w:hyperlink>
    </w:p>
    <w:p w14:paraId="7160BD9D" w14:textId="5DD97421"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2" w:history="1">
        <w:r w:rsidR="006628FB" w:rsidRPr="009306D5">
          <w:rPr>
            <w:rStyle w:val="Hyperlink"/>
            <w:noProof/>
          </w:rPr>
          <w:t>Joonis 35. Järelevalve käibedeklaratsioonide esitamise nõude täitmise üle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_Toc95816262 \h </w:instrText>
        </w:r>
        <w:r w:rsidR="006628FB" w:rsidRPr="009306D5">
          <w:rPr>
            <w:noProof/>
            <w:webHidden/>
          </w:rPr>
        </w:r>
        <w:r w:rsidR="006628FB" w:rsidRPr="009306D5">
          <w:rPr>
            <w:noProof/>
            <w:webHidden/>
          </w:rPr>
          <w:fldChar w:fldCharType="separate"/>
        </w:r>
        <w:r w:rsidR="006628FB" w:rsidRPr="009306D5">
          <w:rPr>
            <w:noProof/>
            <w:webHidden/>
          </w:rPr>
          <w:t>38</w:t>
        </w:r>
        <w:r w:rsidR="006628FB" w:rsidRPr="009306D5">
          <w:rPr>
            <w:noProof/>
            <w:webHidden/>
          </w:rPr>
          <w:fldChar w:fldCharType="end"/>
        </w:r>
      </w:hyperlink>
    </w:p>
    <w:p w14:paraId="27572E97" w14:textId="52FBCE1C"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3" w:history="1">
        <w:r w:rsidR="006628FB" w:rsidRPr="009306D5">
          <w:rPr>
            <w:rStyle w:val="Hyperlink"/>
            <w:noProof/>
          </w:rPr>
          <w:t>Joonis 36. Maksuhaldurite algatatud meetmed käibedeklaratsioonide hilinenud esitamise või esitamata jätmise korral</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_Toc95816263 \h </w:instrText>
        </w:r>
        <w:r w:rsidR="006628FB" w:rsidRPr="009306D5">
          <w:rPr>
            <w:noProof/>
            <w:webHidden/>
          </w:rPr>
        </w:r>
        <w:r w:rsidR="006628FB" w:rsidRPr="009306D5">
          <w:rPr>
            <w:noProof/>
            <w:webHidden/>
          </w:rPr>
          <w:fldChar w:fldCharType="separate"/>
        </w:r>
        <w:r w:rsidR="006628FB" w:rsidRPr="009306D5">
          <w:rPr>
            <w:noProof/>
            <w:webHidden/>
          </w:rPr>
          <w:t>39</w:t>
        </w:r>
        <w:r w:rsidR="006628FB" w:rsidRPr="009306D5">
          <w:rPr>
            <w:noProof/>
            <w:webHidden/>
          </w:rPr>
          <w:fldChar w:fldCharType="end"/>
        </w:r>
      </w:hyperlink>
    </w:p>
    <w:p w14:paraId="56A328C0" w14:textId="122C4A71"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4" w:history="1">
        <w:r w:rsidR="006628FB" w:rsidRPr="009306D5">
          <w:rPr>
            <w:rStyle w:val="Hyperlink"/>
            <w:noProof/>
          </w:rPr>
          <w:t>Joonis 37. Liikmesriigid, kes hindavad deklaratsioonide esitamise / maksu tasumisega hilinemisega seotud karistussüsteemi tõhusust</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_Toc95816264 \h </w:instrText>
        </w:r>
        <w:r w:rsidR="006628FB" w:rsidRPr="009306D5">
          <w:rPr>
            <w:noProof/>
            <w:webHidden/>
          </w:rPr>
        </w:r>
        <w:r w:rsidR="006628FB" w:rsidRPr="009306D5">
          <w:rPr>
            <w:noProof/>
            <w:webHidden/>
          </w:rPr>
          <w:fldChar w:fldCharType="separate"/>
        </w:r>
        <w:r w:rsidR="006628FB" w:rsidRPr="009306D5">
          <w:rPr>
            <w:noProof/>
            <w:webHidden/>
          </w:rPr>
          <w:t>39</w:t>
        </w:r>
        <w:r w:rsidR="006628FB" w:rsidRPr="009306D5">
          <w:rPr>
            <w:noProof/>
            <w:webHidden/>
          </w:rPr>
          <w:fldChar w:fldCharType="end"/>
        </w:r>
      </w:hyperlink>
    </w:p>
    <w:p w14:paraId="4C5F3C0B" w14:textId="3DABDB20"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5" w:history="1">
        <w:r w:rsidR="006628FB" w:rsidRPr="009306D5">
          <w:rPr>
            <w:rStyle w:val="Hyperlink"/>
            <w:noProof/>
          </w:rPr>
          <w:t>Joonis 38. Käibemaksukohustuste elektroonilise tasumise võimaluse kättesaadavus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_Toc95816265 \h </w:instrText>
        </w:r>
        <w:r w:rsidR="006628FB" w:rsidRPr="009306D5">
          <w:rPr>
            <w:noProof/>
            <w:webHidden/>
          </w:rPr>
        </w:r>
        <w:r w:rsidR="006628FB" w:rsidRPr="009306D5">
          <w:rPr>
            <w:noProof/>
            <w:webHidden/>
          </w:rPr>
          <w:fldChar w:fldCharType="separate"/>
        </w:r>
        <w:r w:rsidR="006628FB" w:rsidRPr="009306D5">
          <w:rPr>
            <w:noProof/>
            <w:webHidden/>
          </w:rPr>
          <w:t>40</w:t>
        </w:r>
        <w:r w:rsidR="006628FB" w:rsidRPr="009306D5">
          <w:rPr>
            <w:noProof/>
            <w:webHidden/>
          </w:rPr>
          <w:fldChar w:fldCharType="end"/>
        </w:r>
      </w:hyperlink>
    </w:p>
    <w:p w14:paraId="7C8F5A38" w14:textId="2F607249"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6" w:history="1">
        <w:r w:rsidR="006628FB" w:rsidRPr="009306D5">
          <w:rPr>
            <w:rStyle w:val="Hyperlink"/>
            <w:noProof/>
          </w:rPr>
          <w:t>Joonis 39. Käibemaksu tasumine sularahas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_Toc95816266 \h </w:instrText>
        </w:r>
        <w:r w:rsidR="006628FB" w:rsidRPr="009306D5">
          <w:rPr>
            <w:noProof/>
            <w:webHidden/>
          </w:rPr>
        </w:r>
        <w:r w:rsidR="006628FB" w:rsidRPr="009306D5">
          <w:rPr>
            <w:noProof/>
            <w:webHidden/>
          </w:rPr>
          <w:fldChar w:fldCharType="separate"/>
        </w:r>
        <w:r w:rsidR="006628FB" w:rsidRPr="009306D5">
          <w:rPr>
            <w:noProof/>
            <w:webHidden/>
          </w:rPr>
          <w:t>40</w:t>
        </w:r>
        <w:r w:rsidR="006628FB" w:rsidRPr="009306D5">
          <w:rPr>
            <w:noProof/>
            <w:webHidden/>
          </w:rPr>
          <w:fldChar w:fldCharType="end"/>
        </w:r>
      </w:hyperlink>
    </w:p>
    <w:p w14:paraId="22850996" w14:textId="72E4188D"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7" w:history="1">
        <w:r w:rsidR="006628FB" w:rsidRPr="009306D5">
          <w:rPr>
            <w:rStyle w:val="Hyperlink"/>
            <w:noProof/>
          </w:rPr>
          <w:t>Joonis 40. Kättesaadavad kanalid käibemaksukohustuste täitmise kohta tagasiside andmiseks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_Toc95816267 \h </w:instrText>
        </w:r>
        <w:r w:rsidR="006628FB" w:rsidRPr="009306D5">
          <w:rPr>
            <w:noProof/>
            <w:webHidden/>
          </w:rPr>
        </w:r>
        <w:r w:rsidR="006628FB" w:rsidRPr="009306D5">
          <w:rPr>
            <w:noProof/>
            <w:webHidden/>
          </w:rPr>
          <w:fldChar w:fldCharType="separate"/>
        </w:r>
        <w:r w:rsidR="006628FB" w:rsidRPr="009306D5">
          <w:rPr>
            <w:noProof/>
            <w:webHidden/>
          </w:rPr>
          <w:t>41</w:t>
        </w:r>
        <w:r w:rsidR="006628FB" w:rsidRPr="009306D5">
          <w:rPr>
            <w:noProof/>
            <w:webHidden/>
          </w:rPr>
          <w:fldChar w:fldCharType="end"/>
        </w:r>
      </w:hyperlink>
    </w:p>
    <w:p w14:paraId="64CD810D" w14:textId="37D2E1FB"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8" w:history="1">
        <w:r w:rsidR="006628FB" w:rsidRPr="009306D5">
          <w:rPr>
            <w:rStyle w:val="Hyperlink"/>
            <w:noProof/>
          </w:rPr>
          <w:t>Joonis 41. Käibemaksuvõlgade sissenõudmine: esimene reageerimine makse hilinemisele (päevades)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_Toc95816268 \h </w:instrText>
        </w:r>
        <w:r w:rsidR="006628FB" w:rsidRPr="009306D5">
          <w:rPr>
            <w:noProof/>
            <w:webHidden/>
          </w:rPr>
        </w:r>
        <w:r w:rsidR="006628FB" w:rsidRPr="009306D5">
          <w:rPr>
            <w:noProof/>
            <w:webHidden/>
          </w:rPr>
          <w:fldChar w:fldCharType="separate"/>
        </w:r>
        <w:r w:rsidR="006628FB" w:rsidRPr="009306D5">
          <w:rPr>
            <w:noProof/>
            <w:webHidden/>
          </w:rPr>
          <w:t>42</w:t>
        </w:r>
        <w:r w:rsidR="006628FB" w:rsidRPr="009306D5">
          <w:rPr>
            <w:noProof/>
            <w:webHidden/>
          </w:rPr>
          <w:fldChar w:fldCharType="end"/>
        </w:r>
      </w:hyperlink>
    </w:p>
    <w:p w14:paraId="3ADCCD74" w14:textId="51E99B6F"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69" w:history="1">
        <w:r w:rsidR="006628FB" w:rsidRPr="009306D5">
          <w:rPr>
            <w:rStyle w:val="Hyperlink"/>
            <w:noProof/>
          </w:rPr>
          <w:t>Joonis 42. Käibemaksuvõla haldamise IT-süsteemide tõhusus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_Toc95816269 \h </w:instrText>
        </w:r>
        <w:r w:rsidR="006628FB" w:rsidRPr="009306D5">
          <w:rPr>
            <w:noProof/>
            <w:webHidden/>
          </w:rPr>
        </w:r>
        <w:r w:rsidR="006628FB" w:rsidRPr="009306D5">
          <w:rPr>
            <w:noProof/>
            <w:webHidden/>
          </w:rPr>
          <w:fldChar w:fldCharType="separate"/>
        </w:r>
        <w:r w:rsidR="006628FB" w:rsidRPr="009306D5">
          <w:rPr>
            <w:noProof/>
            <w:webHidden/>
          </w:rPr>
          <w:t>43</w:t>
        </w:r>
        <w:r w:rsidR="006628FB" w:rsidRPr="009306D5">
          <w:rPr>
            <w:noProof/>
            <w:webHidden/>
          </w:rPr>
          <w:fldChar w:fldCharType="end"/>
        </w:r>
      </w:hyperlink>
    </w:p>
    <w:p w14:paraId="43C2AD0A" w14:textId="44A3CE2C"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0" w:history="1">
        <w:r w:rsidR="006628FB" w:rsidRPr="009306D5">
          <w:rPr>
            <w:rStyle w:val="Hyperlink"/>
            <w:noProof/>
          </w:rPr>
          <w:t>Joonis 43. Seadusega ettenähtud kuupäevaks tehtud käibemaksutagastuste (väärtusena) protsent (ELi keskmine)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_Toc95816270 \h </w:instrText>
        </w:r>
        <w:r w:rsidR="006628FB" w:rsidRPr="009306D5">
          <w:rPr>
            <w:noProof/>
            <w:webHidden/>
          </w:rPr>
        </w:r>
        <w:r w:rsidR="006628FB" w:rsidRPr="009306D5">
          <w:rPr>
            <w:noProof/>
            <w:webHidden/>
          </w:rPr>
          <w:fldChar w:fldCharType="separate"/>
        </w:r>
        <w:r w:rsidR="006628FB" w:rsidRPr="009306D5">
          <w:rPr>
            <w:noProof/>
            <w:webHidden/>
          </w:rPr>
          <w:t>44</w:t>
        </w:r>
        <w:r w:rsidR="006628FB" w:rsidRPr="009306D5">
          <w:rPr>
            <w:noProof/>
            <w:webHidden/>
          </w:rPr>
          <w:fldChar w:fldCharType="end"/>
        </w:r>
      </w:hyperlink>
    </w:p>
    <w:p w14:paraId="1E752091" w14:textId="59CF75BD"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1" w:history="1">
        <w:r w:rsidR="006628FB" w:rsidRPr="009306D5">
          <w:rPr>
            <w:rStyle w:val="Hyperlink"/>
            <w:noProof/>
          </w:rPr>
          <w:t>Joonis 44. Käibemaksutagastuse süsteemid ELi liikmesriikides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_Toc95816271 \h </w:instrText>
        </w:r>
        <w:r w:rsidR="006628FB" w:rsidRPr="009306D5">
          <w:rPr>
            <w:noProof/>
            <w:webHidden/>
          </w:rPr>
        </w:r>
        <w:r w:rsidR="006628FB" w:rsidRPr="009306D5">
          <w:rPr>
            <w:noProof/>
            <w:webHidden/>
          </w:rPr>
          <w:fldChar w:fldCharType="separate"/>
        </w:r>
        <w:r w:rsidR="006628FB" w:rsidRPr="009306D5">
          <w:rPr>
            <w:noProof/>
            <w:webHidden/>
          </w:rPr>
          <w:t>45</w:t>
        </w:r>
        <w:r w:rsidR="006628FB" w:rsidRPr="009306D5">
          <w:rPr>
            <w:noProof/>
            <w:webHidden/>
          </w:rPr>
          <w:fldChar w:fldCharType="end"/>
        </w:r>
      </w:hyperlink>
    </w:p>
    <w:p w14:paraId="0E6F1C8B" w14:textId="16D5D328"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2" w:history="1">
        <w:r w:rsidR="006628FB" w:rsidRPr="009306D5">
          <w:rPr>
            <w:rStyle w:val="Hyperlink"/>
            <w:noProof/>
          </w:rPr>
          <w:t>Joonis 45. ELi käibemaksuhaldurite tehtud käibemaksuauditi tunnused</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_Toc95816272 \h </w:instrText>
        </w:r>
        <w:r w:rsidR="006628FB" w:rsidRPr="009306D5">
          <w:rPr>
            <w:noProof/>
            <w:webHidden/>
          </w:rPr>
        </w:r>
        <w:r w:rsidR="006628FB" w:rsidRPr="009306D5">
          <w:rPr>
            <w:noProof/>
            <w:webHidden/>
          </w:rPr>
          <w:fldChar w:fldCharType="separate"/>
        </w:r>
        <w:r w:rsidR="006628FB" w:rsidRPr="009306D5">
          <w:rPr>
            <w:noProof/>
            <w:webHidden/>
          </w:rPr>
          <w:t>46</w:t>
        </w:r>
        <w:r w:rsidR="006628FB" w:rsidRPr="009306D5">
          <w:rPr>
            <w:noProof/>
            <w:webHidden/>
          </w:rPr>
          <w:fldChar w:fldCharType="end"/>
        </w:r>
      </w:hyperlink>
    </w:p>
    <w:p w14:paraId="57A6A702" w14:textId="694BE986"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3" w:history="1">
        <w:r w:rsidR="006628FB" w:rsidRPr="009306D5">
          <w:rPr>
            <w:rStyle w:val="Hyperlink"/>
            <w:noProof/>
          </w:rPr>
          <w:t>Joonis 46. ELi maksuhaldurite kasutatav käibemaksuauditi tarkvara</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_Toc95816273 \h </w:instrText>
        </w:r>
        <w:r w:rsidR="006628FB" w:rsidRPr="009306D5">
          <w:rPr>
            <w:noProof/>
            <w:webHidden/>
          </w:rPr>
        </w:r>
        <w:r w:rsidR="006628FB" w:rsidRPr="009306D5">
          <w:rPr>
            <w:noProof/>
            <w:webHidden/>
          </w:rPr>
          <w:fldChar w:fldCharType="separate"/>
        </w:r>
        <w:r w:rsidR="006628FB" w:rsidRPr="009306D5">
          <w:rPr>
            <w:noProof/>
            <w:webHidden/>
          </w:rPr>
          <w:t>47</w:t>
        </w:r>
        <w:r w:rsidR="006628FB" w:rsidRPr="009306D5">
          <w:rPr>
            <w:noProof/>
            <w:webHidden/>
          </w:rPr>
          <w:fldChar w:fldCharType="end"/>
        </w:r>
      </w:hyperlink>
    </w:p>
    <w:p w14:paraId="2F61DF81" w14:textId="5F28C7A2"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4" w:history="1">
        <w:r w:rsidR="006628FB" w:rsidRPr="009306D5">
          <w:rPr>
            <w:rStyle w:val="Hyperlink"/>
            <w:noProof/>
          </w:rPr>
          <w:t>Joonis 47. Käibemaksu kogumine ja auditijärgselt maksuotsustega määratud käibemaks 23s ELi liikmesriigis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_Toc95816274 \h </w:instrText>
        </w:r>
        <w:r w:rsidR="006628FB" w:rsidRPr="009306D5">
          <w:rPr>
            <w:noProof/>
            <w:webHidden/>
          </w:rPr>
        </w:r>
        <w:r w:rsidR="006628FB" w:rsidRPr="009306D5">
          <w:rPr>
            <w:noProof/>
            <w:webHidden/>
          </w:rPr>
          <w:fldChar w:fldCharType="separate"/>
        </w:r>
        <w:r w:rsidR="006628FB" w:rsidRPr="009306D5">
          <w:rPr>
            <w:noProof/>
            <w:webHidden/>
          </w:rPr>
          <w:t>48</w:t>
        </w:r>
        <w:r w:rsidR="006628FB" w:rsidRPr="009306D5">
          <w:rPr>
            <w:noProof/>
            <w:webHidden/>
          </w:rPr>
          <w:fldChar w:fldCharType="end"/>
        </w:r>
      </w:hyperlink>
    </w:p>
    <w:p w14:paraId="58C8214B" w14:textId="10410C13"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5" w:history="1">
        <w:r w:rsidR="006628FB" w:rsidRPr="009306D5">
          <w:rPr>
            <w:rStyle w:val="Hyperlink"/>
            <w:noProof/>
          </w:rPr>
          <w:t>Joonis 48. ELi maksuhaldurite tehtud käibemaksukontrollide/-auditite liigid</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_Toc95816275 \h </w:instrText>
        </w:r>
        <w:r w:rsidR="006628FB" w:rsidRPr="009306D5">
          <w:rPr>
            <w:noProof/>
            <w:webHidden/>
          </w:rPr>
        </w:r>
        <w:r w:rsidR="006628FB" w:rsidRPr="009306D5">
          <w:rPr>
            <w:noProof/>
            <w:webHidden/>
          </w:rPr>
          <w:fldChar w:fldCharType="separate"/>
        </w:r>
        <w:r w:rsidR="006628FB" w:rsidRPr="009306D5">
          <w:rPr>
            <w:noProof/>
            <w:webHidden/>
          </w:rPr>
          <w:t>49</w:t>
        </w:r>
        <w:r w:rsidR="006628FB" w:rsidRPr="009306D5">
          <w:rPr>
            <w:noProof/>
            <w:webHidden/>
          </w:rPr>
          <w:fldChar w:fldCharType="end"/>
        </w:r>
      </w:hyperlink>
    </w:p>
    <w:p w14:paraId="10B21463" w14:textId="13567EDE"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6" w:history="1">
        <w:r w:rsidR="006628FB" w:rsidRPr="009306D5">
          <w:rPr>
            <w:rStyle w:val="Hyperlink"/>
            <w:noProof/>
          </w:rPr>
          <w:t>Joonis 49. Täiendavad auditivälised maksukuulekuse suurendamise meetmed</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_Toc95816276 \h </w:instrText>
        </w:r>
        <w:r w:rsidR="006628FB" w:rsidRPr="009306D5">
          <w:rPr>
            <w:noProof/>
            <w:webHidden/>
          </w:rPr>
        </w:r>
        <w:r w:rsidR="006628FB" w:rsidRPr="009306D5">
          <w:rPr>
            <w:noProof/>
            <w:webHidden/>
          </w:rPr>
          <w:fldChar w:fldCharType="separate"/>
        </w:r>
        <w:r w:rsidR="006628FB" w:rsidRPr="009306D5">
          <w:rPr>
            <w:noProof/>
            <w:webHidden/>
          </w:rPr>
          <w:t>50</w:t>
        </w:r>
        <w:r w:rsidR="006628FB" w:rsidRPr="009306D5">
          <w:rPr>
            <w:noProof/>
            <w:webHidden/>
          </w:rPr>
          <w:fldChar w:fldCharType="end"/>
        </w:r>
      </w:hyperlink>
    </w:p>
    <w:p w14:paraId="1AC4E126" w14:textId="016EAC85"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7" w:history="1">
        <w:r w:rsidR="006628FB" w:rsidRPr="009306D5">
          <w:rPr>
            <w:rStyle w:val="Hyperlink"/>
            <w:noProof/>
          </w:rPr>
          <w:t>Joonis 50. ELis kasutatavate maksutulude arvestussüsteemide omadused</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_Toc95816277 \h </w:instrText>
        </w:r>
        <w:r w:rsidR="006628FB" w:rsidRPr="009306D5">
          <w:rPr>
            <w:noProof/>
            <w:webHidden/>
          </w:rPr>
        </w:r>
        <w:r w:rsidR="006628FB" w:rsidRPr="009306D5">
          <w:rPr>
            <w:noProof/>
            <w:webHidden/>
          </w:rPr>
          <w:fldChar w:fldCharType="separate"/>
        </w:r>
        <w:r w:rsidR="006628FB" w:rsidRPr="009306D5">
          <w:rPr>
            <w:noProof/>
            <w:webHidden/>
          </w:rPr>
          <w:t>50</w:t>
        </w:r>
        <w:r w:rsidR="006628FB" w:rsidRPr="009306D5">
          <w:rPr>
            <w:noProof/>
            <w:webHidden/>
          </w:rPr>
          <w:fldChar w:fldCharType="end"/>
        </w:r>
      </w:hyperlink>
    </w:p>
    <w:p w14:paraId="0DFE37B7" w14:textId="2FADDE5E"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8" w:history="1">
        <w:r w:rsidR="006628FB" w:rsidRPr="009306D5">
          <w:rPr>
            <w:rStyle w:val="Hyperlink"/>
            <w:noProof/>
          </w:rPr>
          <w:t>Joonis 51. Siseauditi protsessid ja väline läbivaatamine (ülevaade)</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_Toc95816278 \h </w:instrText>
        </w:r>
        <w:r w:rsidR="006628FB" w:rsidRPr="009306D5">
          <w:rPr>
            <w:noProof/>
            <w:webHidden/>
          </w:rPr>
        </w:r>
        <w:r w:rsidR="006628FB" w:rsidRPr="009306D5">
          <w:rPr>
            <w:noProof/>
            <w:webHidden/>
          </w:rPr>
          <w:fldChar w:fldCharType="separate"/>
        </w:r>
        <w:r w:rsidR="006628FB" w:rsidRPr="009306D5">
          <w:rPr>
            <w:noProof/>
            <w:webHidden/>
          </w:rPr>
          <w:t>51</w:t>
        </w:r>
        <w:r w:rsidR="006628FB" w:rsidRPr="009306D5">
          <w:rPr>
            <w:noProof/>
            <w:webHidden/>
          </w:rPr>
          <w:fldChar w:fldCharType="end"/>
        </w:r>
      </w:hyperlink>
    </w:p>
    <w:p w14:paraId="6CAC10D7" w14:textId="13BC7F8F"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79" w:history="1">
        <w:r w:rsidR="006628FB" w:rsidRPr="009306D5">
          <w:rPr>
            <w:rStyle w:val="Hyperlink"/>
            <w:noProof/>
          </w:rPr>
          <w:t>Joonis 52. Vaidluste lahendamine – järelevalveprotsess</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_Toc95816279 \h </w:instrText>
        </w:r>
        <w:r w:rsidR="006628FB" w:rsidRPr="009306D5">
          <w:rPr>
            <w:noProof/>
            <w:webHidden/>
          </w:rPr>
        </w:r>
        <w:r w:rsidR="006628FB" w:rsidRPr="009306D5">
          <w:rPr>
            <w:noProof/>
            <w:webHidden/>
          </w:rPr>
          <w:fldChar w:fldCharType="separate"/>
        </w:r>
        <w:r w:rsidR="006628FB" w:rsidRPr="009306D5">
          <w:rPr>
            <w:noProof/>
            <w:webHidden/>
          </w:rPr>
          <w:t>53</w:t>
        </w:r>
        <w:r w:rsidR="006628FB" w:rsidRPr="009306D5">
          <w:rPr>
            <w:noProof/>
            <w:webHidden/>
          </w:rPr>
          <w:fldChar w:fldCharType="end"/>
        </w:r>
      </w:hyperlink>
    </w:p>
    <w:p w14:paraId="200EEC23" w14:textId="29BA12A8" w:rsidR="006628FB"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5816280" w:history="1">
        <w:r w:rsidR="006628FB" w:rsidRPr="009306D5">
          <w:rPr>
            <w:rStyle w:val="Hyperlink"/>
            <w:noProof/>
          </w:rPr>
          <w:t>Joonis 53. Talitluspidevus – keskse riskiregistri olemasolu</w:t>
        </w:r>
        <w:r w:rsidR="006628FB" w:rsidRPr="009306D5">
          <w:rPr>
            <w:noProof/>
            <w:webHidden/>
          </w:rPr>
          <w:tab/>
        </w:r>
        <w:r w:rsidR="006628FB" w:rsidRPr="009306D5">
          <w:rPr>
            <w:noProof/>
            <w:webHidden/>
          </w:rPr>
          <w:fldChar w:fldCharType="begin"/>
        </w:r>
        <w:r w:rsidR="006628FB" w:rsidRPr="009306D5">
          <w:rPr>
            <w:noProof/>
            <w:webHidden/>
          </w:rPr>
          <w:instrText xml:space="preserve"> PAGEREF _Toc95816280 \h </w:instrText>
        </w:r>
        <w:r w:rsidR="006628FB" w:rsidRPr="009306D5">
          <w:rPr>
            <w:noProof/>
            <w:webHidden/>
          </w:rPr>
        </w:r>
        <w:r w:rsidR="006628FB" w:rsidRPr="009306D5">
          <w:rPr>
            <w:noProof/>
            <w:webHidden/>
          </w:rPr>
          <w:fldChar w:fldCharType="separate"/>
        </w:r>
        <w:r w:rsidR="006628FB" w:rsidRPr="009306D5">
          <w:rPr>
            <w:noProof/>
            <w:webHidden/>
          </w:rPr>
          <w:t>53</w:t>
        </w:r>
        <w:r w:rsidR="006628FB" w:rsidRPr="009306D5">
          <w:rPr>
            <w:noProof/>
            <w:webHidden/>
          </w:rPr>
          <w:fldChar w:fldCharType="end"/>
        </w:r>
      </w:hyperlink>
    </w:p>
    <w:p w14:paraId="4E988863" w14:textId="05B83225" w:rsidR="005B15B7" w:rsidRPr="009306D5" w:rsidRDefault="005B15B7" w:rsidP="005B15B7">
      <w:pPr>
        <w:rPr>
          <w:rFonts w:cs="Times New Roman"/>
          <w:noProof/>
        </w:rPr>
      </w:pPr>
      <w:r w:rsidRPr="009306D5">
        <w:rPr>
          <w:rFonts w:cs="Times New Roman"/>
          <w:noProof/>
          <w:sz w:val="20"/>
        </w:rPr>
        <w:fldChar w:fldCharType="end"/>
      </w:r>
    </w:p>
    <w:p w14:paraId="4CB52836" w14:textId="77777777" w:rsidR="005B15B7" w:rsidRPr="009306D5" w:rsidRDefault="005B15B7" w:rsidP="005B15B7">
      <w:pPr>
        <w:pStyle w:val="Text1"/>
        <w:ind w:left="0"/>
        <w:rPr>
          <w:b/>
          <w:i/>
          <w:noProof/>
          <w:sz w:val="20"/>
        </w:rPr>
      </w:pPr>
      <w:bookmarkStart w:id="2105" w:name="_Toc529548539"/>
      <w:bookmarkStart w:id="2106" w:name="_Toc529548610"/>
      <w:r w:rsidRPr="009306D5">
        <w:rPr>
          <w:b/>
          <w:i/>
          <w:noProof/>
          <w:sz w:val="20"/>
        </w:rPr>
        <w:t>Tabelite register</w:t>
      </w:r>
      <w:bookmarkEnd w:id="2105"/>
      <w:bookmarkEnd w:id="2106"/>
    </w:p>
    <w:p w14:paraId="32ADC7C7" w14:textId="06DEEE31" w:rsidR="00FE0EC3" w:rsidRPr="009306D5" w:rsidRDefault="005B15B7">
      <w:pPr>
        <w:pStyle w:val="TableofFigures"/>
        <w:tabs>
          <w:tab w:val="right" w:leader="dot" w:pos="9061"/>
        </w:tabs>
        <w:rPr>
          <w:rFonts w:asciiTheme="minorHAnsi" w:eastAsiaTheme="minorEastAsia" w:hAnsiTheme="minorHAnsi" w:cstheme="minorBidi"/>
          <w:noProof/>
          <w:sz w:val="22"/>
          <w:szCs w:val="22"/>
        </w:rPr>
      </w:pPr>
      <w:r w:rsidRPr="009306D5">
        <w:rPr>
          <w:i/>
          <w:noProof/>
        </w:rPr>
        <w:fldChar w:fldCharType="begin"/>
      </w:r>
      <w:r w:rsidRPr="009306D5">
        <w:rPr>
          <w:i/>
          <w:noProof/>
        </w:rPr>
        <w:instrText xml:space="preserve"> TOC \h \z \c "Table" </w:instrText>
      </w:r>
      <w:r w:rsidRPr="009306D5">
        <w:rPr>
          <w:i/>
          <w:noProof/>
        </w:rPr>
        <w:fldChar w:fldCharType="separate"/>
      </w:r>
      <w:hyperlink w:anchor="_Toc90291232" w:history="1">
        <w:r w:rsidR="00FE0EC3" w:rsidRPr="009306D5">
          <w:rPr>
            <w:rStyle w:val="Hyperlink"/>
            <w:noProof/>
          </w:rPr>
          <w:t>Table 1: VAT gap for 2016–2019 (in million EUR and as percentage of VAT total tax liability)</w:t>
        </w:r>
        <w:r w:rsidR="00FE0EC3" w:rsidRPr="009306D5">
          <w:rPr>
            <w:noProof/>
            <w:webHidden/>
          </w:rPr>
          <w:tab/>
        </w:r>
        <w:r w:rsidR="00FE0EC3" w:rsidRPr="009306D5">
          <w:rPr>
            <w:noProof/>
            <w:webHidden/>
          </w:rPr>
          <w:fldChar w:fldCharType="begin"/>
        </w:r>
        <w:r w:rsidR="00FE0EC3" w:rsidRPr="009306D5">
          <w:rPr>
            <w:noProof/>
            <w:webHidden/>
          </w:rPr>
          <w:instrText xml:space="preserve"> PAGEREF _Toc90291232 \h </w:instrText>
        </w:r>
        <w:r w:rsidR="00FE0EC3" w:rsidRPr="009306D5">
          <w:rPr>
            <w:noProof/>
            <w:webHidden/>
          </w:rPr>
        </w:r>
        <w:r w:rsidR="00FE0EC3" w:rsidRPr="009306D5">
          <w:rPr>
            <w:noProof/>
            <w:webHidden/>
          </w:rPr>
          <w:fldChar w:fldCharType="separate"/>
        </w:r>
        <w:r w:rsidR="00BA2A02" w:rsidRPr="009306D5">
          <w:rPr>
            <w:noProof/>
            <w:webHidden/>
          </w:rPr>
          <w:t>9</w:t>
        </w:r>
        <w:r w:rsidR="00FE0EC3" w:rsidRPr="009306D5">
          <w:rPr>
            <w:noProof/>
            <w:webHidden/>
          </w:rPr>
          <w:fldChar w:fldCharType="end"/>
        </w:r>
      </w:hyperlink>
    </w:p>
    <w:p w14:paraId="4FD5E9DE" w14:textId="77D191B0" w:rsidR="00FE0EC3" w:rsidRPr="009306D5" w:rsidRDefault="00467CAD">
      <w:pPr>
        <w:pStyle w:val="TableofFigures"/>
        <w:tabs>
          <w:tab w:val="right" w:leader="dot" w:pos="9061"/>
        </w:tabs>
        <w:rPr>
          <w:rFonts w:asciiTheme="minorHAnsi" w:eastAsiaTheme="minorEastAsia" w:hAnsiTheme="minorHAnsi" w:cstheme="minorBidi"/>
          <w:noProof/>
          <w:sz w:val="22"/>
          <w:szCs w:val="22"/>
        </w:rPr>
      </w:pPr>
      <w:hyperlink w:anchor="_Toc90291233" w:history="1">
        <w:r w:rsidR="00FE0EC3" w:rsidRPr="009306D5">
          <w:rPr>
            <w:rStyle w:val="Hyperlink"/>
            <w:noProof/>
          </w:rPr>
          <w:t>Table 2: VAT dispute resolution overview in EU Member States</w:t>
        </w:r>
        <w:r w:rsidR="00FE0EC3" w:rsidRPr="009306D5">
          <w:rPr>
            <w:noProof/>
            <w:webHidden/>
          </w:rPr>
          <w:tab/>
        </w:r>
        <w:r w:rsidR="00FE0EC3" w:rsidRPr="009306D5">
          <w:rPr>
            <w:noProof/>
            <w:webHidden/>
          </w:rPr>
          <w:fldChar w:fldCharType="begin"/>
        </w:r>
        <w:r w:rsidR="00FE0EC3" w:rsidRPr="009306D5">
          <w:rPr>
            <w:noProof/>
            <w:webHidden/>
          </w:rPr>
          <w:instrText xml:space="preserve"> PAGEREF _Toc90291233 \h </w:instrText>
        </w:r>
        <w:r w:rsidR="00FE0EC3" w:rsidRPr="009306D5">
          <w:rPr>
            <w:noProof/>
            <w:webHidden/>
          </w:rPr>
        </w:r>
        <w:r w:rsidR="00FE0EC3" w:rsidRPr="009306D5">
          <w:rPr>
            <w:noProof/>
            <w:webHidden/>
          </w:rPr>
          <w:fldChar w:fldCharType="separate"/>
        </w:r>
        <w:r w:rsidR="00BA2A02" w:rsidRPr="009306D5">
          <w:rPr>
            <w:noProof/>
            <w:webHidden/>
          </w:rPr>
          <w:t>48</w:t>
        </w:r>
        <w:r w:rsidR="00FE0EC3" w:rsidRPr="009306D5">
          <w:rPr>
            <w:noProof/>
            <w:webHidden/>
          </w:rPr>
          <w:fldChar w:fldCharType="end"/>
        </w:r>
      </w:hyperlink>
    </w:p>
    <w:p w14:paraId="69623F07" w14:textId="2337E736" w:rsidR="005B15B7" w:rsidRPr="009306D5" w:rsidRDefault="005B15B7" w:rsidP="005B15B7">
      <w:pPr>
        <w:pStyle w:val="Text1"/>
        <w:ind w:left="0"/>
        <w:rPr>
          <w:noProof/>
        </w:rPr>
      </w:pPr>
      <w:r w:rsidRPr="009306D5">
        <w:rPr>
          <w:noProof/>
        </w:rPr>
        <w:fldChar w:fldCharType="end"/>
      </w:r>
    </w:p>
    <w:p w14:paraId="7918DDAF" w14:textId="77777777" w:rsidR="005B15B7" w:rsidRPr="009306D5" w:rsidRDefault="005B15B7" w:rsidP="005B15B7">
      <w:pPr>
        <w:pStyle w:val="Text1"/>
        <w:ind w:left="0"/>
        <w:rPr>
          <w:noProof/>
          <w:sz w:val="20"/>
        </w:rPr>
      </w:pPr>
      <w:r w:rsidRPr="009306D5">
        <w:rPr>
          <w:noProof/>
        </w:rPr>
        <w:br w:type="page"/>
      </w:r>
    </w:p>
    <w:p w14:paraId="49FD833A" w14:textId="3A9CAA8F" w:rsidR="005B15B7" w:rsidRPr="009306D5" w:rsidRDefault="005B15B7" w:rsidP="005B15B7">
      <w:pPr>
        <w:pStyle w:val="Heading1"/>
        <w:rPr>
          <w:noProof/>
        </w:rPr>
      </w:pPr>
      <w:bookmarkStart w:id="2107" w:name="_Annex_2:_List"/>
      <w:bookmarkStart w:id="2108" w:name="_Annex_3:_List"/>
      <w:bookmarkStart w:id="2109" w:name="_Toc65836490"/>
      <w:bookmarkStart w:id="2110" w:name="_Toc66116431"/>
      <w:bookmarkStart w:id="2111" w:name="_Toc66202100"/>
      <w:bookmarkStart w:id="2112" w:name="_Toc67414277"/>
      <w:bookmarkStart w:id="2113" w:name="_Toc67415203"/>
      <w:bookmarkStart w:id="2114" w:name="_Toc67415368"/>
      <w:bookmarkStart w:id="2115" w:name="_Toc67415648"/>
      <w:bookmarkStart w:id="2116" w:name="_Toc67415909"/>
      <w:bookmarkStart w:id="2117" w:name="_Toc69994955"/>
      <w:bookmarkStart w:id="2118" w:name="_Toc82790305"/>
      <w:bookmarkStart w:id="2119" w:name="_Toc82792874"/>
      <w:bookmarkStart w:id="2120" w:name="_Ref85470839"/>
      <w:bookmarkStart w:id="2121" w:name="_Toc90291269"/>
      <w:bookmarkStart w:id="2122" w:name="_Toc95812983"/>
      <w:bookmarkEnd w:id="2107"/>
      <w:bookmarkEnd w:id="2108"/>
      <w:r w:rsidRPr="009306D5">
        <w:rPr>
          <w:noProof/>
        </w:rPr>
        <w:t>Lisa 3.</w:t>
      </w:r>
      <w:r w:rsidRPr="009306D5">
        <w:rPr>
          <w:noProof/>
          <w:color w:val="000000"/>
        </w:rPr>
        <w:t xml:space="preserve"> </w:t>
      </w:r>
      <w:bookmarkEnd w:id="2090"/>
      <w:bookmarkEnd w:id="2091"/>
      <w:bookmarkEnd w:id="2092"/>
      <w:bookmarkEnd w:id="2093"/>
      <w:bookmarkEnd w:id="2094"/>
      <w:bookmarkEnd w:id="2109"/>
      <w:bookmarkEnd w:id="2110"/>
      <w:bookmarkEnd w:id="2111"/>
      <w:bookmarkEnd w:id="2112"/>
      <w:bookmarkEnd w:id="2113"/>
      <w:bookmarkEnd w:id="2114"/>
      <w:bookmarkEnd w:id="2115"/>
      <w:bookmarkEnd w:id="2116"/>
      <w:bookmarkEnd w:id="2117"/>
      <w:bookmarkEnd w:id="2118"/>
      <w:bookmarkEnd w:id="2119"/>
      <w:r w:rsidRPr="009306D5">
        <w:rPr>
          <w:noProof/>
        </w:rPr>
        <w:t>Viited</w:t>
      </w:r>
      <w:bookmarkEnd w:id="2120"/>
      <w:bookmarkEnd w:id="2121"/>
      <w:bookmarkEnd w:id="2122"/>
    </w:p>
    <w:p w14:paraId="30CF9900" w14:textId="0D183938" w:rsidR="00955890" w:rsidRPr="009306D5" w:rsidRDefault="00955890" w:rsidP="000D13AA">
      <w:pPr>
        <w:pStyle w:val="Text1"/>
        <w:ind w:left="0"/>
        <w:rPr>
          <w:noProof/>
        </w:rPr>
      </w:pPr>
      <w:r w:rsidRPr="009306D5">
        <w:rPr>
          <w:b/>
          <w:i/>
          <w:noProof/>
          <w:sz w:val="20"/>
        </w:rPr>
        <w:t>Käibemaksukohustust käsitlevate veebilehtede loend</w:t>
      </w:r>
    </w:p>
    <w:tbl>
      <w:tblPr>
        <w:tblStyle w:val="GridTable5Dark-Accent5"/>
        <w:tblW w:w="9287" w:type="dxa"/>
        <w:tblLayout w:type="fixed"/>
        <w:tblLook w:val="04A0" w:firstRow="1" w:lastRow="0" w:firstColumn="1" w:lastColumn="0" w:noHBand="0" w:noVBand="1"/>
      </w:tblPr>
      <w:tblGrid>
        <w:gridCol w:w="1555"/>
        <w:gridCol w:w="6208"/>
        <w:gridCol w:w="1524"/>
      </w:tblGrid>
      <w:tr w:rsidR="005B15B7" w:rsidRPr="009306D5" w14:paraId="175B8095" w14:textId="77777777" w:rsidTr="000D13A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DA01D44" w14:textId="77777777" w:rsidR="005B15B7" w:rsidRPr="009306D5" w:rsidRDefault="005B15B7" w:rsidP="000D13AA">
            <w:pPr>
              <w:spacing w:before="40" w:after="40"/>
              <w:jc w:val="center"/>
              <w:rPr>
                <w:rFonts w:cs="Times New Roman"/>
                <w:noProof/>
                <w:sz w:val="18"/>
                <w:szCs w:val="18"/>
              </w:rPr>
            </w:pPr>
            <w:bookmarkStart w:id="2123" w:name="_Toc494897690"/>
            <w:bookmarkStart w:id="2124" w:name="_Toc494898404"/>
            <w:r w:rsidRPr="009306D5">
              <w:rPr>
                <w:noProof/>
                <w:sz w:val="18"/>
                <w:szCs w:val="18"/>
              </w:rPr>
              <w:t>Liikmesriik</w:t>
            </w:r>
          </w:p>
        </w:tc>
        <w:tc>
          <w:tcPr>
            <w:tcW w:w="6208" w:type="dxa"/>
            <w:vAlign w:val="center"/>
          </w:tcPr>
          <w:p w14:paraId="228F8156" w14:textId="5E63AB26" w:rsidR="005B15B7" w:rsidRPr="009306D5" w:rsidRDefault="005B15B7" w:rsidP="000D13AA">
            <w:pPr>
              <w:spacing w:before="40" w:after="40"/>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Veebilehed – lingid on kontrollitud 2020. aasta septembris</w:t>
            </w:r>
            <w:r w:rsidRPr="009306D5">
              <w:rPr>
                <w:rStyle w:val="FootnoteReference"/>
                <w:rFonts w:cs="Times New Roman"/>
                <w:noProof/>
                <w:sz w:val="18"/>
                <w:szCs w:val="18"/>
              </w:rPr>
              <w:footnoteReference w:id="29"/>
            </w:r>
          </w:p>
        </w:tc>
        <w:tc>
          <w:tcPr>
            <w:tcW w:w="1524" w:type="dxa"/>
            <w:vAlign w:val="center"/>
          </w:tcPr>
          <w:p w14:paraId="76618C97" w14:textId="77777777" w:rsidR="005B15B7" w:rsidRPr="009306D5" w:rsidRDefault="005B15B7" w:rsidP="000D13AA">
            <w:pPr>
              <w:spacing w:before="40" w:after="40"/>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Kättesaadav võõrkeeles</w:t>
            </w:r>
          </w:p>
        </w:tc>
      </w:tr>
      <w:tr w:rsidR="005B15B7" w:rsidRPr="009306D5" w14:paraId="541FB73B"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C609432" w14:textId="77777777" w:rsidR="005B15B7" w:rsidRPr="009306D5" w:rsidRDefault="005B15B7" w:rsidP="000D13AA">
            <w:pPr>
              <w:spacing w:before="40" w:after="40"/>
              <w:rPr>
                <w:rFonts w:cs="Times New Roman"/>
                <w:noProof/>
                <w:sz w:val="18"/>
                <w:szCs w:val="18"/>
              </w:rPr>
            </w:pPr>
            <w:r w:rsidRPr="009306D5">
              <w:rPr>
                <w:noProof/>
                <w:sz w:val="18"/>
                <w:szCs w:val="18"/>
              </w:rPr>
              <w:t>Austria</w:t>
            </w:r>
          </w:p>
        </w:tc>
        <w:tc>
          <w:tcPr>
            <w:tcW w:w="6208" w:type="dxa"/>
          </w:tcPr>
          <w:p w14:paraId="10220142" w14:textId="04EF0851"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85" w:history="1">
              <w:r w:rsidR="00831E0D" w:rsidRPr="009306D5">
                <w:rPr>
                  <w:rStyle w:val="Hyperlink"/>
                  <w:noProof/>
                  <w:sz w:val="18"/>
                  <w:szCs w:val="18"/>
                </w:rPr>
                <w:t>https://www.bmf.gv.at/services/publikationen/broschueren-ratgeber.html</w:t>
              </w:r>
            </w:hyperlink>
          </w:p>
          <w:p w14:paraId="0396F235" w14:textId="611ECBF0"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86" w:history="1">
              <w:r w:rsidR="00831E0D" w:rsidRPr="009306D5">
                <w:rPr>
                  <w:rStyle w:val="Hyperlink"/>
                  <w:noProof/>
                  <w:sz w:val="18"/>
                  <w:szCs w:val="18"/>
                </w:rPr>
                <w:t>https://www.bmf.gv.at/en/topics/taxation/vat-assessment-refund.html</w:t>
              </w:r>
            </w:hyperlink>
          </w:p>
        </w:tc>
        <w:tc>
          <w:tcPr>
            <w:tcW w:w="1524" w:type="dxa"/>
          </w:tcPr>
          <w:p w14:paraId="50D69BB1"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3BAD7371"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5FC53BC8" w14:textId="77777777" w:rsidR="005B15B7" w:rsidRPr="009306D5" w:rsidRDefault="005B15B7" w:rsidP="000D13AA">
            <w:pPr>
              <w:spacing w:before="40" w:after="40"/>
              <w:rPr>
                <w:rFonts w:cs="Times New Roman"/>
                <w:noProof/>
                <w:sz w:val="18"/>
                <w:szCs w:val="18"/>
              </w:rPr>
            </w:pPr>
            <w:r w:rsidRPr="009306D5">
              <w:rPr>
                <w:noProof/>
                <w:sz w:val="18"/>
                <w:szCs w:val="18"/>
              </w:rPr>
              <w:t>Belgia</w:t>
            </w:r>
          </w:p>
        </w:tc>
        <w:tc>
          <w:tcPr>
            <w:tcW w:w="6208" w:type="dxa"/>
          </w:tcPr>
          <w:p w14:paraId="2C935055" w14:textId="75829F16"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rPr>
            </w:pPr>
            <w:hyperlink r:id="rId87" w:anchor="q1" w:history="1">
              <w:r w:rsidR="00831E0D" w:rsidRPr="009306D5">
                <w:rPr>
                  <w:rStyle w:val="Hyperlink"/>
                  <w:noProof/>
                  <w:sz w:val="18"/>
                  <w:szCs w:val="18"/>
                </w:rPr>
                <w:t>https://finances.belgium.be/fr/entreprises/tva/declaration/debut_fin_modification_activite#q1</w:t>
              </w:r>
            </w:hyperlink>
          </w:p>
          <w:p w14:paraId="2A7D9D34" w14:textId="2F1DF439"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88" w:anchor="q3" w:history="1">
              <w:r w:rsidR="00831E0D" w:rsidRPr="009306D5">
                <w:rPr>
                  <w:rStyle w:val="Hyperlink"/>
                  <w:noProof/>
                  <w:sz w:val="18"/>
                  <w:szCs w:val="18"/>
                </w:rPr>
                <w:t>https://financien.belgium.be/nl/ondernemingen/btw/aangifte/aanvang_wijziging_einde_activiteit#q3</w:t>
              </w:r>
            </w:hyperlink>
          </w:p>
          <w:p w14:paraId="3004A2F1" w14:textId="2B2EF178"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89" w:history="1">
              <w:r w:rsidR="00831E0D" w:rsidRPr="009306D5">
                <w:rPr>
                  <w:rStyle w:val="Hyperlink"/>
                  <w:noProof/>
                  <w:sz w:val="18"/>
                  <w:szCs w:val="18"/>
                </w:rPr>
                <w:t>https://business.belgium.be/en/setting_up_your_business/registration_with_the_vat_administrations</w:t>
              </w:r>
            </w:hyperlink>
          </w:p>
        </w:tc>
        <w:tc>
          <w:tcPr>
            <w:tcW w:w="1524" w:type="dxa"/>
          </w:tcPr>
          <w:p w14:paraId="3CEBC33B"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33EAD944"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08329B0F" w14:textId="77777777" w:rsidR="005B15B7" w:rsidRPr="009306D5" w:rsidRDefault="005B15B7" w:rsidP="000D13AA">
            <w:pPr>
              <w:spacing w:before="40" w:after="40"/>
              <w:rPr>
                <w:rFonts w:cs="Times New Roman"/>
                <w:noProof/>
                <w:sz w:val="18"/>
                <w:szCs w:val="18"/>
              </w:rPr>
            </w:pPr>
            <w:r w:rsidRPr="009306D5">
              <w:rPr>
                <w:noProof/>
                <w:sz w:val="18"/>
                <w:szCs w:val="18"/>
              </w:rPr>
              <w:t>Bulgaaria</w:t>
            </w:r>
          </w:p>
        </w:tc>
        <w:tc>
          <w:tcPr>
            <w:tcW w:w="6208" w:type="dxa"/>
          </w:tcPr>
          <w:p w14:paraId="18733C3C" w14:textId="42F25C5D"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Style w:val="Hyperlink"/>
                <w:rFonts w:cs="Times New Roman"/>
                <w:noProof/>
              </w:rPr>
            </w:pPr>
            <w:hyperlink r:id="rId90" w:history="1">
              <w:r w:rsidR="00831E0D" w:rsidRPr="009306D5">
                <w:rPr>
                  <w:rStyle w:val="Hyperlink"/>
                  <w:noProof/>
                  <w:sz w:val="18"/>
                  <w:szCs w:val="18"/>
                </w:rPr>
                <w:t>https://old.nra.bg/en/page?id=517</w:t>
              </w:r>
            </w:hyperlink>
            <w:r w:rsidR="00831E0D" w:rsidRPr="009306D5">
              <w:rPr>
                <w:rStyle w:val="Hyperlink"/>
                <w:noProof/>
                <w:sz w:val="18"/>
                <w:szCs w:val="18"/>
              </w:rPr>
              <w:t xml:space="preserve"> </w:t>
            </w:r>
          </w:p>
        </w:tc>
        <w:tc>
          <w:tcPr>
            <w:tcW w:w="1524" w:type="dxa"/>
          </w:tcPr>
          <w:p w14:paraId="17DA7C9A"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0F9562B2"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539DDDD1" w14:textId="77777777" w:rsidR="005B15B7" w:rsidRPr="009306D5" w:rsidRDefault="005B15B7" w:rsidP="000D13AA">
            <w:pPr>
              <w:spacing w:before="40" w:after="40"/>
              <w:rPr>
                <w:rFonts w:cs="Times New Roman"/>
                <w:noProof/>
                <w:sz w:val="18"/>
                <w:szCs w:val="18"/>
              </w:rPr>
            </w:pPr>
            <w:r w:rsidRPr="009306D5">
              <w:rPr>
                <w:noProof/>
                <w:sz w:val="18"/>
                <w:szCs w:val="18"/>
              </w:rPr>
              <w:t>Horvaatia</w:t>
            </w:r>
          </w:p>
        </w:tc>
        <w:tc>
          <w:tcPr>
            <w:tcW w:w="6208" w:type="dxa"/>
          </w:tcPr>
          <w:p w14:paraId="6A538C24" w14:textId="66CE3878"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Style w:val="Hyperlink"/>
                <w:rFonts w:cs="Times New Roman"/>
                <w:noProof/>
                <w:sz w:val="18"/>
                <w:szCs w:val="18"/>
              </w:rPr>
            </w:pPr>
            <w:hyperlink r:id="rId91" w:history="1">
              <w:r w:rsidR="00831E0D" w:rsidRPr="009306D5">
                <w:rPr>
                  <w:rStyle w:val="Hyperlink"/>
                  <w:noProof/>
                  <w:sz w:val="18"/>
                  <w:szCs w:val="18"/>
                </w:rPr>
                <w:t>https://www.porezna-uprava.hr/PdviEu/Stranice/PDViEU.aspx</w:t>
              </w:r>
            </w:hyperlink>
          </w:p>
          <w:p w14:paraId="22342C87" w14:textId="105947E3"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92" w:history="1">
              <w:r w:rsidR="00831E0D" w:rsidRPr="009306D5">
                <w:rPr>
                  <w:rStyle w:val="Hyperlink"/>
                  <w:noProof/>
                  <w:sz w:val="18"/>
                  <w:szCs w:val="18"/>
                </w:rPr>
                <w:t>https://www.porezna-uprava.hr/en/EN_porezni_sustav/Pages/value_added_tax.aspx</w:t>
              </w:r>
            </w:hyperlink>
          </w:p>
        </w:tc>
        <w:tc>
          <w:tcPr>
            <w:tcW w:w="1524" w:type="dxa"/>
          </w:tcPr>
          <w:p w14:paraId="469CFCA7"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14F1BD50"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70F7F9D6" w14:textId="77777777" w:rsidR="005B15B7" w:rsidRPr="009306D5" w:rsidRDefault="005B15B7" w:rsidP="000D13AA">
            <w:pPr>
              <w:spacing w:before="40" w:after="40"/>
              <w:rPr>
                <w:rFonts w:cs="Times New Roman"/>
                <w:noProof/>
                <w:sz w:val="18"/>
                <w:szCs w:val="18"/>
              </w:rPr>
            </w:pPr>
            <w:r w:rsidRPr="009306D5">
              <w:rPr>
                <w:noProof/>
                <w:sz w:val="18"/>
                <w:szCs w:val="18"/>
              </w:rPr>
              <w:t>Küpros</w:t>
            </w:r>
          </w:p>
        </w:tc>
        <w:tc>
          <w:tcPr>
            <w:tcW w:w="6208" w:type="dxa"/>
          </w:tcPr>
          <w:p w14:paraId="74388944" w14:textId="4C277F58"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93" w:history="1">
              <w:r w:rsidR="00831E0D" w:rsidRPr="009306D5">
                <w:rPr>
                  <w:rStyle w:val="Hyperlink"/>
                  <w:noProof/>
                  <w:sz w:val="18"/>
                  <w:szCs w:val="18"/>
                </w:rPr>
                <w:t>https://www.mof.gov.cy/mof/tax/taxdep.nsf/All/A80CE65EF4296B63C225854A00316AD0?OpenDocument</w:t>
              </w:r>
            </w:hyperlink>
          </w:p>
        </w:tc>
        <w:tc>
          <w:tcPr>
            <w:tcW w:w="1524" w:type="dxa"/>
          </w:tcPr>
          <w:p w14:paraId="37F6DFBA"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65A777D9"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18F85844" w14:textId="77777777" w:rsidR="005B15B7" w:rsidRPr="009306D5" w:rsidRDefault="005B15B7" w:rsidP="000D13AA">
            <w:pPr>
              <w:spacing w:before="40" w:after="40"/>
              <w:rPr>
                <w:rFonts w:cs="Times New Roman"/>
                <w:noProof/>
                <w:sz w:val="18"/>
                <w:szCs w:val="18"/>
              </w:rPr>
            </w:pPr>
            <w:r w:rsidRPr="009306D5">
              <w:rPr>
                <w:noProof/>
                <w:sz w:val="18"/>
                <w:szCs w:val="18"/>
              </w:rPr>
              <w:t>Tšehhi Vabariik</w:t>
            </w:r>
          </w:p>
        </w:tc>
        <w:tc>
          <w:tcPr>
            <w:tcW w:w="6208" w:type="dxa"/>
          </w:tcPr>
          <w:p w14:paraId="0A5EF702" w14:textId="224D2F6F"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94" w:history="1">
              <w:r w:rsidR="00831E0D" w:rsidRPr="009306D5">
                <w:rPr>
                  <w:rStyle w:val="Hyperlink"/>
                  <w:noProof/>
                  <w:sz w:val="18"/>
                  <w:szCs w:val="18"/>
                </w:rPr>
                <w:t>https://www.financnisprava.cz/en/taxes/vat-registration-for-non-established-per</w:t>
              </w:r>
            </w:hyperlink>
          </w:p>
        </w:tc>
        <w:tc>
          <w:tcPr>
            <w:tcW w:w="1524" w:type="dxa"/>
          </w:tcPr>
          <w:p w14:paraId="7836B415"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0B6629C5"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4ADA129" w14:textId="77777777" w:rsidR="005B15B7" w:rsidRPr="009306D5" w:rsidRDefault="005B15B7" w:rsidP="000D13AA">
            <w:pPr>
              <w:spacing w:before="40" w:after="40"/>
              <w:rPr>
                <w:rFonts w:cs="Times New Roman"/>
                <w:noProof/>
                <w:sz w:val="18"/>
                <w:szCs w:val="18"/>
              </w:rPr>
            </w:pPr>
            <w:r w:rsidRPr="009306D5">
              <w:rPr>
                <w:noProof/>
                <w:sz w:val="18"/>
                <w:szCs w:val="18"/>
              </w:rPr>
              <w:t>Taani</w:t>
            </w:r>
          </w:p>
        </w:tc>
        <w:tc>
          <w:tcPr>
            <w:tcW w:w="6208" w:type="dxa"/>
          </w:tcPr>
          <w:p w14:paraId="740CA039" w14:textId="06216E59"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95" w:history="1">
              <w:r w:rsidR="00831E0D" w:rsidRPr="009306D5">
                <w:rPr>
                  <w:rStyle w:val="Hyperlink"/>
                  <w:noProof/>
                  <w:sz w:val="18"/>
                  <w:szCs w:val="18"/>
                </w:rPr>
                <w:t>https://skat.dk/skat.aspx?oid=2234572</w:t>
              </w:r>
            </w:hyperlink>
          </w:p>
          <w:p w14:paraId="236B8DFD" w14:textId="4B930893"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96" w:history="1">
              <w:r w:rsidR="00831E0D" w:rsidRPr="009306D5">
                <w:rPr>
                  <w:rStyle w:val="Hyperlink"/>
                  <w:noProof/>
                  <w:sz w:val="18"/>
                  <w:szCs w:val="18"/>
                </w:rPr>
                <w:t>https://skat.dk/skat.aspx?oid=2244390</w:t>
              </w:r>
            </w:hyperlink>
          </w:p>
          <w:p w14:paraId="7032F04F" w14:textId="62BCCABD"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Style w:val="Hyperlink"/>
                <w:rFonts w:cs="Times New Roman"/>
                <w:noProof/>
                <w:sz w:val="18"/>
                <w:szCs w:val="18"/>
              </w:rPr>
            </w:pPr>
            <w:hyperlink r:id="rId97" w:history="1">
              <w:r w:rsidR="00831E0D" w:rsidRPr="009306D5">
                <w:rPr>
                  <w:rStyle w:val="Hyperlink"/>
                  <w:noProof/>
                  <w:sz w:val="18"/>
                  <w:szCs w:val="18"/>
                </w:rPr>
                <w:t>https://indberet.virk.dk/myndigheder/stat/ERST/Start_virksomhed</w:t>
              </w:r>
            </w:hyperlink>
          </w:p>
          <w:p w14:paraId="6D39F8E3" w14:textId="7FBA9E9B"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98" w:history="1">
              <w:r w:rsidR="00831E0D" w:rsidRPr="009306D5">
                <w:rPr>
                  <w:rStyle w:val="Hyperlink"/>
                  <w:noProof/>
                  <w:sz w:val="18"/>
                  <w:szCs w:val="18"/>
                </w:rPr>
                <w:t>https://indberet.virk.dk/myndigheder/stat/ERST/Webreg_aendre_virksomhed__lukke_virksomhed</w:t>
              </w:r>
            </w:hyperlink>
          </w:p>
        </w:tc>
        <w:tc>
          <w:tcPr>
            <w:tcW w:w="1524" w:type="dxa"/>
          </w:tcPr>
          <w:p w14:paraId="640E15C6"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1E46F9A5"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95D2010" w14:textId="77777777" w:rsidR="005B15B7" w:rsidRPr="009306D5" w:rsidRDefault="005B15B7" w:rsidP="000D13AA">
            <w:pPr>
              <w:spacing w:before="40" w:after="40"/>
              <w:rPr>
                <w:rFonts w:cs="Times New Roman"/>
                <w:noProof/>
                <w:sz w:val="18"/>
                <w:szCs w:val="18"/>
              </w:rPr>
            </w:pPr>
            <w:r w:rsidRPr="009306D5">
              <w:rPr>
                <w:noProof/>
                <w:sz w:val="18"/>
                <w:szCs w:val="18"/>
              </w:rPr>
              <w:t>Eesti</w:t>
            </w:r>
          </w:p>
        </w:tc>
        <w:tc>
          <w:tcPr>
            <w:tcW w:w="6208" w:type="dxa"/>
          </w:tcPr>
          <w:p w14:paraId="34A3FA2D" w14:textId="35639A5E"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99" w:history="1">
              <w:r w:rsidR="00831E0D" w:rsidRPr="009306D5">
                <w:rPr>
                  <w:rStyle w:val="Hyperlink"/>
                  <w:noProof/>
                  <w:sz w:val="18"/>
                  <w:szCs w:val="18"/>
                </w:rPr>
                <w:t>https://www.emta.ee/eng/business-client/registration-business/registration-and-deletion-person-liable-value-added-tax</w:t>
              </w:r>
            </w:hyperlink>
          </w:p>
          <w:p w14:paraId="11C16D90" w14:textId="4925DDF1"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00" w:history="1">
              <w:r w:rsidR="00831E0D" w:rsidRPr="009306D5">
                <w:rPr>
                  <w:rStyle w:val="Hyperlink"/>
                  <w:noProof/>
                  <w:sz w:val="18"/>
                  <w:szCs w:val="18"/>
                </w:rPr>
                <w:t>https://www.emta.ee/eng/business-client/registration-business/registration-foreign-traders-vat-liability</w:t>
              </w:r>
            </w:hyperlink>
          </w:p>
        </w:tc>
        <w:tc>
          <w:tcPr>
            <w:tcW w:w="1524" w:type="dxa"/>
          </w:tcPr>
          <w:p w14:paraId="4494DF4A"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1B932DF6"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3E3E7AA" w14:textId="77777777" w:rsidR="005B15B7" w:rsidRPr="009306D5" w:rsidRDefault="005B15B7" w:rsidP="000D13AA">
            <w:pPr>
              <w:spacing w:before="40" w:after="40"/>
              <w:rPr>
                <w:rFonts w:cs="Times New Roman"/>
                <w:noProof/>
                <w:sz w:val="18"/>
                <w:szCs w:val="18"/>
              </w:rPr>
            </w:pPr>
            <w:r w:rsidRPr="009306D5">
              <w:rPr>
                <w:noProof/>
                <w:sz w:val="18"/>
                <w:szCs w:val="18"/>
              </w:rPr>
              <w:t>Soome</w:t>
            </w:r>
          </w:p>
        </w:tc>
        <w:tc>
          <w:tcPr>
            <w:tcW w:w="6208" w:type="dxa"/>
          </w:tcPr>
          <w:p w14:paraId="793B2B7D" w14:textId="4CC03F91"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101" w:history="1">
              <w:r w:rsidR="00831E0D" w:rsidRPr="009306D5">
                <w:rPr>
                  <w:rStyle w:val="Hyperlink"/>
                  <w:noProof/>
                  <w:sz w:val="18"/>
                  <w:szCs w:val="18"/>
                </w:rPr>
                <w:t>https://www.vero.fi/en/businesses-and-corporations/about-corporate-taxes/vat/</w:t>
              </w:r>
            </w:hyperlink>
          </w:p>
        </w:tc>
        <w:tc>
          <w:tcPr>
            <w:tcW w:w="1524" w:type="dxa"/>
          </w:tcPr>
          <w:p w14:paraId="6E00463B"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4894359F"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7856F8D3" w14:textId="77777777" w:rsidR="005B15B7" w:rsidRPr="009306D5" w:rsidRDefault="005B15B7" w:rsidP="000D13AA">
            <w:pPr>
              <w:spacing w:before="40" w:after="40"/>
              <w:rPr>
                <w:rFonts w:cs="Times New Roman"/>
                <w:noProof/>
                <w:sz w:val="18"/>
                <w:szCs w:val="18"/>
              </w:rPr>
            </w:pPr>
            <w:r w:rsidRPr="009306D5">
              <w:rPr>
                <w:noProof/>
                <w:sz w:val="18"/>
                <w:szCs w:val="18"/>
              </w:rPr>
              <w:t>Prantsusmaa</w:t>
            </w:r>
          </w:p>
        </w:tc>
        <w:tc>
          <w:tcPr>
            <w:tcW w:w="6208" w:type="dxa"/>
          </w:tcPr>
          <w:p w14:paraId="3B94BB47" w14:textId="06536F6D"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color w:val="000000"/>
                <w:sz w:val="18"/>
                <w:szCs w:val="18"/>
              </w:rPr>
            </w:pPr>
            <w:hyperlink r:id="rId102" w:history="1">
              <w:r w:rsidR="00831E0D" w:rsidRPr="009306D5">
                <w:rPr>
                  <w:rStyle w:val="Hyperlink"/>
                  <w:noProof/>
                  <w:sz w:val="18"/>
                  <w:szCs w:val="18"/>
                </w:rPr>
                <w:t>https://www.impots.gouv.fr/portail/</w:t>
              </w:r>
            </w:hyperlink>
          </w:p>
          <w:p w14:paraId="53E159C0" w14:textId="49E66298"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03" w:history="1">
              <w:r w:rsidR="00831E0D" w:rsidRPr="009306D5">
                <w:rPr>
                  <w:rStyle w:val="Hyperlink"/>
                  <w:noProof/>
                  <w:sz w:val="18"/>
                  <w:szCs w:val="18"/>
                </w:rPr>
                <w:t>https://www.impots.gouv.fr/portail/international_en/business</w:t>
              </w:r>
            </w:hyperlink>
          </w:p>
        </w:tc>
        <w:tc>
          <w:tcPr>
            <w:tcW w:w="1524" w:type="dxa"/>
          </w:tcPr>
          <w:p w14:paraId="073CF51E"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19CC45F7"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78D9F7AA" w14:textId="7ACD448A" w:rsidR="005B15B7" w:rsidRPr="009306D5" w:rsidRDefault="005B15B7" w:rsidP="000D13AA">
            <w:pPr>
              <w:spacing w:before="40" w:after="40"/>
              <w:rPr>
                <w:rFonts w:cs="Times New Roman"/>
                <w:noProof/>
                <w:sz w:val="18"/>
                <w:szCs w:val="18"/>
              </w:rPr>
            </w:pPr>
            <w:r w:rsidRPr="009306D5">
              <w:rPr>
                <w:noProof/>
                <w:sz w:val="18"/>
                <w:szCs w:val="18"/>
              </w:rPr>
              <w:t>Saksamaa</w:t>
            </w:r>
            <w:r w:rsidRPr="009306D5">
              <w:rPr>
                <w:rStyle w:val="FootnoteReference"/>
                <w:rFonts w:cs="Times New Roman"/>
                <w:noProof/>
                <w:sz w:val="18"/>
                <w:szCs w:val="18"/>
              </w:rPr>
              <w:footnoteReference w:id="30"/>
            </w:r>
          </w:p>
        </w:tc>
        <w:tc>
          <w:tcPr>
            <w:tcW w:w="6208" w:type="dxa"/>
          </w:tcPr>
          <w:p w14:paraId="5CFF2BF8" w14:textId="26612B53"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Style w:val="Hyperlink"/>
                <w:rFonts w:cs="Times New Roman"/>
                <w:noProof/>
                <w:sz w:val="18"/>
                <w:szCs w:val="18"/>
              </w:rPr>
            </w:pPr>
            <w:hyperlink r:id="rId104" w:history="1">
              <w:r w:rsidR="00831E0D" w:rsidRPr="009306D5">
                <w:rPr>
                  <w:rStyle w:val="Hyperlink"/>
                  <w:noProof/>
                  <w:sz w:val="18"/>
                  <w:szCs w:val="18"/>
                </w:rPr>
                <w:t>https://www.finanzamt.bayern.de/Informationen/Steuerinfos/Zielgruppen/Existenzgruender/default.php?f=Muenchen&amp;c=n&amp;d=x&amp;t=x</w:t>
              </w:r>
            </w:hyperlink>
          </w:p>
          <w:p w14:paraId="4446A2A2" w14:textId="78C7DB47"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105" w:history="1">
              <w:r w:rsidR="00831E0D" w:rsidRPr="009306D5">
                <w:rPr>
                  <w:rStyle w:val="Hyperlink"/>
                  <w:noProof/>
                  <w:sz w:val="18"/>
                  <w:szCs w:val="18"/>
                </w:rPr>
                <w:t>https://service.berlin.de/dienstleistung/325409/</w:t>
              </w:r>
            </w:hyperlink>
          </w:p>
        </w:tc>
        <w:tc>
          <w:tcPr>
            <w:tcW w:w="1524" w:type="dxa"/>
          </w:tcPr>
          <w:p w14:paraId="64D9FD03"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68F3211E"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4CA4E175" w14:textId="77777777" w:rsidR="005B15B7" w:rsidRPr="009306D5" w:rsidRDefault="005B15B7" w:rsidP="000D13AA">
            <w:pPr>
              <w:spacing w:before="40" w:after="40"/>
              <w:rPr>
                <w:rFonts w:cs="Times New Roman"/>
                <w:noProof/>
                <w:sz w:val="18"/>
                <w:szCs w:val="18"/>
              </w:rPr>
            </w:pPr>
            <w:r w:rsidRPr="009306D5">
              <w:rPr>
                <w:noProof/>
                <w:sz w:val="18"/>
                <w:szCs w:val="18"/>
              </w:rPr>
              <w:t>Kreeka</w:t>
            </w:r>
          </w:p>
        </w:tc>
        <w:tc>
          <w:tcPr>
            <w:tcW w:w="6208" w:type="dxa"/>
          </w:tcPr>
          <w:p w14:paraId="6C6A1F57" w14:textId="2634219D"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06" w:history="1">
              <w:r w:rsidR="00831E0D" w:rsidRPr="009306D5">
                <w:rPr>
                  <w:rStyle w:val="Hyperlink"/>
                  <w:noProof/>
                  <w:sz w:val="18"/>
                  <w:szCs w:val="18"/>
                </w:rPr>
                <w:t>https://www.aade.gr/menoy/hristikoi-odigoi/forologikes-ypohreoseis-agroton</w:t>
              </w:r>
            </w:hyperlink>
          </w:p>
        </w:tc>
        <w:tc>
          <w:tcPr>
            <w:tcW w:w="1524" w:type="dxa"/>
          </w:tcPr>
          <w:p w14:paraId="3E4144A4"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Ei</w:t>
            </w:r>
          </w:p>
        </w:tc>
      </w:tr>
      <w:tr w:rsidR="005B15B7" w:rsidRPr="009306D5" w14:paraId="531D6D70"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524A580F" w14:textId="77777777" w:rsidR="005B15B7" w:rsidRPr="009306D5" w:rsidRDefault="005B15B7" w:rsidP="000D13AA">
            <w:pPr>
              <w:spacing w:before="40" w:after="40"/>
              <w:rPr>
                <w:rFonts w:cs="Times New Roman"/>
                <w:noProof/>
                <w:sz w:val="18"/>
                <w:szCs w:val="18"/>
              </w:rPr>
            </w:pPr>
            <w:r w:rsidRPr="009306D5">
              <w:rPr>
                <w:noProof/>
                <w:sz w:val="18"/>
                <w:szCs w:val="18"/>
              </w:rPr>
              <w:t>Ungari</w:t>
            </w:r>
          </w:p>
        </w:tc>
        <w:tc>
          <w:tcPr>
            <w:tcW w:w="6208" w:type="dxa"/>
          </w:tcPr>
          <w:p w14:paraId="09212154" w14:textId="38FA5063"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Style w:val="Hyperlink"/>
                <w:rFonts w:cs="Times New Roman"/>
                <w:noProof/>
                <w:sz w:val="18"/>
                <w:szCs w:val="18"/>
              </w:rPr>
            </w:pPr>
            <w:hyperlink r:id="rId107" w:history="1">
              <w:r w:rsidR="00831E0D" w:rsidRPr="009306D5">
                <w:rPr>
                  <w:rStyle w:val="Hyperlink"/>
                  <w:noProof/>
                  <w:sz w:val="18"/>
                  <w:szCs w:val="18"/>
                </w:rPr>
                <w:t>https://en.nav.gov.hu/taxation/taxpayer_registration/general_rules.html</w:t>
              </w:r>
            </w:hyperlink>
            <w:r w:rsidR="00831E0D" w:rsidRPr="009306D5">
              <w:rPr>
                <w:rStyle w:val="Hyperlink"/>
                <w:noProof/>
                <w:sz w:val="18"/>
                <w:szCs w:val="18"/>
              </w:rPr>
              <w:t xml:space="preserve"> </w:t>
            </w:r>
          </w:p>
          <w:p w14:paraId="570839E1" w14:textId="75EAC353"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108" w:history="1">
              <w:r w:rsidR="00831E0D" w:rsidRPr="009306D5">
                <w:rPr>
                  <w:rStyle w:val="Hyperlink"/>
                  <w:noProof/>
                  <w:sz w:val="18"/>
                  <w:szCs w:val="18"/>
                </w:rPr>
                <w:t>https://en.nav.gov.hu/taxation/taxpayer_registration/specific_rules.html</w:t>
              </w:r>
            </w:hyperlink>
            <w:r w:rsidR="00831E0D" w:rsidRPr="009306D5">
              <w:rPr>
                <w:noProof/>
                <w:sz w:val="18"/>
                <w:szCs w:val="18"/>
              </w:rPr>
              <w:t xml:space="preserve"> </w:t>
            </w:r>
          </w:p>
        </w:tc>
        <w:tc>
          <w:tcPr>
            <w:tcW w:w="1524" w:type="dxa"/>
          </w:tcPr>
          <w:p w14:paraId="71A14693"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12AF9C6E"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AFC3B3A" w14:textId="77777777" w:rsidR="005B15B7" w:rsidRPr="009306D5" w:rsidRDefault="005B15B7" w:rsidP="000D13AA">
            <w:pPr>
              <w:spacing w:before="40" w:after="40"/>
              <w:rPr>
                <w:rFonts w:cs="Times New Roman"/>
                <w:noProof/>
                <w:sz w:val="18"/>
                <w:szCs w:val="18"/>
              </w:rPr>
            </w:pPr>
            <w:r w:rsidRPr="009306D5">
              <w:rPr>
                <w:noProof/>
                <w:sz w:val="18"/>
                <w:szCs w:val="18"/>
              </w:rPr>
              <w:t>Iirimaa</w:t>
            </w:r>
          </w:p>
        </w:tc>
        <w:tc>
          <w:tcPr>
            <w:tcW w:w="6208" w:type="dxa"/>
          </w:tcPr>
          <w:p w14:paraId="2978FC3C" w14:textId="4A542D6E"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09" w:history="1">
              <w:r w:rsidR="00831E0D" w:rsidRPr="009306D5">
                <w:rPr>
                  <w:rStyle w:val="Hyperlink"/>
                  <w:noProof/>
                  <w:sz w:val="18"/>
                  <w:szCs w:val="18"/>
                </w:rPr>
                <w:t>https://www.revenue.ie/en/vat/vat-registration/how-do-you-register-for-vat/index.aspx</w:t>
              </w:r>
            </w:hyperlink>
          </w:p>
        </w:tc>
        <w:tc>
          <w:tcPr>
            <w:tcW w:w="1524" w:type="dxa"/>
          </w:tcPr>
          <w:p w14:paraId="21714D4F" w14:textId="1DF5D42B"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Ei</w:t>
            </w:r>
            <w:r w:rsidRPr="009306D5">
              <w:rPr>
                <w:rStyle w:val="FootnoteReference"/>
                <w:rFonts w:cs="Times New Roman"/>
                <w:noProof/>
                <w:sz w:val="18"/>
                <w:szCs w:val="18"/>
              </w:rPr>
              <w:footnoteReference w:id="31"/>
            </w:r>
          </w:p>
        </w:tc>
      </w:tr>
      <w:tr w:rsidR="005B15B7" w:rsidRPr="009306D5" w14:paraId="4EF138C9"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7610DB6F" w14:textId="77777777" w:rsidR="005B15B7" w:rsidRPr="009306D5" w:rsidRDefault="005B15B7" w:rsidP="000D13AA">
            <w:pPr>
              <w:spacing w:before="40" w:after="40"/>
              <w:rPr>
                <w:rFonts w:cs="Times New Roman"/>
                <w:noProof/>
                <w:sz w:val="18"/>
                <w:szCs w:val="18"/>
              </w:rPr>
            </w:pPr>
            <w:r w:rsidRPr="009306D5">
              <w:rPr>
                <w:noProof/>
                <w:sz w:val="18"/>
                <w:szCs w:val="18"/>
              </w:rPr>
              <w:t>Itaalia</w:t>
            </w:r>
          </w:p>
        </w:tc>
        <w:tc>
          <w:tcPr>
            <w:tcW w:w="6208" w:type="dxa"/>
          </w:tcPr>
          <w:p w14:paraId="7FBF295B" w14:textId="1A5FAC8E"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Style w:val="Hyperlink"/>
                <w:rFonts w:cs="Times New Roman"/>
                <w:noProof/>
                <w:sz w:val="18"/>
                <w:szCs w:val="18"/>
              </w:rPr>
            </w:pPr>
            <w:hyperlink r:id="rId110" w:history="1">
              <w:r w:rsidR="00831E0D" w:rsidRPr="009306D5">
                <w:rPr>
                  <w:rStyle w:val="Hyperlink"/>
                  <w:noProof/>
                  <w:sz w:val="18"/>
                  <w:szCs w:val="18"/>
                </w:rPr>
                <w:t>https://www.agenziaentrate.gov.it/portale/web/guest/imprese/istanze/partita-iva</w:t>
              </w:r>
            </w:hyperlink>
          </w:p>
          <w:p w14:paraId="63A287F6" w14:textId="636B8406"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111" w:history="1">
              <w:r w:rsidR="00831E0D" w:rsidRPr="009306D5">
                <w:rPr>
                  <w:rStyle w:val="Hyperlink"/>
                  <w:noProof/>
                  <w:sz w:val="18"/>
                  <w:szCs w:val="18"/>
                </w:rPr>
                <w:t>https://www.agenziaentrate.gov.it/portale/web/english/nse/business/vat-in-italy/vat-registration</w:t>
              </w:r>
            </w:hyperlink>
          </w:p>
        </w:tc>
        <w:tc>
          <w:tcPr>
            <w:tcW w:w="1524" w:type="dxa"/>
          </w:tcPr>
          <w:p w14:paraId="6D46C49A"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06E3A97D"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171C6624" w14:textId="77777777" w:rsidR="005B15B7" w:rsidRPr="009306D5" w:rsidRDefault="005B15B7" w:rsidP="000D13AA">
            <w:pPr>
              <w:spacing w:before="40" w:after="40"/>
              <w:rPr>
                <w:rFonts w:cs="Times New Roman"/>
                <w:noProof/>
                <w:sz w:val="18"/>
                <w:szCs w:val="18"/>
              </w:rPr>
            </w:pPr>
            <w:r w:rsidRPr="009306D5">
              <w:rPr>
                <w:noProof/>
                <w:sz w:val="18"/>
                <w:szCs w:val="18"/>
              </w:rPr>
              <w:t>Läti</w:t>
            </w:r>
          </w:p>
        </w:tc>
        <w:tc>
          <w:tcPr>
            <w:tcW w:w="6208" w:type="dxa"/>
          </w:tcPr>
          <w:p w14:paraId="378734DE" w14:textId="2EB4BC1D"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12" w:history="1">
              <w:r w:rsidR="00831E0D" w:rsidRPr="009306D5">
                <w:rPr>
                  <w:rStyle w:val="Hyperlink"/>
                  <w:noProof/>
                  <w:sz w:val="18"/>
                  <w:szCs w:val="18"/>
                </w:rPr>
                <w:t>https://www.vid.gov.lv/en/value-added-tax</w:t>
              </w:r>
            </w:hyperlink>
            <w:r w:rsidR="00831E0D" w:rsidRPr="009306D5">
              <w:rPr>
                <w:noProof/>
                <w:sz w:val="18"/>
                <w:szCs w:val="18"/>
              </w:rPr>
              <w:t xml:space="preserve"> </w:t>
            </w:r>
          </w:p>
        </w:tc>
        <w:tc>
          <w:tcPr>
            <w:tcW w:w="1524" w:type="dxa"/>
          </w:tcPr>
          <w:p w14:paraId="5903EE8E"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6B9A899D"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6E9C31A" w14:textId="77777777" w:rsidR="005B15B7" w:rsidRPr="009306D5" w:rsidRDefault="005B15B7" w:rsidP="000D13AA">
            <w:pPr>
              <w:spacing w:before="40" w:after="40"/>
              <w:rPr>
                <w:rFonts w:cs="Times New Roman"/>
                <w:noProof/>
                <w:sz w:val="18"/>
                <w:szCs w:val="18"/>
              </w:rPr>
            </w:pPr>
            <w:r w:rsidRPr="009306D5">
              <w:rPr>
                <w:noProof/>
                <w:sz w:val="18"/>
                <w:szCs w:val="18"/>
              </w:rPr>
              <w:t>Leedu</w:t>
            </w:r>
          </w:p>
        </w:tc>
        <w:tc>
          <w:tcPr>
            <w:tcW w:w="6208" w:type="dxa"/>
          </w:tcPr>
          <w:p w14:paraId="30EE9A1B" w14:textId="66A16785"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113" w:history="1">
              <w:r w:rsidR="00831E0D" w:rsidRPr="009306D5">
                <w:rPr>
                  <w:rStyle w:val="Hyperlink"/>
                  <w:noProof/>
                  <w:sz w:val="18"/>
                  <w:szCs w:val="18"/>
                </w:rPr>
                <w:t>https://www.vmi.lt/cms/en/mokesciu-moketoju-iregistravimas-pvm-moketoju-registre</w:t>
              </w:r>
            </w:hyperlink>
          </w:p>
        </w:tc>
        <w:tc>
          <w:tcPr>
            <w:tcW w:w="1524" w:type="dxa"/>
          </w:tcPr>
          <w:p w14:paraId="4C9AD998"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0090B726"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29E2D5E" w14:textId="77777777" w:rsidR="005B15B7" w:rsidRPr="009306D5" w:rsidRDefault="005B15B7" w:rsidP="000D13AA">
            <w:pPr>
              <w:spacing w:before="40" w:after="40"/>
              <w:rPr>
                <w:rFonts w:cs="Times New Roman"/>
                <w:noProof/>
                <w:sz w:val="18"/>
                <w:szCs w:val="18"/>
              </w:rPr>
            </w:pPr>
            <w:r w:rsidRPr="009306D5">
              <w:rPr>
                <w:noProof/>
                <w:sz w:val="18"/>
                <w:szCs w:val="18"/>
              </w:rPr>
              <w:t>Luksemburg</w:t>
            </w:r>
          </w:p>
        </w:tc>
        <w:tc>
          <w:tcPr>
            <w:tcW w:w="6208" w:type="dxa"/>
          </w:tcPr>
          <w:p w14:paraId="293F4731" w14:textId="590D41FD"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14" w:history="1">
              <w:r w:rsidR="00831E0D" w:rsidRPr="009306D5">
                <w:rPr>
                  <w:rStyle w:val="Hyperlink"/>
                  <w:noProof/>
                  <w:sz w:val="18"/>
                  <w:szCs w:val="18"/>
                </w:rPr>
                <w:t>https://guichet.public.lu/fr/citoyens/impots-taxes/exercice-activite-independant/inscription-adm-fiscales/inscrire-tva.html</w:t>
              </w:r>
            </w:hyperlink>
          </w:p>
        </w:tc>
        <w:tc>
          <w:tcPr>
            <w:tcW w:w="1524" w:type="dxa"/>
          </w:tcPr>
          <w:p w14:paraId="7B9AE6AF"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20D1D1AA"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4ACECBC0" w14:textId="77777777" w:rsidR="005B15B7" w:rsidRPr="009306D5" w:rsidRDefault="005B15B7" w:rsidP="000D13AA">
            <w:pPr>
              <w:spacing w:before="40" w:after="40"/>
              <w:rPr>
                <w:rFonts w:cs="Times New Roman"/>
                <w:noProof/>
                <w:sz w:val="18"/>
                <w:szCs w:val="18"/>
              </w:rPr>
            </w:pPr>
            <w:r w:rsidRPr="009306D5">
              <w:rPr>
                <w:noProof/>
                <w:sz w:val="18"/>
                <w:szCs w:val="18"/>
              </w:rPr>
              <w:t>Malta</w:t>
            </w:r>
          </w:p>
        </w:tc>
        <w:tc>
          <w:tcPr>
            <w:tcW w:w="6208" w:type="dxa"/>
          </w:tcPr>
          <w:p w14:paraId="7A6B5F43" w14:textId="6CA97D98"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115" w:history="1">
              <w:r w:rsidR="00831E0D" w:rsidRPr="009306D5">
                <w:rPr>
                  <w:rStyle w:val="Hyperlink"/>
                  <w:noProof/>
                  <w:sz w:val="18"/>
                  <w:szCs w:val="18"/>
                </w:rPr>
                <w:t>https://cfr.gov.mt/en/faqs/Pages/VAT/VAT-FAQs.aspx</w:t>
              </w:r>
            </w:hyperlink>
          </w:p>
        </w:tc>
        <w:tc>
          <w:tcPr>
            <w:tcW w:w="1524" w:type="dxa"/>
          </w:tcPr>
          <w:p w14:paraId="043282D5"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Ei</w:t>
            </w:r>
          </w:p>
        </w:tc>
      </w:tr>
      <w:tr w:rsidR="005B15B7" w:rsidRPr="009306D5" w14:paraId="6E75B311"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C6527A6" w14:textId="77777777" w:rsidR="005B15B7" w:rsidRPr="009306D5" w:rsidRDefault="005B15B7" w:rsidP="000D13AA">
            <w:pPr>
              <w:spacing w:before="40" w:after="40"/>
              <w:rPr>
                <w:rFonts w:cs="Times New Roman"/>
                <w:noProof/>
                <w:sz w:val="18"/>
                <w:szCs w:val="18"/>
              </w:rPr>
            </w:pPr>
            <w:r w:rsidRPr="009306D5">
              <w:rPr>
                <w:noProof/>
                <w:sz w:val="18"/>
                <w:szCs w:val="18"/>
              </w:rPr>
              <w:t>Madalmaad</w:t>
            </w:r>
          </w:p>
        </w:tc>
        <w:tc>
          <w:tcPr>
            <w:tcW w:w="6208" w:type="dxa"/>
          </w:tcPr>
          <w:p w14:paraId="3FAECA52" w14:textId="3D4425A2"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16" w:history="1">
              <w:r w:rsidR="00831E0D" w:rsidRPr="009306D5">
                <w:rPr>
                  <w:rStyle w:val="Hyperlink"/>
                  <w:noProof/>
                  <w:sz w:val="18"/>
                  <w:szCs w:val="18"/>
                </w:rPr>
                <w:t>https://www.belastingdienst.nl/wps/wcm/connect/bldcontenten/belastingdienst/business/vat/vat_in_the_netherlands/your_tax_office_and_registration/your_tax_office_and_registration</w:t>
              </w:r>
            </w:hyperlink>
          </w:p>
        </w:tc>
        <w:tc>
          <w:tcPr>
            <w:tcW w:w="1524" w:type="dxa"/>
          </w:tcPr>
          <w:p w14:paraId="2F947C6A"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43D69558"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346374BC" w14:textId="77777777" w:rsidR="005B15B7" w:rsidRPr="009306D5" w:rsidRDefault="005B15B7" w:rsidP="000D13AA">
            <w:pPr>
              <w:spacing w:before="40" w:after="40"/>
              <w:rPr>
                <w:rFonts w:cs="Times New Roman"/>
                <w:noProof/>
                <w:sz w:val="18"/>
                <w:szCs w:val="18"/>
              </w:rPr>
            </w:pPr>
            <w:r w:rsidRPr="009306D5">
              <w:rPr>
                <w:noProof/>
                <w:sz w:val="18"/>
                <w:szCs w:val="18"/>
              </w:rPr>
              <w:t>Poola</w:t>
            </w:r>
          </w:p>
        </w:tc>
        <w:tc>
          <w:tcPr>
            <w:tcW w:w="6208" w:type="dxa"/>
          </w:tcPr>
          <w:p w14:paraId="668216F4" w14:textId="7A64839A"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117" w:history="1">
              <w:r w:rsidR="00831E0D" w:rsidRPr="009306D5">
                <w:rPr>
                  <w:rStyle w:val="Hyperlink"/>
                  <w:noProof/>
                  <w:sz w:val="18"/>
                  <w:szCs w:val="18"/>
                </w:rPr>
                <w:t>https://www.biznes.gov.pl/en/firma/taxes-and-insurance-in-poland/vat</w:t>
              </w:r>
            </w:hyperlink>
          </w:p>
        </w:tc>
        <w:tc>
          <w:tcPr>
            <w:tcW w:w="1524" w:type="dxa"/>
          </w:tcPr>
          <w:p w14:paraId="27B7737F"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0A71830A"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1A2C3261" w14:textId="77777777" w:rsidR="005B15B7" w:rsidRPr="009306D5" w:rsidRDefault="005B15B7" w:rsidP="000D13AA">
            <w:pPr>
              <w:spacing w:before="40" w:after="40"/>
              <w:rPr>
                <w:rFonts w:cs="Times New Roman"/>
                <w:noProof/>
                <w:sz w:val="18"/>
                <w:szCs w:val="18"/>
              </w:rPr>
            </w:pPr>
            <w:r w:rsidRPr="009306D5">
              <w:rPr>
                <w:noProof/>
                <w:sz w:val="18"/>
                <w:szCs w:val="18"/>
              </w:rPr>
              <w:t>Portugal</w:t>
            </w:r>
          </w:p>
        </w:tc>
        <w:tc>
          <w:tcPr>
            <w:tcW w:w="6208" w:type="dxa"/>
          </w:tcPr>
          <w:p w14:paraId="2C956BD0" w14:textId="7D199D48"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Style w:val="Hyperlink"/>
                <w:rFonts w:cs="Times New Roman"/>
                <w:noProof/>
                <w:sz w:val="18"/>
                <w:szCs w:val="18"/>
              </w:rPr>
            </w:pPr>
            <w:hyperlink r:id="rId118" w:history="1">
              <w:r w:rsidR="00831E0D" w:rsidRPr="009306D5">
                <w:rPr>
                  <w:rStyle w:val="Hyperlink"/>
                  <w:noProof/>
                  <w:sz w:val="18"/>
                  <w:szCs w:val="18"/>
                </w:rPr>
                <w:t>https://info.portaldasfinancas.gov.pt/pt/docs/Conteudos_1pagina/Pages/portuguese-tax-system.aspx</w:t>
              </w:r>
            </w:hyperlink>
          </w:p>
          <w:p w14:paraId="7B55C35B" w14:textId="5AB3DA8D"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19" w:history="1">
              <w:r w:rsidR="00831E0D" w:rsidRPr="009306D5">
                <w:rPr>
                  <w:rStyle w:val="Hyperlink"/>
                  <w:noProof/>
                  <w:sz w:val="18"/>
                  <w:szCs w:val="18"/>
                </w:rPr>
                <w:t>https://info.portaldasfinancas.gov.pt/pt/apoio_contribuinte/Manuais/Documents/Manual_Inicio_PF.pdf</w:t>
              </w:r>
            </w:hyperlink>
          </w:p>
        </w:tc>
        <w:tc>
          <w:tcPr>
            <w:tcW w:w="1524" w:type="dxa"/>
          </w:tcPr>
          <w:p w14:paraId="24346E20"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3E2ED98F"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3FBCE010" w14:textId="77777777" w:rsidR="005B15B7" w:rsidRPr="009306D5" w:rsidRDefault="005B15B7" w:rsidP="000D13AA">
            <w:pPr>
              <w:spacing w:before="40" w:after="40"/>
              <w:rPr>
                <w:rFonts w:cs="Times New Roman"/>
                <w:noProof/>
                <w:sz w:val="18"/>
                <w:szCs w:val="18"/>
              </w:rPr>
            </w:pPr>
            <w:r w:rsidRPr="009306D5">
              <w:rPr>
                <w:noProof/>
                <w:sz w:val="18"/>
                <w:szCs w:val="18"/>
              </w:rPr>
              <w:t>Rumeenia</w:t>
            </w:r>
          </w:p>
        </w:tc>
        <w:tc>
          <w:tcPr>
            <w:tcW w:w="6208" w:type="dxa"/>
          </w:tcPr>
          <w:p w14:paraId="4BEC9FF3" w14:textId="77777777" w:rsidR="005B15B7" w:rsidRPr="009306D5" w:rsidRDefault="005B15B7"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Ei kohaldata</w:t>
            </w:r>
          </w:p>
        </w:tc>
        <w:tc>
          <w:tcPr>
            <w:tcW w:w="1524" w:type="dxa"/>
          </w:tcPr>
          <w:p w14:paraId="4FC11AD2"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Ei kohaldata</w:t>
            </w:r>
          </w:p>
        </w:tc>
      </w:tr>
      <w:tr w:rsidR="005B15B7" w:rsidRPr="009306D5" w14:paraId="585C82DF"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65D12AD" w14:textId="77777777" w:rsidR="005B15B7" w:rsidRPr="009306D5" w:rsidRDefault="005B15B7" w:rsidP="000D13AA">
            <w:pPr>
              <w:spacing w:before="40" w:after="40"/>
              <w:rPr>
                <w:rFonts w:cs="Times New Roman"/>
                <w:noProof/>
                <w:sz w:val="18"/>
                <w:szCs w:val="18"/>
              </w:rPr>
            </w:pPr>
            <w:r w:rsidRPr="009306D5">
              <w:rPr>
                <w:noProof/>
                <w:sz w:val="18"/>
                <w:szCs w:val="18"/>
              </w:rPr>
              <w:t>Slovakkia</w:t>
            </w:r>
          </w:p>
        </w:tc>
        <w:tc>
          <w:tcPr>
            <w:tcW w:w="6208" w:type="dxa"/>
          </w:tcPr>
          <w:p w14:paraId="5BA23483" w14:textId="40D435C1"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20" w:history="1">
              <w:r w:rsidR="00831E0D" w:rsidRPr="009306D5">
                <w:rPr>
                  <w:rStyle w:val="Hyperlink"/>
                  <w:noProof/>
                  <w:sz w:val="18"/>
                  <w:szCs w:val="18"/>
                </w:rPr>
                <w:t>https://www.financnasprava.sk/sk/podnikatelia/dane/dan-z-pridanej-hodnoty/registracia-dph</w:t>
              </w:r>
            </w:hyperlink>
          </w:p>
          <w:p w14:paraId="78C5723C" w14:textId="281F017C"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21" w:anchor="ZahranicnaOsobaDPH" w:history="1">
              <w:r w:rsidR="00831E0D" w:rsidRPr="009306D5">
                <w:rPr>
                  <w:rStyle w:val="Hyperlink"/>
                  <w:noProof/>
                  <w:sz w:val="18"/>
                  <w:szCs w:val="18"/>
                </w:rPr>
                <w:t>https://www.financnasprava.sk/en/businesses/taxes-businesses#ZahranicnaOsobaDPH</w:t>
              </w:r>
            </w:hyperlink>
          </w:p>
        </w:tc>
        <w:tc>
          <w:tcPr>
            <w:tcW w:w="1524" w:type="dxa"/>
          </w:tcPr>
          <w:p w14:paraId="49BC502C"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44C4D7FF"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70158B83" w14:textId="77777777" w:rsidR="005B15B7" w:rsidRPr="009306D5" w:rsidRDefault="005B15B7" w:rsidP="000D13AA">
            <w:pPr>
              <w:spacing w:before="40" w:after="40"/>
              <w:rPr>
                <w:rFonts w:cs="Times New Roman"/>
                <w:noProof/>
                <w:sz w:val="18"/>
                <w:szCs w:val="18"/>
              </w:rPr>
            </w:pPr>
            <w:r w:rsidRPr="009306D5">
              <w:rPr>
                <w:noProof/>
                <w:sz w:val="18"/>
                <w:szCs w:val="18"/>
              </w:rPr>
              <w:t>Sloveenia</w:t>
            </w:r>
          </w:p>
        </w:tc>
        <w:tc>
          <w:tcPr>
            <w:tcW w:w="6208" w:type="dxa"/>
          </w:tcPr>
          <w:p w14:paraId="05960D04" w14:textId="4888B9C1"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122" w:history="1">
              <w:r w:rsidR="00831E0D" w:rsidRPr="009306D5">
                <w:rPr>
                  <w:rStyle w:val="Hyperlink"/>
                  <w:noProof/>
                  <w:sz w:val="18"/>
                  <w:szCs w:val="18"/>
                </w:rPr>
                <w:t>https://www.fu.gov.si/en/taxes_and_other_duties/areas_of_work/value_added_tax_vat/</w:t>
              </w:r>
            </w:hyperlink>
          </w:p>
        </w:tc>
        <w:tc>
          <w:tcPr>
            <w:tcW w:w="1524" w:type="dxa"/>
          </w:tcPr>
          <w:p w14:paraId="687DFFA2"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5A984633"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4E9F2BED" w14:textId="77777777" w:rsidR="005B15B7" w:rsidRPr="009306D5" w:rsidRDefault="005B15B7" w:rsidP="000D13AA">
            <w:pPr>
              <w:spacing w:before="40" w:after="40"/>
              <w:rPr>
                <w:rFonts w:cs="Times New Roman"/>
                <w:noProof/>
                <w:sz w:val="18"/>
                <w:szCs w:val="18"/>
              </w:rPr>
            </w:pPr>
            <w:r w:rsidRPr="009306D5">
              <w:rPr>
                <w:noProof/>
                <w:sz w:val="18"/>
                <w:szCs w:val="18"/>
              </w:rPr>
              <w:t>Hispaania</w:t>
            </w:r>
          </w:p>
        </w:tc>
        <w:tc>
          <w:tcPr>
            <w:tcW w:w="6208" w:type="dxa"/>
          </w:tcPr>
          <w:p w14:paraId="4B64F837" w14:textId="404AF46F"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23" w:history="1">
              <w:r w:rsidR="00831E0D" w:rsidRPr="009306D5">
                <w:rPr>
                  <w:rStyle w:val="Hyperlink"/>
                  <w:noProof/>
                  <w:sz w:val="18"/>
                  <w:szCs w:val="18"/>
                </w:rPr>
                <w:t>https://www.agenciatributaria.es/AEAT.internet/en_gb/Inicio/La_Agencia_Tributaria/Campanas/_Campanas_/Fiscalidad_de_no_residentes/_IVA___VAT_/_IVA___VAT_.shtml</w:t>
              </w:r>
            </w:hyperlink>
          </w:p>
        </w:tc>
        <w:tc>
          <w:tcPr>
            <w:tcW w:w="1524" w:type="dxa"/>
          </w:tcPr>
          <w:p w14:paraId="7B933D01"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7B60125B" w14:textId="77777777" w:rsidTr="000D1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1EC9EFAA" w14:textId="77777777" w:rsidR="005B15B7" w:rsidRPr="009306D5" w:rsidRDefault="005B15B7" w:rsidP="000D13AA">
            <w:pPr>
              <w:spacing w:before="40" w:after="40"/>
              <w:rPr>
                <w:rFonts w:cs="Times New Roman"/>
                <w:noProof/>
                <w:sz w:val="18"/>
                <w:szCs w:val="18"/>
              </w:rPr>
            </w:pPr>
            <w:r w:rsidRPr="009306D5">
              <w:rPr>
                <w:noProof/>
                <w:sz w:val="18"/>
                <w:szCs w:val="18"/>
              </w:rPr>
              <w:t>Rootsi</w:t>
            </w:r>
          </w:p>
        </w:tc>
        <w:tc>
          <w:tcPr>
            <w:tcW w:w="6208" w:type="dxa"/>
          </w:tcPr>
          <w:p w14:paraId="43FC1E21" w14:textId="3217BDF7" w:rsidR="005B15B7" w:rsidRPr="009306D5" w:rsidRDefault="00467CAD" w:rsidP="000D13AA">
            <w:pPr>
              <w:spacing w:before="40" w:after="40"/>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hyperlink r:id="rId124" w:history="1">
              <w:r w:rsidR="00831E0D" w:rsidRPr="009306D5">
                <w:rPr>
                  <w:rStyle w:val="Hyperlink"/>
                  <w:noProof/>
                  <w:sz w:val="18"/>
                  <w:szCs w:val="18"/>
                </w:rPr>
                <w:t>https://www.skatteverket.se/servicelankar/otherlanguages/inenglish/businessesandemployers/startingandrunningaswedishbusiness/registeringabusiness.4.12815e4f14a62bc048f5179.html</w:t>
              </w:r>
            </w:hyperlink>
            <w:r w:rsidR="00831E0D" w:rsidRPr="009306D5">
              <w:rPr>
                <w:rStyle w:val="Hyperlink"/>
                <w:noProof/>
                <w:sz w:val="18"/>
                <w:szCs w:val="18"/>
              </w:rPr>
              <w:cr/>
            </w:r>
            <w:r w:rsidR="00831E0D" w:rsidRPr="009306D5">
              <w:rPr>
                <w:rStyle w:val="Hyperlink"/>
                <w:noProof/>
                <w:sz w:val="18"/>
                <w:szCs w:val="18"/>
              </w:rPr>
              <w:br/>
            </w:r>
            <w:hyperlink r:id="rId125" w:history="1">
              <w:r w:rsidR="00831E0D" w:rsidRPr="009306D5">
                <w:rPr>
                  <w:rStyle w:val="Hyperlink"/>
                  <w:noProof/>
                  <w:sz w:val="18"/>
                  <w:szCs w:val="18"/>
                </w:rPr>
                <w:t>https://www.skatteverket.se/servicelankar/otherlanguages/inenglish/businessesandemployers/startingandrunningaswedishbusiness/declaringtaxesbusinesses/vat.4.12815e4f14a62bc048f52be.html?q=vat</w:t>
              </w:r>
            </w:hyperlink>
            <w:r w:rsidR="00831E0D" w:rsidRPr="009306D5">
              <w:rPr>
                <w:noProof/>
                <w:sz w:val="18"/>
                <w:szCs w:val="18"/>
              </w:rPr>
              <w:t xml:space="preserve"> </w:t>
            </w:r>
          </w:p>
        </w:tc>
        <w:tc>
          <w:tcPr>
            <w:tcW w:w="1524" w:type="dxa"/>
          </w:tcPr>
          <w:p w14:paraId="3A1CBBDE" w14:textId="77777777" w:rsidR="005B15B7" w:rsidRPr="009306D5" w:rsidRDefault="005B15B7" w:rsidP="000D13AA">
            <w:pPr>
              <w:spacing w:before="40" w:after="40"/>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sidRPr="009306D5">
              <w:rPr>
                <w:noProof/>
                <w:sz w:val="18"/>
                <w:szCs w:val="18"/>
              </w:rPr>
              <w:t>Jah</w:t>
            </w:r>
          </w:p>
        </w:tc>
      </w:tr>
      <w:tr w:rsidR="005B15B7" w:rsidRPr="009306D5" w14:paraId="4269B5A0" w14:textId="77777777" w:rsidTr="000D13A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FAD1DAD" w14:textId="77777777" w:rsidR="005B15B7" w:rsidRPr="009306D5" w:rsidRDefault="005B15B7" w:rsidP="000D13AA">
            <w:pPr>
              <w:spacing w:before="40" w:after="40"/>
              <w:rPr>
                <w:rFonts w:cs="Times New Roman"/>
                <w:noProof/>
                <w:sz w:val="18"/>
                <w:szCs w:val="18"/>
              </w:rPr>
            </w:pPr>
            <w:r w:rsidRPr="009306D5">
              <w:rPr>
                <w:noProof/>
                <w:sz w:val="18"/>
                <w:szCs w:val="18"/>
              </w:rPr>
              <w:t>Ühendkuningriik</w:t>
            </w:r>
          </w:p>
        </w:tc>
        <w:tc>
          <w:tcPr>
            <w:tcW w:w="6208" w:type="dxa"/>
          </w:tcPr>
          <w:p w14:paraId="1F584FFD" w14:textId="53DF80B9" w:rsidR="005B15B7" w:rsidRPr="009306D5" w:rsidRDefault="00467CAD" w:rsidP="000D13AA">
            <w:pPr>
              <w:spacing w:before="40" w:after="40"/>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hyperlink r:id="rId126" w:history="1">
              <w:r w:rsidR="00831E0D" w:rsidRPr="009306D5">
                <w:rPr>
                  <w:rStyle w:val="Hyperlink"/>
                  <w:noProof/>
                  <w:sz w:val="18"/>
                  <w:szCs w:val="18"/>
                </w:rPr>
                <w:t>https://www.gov.uk/vat-registration</w:t>
              </w:r>
            </w:hyperlink>
          </w:p>
        </w:tc>
        <w:tc>
          <w:tcPr>
            <w:tcW w:w="1524" w:type="dxa"/>
          </w:tcPr>
          <w:p w14:paraId="1A016418" w14:textId="77777777" w:rsidR="005B15B7" w:rsidRPr="009306D5" w:rsidRDefault="005B15B7" w:rsidP="000D13AA">
            <w:pPr>
              <w:spacing w:before="40" w:after="40"/>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sidRPr="009306D5">
              <w:rPr>
                <w:noProof/>
                <w:sz w:val="18"/>
                <w:szCs w:val="18"/>
              </w:rPr>
              <w:t>Ei</w:t>
            </w:r>
          </w:p>
        </w:tc>
      </w:tr>
    </w:tbl>
    <w:p w14:paraId="6C698AD9" w14:textId="77777777" w:rsidR="005B15B7" w:rsidRPr="009306D5" w:rsidRDefault="005B15B7" w:rsidP="005B15B7">
      <w:pPr>
        <w:spacing w:before="240"/>
        <w:rPr>
          <w:rFonts w:cs="Times New Roman"/>
          <w:noProof/>
          <w:sz w:val="20"/>
        </w:rPr>
      </w:pPr>
    </w:p>
    <w:p w14:paraId="2886513E" w14:textId="6317C47B" w:rsidR="001F22C5" w:rsidRPr="009306D5" w:rsidRDefault="001F22C5" w:rsidP="000D13AA">
      <w:pPr>
        <w:pStyle w:val="Text1"/>
        <w:ind w:left="0"/>
        <w:rPr>
          <w:b/>
          <w:i/>
          <w:noProof/>
          <w:sz w:val="20"/>
        </w:rPr>
      </w:pPr>
      <w:r w:rsidRPr="009306D5">
        <w:rPr>
          <w:b/>
          <w:i/>
          <w:noProof/>
          <w:sz w:val="20"/>
        </w:rPr>
        <w:t>Nõukogu määruse (EMÜ, Euratom) nr 1553/89 artikli 12 kohased komisjoni aruanded Euroopa Parlamendile ja nõukogule käibemaksukohustuslasena registreerimise, käibemaksu kogumis- ja kontrollimenetluste kohta</w:t>
      </w:r>
    </w:p>
    <w:p w14:paraId="2CD3C5F7" w14:textId="405A2ACC" w:rsidR="00451A54" w:rsidRPr="009306D5" w:rsidRDefault="00451A54" w:rsidP="000D13AA">
      <w:pPr>
        <w:pStyle w:val="ListParagraph"/>
        <w:numPr>
          <w:ilvl w:val="0"/>
          <w:numId w:val="36"/>
        </w:numPr>
        <w:spacing w:after="240" w:line="240" w:lineRule="auto"/>
        <w:jc w:val="both"/>
        <w:rPr>
          <w:noProof/>
          <w:sz w:val="20"/>
        </w:rPr>
      </w:pPr>
      <w:r w:rsidRPr="009306D5">
        <w:rPr>
          <w:noProof/>
          <w:sz w:val="20"/>
        </w:rPr>
        <w:t>2017. aasta aruanne: komisjoni aruanne nõukogule ja Euroopa Parlamendile – määruse (EMÜ, Euratom) nr 1553/89 artikli 12 kohane kaheksas aruanne käibemaksu kogumis- ja kontrollimenetluste kohta,</w:t>
      </w:r>
      <w:r w:rsidRPr="009306D5">
        <w:rPr>
          <w:noProof/>
        </w:rPr>
        <w:t xml:space="preserve"> </w:t>
      </w:r>
      <w:hyperlink r:id="rId127" w:history="1">
        <w:r w:rsidRPr="009306D5">
          <w:rPr>
            <w:rStyle w:val="Hyperlink"/>
            <w:noProof/>
            <w:sz w:val="20"/>
          </w:rPr>
          <w:t>COM(2017) 780 final</w:t>
        </w:r>
      </w:hyperlink>
      <w:r w:rsidRPr="009306D5">
        <w:rPr>
          <w:noProof/>
        </w:rPr>
        <w:t>;</w:t>
      </w:r>
      <w:r w:rsidRPr="009306D5">
        <w:rPr>
          <w:noProof/>
          <w:sz w:val="20"/>
        </w:rPr>
        <w:t xml:space="preserve"> </w:t>
      </w:r>
    </w:p>
    <w:p w14:paraId="535E4F53" w14:textId="5E28BC09" w:rsidR="00451A54" w:rsidRPr="009306D5" w:rsidRDefault="00451A54" w:rsidP="000D13AA">
      <w:pPr>
        <w:pStyle w:val="ListParagraph"/>
        <w:numPr>
          <w:ilvl w:val="0"/>
          <w:numId w:val="36"/>
        </w:numPr>
        <w:spacing w:after="240" w:line="240" w:lineRule="auto"/>
        <w:jc w:val="both"/>
        <w:rPr>
          <w:noProof/>
          <w:sz w:val="20"/>
        </w:rPr>
      </w:pPr>
      <w:r w:rsidRPr="009306D5">
        <w:rPr>
          <w:noProof/>
          <w:sz w:val="20"/>
        </w:rPr>
        <w:t>2014. aasta aruanne: komisjoni aruanne nõukogule ja Euroopa Parlamendile – määruse (EMÜ, Euratom) nr 1553/89 artikli 12 kohane seitsmes aruanne käibemaksu kogumis- ja kontrollimenetluste kohta,</w:t>
      </w:r>
      <w:r w:rsidRPr="009306D5">
        <w:rPr>
          <w:noProof/>
        </w:rPr>
        <w:t xml:space="preserve"> </w:t>
      </w:r>
      <w:hyperlink r:id="rId128" w:history="1">
        <w:r w:rsidRPr="009306D5">
          <w:rPr>
            <w:rStyle w:val="Hyperlink"/>
            <w:noProof/>
            <w:sz w:val="20"/>
          </w:rPr>
          <w:t>COM(2014) 69 final</w:t>
        </w:r>
      </w:hyperlink>
      <w:r w:rsidRPr="009306D5">
        <w:rPr>
          <w:noProof/>
        </w:rPr>
        <w:t xml:space="preserve"> </w:t>
      </w:r>
      <w:r w:rsidRPr="009306D5">
        <w:rPr>
          <w:noProof/>
          <w:sz w:val="20"/>
        </w:rPr>
        <w:t xml:space="preserve">+ lisa dokumendile SWD(2014) 38 final; </w:t>
      </w:r>
    </w:p>
    <w:p w14:paraId="6415FEA3" w14:textId="4F344B1C" w:rsidR="00451A54" w:rsidRPr="009306D5" w:rsidRDefault="00451A54" w:rsidP="000D13AA">
      <w:pPr>
        <w:pStyle w:val="ListParagraph"/>
        <w:numPr>
          <w:ilvl w:val="0"/>
          <w:numId w:val="36"/>
        </w:numPr>
        <w:spacing w:after="240" w:line="240" w:lineRule="auto"/>
        <w:jc w:val="both"/>
        <w:rPr>
          <w:noProof/>
          <w:sz w:val="20"/>
        </w:rPr>
      </w:pPr>
      <w:r w:rsidRPr="009306D5">
        <w:rPr>
          <w:noProof/>
          <w:sz w:val="20"/>
        </w:rPr>
        <w:t>2008. aasta aruanne: komisjoni aruanne nõukogule ja Euroopa Parlamendile – kuues aruanne vastavalt käibemaksu kogumist ja kontrollimenetlusi käsitleva määruse (EMÜ, Euratom) nr 1553/89 artiklile 12,</w:t>
      </w:r>
      <w:r w:rsidRPr="009306D5">
        <w:rPr>
          <w:noProof/>
        </w:rPr>
        <w:t xml:space="preserve"> </w:t>
      </w:r>
      <w:hyperlink r:id="rId129" w:history="1">
        <w:r w:rsidRPr="009306D5">
          <w:rPr>
            <w:rStyle w:val="Hyperlink"/>
            <w:noProof/>
            <w:sz w:val="20"/>
          </w:rPr>
          <w:t>KOM(2008) 719 (lõplik)</w:t>
        </w:r>
      </w:hyperlink>
      <w:r w:rsidRPr="009306D5">
        <w:rPr>
          <w:noProof/>
        </w:rPr>
        <w:t xml:space="preserve"> </w:t>
      </w:r>
      <w:r w:rsidRPr="009306D5">
        <w:rPr>
          <w:noProof/>
          <w:sz w:val="20"/>
        </w:rPr>
        <w:t>+ lisa dokumendile</w:t>
      </w:r>
      <w:r w:rsidRPr="009306D5">
        <w:rPr>
          <w:noProof/>
        </w:rPr>
        <w:t xml:space="preserve"> </w:t>
      </w:r>
      <w:hyperlink r:id="rId130" w:history="1">
        <w:r w:rsidRPr="009306D5">
          <w:rPr>
            <w:rStyle w:val="Hyperlink"/>
            <w:noProof/>
            <w:sz w:val="20"/>
          </w:rPr>
          <w:t>SEC(2008) 2759</w:t>
        </w:r>
      </w:hyperlink>
      <w:r w:rsidRPr="009306D5">
        <w:rPr>
          <w:noProof/>
          <w:sz w:val="20"/>
        </w:rPr>
        <w:t xml:space="preserve">; </w:t>
      </w:r>
    </w:p>
    <w:p w14:paraId="3AD6AB1A" w14:textId="24325F78" w:rsidR="00451A54" w:rsidRPr="009306D5" w:rsidRDefault="00451A54" w:rsidP="000D13AA">
      <w:pPr>
        <w:pStyle w:val="ListParagraph"/>
        <w:numPr>
          <w:ilvl w:val="0"/>
          <w:numId w:val="36"/>
        </w:numPr>
        <w:spacing w:after="240" w:line="240" w:lineRule="auto"/>
        <w:jc w:val="both"/>
        <w:rPr>
          <w:noProof/>
          <w:sz w:val="20"/>
        </w:rPr>
      </w:pPr>
      <w:r w:rsidRPr="009306D5">
        <w:rPr>
          <w:noProof/>
          <w:sz w:val="20"/>
        </w:rPr>
        <w:t>2004. aasta aruanne: komisjoni aruanne nõukogule ja Euroopa Parlamendile – viies aruanne vastavalt käibemaksu kogumist ja kontrollimenetlusi käsitleva määruse (EMÜ, Euratom) nr 1553/89 artiklile 12</w:t>
      </w:r>
      <w:r w:rsidRPr="009306D5">
        <w:rPr>
          <w:noProof/>
        </w:rPr>
        <w:t xml:space="preserve"> </w:t>
      </w:r>
      <w:hyperlink r:id="rId131" w:history="1">
        <w:r w:rsidRPr="009306D5">
          <w:rPr>
            <w:rStyle w:val="Hyperlink"/>
            <w:noProof/>
            <w:sz w:val="20"/>
          </w:rPr>
          <w:t>KOM(2004) 855 (lõplik)</w:t>
        </w:r>
      </w:hyperlink>
      <w:r w:rsidRPr="009306D5">
        <w:rPr>
          <w:noProof/>
        </w:rPr>
        <w:t xml:space="preserve"> </w:t>
      </w:r>
      <w:r w:rsidRPr="009306D5">
        <w:rPr>
          <w:noProof/>
          <w:sz w:val="20"/>
        </w:rPr>
        <w:t xml:space="preserve">+ lisa dokumendile SEC(2004) 1721; </w:t>
      </w:r>
    </w:p>
    <w:p w14:paraId="586ECFE6" w14:textId="3B854075" w:rsidR="00451A54" w:rsidRPr="009306D5" w:rsidRDefault="00451A54" w:rsidP="000D13AA">
      <w:pPr>
        <w:pStyle w:val="ListParagraph"/>
        <w:numPr>
          <w:ilvl w:val="0"/>
          <w:numId w:val="36"/>
        </w:numPr>
        <w:spacing w:after="240" w:line="240" w:lineRule="auto"/>
        <w:jc w:val="both"/>
        <w:rPr>
          <w:noProof/>
          <w:sz w:val="20"/>
        </w:rPr>
      </w:pPr>
      <w:r w:rsidRPr="009306D5">
        <w:rPr>
          <w:noProof/>
          <w:sz w:val="20"/>
        </w:rPr>
        <w:t xml:space="preserve">2000. aasta aruanne: komisjoni aruanne nõukogule ja Euroopa Parlamendile – kolmas artikli 14 kohane aruanne nõukogu 27. jaanuari 1992. aasta määruse (EMÜ) nr 218/92 (halduskoostöö kohta käibemaksu valdkonnas) kohaldamise kohta ja määruse (EMÜ, Euratom) nr 1553/89 artikli 12 kohane neljas aruanne käibemaksu kogumis- ja kontrollimenetluste kohta, </w:t>
      </w:r>
      <w:hyperlink r:id="rId132" w:history="1">
        <w:r w:rsidRPr="009306D5">
          <w:rPr>
            <w:rStyle w:val="Hyperlink"/>
            <w:noProof/>
            <w:sz w:val="20"/>
          </w:rPr>
          <w:t>KOM(2000) 28 (lõplik)</w:t>
        </w:r>
      </w:hyperlink>
      <w:r w:rsidRPr="009306D5">
        <w:rPr>
          <w:noProof/>
          <w:sz w:val="20"/>
        </w:rPr>
        <w:t xml:space="preserve">; </w:t>
      </w:r>
    </w:p>
    <w:p w14:paraId="2E2A8106" w14:textId="02069562" w:rsidR="00451A54" w:rsidRPr="009306D5" w:rsidRDefault="00451A54" w:rsidP="000D13AA">
      <w:pPr>
        <w:pStyle w:val="ListParagraph"/>
        <w:numPr>
          <w:ilvl w:val="0"/>
          <w:numId w:val="36"/>
        </w:numPr>
        <w:spacing w:after="240" w:line="240" w:lineRule="auto"/>
        <w:jc w:val="both"/>
        <w:rPr>
          <w:noProof/>
          <w:sz w:val="20"/>
        </w:rPr>
      </w:pPr>
      <w:r w:rsidRPr="009306D5">
        <w:rPr>
          <w:noProof/>
          <w:sz w:val="20"/>
        </w:rPr>
        <w:t xml:space="preserve">1998. aasta aruanne: komisjoni aruanne nõukogule ja Euroopa Parlamendile – liikmesriikides kohaldatavad käibemaksu kogumis- ja kontrollimenetlused – komisjoni kolmas aruanne [määruse (EMÜ, Euratom) nr 1553/89 artikkel 12], </w:t>
      </w:r>
      <w:hyperlink r:id="rId133" w:history="1">
        <w:r w:rsidRPr="009306D5">
          <w:rPr>
            <w:rStyle w:val="Hyperlink"/>
            <w:noProof/>
            <w:sz w:val="20"/>
          </w:rPr>
          <w:t>KOM(1998) 490 (lõplik)</w:t>
        </w:r>
      </w:hyperlink>
      <w:r w:rsidRPr="009306D5">
        <w:rPr>
          <w:noProof/>
          <w:sz w:val="20"/>
        </w:rPr>
        <w:t xml:space="preserve">; </w:t>
      </w:r>
    </w:p>
    <w:p w14:paraId="2FA48E2F" w14:textId="519D9203" w:rsidR="00451A54" w:rsidRPr="009306D5" w:rsidRDefault="00451A54" w:rsidP="000D13AA">
      <w:pPr>
        <w:pStyle w:val="ListParagraph"/>
        <w:numPr>
          <w:ilvl w:val="0"/>
          <w:numId w:val="36"/>
        </w:numPr>
        <w:spacing w:after="240" w:line="240" w:lineRule="auto"/>
        <w:jc w:val="both"/>
        <w:rPr>
          <w:noProof/>
          <w:sz w:val="20"/>
        </w:rPr>
      </w:pPr>
      <w:r w:rsidRPr="009306D5">
        <w:rPr>
          <w:noProof/>
          <w:sz w:val="20"/>
        </w:rPr>
        <w:t>1995. aasta aruanne: liikmesriikides kohaldatavad käibemaksu kogumis- ja kontrollimenetlused – teine artikli 12 kohane aruanne,</w:t>
      </w:r>
      <w:r w:rsidRPr="009306D5">
        <w:rPr>
          <w:noProof/>
        </w:rPr>
        <w:t xml:space="preserve"> </w:t>
      </w:r>
      <w:hyperlink r:id="rId134" w:history="1">
        <w:r w:rsidRPr="009306D5">
          <w:rPr>
            <w:rStyle w:val="Hyperlink"/>
            <w:noProof/>
            <w:sz w:val="20"/>
          </w:rPr>
          <w:t>KOM(1995) 354 (lõplik)</w:t>
        </w:r>
      </w:hyperlink>
      <w:r w:rsidRPr="009306D5">
        <w:rPr>
          <w:noProof/>
          <w:sz w:val="20"/>
        </w:rPr>
        <w:t xml:space="preserve">; </w:t>
      </w:r>
    </w:p>
    <w:p w14:paraId="56EF7418" w14:textId="77777777" w:rsidR="00451A54" w:rsidRPr="009306D5" w:rsidRDefault="00451A54" w:rsidP="000D13AA">
      <w:pPr>
        <w:pStyle w:val="ListParagraph"/>
        <w:numPr>
          <w:ilvl w:val="0"/>
          <w:numId w:val="36"/>
        </w:numPr>
        <w:spacing w:after="240" w:line="240" w:lineRule="auto"/>
        <w:jc w:val="both"/>
        <w:rPr>
          <w:noProof/>
          <w:sz w:val="20"/>
        </w:rPr>
      </w:pPr>
      <w:r w:rsidRPr="009306D5">
        <w:rPr>
          <w:noProof/>
          <w:sz w:val="20"/>
        </w:rPr>
        <w:t>1992. aasta aruanne: liikmesriikides kohaldatavad käibemaksu kogumis- ja kontrollimenetlused – esimene aruanne, SEC(92) 280 (lõplik)</w:t>
      </w:r>
    </w:p>
    <w:p w14:paraId="67B0C913" w14:textId="77777777" w:rsidR="005B15B7" w:rsidRPr="009306D5" w:rsidRDefault="005B15B7" w:rsidP="005B15B7">
      <w:pPr>
        <w:pStyle w:val="Text1"/>
        <w:rPr>
          <w:noProof/>
        </w:rPr>
      </w:pPr>
    </w:p>
    <w:p w14:paraId="10C14982" w14:textId="77777777" w:rsidR="005B15B7" w:rsidRPr="009306D5" w:rsidRDefault="005B15B7" w:rsidP="005B15B7">
      <w:pPr>
        <w:pStyle w:val="Heading1"/>
        <w:rPr>
          <w:noProof/>
        </w:rPr>
      </w:pPr>
      <w:r w:rsidRPr="009306D5">
        <w:rPr>
          <w:noProof/>
        </w:rPr>
        <w:br w:type="page"/>
      </w:r>
      <w:bookmarkEnd w:id="2123"/>
      <w:bookmarkEnd w:id="2124"/>
    </w:p>
    <w:p w14:paraId="622DC6E2" w14:textId="77777777" w:rsidR="005B15B7" w:rsidRPr="009306D5" w:rsidRDefault="005B15B7" w:rsidP="005B15B7">
      <w:pPr>
        <w:pStyle w:val="Heading"/>
        <w:rPr>
          <w:noProof/>
          <w:u w:val="none"/>
        </w:rPr>
        <w:sectPr w:rsidR="005B15B7" w:rsidRPr="009306D5" w:rsidSect="005B15B7">
          <w:headerReference w:type="even" r:id="rId135"/>
          <w:headerReference w:type="default" r:id="rId136"/>
          <w:footerReference w:type="even" r:id="rId137"/>
          <w:footerReference w:type="default" r:id="rId138"/>
          <w:headerReference w:type="first" r:id="rId139"/>
          <w:footerReference w:type="first" r:id="rId140"/>
          <w:pgSz w:w="11907" w:h="16839" w:code="9"/>
          <w:pgMar w:top="1276" w:right="1418" w:bottom="993" w:left="1418" w:header="142" w:footer="352" w:gutter="0"/>
          <w:pgNumType w:start="1"/>
          <w:cols w:space="720"/>
          <w:docGrid w:linePitch="326"/>
        </w:sectPr>
      </w:pPr>
    </w:p>
    <w:p w14:paraId="3FEE23B5" w14:textId="2BFCE6A9" w:rsidR="00B23028" w:rsidRPr="009306D5" w:rsidRDefault="00B23028" w:rsidP="00B23028">
      <w:pPr>
        <w:rPr>
          <w:rFonts w:ascii="Arial" w:hAnsi="Arial" w:cs="Arial"/>
          <w:noProof/>
          <w:sz w:val="16"/>
          <w:szCs w:val="16"/>
        </w:rPr>
      </w:pPr>
      <w:r w:rsidRPr="009306D5">
        <w:rPr>
          <w:noProof/>
          <w:lang w:val="en-GB" w:eastAsia="en-GB"/>
        </w:rPr>
        <w:drawing>
          <wp:anchor distT="0" distB="0" distL="114300" distR="114300" simplePos="0" relativeHeight="251659776" behindDoc="1" locked="0" layoutInCell="1" allowOverlap="1" wp14:anchorId="4D735273" wp14:editId="24BFFE65">
            <wp:simplePos x="0" y="0"/>
            <wp:positionH relativeFrom="margin">
              <wp:posOffset>6816725</wp:posOffset>
            </wp:positionH>
            <wp:positionV relativeFrom="margin">
              <wp:posOffset>24130</wp:posOffset>
            </wp:positionV>
            <wp:extent cx="7867650" cy="8187690"/>
            <wp:effectExtent l="0" t="0" r="0" b="3810"/>
            <wp:wrapNone/>
            <wp:docPr id="228" name="Picture 1" descr="Kirjeldus: Kirjeldus: Kirjeldus: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41"/>
                    <a:srcRect/>
                    <a:stretch>
                      <a:fillRect/>
                    </a:stretch>
                  </pic:blipFill>
                  <pic:spPr bwMode="auto">
                    <a:xfrm>
                      <a:off x="0" y="0"/>
                      <a:ext cx="7867650" cy="8187690"/>
                    </a:xfrm>
                    <a:prstGeom prst="rect">
                      <a:avLst/>
                    </a:prstGeom>
                    <a:noFill/>
                    <a:ln w="9525">
                      <a:noFill/>
                      <a:miter lim="800000"/>
                      <a:headEnd/>
                      <a:tailEnd/>
                    </a:ln>
                  </pic:spPr>
                </pic:pic>
              </a:graphicData>
            </a:graphic>
            <wp14:sizeRelV relativeFrom="margin">
              <wp14:pctHeight>0</wp14:pctHeight>
            </wp14:sizeRelV>
          </wp:anchor>
        </w:drawing>
      </w:r>
    </w:p>
    <w:p w14:paraId="2DDCA50F" w14:textId="77777777" w:rsidR="00B23028" w:rsidRPr="009306D5" w:rsidRDefault="00B23028" w:rsidP="00B23028">
      <w:pPr>
        <w:pBdr>
          <w:top w:val="single" w:sz="4" w:space="6" w:color="auto"/>
          <w:left w:val="single" w:sz="4" w:space="6" w:color="auto"/>
          <w:bottom w:val="single" w:sz="4" w:space="6" w:color="auto"/>
          <w:right w:val="single" w:sz="4" w:space="6" w:color="auto"/>
        </w:pBdr>
        <w:jc w:val="center"/>
        <w:rPr>
          <w:rFonts w:ascii="Arial" w:hAnsi="Arial" w:cs="Arial"/>
          <w:b/>
          <w:noProof/>
          <w:snapToGrid w:val="0"/>
          <w:color w:val="000000"/>
          <w:szCs w:val="24"/>
        </w:rPr>
      </w:pPr>
      <w:bookmarkStart w:id="2125" w:name="OLE_LINK1"/>
      <w:bookmarkStart w:id="2126" w:name="OLE_LINK34"/>
      <w:r w:rsidRPr="009306D5">
        <w:rPr>
          <w:rFonts w:ascii="Arial" w:hAnsi="Arial"/>
          <w:b/>
          <w:noProof/>
          <w:szCs w:val="24"/>
        </w:rPr>
        <w:t>KUIDAS EL-IGA ÜHENDUST VÕTTA?</w:t>
      </w:r>
    </w:p>
    <w:bookmarkEnd w:id="2125"/>
    <w:bookmarkEnd w:id="2126"/>
    <w:p w14:paraId="04B4EB32" w14:textId="77777777" w:rsidR="00B23028" w:rsidRPr="009306D5" w:rsidRDefault="00B23028" w:rsidP="00B23028">
      <w:pPr>
        <w:pBdr>
          <w:top w:val="single" w:sz="4" w:space="6" w:color="auto"/>
          <w:left w:val="single" w:sz="4" w:space="6" w:color="auto"/>
          <w:bottom w:val="single" w:sz="4" w:space="6" w:color="auto"/>
          <w:right w:val="single" w:sz="4" w:space="6" w:color="auto"/>
        </w:pBdr>
        <w:ind w:left="284" w:hanging="284"/>
        <w:rPr>
          <w:rFonts w:ascii="Arial" w:hAnsi="Arial" w:cs="Arial"/>
          <w:b/>
          <w:noProof/>
          <w:color w:val="000000"/>
          <w:sz w:val="20"/>
        </w:rPr>
      </w:pPr>
      <w:r w:rsidRPr="009306D5">
        <w:rPr>
          <w:rFonts w:ascii="Arial" w:hAnsi="Arial"/>
          <w:b/>
          <w:noProof/>
          <w:color w:val="000000"/>
          <w:sz w:val="20"/>
        </w:rPr>
        <w:t>Isiklikult</w:t>
      </w:r>
    </w:p>
    <w:p w14:paraId="2BAFA03A" w14:textId="6720D3E1" w:rsidR="00B23028" w:rsidRPr="009306D5" w:rsidRDefault="00B23028" w:rsidP="00B23028">
      <w:pPr>
        <w:pBdr>
          <w:top w:val="single" w:sz="4" w:space="6" w:color="auto"/>
          <w:left w:val="single" w:sz="4" w:space="6" w:color="auto"/>
          <w:bottom w:val="single" w:sz="4" w:space="6" w:color="auto"/>
          <w:right w:val="single" w:sz="4" w:space="6" w:color="auto"/>
        </w:pBdr>
        <w:rPr>
          <w:rFonts w:ascii="Arial" w:hAnsi="Arial" w:cs="Arial"/>
          <w:noProof/>
          <w:color w:val="000000"/>
          <w:sz w:val="20"/>
        </w:rPr>
      </w:pPr>
      <w:r w:rsidRPr="009306D5">
        <w:rPr>
          <w:rFonts w:ascii="Arial" w:hAnsi="Arial"/>
          <w:noProof/>
          <w:color w:val="000000"/>
          <w:sz w:val="20"/>
        </w:rPr>
        <w:t xml:space="preserve">Kõikjal Euroopa Liidus on sadu Europe Directi teabekeskusi. Teile lähima keskuse aadressi leiate veebisaidilt </w:t>
      </w:r>
      <w:hyperlink r:id="rId142" w:history="1">
        <w:r w:rsidRPr="009306D5">
          <w:rPr>
            <w:rStyle w:val="Hyperlink"/>
            <w:rFonts w:ascii="Arial" w:hAnsi="Arial"/>
            <w:noProof/>
            <w:sz w:val="20"/>
          </w:rPr>
          <w:t>https://europa.eu/european-union/contact_et</w:t>
        </w:r>
      </w:hyperlink>
      <w:r w:rsidRPr="009306D5">
        <w:rPr>
          <w:noProof/>
        </w:rPr>
        <w:t>.</w:t>
      </w:r>
    </w:p>
    <w:p w14:paraId="0BA29A5B" w14:textId="77777777" w:rsidR="00B23028" w:rsidRPr="009306D5" w:rsidRDefault="00B23028" w:rsidP="00B23028">
      <w:pPr>
        <w:pBdr>
          <w:top w:val="single" w:sz="4" w:space="6" w:color="auto"/>
          <w:left w:val="single" w:sz="4" w:space="6" w:color="auto"/>
          <w:bottom w:val="single" w:sz="4" w:space="6" w:color="auto"/>
          <w:right w:val="single" w:sz="4" w:space="6" w:color="auto"/>
        </w:pBdr>
        <w:ind w:left="284" w:hanging="284"/>
        <w:rPr>
          <w:rFonts w:ascii="Arial" w:hAnsi="Arial" w:cs="Arial"/>
          <w:b/>
          <w:noProof/>
          <w:color w:val="000000"/>
          <w:sz w:val="20"/>
        </w:rPr>
      </w:pPr>
      <w:r w:rsidRPr="009306D5">
        <w:rPr>
          <w:rFonts w:ascii="Arial" w:hAnsi="Arial"/>
          <w:b/>
          <w:noProof/>
          <w:color w:val="000000"/>
          <w:sz w:val="20"/>
        </w:rPr>
        <w:t>Telefoni või e-posti teel</w:t>
      </w:r>
    </w:p>
    <w:p w14:paraId="78083AE5" w14:textId="77777777" w:rsidR="00B23028" w:rsidRPr="009306D5" w:rsidRDefault="00B23028" w:rsidP="00B23028">
      <w:pPr>
        <w:pBdr>
          <w:top w:val="single" w:sz="4" w:space="6" w:color="auto"/>
          <w:left w:val="single" w:sz="4" w:space="6" w:color="auto"/>
          <w:bottom w:val="single" w:sz="4" w:space="6" w:color="auto"/>
          <w:right w:val="single" w:sz="4" w:space="6" w:color="auto"/>
        </w:pBdr>
        <w:rPr>
          <w:rFonts w:ascii="Arial" w:hAnsi="Arial" w:cs="Arial"/>
          <w:noProof/>
          <w:color w:val="000000"/>
          <w:sz w:val="20"/>
        </w:rPr>
      </w:pPr>
      <w:r w:rsidRPr="009306D5">
        <w:rPr>
          <w:rFonts w:ascii="Arial" w:hAnsi="Arial"/>
          <w:noProof/>
          <w:color w:val="000000"/>
          <w:sz w:val="20"/>
        </w:rPr>
        <w:t>Europe Direct on teenus, mille kaudu saate vastuseid oma küsimustele Euroopa Liidu kohta. Ühendust saate võtta</w:t>
      </w:r>
    </w:p>
    <w:p w14:paraId="6EC858FA" w14:textId="77777777" w:rsidR="00B23028" w:rsidRPr="009306D5" w:rsidRDefault="00B23028" w:rsidP="00B23028">
      <w:pPr>
        <w:pBdr>
          <w:top w:val="single" w:sz="4" w:space="6" w:color="auto"/>
          <w:left w:val="single" w:sz="4" w:space="6" w:color="auto"/>
          <w:bottom w:val="single" w:sz="4" w:space="6" w:color="auto"/>
          <w:right w:val="single" w:sz="4" w:space="6" w:color="auto"/>
        </w:pBdr>
        <w:rPr>
          <w:rFonts w:ascii="Arial" w:hAnsi="Arial" w:cs="Arial"/>
          <w:noProof/>
          <w:color w:val="000000"/>
          <w:sz w:val="20"/>
        </w:rPr>
      </w:pPr>
      <w:r w:rsidRPr="009306D5">
        <w:rPr>
          <w:rFonts w:ascii="Arial" w:hAnsi="Arial"/>
          <w:noProof/>
          <w:color w:val="000000"/>
          <w:sz w:val="20"/>
        </w:rPr>
        <w:t>– tasuta telefoninumbril: 00 800 6 7 8 9 10 11 (mõni operaator võib nende kõnede eest tasu võtta),</w:t>
      </w:r>
    </w:p>
    <w:p w14:paraId="170A5D58" w14:textId="77777777" w:rsidR="00B23028" w:rsidRPr="009306D5" w:rsidRDefault="00B23028" w:rsidP="00B23028">
      <w:pPr>
        <w:pBdr>
          <w:top w:val="single" w:sz="4" w:space="6" w:color="auto"/>
          <w:left w:val="single" w:sz="4" w:space="6" w:color="auto"/>
          <w:bottom w:val="single" w:sz="4" w:space="6" w:color="auto"/>
          <w:right w:val="single" w:sz="4" w:space="6" w:color="auto"/>
        </w:pBdr>
        <w:rPr>
          <w:rFonts w:ascii="Arial" w:hAnsi="Arial" w:cs="Arial"/>
          <w:noProof/>
          <w:color w:val="000000"/>
          <w:sz w:val="20"/>
        </w:rPr>
      </w:pPr>
      <w:r w:rsidRPr="009306D5">
        <w:rPr>
          <w:rFonts w:ascii="Arial" w:hAnsi="Arial"/>
          <w:noProof/>
          <w:color w:val="000000"/>
          <w:sz w:val="20"/>
        </w:rPr>
        <w:t xml:space="preserve">– järgmisel tavanumbril: +32 22999696 või </w:t>
      </w:r>
    </w:p>
    <w:p w14:paraId="03ABA974" w14:textId="716D46F6" w:rsidR="00B23028" w:rsidRPr="009306D5" w:rsidRDefault="00B23028" w:rsidP="00B23028">
      <w:pPr>
        <w:pBdr>
          <w:top w:val="single" w:sz="4" w:space="6" w:color="auto"/>
          <w:left w:val="single" w:sz="4" w:space="6" w:color="auto"/>
          <w:bottom w:val="single" w:sz="4" w:space="6" w:color="auto"/>
          <w:right w:val="single" w:sz="4" w:space="6" w:color="auto"/>
        </w:pBdr>
        <w:rPr>
          <w:rFonts w:ascii="Arial" w:hAnsi="Arial" w:cs="Arial"/>
          <w:noProof/>
          <w:color w:val="000000"/>
          <w:sz w:val="20"/>
        </w:rPr>
      </w:pPr>
      <w:r w:rsidRPr="009306D5">
        <w:rPr>
          <w:rFonts w:ascii="Arial" w:hAnsi="Arial"/>
          <w:noProof/>
          <w:color w:val="000000"/>
          <w:sz w:val="20"/>
        </w:rPr>
        <w:t xml:space="preserve">– e-posti teel aadressil: </w:t>
      </w:r>
      <w:hyperlink r:id="rId143" w:history="1">
        <w:r w:rsidRPr="009306D5">
          <w:rPr>
            <w:rStyle w:val="Hyperlink"/>
            <w:rFonts w:ascii="Arial" w:hAnsi="Arial"/>
            <w:noProof/>
            <w:sz w:val="20"/>
          </w:rPr>
          <w:t>https://europa.eu/european-union/contact_et</w:t>
        </w:r>
      </w:hyperlink>
      <w:r w:rsidRPr="009306D5">
        <w:rPr>
          <w:noProof/>
        </w:rPr>
        <w:t>.</w:t>
      </w:r>
    </w:p>
    <w:p w14:paraId="6B906842" w14:textId="77777777" w:rsidR="00B23028" w:rsidRPr="009306D5" w:rsidRDefault="00B23028" w:rsidP="00B23028">
      <w:pPr>
        <w:pBdr>
          <w:top w:val="single" w:sz="4" w:space="6" w:color="auto"/>
          <w:left w:val="single" w:sz="4" w:space="6" w:color="auto"/>
          <w:bottom w:val="single" w:sz="4" w:space="6" w:color="auto"/>
          <w:right w:val="single" w:sz="4" w:space="6" w:color="auto"/>
        </w:pBdr>
        <w:ind w:left="284" w:hanging="284"/>
        <w:jc w:val="center"/>
        <w:rPr>
          <w:rFonts w:ascii="Arial" w:hAnsi="Arial" w:cs="Arial"/>
          <w:b/>
          <w:noProof/>
          <w:color w:val="000000"/>
          <w:sz w:val="20"/>
        </w:rPr>
      </w:pPr>
    </w:p>
    <w:p w14:paraId="1DFC90C2" w14:textId="77777777" w:rsidR="00B23028" w:rsidRPr="009306D5" w:rsidRDefault="00B23028" w:rsidP="00B23028">
      <w:pPr>
        <w:pBdr>
          <w:top w:val="single" w:sz="4" w:space="6" w:color="auto"/>
          <w:left w:val="single" w:sz="4" w:space="6" w:color="auto"/>
          <w:bottom w:val="single" w:sz="4" w:space="6" w:color="auto"/>
          <w:right w:val="single" w:sz="4" w:space="6" w:color="auto"/>
        </w:pBdr>
        <w:jc w:val="center"/>
        <w:rPr>
          <w:rFonts w:ascii="Arial" w:hAnsi="Arial" w:cs="Arial"/>
          <w:b/>
          <w:noProof/>
          <w:szCs w:val="24"/>
        </w:rPr>
      </w:pPr>
      <w:r w:rsidRPr="009306D5">
        <w:rPr>
          <w:rFonts w:ascii="Arial" w:hAnsi="Arial"/>
          <w:b/>
          <w:noProof/>
          <w:szCs w:val="24"/>
        </w:rPr>
        <w:t>KUIDAS LEIDA TEAVET EL-I KOHTA?</w:t>
      </w:r>
    </w:p>
    <w:p w14:paraId="7D4A21CA" w14:textId="77777777" w:rsidR="00B23028" w:rsidRPr="009306D5" w:rsidRDefault="00B23028" w:rsidP="00B23028">
      <w:pPr>
        <w:pBdr>
          <w:top w:val="single" w:sz="4" w:space="6" w:color="auto"/>
          <w:left w:val="single" w:sz="4" w:space="6" w:color="auto"/>
          <w:bottom w:val="single" w:sz="4" w:space="6" w:color="auto"/>
          <w:right w:val="single" w:sz="4" w:space="6" w:color="auto"/>
        </w:pBdr>
        <w:ind w:left="284" w:hanging="284"/>
        <w:rPr>
          <w:rFonts w:ascii="Arial" w:hAnsi="Arial" w:cs="Arial"/>
          <w:b/>
          <w:noProof/>
          <w:color w:val="000000"/>
          <w:sz w:val="20"/>
        </w:rPr>
      </w:pPr>
      <w:r w:rsidRPr="009306D5">
        <w:rPr>
          <w:rFonts w:ascii="Arial" w:hAnsi="Arial"/>
          <w:b/>
          <w:noProof/>
          <w:color w:val="000000"/>
          <w:sz w:val="20"/>
        </w:rPr>
        <w:t>Veebis</w:t>
      </w:r>
    </w:p>
    <w:p w14:paraId="1FFF2EE2" w14:textId="08483E9C" w:rsidR="00B23028" w:rsidRPr="009306D5" w:rsidRDefault="00B23028" w:rsidP="00B23028">
      <w:pPr>
        <w:pBdr>
          <w:top w:val="single" w:sz="4" w:space="6" w:color="auto"/>
          <w:left w:val="single" w:sz="4" w:space="6" w:color="auto"/>
          <w:bottom w:val="single" w:sz="4" w:space="6" w:color="auto"/>
          <w:right w:val="single" w:sz="4" w:space="6" w:color="auto"/>
        </w:pBdr>
        <w:rPr>
          <w:rFonts w:ascii="Arial" w:hAnsi="Arial" w:cs="Arial"/>
          <w:noProof/>
          <w:color w:val="000000"/>
          <w:sz w:val="20"/>
        </w:rPr>
      </w:pPr>
      <w:r w:rsidRPr="009306D5">
        <w:rPr>
          <w:rFonts w:ascii="Arial" w:hAnsi="Arial"/>
          <w:noProof/>
          <w:color w:val="000000"/>
          <w:sz w:val="20"/>
        </w:rPr>
        <w:t xml:space="preserve">Euroopa Liitu käsitlev teave on kõigis ELi ametlikes keeltes kättesaadav Europa veebisaidil: </w:t>
      </w:r>
      <w:hyperlink r:id="rId144" w:history="1">
        <w:r w:rsidRPr="009306D5">
          <w:rPr>
            <w:rStyle w:val="Hyperlink"/>
            <w:rFonts w:ascii="Arial" w:hAnsi="Arial"/>
            <w:noProof/>
            <w:sz w:val="20"/>
          </w:rPr>
          <w:t>https://europa.eu/european-union/index_et</w:t>
        </w:r>
      </w:hyperlink>
      <w:r w:rsidRPr="009306D5">
        <w:rPr>
          <w:noProof/>
        </w:rPr>
        <w:t>.</w:t>
      </w:r>
    </w:p>
    <w:p w14:paraId="1BB6482E" w14:textId="77777777" w:rsidR="00B23028" w:rsidRPr="009306D5" w:rsidRDefault="00B23028" w:rsidP="00B23028">
      <w:pPr>
        <w:pBdr>
          <w:top w:val="single" w:sz="4" w:space="6" w:color="auto"/>
          <w:left w:val="single" w:sz="4" w:space="6" w:color="auto"/>
          <w:bottom w:val="single" w:sz="4" w:space="6" w:color="auto"/>
          <w:right w:val="single" w:sz="4" w:space="6" w:color="auto"/>
        </w:pBdr>
        <w:ind w:left="284" w:hanging="284"/>
        <w:rPr>
          <w:rFonts w:ascii="Arial" w:hAnsi="Arial" w:cs="Arial"/>
          <w:b/>
          <w:noProof/>
          <w:color w:val="000000"/>
          <w:sz w:val="20"/>
        </w:rPr>
      </w:pPr>
      <w:r w:rsidRPr="009306D5">
        <w:rPr>
          <w:rFonts w:ascii="Arial" w:hAnsi="Arial"/>
          <w:b/>
          <w:noProof/>
          <w:color w:val="000000"/>
          <w:sz w:val="20"/>
        </w:rPr>
        <w:t>ELi väljaanded</w:t>
      </w:r>
      <w:r w:rsidRPr="009306D5">
        <w:rPr>
          <w:rFonts w:ascii="Arial" w:hAnsi="Arial"/>
          <w:b/>
          <w:noProof/>
          <w:color w:val="000000"/>
          <w:sz w:val="20"/>
        </w:rPr>
        <w:tab/>
      </w:r>
    </w:p>
    <w:p w14:paraId="3AFBC967" w14:textId="6CC0DD29" w:rsidR="00B23028" w:rsidRPr="009306D5" w:rsidRDefault="00B23028" w:rsidP="00B23028">
      <w:pPr>
        <w:pBdr>
          <w:top w:val="single" w:sz="4" w:space="6" w:color="auto"/>
          <w:left w:val="single" w:sz="4" w:space="6" w:color="auto"/>
          <w:bottom w:val="single" w:sz="4" w:space="6" w:color="auto"/>
          <w:right w:val="single" w:sz="4" w:space="6" w:color="auto"/>
        </w:pBdr>
        <w:rPr>
          <w:rFonts w:ascii="Arial" w:hAnsi="Arial" w:cs="Arial"/>
          <w:noProof/>
          <w:color w:val="000000"/>
          <w:sz w:val="20"/>
        </w:rPr>
      </w:pPr>
      <w:r w:rsidRPr="009306D5">
        <w:rPr>
          <w:rFonts w:ascii="Arial" w:hAnsi="Arial"/>
          <w:noProof/>
          <w:color w:val="000000"/>
          <w:sz w:val="20"/>
        </w:rPr>
        <w:t xml:space="preserve">Tasuta ja tasulisi ELi väljaandeid saab alla laadida või tellida aadressil: </w:t>
      </w:r>
      <w:hyperlink r:id="rId145" w:history="1">
        <w:r w:rsidRPr="009306D5">
          <w:rPr>
            <w:rStyle w:val="Hyperlink"/>
            <w:rFonts w:ascii="Arial" w:hAnsi="Arial"/>
            <w:noProof/>
            <w:sz w:val="20"/>
          </w:rPr>
          <w:t>https://publications.europa.eu/et/publications</w:t>
        </w:r>
      </w:hyperlink>
      <w:r w:rsidRPr="009306D5">
        <w:rPr>
          <w:rFonts w:ascii="Arial" w:hAnsi="Arial"/>
          <w:noProof/>
          <w:color w:val="000000"/>
          <w:sz w:val="20"/>
        </w:rPr>
        <w:t xml:space="preserve">. Kui soovite saada tasuta väljaandeid suuremal arvul eksemplarides, võtke ühendust teenusega Europe Direct või kohaliku teabekeskusega (vt </w:t>
      </w:r>
      <w:hyperlink r:id="rId146" w:history="1">
        <w:r w:rsidRPr="009306D5">
          <w:rPr>
            <w:rStyle w:val="Hyperlink"/>
            <w:rFonts w:ascii="Arial" w:hAnsi="Arial"/>
            <w:noProof/>
            <w:sz w:val="20"/>
          </w:rPr>
          <w:t>https://europa.eu/european-union/contact_et</w:t>
        </w:r>
      </w:hyperlink>
      <w:r w:rsidRPr="009306D5">
        <w:rPr>
          <w:rFonts w:ascii="Arial" w:hAnsi="Arial"/>
          <w:noProof/>
          <w:color w:val="000000"/>
          <w:sz w:val="20"/>
        </w:rPr>
        <w:t>).</w:t>
      </w:r>
    </w:p>
    <w:p w14:paraId="686A5333" w14:textId="77777777" w:rsidR="00B23028" w:rsidRPr="009306D5" w:rsidRDefault="00B23028" w:rsidP="00B23028">
      <w:pPr>
        <w:pBdr>
          <w:top w:val="single" w:sz="4" w:space="6" w:color="auto"/>
          <w:left w:val="single" w:sz="4" w:space="6" w:color="auto"/>
          <w:bottom w:val="single" w:sz="4" w:space="6" w:color="auto"/>
          <w:right w:val="single" w:sz="4" w:space="6" w:color="auto"/>
        </w:pBdr>
        <w:ind w:left="284" w:hanging="284"/>
        <w:rPr>
          <w:rFonts w:ascii="Arial" w:hAnsi="Arial" w:cs="Arial"/>
          <w:b/>
          <w:noProof/>
          <w:color w:val="000000"/>
          <w:sz w:val="20"/>
        </w:rPr>
      </w:pPr>
      <w:r w:rsidRPr="009306D5">
        <w:rPr>
          <w:rFonts w:ascii="Arial" w:hAnsi="Arial"/>
          <w:b/>
          <w:noProof/>
          <w:color w:val="000000"/>
          <w:sz w:val="20"/>
        </w:rPr>
        <w:t>ELi õigusaktid ja nendega seotud dokumendid</w:t>
      </w:r>
    </w:p>
    <w:p w14:paraId="5206C31D" w14:textId="3DF16628" w:rsidR="00B23028" w:rsidRPr="009306D5" w:rsidRDefault="00B23028" w:rsidP="00B23028">
      <w:pPr>
        <w:pBdr>
          <w:top w:val="single" w:sz="4" w:space="6" w:color="auto"/>
          <w:left w:val="single" w:sz="4" w:space="6" w:color="auto"/>
          <w:bottom w:val="single" w:sz="4" w:space="6" w:color="auto"/>
          <w:right w:val="single" w:sz="4" w:space="6" w:color="auto"/>
        </w:pBdr>
        <w:rPr>
          <w:rFonts w:ascii="Arial" w:hAnsi="Arial" w:cs="Arial"/>
          <w:noProof/>
          <w:color w:val="000000"/>
          <w:sz w:val="20"/>
        </w:rPr>
      </w:pPr>
      <w:r w:rsidRPr="009306D5">
        <w:rPr>
          <w:rFonts w:ascii="Arial" w:hAnsi="Arial"/>
          <w:noProof/>
          <w:color w:val="000000"/>
          <w:sz w:val="20"/>
        </w:rPr>
        <w:t xml:space="preserve">Juurdepääsuks ELi õigusteabele, sealhulgas kõigile ELi õigusaktidele alates 1952. aastast kõigis ametlikes keeltes, vt EUR-Lex: </w:t>
      </w:r>
      <w:hyperlink r:id="rId147" w:history="1">
        <w:r w:rsidRPr="009306D5">
          <w:rPr>
            <w:rStyle w:val="Hyperlink"/>
            <w:rFonts w:ascii="Arial" w:hAnsi="Arial"/>
            <w:noProof/>
            <w:sz w:val="20"/>
          </w:rPr>
          <w:t>https://eur-lex.europa.eu/homepage.html?locale=et</w:t>
        </w:r>
      </w:hyperlink>
      <w:r w:rsidRPr="009306D5">
        <w:rPr>
          <w:noProof/>
        </w:rPr>
        <w:t>.</w:t>
      </w:r>
    </w:p>
    <w:p w14:paraId="6878057A" w14:textId="77777777" w:rsidR="00B23028" w:rsidRPr="009306D5" w:rsidRDefault="00B23028" w:rsidP="00B23028">
      <w:pPr>
        <w:pBdr>
          <w:top w:val="single" w:sz="4" w:space="6" w:color="auto"/>
          <w:left w:val="single" w:sz="4" w:space="6" w:color="auto"/>
          <w:bottom w:val="single" w:sz="4" w:space="6" w:color="auto"/>
          <w:right w:val="single" w:sz="4" w:space="6" w:color="auto"/>
        </w:pBdr>
        <w:ind w:left="284" w:hanging="284"/>
        <w:rPr>
          <w:rFonts w:ascii="Arial" w:hAnsi="Arial" w:cs="Arial"/>
          <w:b/>
          <w:noProof/>
          <w:color w:val="000000"/>
          <w:sz w:val="20"/>
        </w:rPr>
      </w:pPr>
      <w:r w:rsidRPr="009306D5">
        <w:rPr>
          <w:rFonts w:ascii="Arial" w:hAnsi="Arial"/>
          <w:b/>
          <w:noProof/>
          <w:color w:val="000000"/>
          <w:sz w:val="20"/>
        </w:rPr>
        <w:t>ELi avatud andmed</w:t>
      </w:r>
    </w:p>
    <w:p w14:paraId="5F770045" w14:textId="70E8D489" w:rsidR="00B23028" w:rsidRPr="009306D5" w:rsidRDefault="00B23028" w:rsidP="00B23028">
      <w:pPr>
        <w:pBdr>
          <w:top w:val="single" w:sz="4" w:space="6" w:color="auto"/>
          <w:left w:val="single" w:sz="4" w:space="6" w:color="auto"/>
          <w:bottom w:val="single" w:sz="4" w:space="6" w:color="auto"/>
          <w:right w:val="single" w:sz="4" w:space="6" w:color="auto"/>
        </w:pBdr>
        <w:rPr>
          <w:rFonts w:ascii="Arial" w:hAnsi="Arial" w:cs="Arial"/>
          <w:noProof/>
          <w:color w:val="000000"/>
          <w:sz w:val="20"/>
        </w:rPr>
      </w:pPr>
      <w:r w:rsidRPr="009306D5">
        <w:rPr>
          <w:rFonts w:ascii="Arial" w:hAnsi="Arial"/>
          <w:noProof/>
          <w:color w:val="000000"/>
          <w:sz w:val="20"/>
        </w:rPr>
        <w:t>Euroopa andmete avalik portaal (</w:t>
      </w:r>
      <w:hyperlink r:id="rId148" w:history="1">
        <w:r w:rsidRPr="009306D5">
          <w:rPr>
            <w:rStyle w:val="Hyperlink"/>
            <w:rFonts w:ascii="Arial" w:hAnsi="Arial"/>
            <w:noProof/>
            <w:sz w:val="20"/>
          </w:rPr>
          <w:t>http://data.europa.eu/euodp/en</w:t>
        </w:r>
      </w:hyperlink>
      <w:r w:rsidRPr="009306D5">
        <w:rPr>
          <w:rFonts w:ascii="Arial" w:hAnsi="Arial"/>
          <w:noProof/>
          <w:color w:val="000000"/>
          <w:sz w:val="20"/>
        </w:rPr>
        <w:t>) võimaldab juurdepääsu ELi andmestikele. Andmeid võib tasuta alla laadida ja kasutada ärilisel ja mitteärilisel eesmärgil.</w:t>
      </w:r>
    </w:p>
    <w:p w14:paraId="735246EE" w14:textId="7840D650" w:rsidR="00B23028" w:rsidRPr="009306D5" w:rsidRDefault="0021682D" w:rsidP="00B23028">
      <w:pPr>
        <w:pStyle w:val="Heading"/>
        <w:rPr>
          <w:noProof/>
        </w:rPr>
        <w:sectPr w:rsidR="00B23028" w:rsidRPr="009306D5" w:rsidSect="00B23028">
          <w:headerReference w:type="even" r:id="rId149"/>
          <w:headerReference w:type="default" r:id="rId150"/>
          <w:footerReference w:type="even" r:id="rId151"/>
          <w:footerReference w:type="default" r:id="rId152"/>
          <w:headerReference w:type="first" r:id="rId153"/>
          <w:footerReference w:type="first" r:id="rId154"/>
          <w:pgSz w:w="11907" w:h="16839" w:code="9"/>
          <w:pgMar w:top="2127" w:right="1418" w:bottom="737" w:left="1418" w:header="1276" w:footer="351" w:gutter="0"/>
          <w:cols w:space="720"/>
          <w:titlePg/>
          <w:docGrid w:linePitch="326"/>
        </w:sectPr>
      </w:pPr>
      <w:r w:rsidRPr="009306D5">
        <w:rPr>
          <w:noProof/>
        </w:rPr>
        <w:t>..</w:t>
      </w:r>
    </w:p>
    <w:p w14:paraId="58423E6C" w14:textId="2CA1C9D9" w:rsidR="005B15B7" w:rsidRPr="009306D5" w:rsidRDefault="005B15B7">
      <w:pPr>
        <w:rPr>
          <w:rFonts w:cs="Times New Roman"/>
          <w:noProof/>
        </w:rPr>
      </w:pPr>
      <w:r w:rsidRPr="009306D5">
        <w:rPr>
          <w:noProof/>
          <w:sz w:val="18"/>
          <w:lang w:val="en-GB" w:eastAsia="en-GB"/>
        </w:rPr>
        <mc:AlternateContent>
          <mc:Choice Requires="wps">
            <w:drawing>
              <wp:anchor distT="0" distB="0" distL="114300" distR="114300" simplePos="0" relativeHeight="251656704" behindDoc="0" locked="0" layoutInCell="1" allowOverlap="1" wp14:anchorId="3D999E1E" wp14:editId="465B516F">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3707" w14:textId="77777777" w:rsidR="00C34499" w:rsidRDefault="00C34499" w:rsidP="005B15B7">
                            <w:pPr>
                              <w:rPr>
                                <w:rFonts w:ascii="Arial" w:hAnsi="Arial"/>
                                <w:color w:val="FF0000"/>
                                <w:sz w:val="18"/>
                              </w:rPr>
                            </w:pPr>
                            <w:r>
                              <w:rPr>
                                <w:rFonts w:ascii="Arial" w:hAnsi="Arial"/>
                                <w:color w:val="FF0000"/>
                                <w:sz w:val="18"/>
                              </w:rPr>
                              <w:t>[Kataloogi number]</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99E1E" id="_x0000_t202" coordsize="21600,21600" o:spt="202" path="m,l,21600r21600,l21600,xe">
                <v:stroke joinstyle="miter"/>
                <v:path gradientshapeok="t" o:connecttype="rect"/>
              </v:shapetype>
              <v:shape id="Text Box 2" o:spid="_x0000_s1027" type="#_x0000_t202" style="position:absolute;margin-left:532.15pt;margin-top:29.35pt;width:43.5pt;height:96.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" filled="f" fillcolor="black" stroked="f">
                <v:textbox style="layout-flow:vertical">
                  <w:txbxContent>
                    <w:p w14:paraId="46333707" w14:textId="77777777" w:rsidR="00C34499" w:rsidRDefault="00C34499" w:rsidP="005B15B7">
                      <w:pPr>
                        <w:rPr>
                          <w:rFonts w:ascii="Arial" w:hAnsi="Arial"/>
                          <w:color w:val="FF0000"/>
                          <w:sz w:val="18"/>
                        </w:rPr>
                      </w:pPr>
                      <w:r>
                        <w:rPr>
                          <w:rFonts w:ascii="Arial" w:hAnsi="Arial"/>
                          <w:color w:val="FF0000"/>
                          <w:sz w:val="18"/>
                        </w:rPr>
                        <w:t>[Kataloogi number]</w:t>
                      </w:r>
                    </w:p>
                  </w:txbxContent>
                </v:textbox>
                <w10:wrap anchorx="margin" anchory="page"/>
              </v:shape>
            </w:pict>
          </mc:Fallback>
        </mc:AlternateContent>
      </w:r>
      <w:bookmarkStart w:id="2127" w:name="Prix1"/>
      <w:bookmarkEnd w:id="2127"/>
    </w:p>
    <w:sectPr w:rsidR="005B15B7" w:rsidRPr="009306D5" w:rsidSect="00B92285">
      <w:headerReference w:type="even" r:id="rId155"/>
      <w:headerReference w:type="default" r:id="rId156"/>
      <w:footerReference w:type="even" r:id="rId157"/>
      <w:footerReference w:type="default" r:id="rId158"/>
      <w:headerReference w:type="first" r:id="rId159"/>
      <w:footerReference w:type="first" r:id="rId160"/>
      <w:pgSz w:w="11906" w:h="16838"/>
      <w:pgMar w:top="1417" w:right="1417" w:bottom="1417" w:left="1417" w:header="708" w:footer="708"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82A76BF" w16cex:dateUtc="2021-12-07T11:58:06.329Z"/>
  <w16cex:commentExtensible w16cex:durableId="2EA097E6" w16cex:dateUtc="2021-12-07T11:59:01.941Z"/>
  <w16cex:commentExtensible w16cex:durableId="2E07FF9F" w16cex:dateUtc="2021-12-07T13:20:05.079Z"/>
  <w16cex:commentExtensible w16cex:durableId="05AB47AD" w16cex:dateUtc="2021-12-07T14:47:57.137Z"/>
</w16cex:commentsExtensible>
</file>

<file path=word/commentsIds.xml><?xml version="1.0" encoding="utf-8"?>
<w16cid:commentsIds xmlns:mc="http://schemas.openxmlformats.org/markup-compatibility/2006" xmlns:w16cid="http://schemas.microsoft.com/office/word/2016/wordml/cid" mc:Ignorable="w16cid">
  <w16cid:commentId w16cid:paraId="1D87D367" w16cid:durableId="582A76BF"/>
  <w16cid:commentId w16cid:paraId="3A870AAB" w16cid:durableId="2EA097E6"/>
  <w16cid:commentId w16cid:paraId="397D6D11" w16cid:durableId="2E07FF9F"/>
  <w16cid:commentId w16cid:paraId="3A2345AF" w16cid:durableId="05AB47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AF8C3" w14:textId="77777777" w:rsidR="00C34499" w:rsidRDefault="00C34499" w:rsidP="00B92285">
      <w:pPr>
        <w:spacing w:after="0" w:line="240" w:lineRule="auto"/>
      </w:pPr>
      <w:r>
        <w:separator/>
      </w:r>
    </w:p>
  </w:endnote>
  <w:endnote w:type="continuationSeparator" w:id="0">
    <w:p w14:paraId="3F81C347" w14:textId="77777777" w:rsidR="00C34499" w:rsidRDefault="00C34499" w:rsidP="00B92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Myriad Pro Light">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HMRCModena Light">
    <w:altName w:val="HMRCModena Light"/>
    <w:panose1 w:val="00000000000000000000"/>
    <w:charset w:val="00"/>
    <w:family w:val="swiss"/>
    <w:notTrueType/>
    <w:pitch w:val="default"/>
    <w:sig w:usb0="00000003" w:usb1="00000000" w:usb2="00000000" w:usb3="00000000" w:csb0="00000001" w:csb1="00000000"/>
  </w:font>
  <w:font w:name="EC Square Sans Pro">
    <w:charset w:val="00"/>
    <w:family w:val="swiss"/>
    <w:pitch w:val="variable"/>
    <w:sig w:usb0="A00002BF" w:usb1="5000E0FB" w:usb2="0000000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0E404" w14:textId="77777777" w:rsidR="00467CAD" w:rsidRPr="00467CAD" w:rsidRDefault="00467CAD" w:rsidP="00467C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17F64" w14:textId="77777777" w:rsidR="00C34499" w:rsidRDefault="00C3449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09D9E" w14:textId="59DD5725" w:rsidR="00C34499" w:rsidRDefault="00C34499" w:rsidP="00B23028">
    <w:pPr>
      <w:spacing w:after="0"/>
      <w:ind w:right="-1"/>
      <w:rPr>
        <w:rFonts w:ascii="Verdana" w:hAnsi="Verdana"/>
        <w:sz w:val="16"/>
        <w:szCs w:val="16"/>
      </w:rPr>
    </w:pPr>
    <w:r>
      <w:rPr>
        <w:rFonts w:ascii="Verdana" w:hAnsi="Verdana"/>
        <w:noProof/>
        <w:sz w:val="16"/>
        <w:szCs w:val="16"/>
        <w:lang w:val="en-GB" w:eastAsia="en-GB"/>
      </w:rPr>
      <w:drawing>
        <wp:inline distT="0" distB="0" distL="0" distR="0" wp14:anchorId="17209F6C" wp14:editId="2C53FBA4">
          <wp:extent cx="1211580" cy="617220"/>
          <wp:effectExtent l="0" t="0" r="7620" b="0"/>
          <wp:docPr id="230" name="Picture 230" descr="OP-EN_rgb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_rgb 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580" cy="617220"/>
                  </a:xfrm>
                  <a:prstGeom prst="rect">
                    <a:avLst/>
                  </a:prstGeom>
                  <a:noFill/>
                  <a:ln>
                    <a:noFill/>
                  </a:ln>
                </pic:spPr>
              </pic:pic>
            </a:graphicData>
          </a:graphic>
        </wp:inline>
      </w:drawing>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DOI</w:t>
    </w:r>
    <w:r>
      <w:rPr>
        <w:rFonts w:ascii="Verdana" w:hAnsi="Verdana"/>
        <w:sz w:val="16"/>
        <w:szCs w:val="16"/>
      </w:rPr>
      <w:tab/>
      <w:t>10.2778/23782</w:t>
    </w:r>
  </w:p>
  <w:p w14:paraId="247AD85E" w14:textId="2A77E9BA" w:rsidR="00C34499" w:rsidRPr="000D13AA" w:rsidRDefault="00C34499" w:rsidP="000D13AA">
    <w:pPr>
      <w:spacing w:after="0"/>
      <w:ind w:left="6480" w:right="-1"/>
      <w:rPr>
        <w:rFonts w:ascii="Verdana" w:hAnsi="Verdana"/>
        <w:sz w:val="16"/>
        <w:szCs w:val="16"/>
      </w:rPr>
    </w:pPr>
    <w:r>
      <w:rPr>
        <w:rFonts w:ascii="Verdana" w:hAnsi="Verdana"/>
        <w:sz w:val="16"/>
        <w:szCs w:val="16"/>
      </w:rPr>
      <w:t>ISBN</w:t>
    </w:r>
    <w:r>
      <w:rPr>
        <w:rFonts w:ascii="Verdana" w:hAnsi="Verdana"/>
        <w:sz w:val="16"/>
        <w:szCs w:val="16"/>
      </w:rPr>
      <w:tab/>
      <w:t>978-92-76-30355-8</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76517" w14:textId="77777777" w:rsidR="00C34499" w:rsidRDefault="00C344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D2EE6" w14:textId="1860D8E1" w:rsidR="00135C2F" w:rsidRPr="00467CAD" w:rsidRDefault="00467CAD" w:rsidP="00467CAD">
    <w:pPr>
      <w:pStyle w:val="FooterCoverPage"/>
      <w:rPr>
        <w:rFonts w:ascii="Arial" w:hAnsi="Arial" w:cs="Arial"/>
        <w:b/>
        <w:sz w:val="48"/>
      </w:rPr>
    </w:pPr>
    <w:r w:rsidRPr="00467CAD">
      <w:rPr>
        <w:rFonts w:ascii="Arial" w:hAnsi="Arial" w:cs="Arial"/>
        <w:b/>
        <w:sz w:val="48"/>
      </w:rPr>
      <w:t>ET</w:t>
    </w:r>
    <w:r w:rsidRPr="00467CAD">
      <w:rPr>
        <w:rFonts w:ascii="Arial" w:hAnsi="Arial" w:cs="Arial"/>
        <w:b/>
        <w:sz w:val="48"/>
      </w:rPr>
      <w:tab/>
    </w:r>
    <w:r w:rsidRPr="00467CAD">
      <w:rPr>
        <w:rFonts w:ascii="Arial" w:hAnsi="Arial" w:cs="Arial"/>
        <w:b/>
        <w:sz w:val="48"/>
      </w:rPr>
      <w:tab/>
    </w:r>
    <w:r w:rsidRPr="00467CAD">
      <w:tab/>
    </w:r>
    <w:r w:rsidRPr="00467CAD">
      <w:rPr>
        <w:rFonts w:ascii="Arial" w:hAnsi="Arial" w:cs="Arial"/>
        <w:b/>
        <w:sz w:val="48"/>
      </w:rPr>
      <w:t>ET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17A63" w14:textId="77777777" w:rsidR="00467CAD" w:rsidRPr="00467CAD" w:rsidRDefault="00467CAD" w:rsidP="00467CA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5004F" w14:textId="77777777" w:rsidR="00C34499" w:rsidRDefault="00C344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792094"/>
      <w:docPartObj>
        <w:docPartGallery w:val="Page Numbers (Bottom of Page)"/>
        <w:docPartUnique/>
      </w:docPartObj>
    </w:sdtPr>
    <w:sdtEndPr>
      <w:rPr>
        <w:rFonts w:cs="Times New Roman"/>
        <w:noProof/>
        <w:sz w:val="20"/>
      </w:rPr>
    </w:sdtEndPr>
    <w:sdtContent>
      <w:p w14:paraId="3D4DA06F" w14:textId="25560BDE" w:rsidR="00C34499" w:rsidRPr="000D13AA" w:rsidRDefault="00C34499" w:rsidP="005B15B7">
        <w:pPr>
          <w:pStyle w:val="Footer"/>
          <w:jc w:val="right"/>
          <w:rPr>
            <w:rFonts w:cs="Times New Roman"/>
            <w:sz w:val="20"/>
          </w:rPr>
        </w:pPr>
        <w:r w:rsidRPr="000D13AA">
          <w:rPr>
            <w:rFonts w:cs="Times New Roman"/>
            <w:sz w:val="20"/>
          </w:rPr>
          <w:fldChar w:fldCharType="begin"/>
        </w:r>
        <w:r w:rsidRPr="000D13AA">
          <w:rPr>
            <w:rFonts w:cs="Times New Roman"/>
            <w:sz w:val="20"/>
          </w:rPr>
          <w:instrText xml:space="preserve"> PAGE   \* MERGEFORMAT </w:instrText>
        </w:r>
        <w:r w:rsidRPr="000D13AA">
          <w:rPr>
            <w:rFonts w:cs="Times New Roman"/>
            <w:sz w:val="20"/>
          </w:rPr>
          <w:fldChar w:fldCharType="separate"/>
        </w:r>
        <w:r w:rsidR="00467CAD">
          <w:rPr>
            <w:rFonts w:cs="Times New Roman"/>
            <w:noProof/>
            <w:sz w:val="20"/>
          </w:rPr>
          <w:t>1</w:t>
        </w:r>
        <w:r w:rsidRPr="000D13AA">
          <w:rPr>
            <w:rFonts w:cs="Times New Roman"/>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377F0" w14:textId="77777777" w:rsidR="00C34499" w:rsidRDefault="00C344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AAE0" w14:textId="77777777" w:rsidR="00C34499" w:rsidRDefault="00C344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6AB30" w14:textId="77777777" w:rsidR="00C34499" w:rsidRPr="00E04E28" w:rsidRDefault="00C34499" w:rsidP="00B2302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4042A" w14:textId="77777777" w:rsidR="00C34499" w:rsidRDefault="00C34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2E779" w14:textId="77777777" w:rsidR="00C34499" w:rsidRDefault="00C34499" w:rsidP="00B92285">
      <w:pPr>
        <w:spacing w:after="0" w:line="240" w:lineRule="auto"/>
      </w:pPr>
      <w:r>
        <w:separator/>
      </w:r>
    </w:p>
  </w:footnote>
  <w:footnote w:type="continuationSeparator" w:id="0">
    <w:p w14:paraId="2FD7DA31" w14:textId="77777777" w:rsidR="00C34499" w:rsidRDefault="00C34499" w:rsidP="00B92285">
      <w:pPr>
        <w:spacing w:after="0" w:line="240" w:lineRule="auto"/>
      </w:pPr>
      <w:r>
        <w:continuationSeparator/>
      </w:r>
    </w:p>
  </w:footnote>
  <w:footnote w:id="1">
    <w:p w14:paraId="4E06F992" w14:textId="77777777" w:rsidR="00C34499" w:rsidRPr="00C23515" w:rsidRDefault="00C34499" w:rsidP="005B15B7">
      <w:pPr>
        <w:pStyle w:val="FootnoteText"/>
      </w:pPr>
      <w:r>
        <w:rPr>
          <w:rStyle w:val="FootnoteReference"/>
        </w:rPr>
        <w:footnoteRef/>
      </w:r>
      <w:r>
        <w:tab/>
        <w:t>Käibemaksu tüüpi maksud vastavad keskmiselt ligikaudu 7 %-le SKPst (andes kokku umbes viiendiku valitsussektori tulust) ja on seega üks kõige olulisemaid tuluallikaid (</w:t>
      </w:r>
      <w:hyperlink r:id="rId1" w:history="1">
        <w:r>
          <w:rPr>
            <w:rStyle w:val="Hyperlink"/>
          </w:rPr>
          <w:t>https://ec.europa.eu/eurostat/statistics-explained/index.php/Tax_revenue_statistics</w:t>
        </w:r>
      </w:hyperlink>
      <w:r>
        <w:t>).</w:t>
      </w:r>
    </w:p>
  </w:footnote>
  <w:footnote w:id="2">
    <w:p w14:paraId="7CA13319" w14:textId="77777777" w:rsidR="00C34499" w:rsidRPr="00C23515" w:rsidRDefault="00C34499" w:rsidP="005B15B7">
      <w:pPr>
        <w:pStyle w:val="FootnoteText"/>
      </w:pPr>
      <w:r>
        <w:rPr>
          <w:rStyle w:val="FootnoteReference"/>
        </w:rPr>
        <w:footnoteRef/>
      </w:r>
      <w:r>
        <w:tab/>
        <w:t>EÜT L 155, 7.6.1989, lk 9.</w:t>
      </w:r>
    </w:p>
  </w:footnote>
  <w:footnote w:id="3">
    <w:p w14:paraId="4F3236D9" w14:textId="4738C0ED" w:rsidR="00C34499" w:rsidRPr="00C23515" w:rsidRDefault="00C34499" w:rsidP="005B15B7">
      <w:pPr>
        <w:pStyle w:val="FootnoteText"/>
      </w:pPr>
      <w:r>
        <w:rPr>
          <w:rStyle w:val="FootnoteReference"/>
        </w:rPr>
        <w:footnoteRef/>
      </w:r>
      <w:r>
        <w:tab/>
        <w:t xml:space="preserve">Kaheksa varasema aruande viiteid vt </w:t>
      </w:r>
      <w:r>
        <w:fldChar w:fldCharType="begin"/>
      </w:r>
      <w:r>
        <w:instrText xml:space="preserve"> REF _Ref85470839 \h </w:instrText>
      </w:r>
      <w:r>
        <w:fldChar w:fldCharType="separate"/>
      </w:r>
      <w:r w:rsidRPr="001F22C5">
        <w:t>3</w:t>
      </w:r>
      <w:r>
        <w:t>. lisa</w:t>
      </w:r>
      <w:r w:rsidRPr="001F22C5">
        <w:t>:</w:t>
      </w:r>
      <w:r w:rsidRPr="001F22C5">
        <w:rPr>
          <w:color w:val="000000"/>
        </w:rPr>
        <w:t xml:space="preserve"> </w:t>
      </w:r>
      <w:r>
        <w:t>Viited</w:t>
      </w:r>
      <w:r>
        <w:fldChar w:fldCharType="end"/>
      </w:r>
      <w:r>
        <w:t>.</w:t>
      </w:r>
    </w:p>
  </w:footnote>
  <w:footnote w:id="4">
    <w:p w14:paraId="546F0AE8" w14:textId="77777777" w:rsidR="00C34499" w:rsidRPr="00BE61A4" w:rsidRDefault="00C34499" w:rsidP="005B15B7">
      <w:pPr>
        <w:pStyle w:val="FootnoteText"/>
      </w:pPr>
      <w:r>
        <w:rPr>
          <w:rStyle w:val="FootnoteReference"/>
        </w:rPr>
        <w:footnoteRef/>
      </w:r>
      <w:r>
        <w:tab/>
        <w:t>COM(2017) 780 final.</w:t>
      </w:r>
    </w:p>
  </w:footnote>
  <w:footnote w:id="5">
    <w:p w14:paraId="43024B96" w14:textId="77777777" w:rsidR="00C34499" w:rsidRPr="00C23515" w:rsidRDefault="00C34499" w:rsidP="005B15B7">
      <w:pPr>
        <w:pStyle w:val="FootnoteText"/>
      </w:pPr>
      <w:r>
        <w:rPr>
          <w:rStyle w:val="FootnoteReference"/>
        </w:rPr>
        <w:footnoteRef/>
      </w:r>
      <w:r>
        <w:tab/>
        <w:t>Kuna käibemaks on ka ELi eelarve omavahend, on praeguse õiguskorraga (määrus (EMÜ, EURATOM) nr 1553/89) ette nähtud, et komisjon koostab liikmesriikides kohaldatavate käibemaksu haldamise menetluste kohta aruande ja esitab selle Euroopa Parlamendile ja nõukogule. Määruse (EMÜ, EURATOM) nr 1553/89 (käibemaksust laekuvate omavahendite kogumise kindla ühtse korra kohta) ametlik tekst on kättesaadav veebis:(</w:t>
      </w:r>
      <w:hyperlink r:id="rId2" w:history="1">
        <w:r>
          <w:rPr>
            <w:rStyle w:val="Hyperlink"/>
          </w:rPr>
          <w:t>https://eur-lex.europa.eu/legal-content/et/TXT/?uri=CELEX%3A31989R1553</w:t>
        </w:r>
      </w:hyperlink>
      <w:r>
        <w:t>).</w:t>
      </w:r>
    </w:p>
  </w:footnote>
  <w:footnote w:id="6">
    <w:p w14:paraId="4A1A8325" w14:textId="77777777" w:rsidR="00C34499" w:rsidRPr="0052606B" w:rsidRDefault="00C34499" w:rsidP="005B15B7">
      <w:pPr>
        <w:pStyle w:val="FootnoteText"/>
      </w:pPr>
      <w:r>
        <w:rPr>
          <w:rStyle w:val="FootnoteReference"/>
        </w:rPr>
        <w:footnoteRef/>
      </w:r>
      <w:r>
        <w:tab/>
        <w:t>Käibemaksu tüüpi maksud vastavad keskmiselt ligikaudu 7 % SKP-le (andes kokku umbes viiendiku valitsussektori tulust) ja on seega üks kõige olulisemaid tuluallikaid: https://ec.europa.eu/eurostat/statistics-explained/index.php/Tax_revenue_statistics. 2018. aastal sai EL käibemaksutulu 1 132 miljardit eurot.</w:t>
      </w:r>
    </w:p>
  </w:footnote>
  <w:footnote w:id="7">
    <w:p w14:paraId="7626117B" w14:textId="77777777" w:rsidR="00C34499" w:rsidRPr="008133F9" w:rsidRDefault="00C34499" w:rsidP="005B15B7">
      <w:pPr>
        <w:pStyle w:val="FootnoteText"/>
      </w:pPr>
      <w:r>
        <w:rPr>
          <w:rStyle w:val="FootnoteReference"/>
        </w:rPr>
        <w:footnoteRef/>
      </w:r>
      <w:r>
        <w:t xml:space="preserve"> </w:t>
      </w:r>
      <w:r>
        <w:tab/>
        <w:t>ELi käibemaksulõhe – 2021. aasta aruanne</w:t>
      </w:r>
    </w:p>
  </w:footnote>
  <w:footnote w:id="8">
    <w:p w14:paraId="2D79A33B" w14:textId="77777777" w:rsidR="00C34499" w:rsidRPr="00180A3C" w:rsidRDefault="00C34499" w:rsidP="005B15B7">
      <w:pPr>
        <w:pStyle w:val="FootnoteText"/>
      </w:pPr>
      <w:r>
        <w:rPr>
          <w:rStyle w:val="FootnoteReference"/>
        </w:rPr>
        <w:footnoteRef/>
      </w:r>
      <w:r>
        <w:tab/>
        <w:t>Komisjoni hinnang käibemaksulõhele põhineb ülevalt alla metoodikal ja rahvamajanduse arvepidamise andmetel ning liikmesriikide esitatud teabel omavahendite kohta (st käibemaksuaruanded). Neid arve kasutatakse selleks, et mõõta majanduse erinevate koondandmestike alusel arvutatud teoreetilist käibemaksukohustust võrrelduna tegeliku käibemaksulaekumisega.</w:t>
      </w:r>
    </w:p>
  </w:footnote>
  <w:footnote w:id="9">
    <w:p w14:paraId="5162E332" w14:textId="77777777" w:rsidR="00C34499" w:rsidRPr="00BE327F" w:rsidRDefault="00C34499" w:rsidP="008E53F6">
      <w:pPr>
        <w:pStyle w:val="FootnoteText"/>
      </w:pPr>
      <w:r>
        <w:rPr>
          <w:rStyle w:val="FootnoteReference"/>
        </w:rPr>
        <w:footnoteRef/>
      </w:r>
      <w:r>
        <w:t xml:space="preserve"> </w:t>
      </w:r>
      <w:r>
        <w:tab/>
        <w:t>Käibemaksulõhe arvutamisel kasutatav metoodika tugineb liikmesriikide statistikaametite koostatud rahvamajanduse arvepidamise andmetele. Täiendavad andmed, mida saaks kasutada käibemaksulõhe täpsemaks hindamiseks, nt andmed mitterahaliste hüvitiste kohta või üksikasjalikum toodete statistiline liigitus tegevusalade kaupa, ei ole alati kättesaadavad. Pealegi kasutavad liikmesriikide statistikaasutused mitteametliku majanduse hindamisel ja selle kajastamisel rahvamajanduse arvepidamises erinevat metoodikat, mis mõjutab kaudselt käibemaksulõhe andmeid.</w:t>
      </w:r>
    </w:p>
  </w:footnote>
  <w:footnote w:id="10">
    <w:p w14:paraId="2E77D88A" w14:textId="77777777" w:rsidR="00C34499" w:rsidRPr="00C23515" w:rsidRDefault="00C34499" w:rsidP="005B15B7">
      <w:pPr>
        <w:pStyle w:val="FootnoteText"/>
      </w:pPr>
      <w:r>
        <w:rPr>
          <w:rStyle w:val="FootnoteReference"/>
        </w:rPr>
        <w:footnoteRef/>
      </w:r>
      <w:r>
        <w:tab/>
        <w:t>Et vähendada liikmesriikide erinevatest käibemaksumääradest ja -struktuuridest põhjustatud moonutusi, ühtlustatakse käibemaksubaas omavahendite arvutamiseks tinglikult. Ühtlustatud käibemaksubaasi arvutamiseks jagatakse iga liikmesriigi kogutud aastane käibemaksu puhastulu kaalutud keskmise käibemaksumääraga, et leida vahepealne käibemaksubaas. Vahepealset maksubaasi korrigeeritakse seejärel negatiivsete ja positiivsete hüvitistega.</w:t>
      </w:r>
    </w:p>
  </w:footnote>
  <w:footnote w:id="11">
    <w:p w14:paraId="46BAF243" w14:textId="29D46708" w:rsidR="00C34499" w:rsidRPr="00C23515" w:rsidRDefault="00C34499" w:rsidP="005B15B7">
      <w:pPr>
        <w:pStyle w:val="FootnoteText"/>
      </w:pPr>
      <w:r>
        <w:rPr>
          <w:rStyle w:val="FootnoteReference"/>
        </w:rPr>
        <w:footnoteRef/>
      </w:r>
      <w:r>
        <w:tab/>
        <w:t>Selle eeskirjaga soovitakse vältida olukorda, kus vähem jõukad liikmesriigid, kelle tarbimise osakaal on suurem, peavad maksma summasid, mis ei ole proportsioonis nende osamakse tegemise suutlikkusega (st et kõrvaldada käibemaksupõhiste omavahendite regressiivsed aspektid), kuna suhteliselt madalamal jõukusastmel moodustab tarbimine ja seega ka käibemaks üldiselt riigi rahvatulust suurema osa. 50 % ülempiiri kasutasid viis liikmesriiki (Horvaatia, Küpros, Luksemburg, Malta ja Sloveenia).</w:t>
      </w:r>
    </w:p>
  </w:footnote>
  <w:footnote w:id="12">
    <w:p w14:paraId="0CECBCCD" w14:textId="31618AEA" w:rsidR="00C34499" w:rsidRPr="00C23515" w:rsidRDefault="00C34499" w:rsidP="005B15B7">
      <w:pPr>
        <w:pStyle w:val="FootnoteText"/>
      </w:pPr>
      <w:r>
        <w:rPr>
          <w:rStyle w:val="FootnoteReference"/>
        </w:rPr>
        <w:footnoteRef/>
      </w:r>
      <w:r>
        <w:tab/>
        <w:t xml:space="preserve">Kohtuotsus, Euroopa Kohus 26. veebruar 2013, Åklagaren </w:t>
      </w:r>
      <w:r>
        <w:rPr>
          <w:i/>
          <w:iCs/>
        </w:rPr>
        <w:t>vs.</w:t>
      </w:r>
      <w:r>
        <w:t xml:space="preserve"> Hans Åkerberg Fransson, C-617/10, EU:C:2013:105, punkt 26: „[liidu omavahendid] [hõlmavad] tulusid ühtse määra kohaldamisest kõigi liikmesriikide ühtlustatud käibemaksu arvestusbaaside suhtes, mis määratakse kindlaks kooskõlas liidu õigusnormidega, siis esineb otsene seos kohaldatavat liidu õigust järgides käibemaksutulude kogumise ja vastavate käibemaksu-omavahendite liidu eelarve käsutusse andmise vahel, kuna iga lünk esimesena nimetatud tulude kogumises leiab potentsiaalselt kajastamist teisena nimetatud vahendite vähenemises“.</w:t>
      </w:r>
    </w:p>
  </w:footnote>
  <w:footnote w:id="13">
    <w:p w14:paraId="7113AA62" w14:textId="77777777" w:rsidR="00C34499" w:rsidRPr="00C23515" w:rsidRDefault="00C34499" w:rsidP="005B15B7">
      <w:pPr>
        <w:pStyle w:val="FootnoteText"/>
      </w:pPr>
      <w:r>
        <w:rPr>
          <w:rStyle w:val="FootnoteReference"/>
        </w:rPr>
        <w:footnoteRef/>
      </w:r>
      <w:r>
        <w:tab/>
        <w:t>Kogurahvatulul põhinevad osamaksed on täiendav tuluressurss, mida on vaja selleks, et katta mis tahes aastal kulusid, mis ületavad tavapärastest omavahenditest, käibemaksupõhistest osamaksetest ja muust tulust saadavat summat.</w:t>
      </w:r>
    </w:p>
  </w:footnote>
  <w:footnote w:id="14">
    <w:p w14:paraId="1A7C6E5C" w14:textId="77777777" w:rsidR="00C34499" w:rsidRPr="00C23515" w:rsidRDefault="00C34499" w:rsidP="005B15B7">
      <w:pPr>
        <w:pStyle w:val="FootnoteText"/>
      </w:pPr>
      <w:r>
        <w:rPr>
          <w:rStyle w:val="FootnoteReference"/>
        </w:rPr>
        <w:footnoteRef/>
      </w:r>
      <w:r>
        <w:tab/>
        <w:t>Ideaaljuhul ei peaks riskianalüüs avaldama registreerimisprotsessi kogupikkusele suurt mõju. See peaks arvesse võtma liikmesriikide erinevat olukorda, näiteks pettuste esinemissagedust, kolmandatelt isikutelt saadud teabe kättesaadavust ja täpsust ning maksuhalduri töö kvaliteeti. Peale selle peaksid ettevõtjad saama oma taotluste tagasilükkamise korral kiiresti selgitusi anda ja esitada viivitamata uue taotluse, isegi kui pettusevastase võitluse seisukohast võib olla eelistatav, et maksuhaldur nn peab tagasilükatud taotlusi meeles.</w:t>
      </w:r>
    </w:p>
  </w:footnote>
  <w:footnote w:id="15">
    <w:p w14:paraId="32A28388" w14:textId="77777777" w:rsidR="00C34499" w:rsidRPr="00C23515" w:rsidRDefault="00C34499" w:rsidP="005B15B7">
      <w:pPr>
        <w:pStyle w:val="FootnoteText"/>
      </w:pPr>
      <w:r>
        <w:rPr>
          <w:rStyle w:val="FootnoteReference"/>
        </w:rPr>
        <w:footnoteRef/>
      </w:r>
      <w:r>
        <w:tab/>
        <w:t>Ehkki uuringus saadud andmete täpsust ja usaldusväärsust ei saa kindlaks määrata, annab vastuste võrdlemine ja andmete aastatevaheline kõikumine väärtuslikku teavet mitmes valdkonnas; näiteks kui maksumaksjate andmete seast kustutatakse mitteaktiivsed ja dubleerivad andmed, kui tehakse kindlaks passiivsed kontod ja kui IT-süsteem annab eesliinitöötajatele tervikliku ülevaate maksumaksjate andmetest ja väärtuslik sisend haldusmeetmete võtmiseks. Kui maksumaksjate andmed pole aastatega muutunud, kui andmeid on puudu või ei ole need kättesaadavad või ei ole andmeväärtused tõepärased, võib see olla märk sellest, et käibemaksukohustuslasena registreerimise andmebaas on vigane või vähemalt ebausaldusväärne.</w:t>
      </w:r>
    </w:p>
  </w:footnote>
  <w:footnote w:id="16">
    <w:p w14:paraId="1F9CD685" w14:textId="77777777" w:rsidR="00C34499" w:rsidRPr="00C23515" w:rsidRDefault="00C34499" w:rsidP="005B15B7">
      <w:pPr>
        <w:pStyle w:val="FootnoteText"/>
        <w:rPr>
          <w:rStyle w:val="FootnoteReference"/>
          <w:sz w:val="20"/>
        </w:rPr>
      </w:pPr>
      <w:r>
        <w:rPr>
          <w:rStyle w:val="FootnoteReference"/>
        </w:rPr>
        <w:footnoteRef/>
      </w:r>
      <w:r>
        <w:tab/>
        <w:t>Veel kahes liikmesriigis ilmnes aastatel 2016–2019 Rumeeniaga sama suundumus: Bulgaarias (langus 22,8 %-lt 11,1 %-le) ja Ühendkuningriigis (langus 11,8 %-lt 4,4 %-le). Kui Rumeenia hinnanguline käibemaksulõhe oli &gt; 33 %, siis Bulgaaria ja Ühendkuningriigi hinnangulised käibemaksulõhed olid vastavalt 10 % ja 12 %.</w:t>
      </w:r>
    </w:p>
  </w:footnote>
  <w:footnote w:id="17">
    <w:p w14:paraId="5EDE652F" w14:textId="061B03EF" w:rsidR="00C34499" w:rsidRPr="00C23515" w:rsidRDefault="00C34499" w:rsidP="005B15B7">
      <w:pPr>
        <w:pStyle w:val="FootnoteText"/>
      </w:pPr>
      <w:r>
        <w:rPr>
          <w:rStyle w:val="FootnoteReference"/>
        </w:rPr>
        <w:footnoteRef/>
      </w:r>
      <w:r>
        <w:tab/>
        <w:t xml:space="preserve">Euroopa Kontrollikoja eriaruanne nr 12/2019 </w:t>
      </w:r>
      <w:hyperlink r:id="rId3" w:history="1">
        <w:r>
          <w:rPr>
            <w:rStyle w:val="Hyperlink"/>
          </w:rPr>
          <w:t>https://op.europa.eu/webpub/eca/special-reports/e-commerce-12-2019/et</w:t>
        </w:r>
      </w:hyperlink>
      <w:r>
        <w:t>. Sooviga käibemaksuvaldkonda pidevalt ajakohastada, pidades silmas piiriülest e-kaubandust, laiendati väikest ühe akna süsteemi alates 1. juulist 2021 nii, et see hõlmab kõiki piiriüleseid tehinguid. Lähtuti üheainsa käibedeklaratsiooni ehk MOSSi käibedeklaratsiooni edukast kasutuselevõtust tarbijatele osutatavate digiteenuste puhul 2015. aastal.</w:t>
      </w:r>
    </w:p>
  </w:footnote>
  <w:footnote w:id="18">
    <w:p w14:paraId="14DCB71C" w14:textId="77777777" w:rsidR="00C34499" w:rsidRPr="00C23515" w:rsidRDefault="00C34499" w:rsidP="005B15B7">
      <w:pPr>
        <w:pStyle w:val="FootnoteText"/>
      </w:pPr>
      <w:r>
        <w:rPr>
          <w:rStyle w:val="FootnoteReference"/>
        </w:rPr>
        <w:footnoteRef/>
      </w:r>
      <w:r>
        <w:tab/>
        <w:t>ELi ettevõtjad, kes soovivad kasutada MOSSi veebiplatvormi, peavad registreeruma riigis, kus nad on asutatud või kus asub nende peakontor. ELi-välised ettevõtjad võivad kasutada selle liikmesriigi MOSSi süsteemi, kus neil on püsiv tegevuskoht. Kogu ELis on lubatud ainult üks MOSSi registreering äriühingu kohta.</w:t>
      </w:r>
    </w:p>
  </w:footnote>
  <w:footnote w:id="19">
    <w:p w14:paraId="72696A63" w14:textId="77777777" w:rsidR="00C34499" w:rsidRPr="00C23515" w:rsidRDefault="00C34499" w:rsidP="005B15B7">
      <w:pPr>
        <w:pStyle w:val="FootnoteText"/>
      </w:pPr>
      <w:r>
        <w:rPr>
          <w:rStyle w:val="FootnoteReference"/>
        </w:rPr>
        <w:footnoteRef/>
      </w:r>
      <w:r>
        <w:tab/>
        <w:t xml:space="preserve">Euroopa Kontrollikoda soovitab eriaruandes nr 12/2019, et liikmesriigid peaksid 2020. aasta lõpuks „tegema nõuetekohaseid kontrolle siis, kui nad saavad taotluse MOSSi ELi-välisesse süsteemi registreerimiseks“ ja „suurendama oma audititegevust MOSSi kauplejate [...] suhtes“. </w:t>
      </w:r>
    </w:p>
  </w:footnote>
  <w:footnote w:id="20">
    <w:p w14:paraId="5123412A" w14:textId="5572A1E5" w:rsidR="00C34499" w:rsidRPr="00C23515" w:rsidRDefault="00C34499" w:rsidP="005B15B7">
      <w:pPr>
        <w:pStyle w:val="FootnoteText"/>
      </w:pPr>
      <w:r>
        <w:rPr>
          <w:rStyle w:val="FootnoteReference"/>
        </w:rPr>
        <w:footnoteRef/>
      </w:r>
      <w:r>
        <w:tab/>
        <w:t>Programmi „Fiscalis 2020“ raames asutas komisjon IT katalüsaatorrühma (FPG/037), et kujundada välja uus koostööviis IT-süsteemide tõhusamaks ja mõjusamaks väljaarendamiseks ja kasutuselevõtuks, lähtudes liikmesriikide selgest huvist IT-alase koostöö vastu. Katalüsaatorrühm töötas selle nimel, et suurendada liikmesriikide teadlikkust praegusest ja tulevasest IT-alasest tegevusest, edendada liikmesriikide IT-alast koostööd ning aidata neil käivitada uusi IT-alaseid koostööprojekte ja -algatusi.</w:t>
      </w:r>
    </w:p>
  </w:footnote>
  <w:footnote w:id="21">
    <w:p w14:paraId="5087C2FF" w14:textId="77777777" w:rsidR="00C34499" w:rsidRPr="00C23515" w:rsidRDefault="00C34499" w:rsidP="005B15B7">
      <w:pPr>
        <w:pStyle w:val="FootnoteText"/>
      </w:pPr>
      <w:r>
        <w:rPr>
          <w:rStyle w:val="FootnoteReference"/>
        </w:rPr>
        <w:footnoteRef/>
      </w:r>
      <w:r>
        <w:t xml:space="preserve"> </w:t>
      </w:r>
      <w:r>
        <w:tab/>
      </w:r>
      <w:hyperlink r:id="rId4" w:history="1">
        <w:r>
          <w:rPr>
            <w:rStyle w:val="Hyperlink"/>
          </w:rPr>
          <w:t>https://www.imf.org/external/pubs/ft/tnm/2010/tnm1017.pdf</w:t>
        </w:r>
      </w:hyperlink>
      <w:r>
        <w:t xml:space="preserve">. </w:t>
      </w:r>
    </w:p>
  </w:footnote>
  <w:footnote w:id="22">
    <w:p w14:paraId="03508935" w14:textId="77777777" w:rsidR="00C34499" w:rsidRPr="00C23515" w:rsidRDefault="00C34499" w:rsidP="005B15B7">
      <w:pPr>
        <w:pStyle w:val="FootnoteText"/>
      </w:pPr>
      <w:r>
        <w:rPr>
          <w:rStyle w:val="FootnoteReference"/>
        </w:rPr>
        <w:footnoteRef/>
      </w:r>
      <w:r>
        <w:tab/>
        <w:t>Mõned liikmesriigid teatasid, et teatavate väikeste summade puhul on lubatud käibemaksu tasumine sularahas.</w:t>
      </w:r>
    </w:p>
  </w:footnote>
  <w:footnote w:id="23">
    <w:p w14:paraId="43AC5E31" w14:textId="77777777" w:rsidR="00C34499" w:rsidRPr="00BE61A4" w:rsidRDefault="00C34499" w:rsidP="005B15B7">
      <w:pPr>
        <w:pStyle w:val="FootnoteText"/>
      </w:pPr>
      <w:r>
        <w:rPr>
          <w:rStyle w:val="FootnoteReference"/>
        </w:rPr>
        <w:footnoteRef/>
      </w:r>
      <w:r>
        <w:t xml:space="preserve"> </w:t>
      </w:r>
      <w:r>
        <w:tab/>
      </w:r>
      <w:hyperlink r:id="rId5" w:history="1">
        <w:r>
          <w:rPr>
            <w:rStyle w:val="Hyperlink"/>
          </w:rPr>
          <w:t>https://play.google.com/store/apps/details?id=pt.gov.portaldasfinancas.servicos.pagimp.app&amp;hl=en&amp;gl=US</w:t>
        </w:r>
      </w:hyperlink>
      <w:r>
        <w:t>.</w:t>
      </w:r>
    </w:p>
  </w:footnote>
  <w:footnote w:id="24">
    <w:p w14:paraId="46A65086" w14:textId="77777777" w:rsidR="00C34499" w:rsidRPr="00C23515" w:rsidRDefault="00C34499" w:rsidP="005B15B7">
      <w:pPr>
        <w:pStyle w:val="FootnoteText"/>
      </w:pPr>
      <w:r>
        <w:rPr>
          <w:rStyle w:val="FootnoteReference"/>
        </w:rPr>
        <w:footnoteRef/>
      </w:r>
      <w:r>
        <w:tab/>
        <w:t>Belgia, Taani, Saksamaa, Prantsusmaa, Luksemburg ja Rootsi ei esitanud käibemaksuvõla osakaalu arvutamiseks vajalikke miinimumandmeid.</w:t>
      </w:r>
    </w:p>
  </w:footnote>
  <w:footnote w:id="25">
    <w:p w14:paraId="756C0389" w14:textId="77777777" w:rsidR="00C34499" w:rsidRPr="00BE61A4" w:rsidRDefault="00C34499" w:rsidP="005B15B7">
      <w:pPr>
        <w:pStyle w:val="FootnoteText"/>
      </w:pPr>
      <w:r>
        <w:rPr>
          <w:rStyle w:val="FootnoteReference"/>
        </w:rPr>
        <w:footnoteRef/>
      </w:r>
      <w:r>
        <w:tab/>
        <w:t>Teabekogumist (tunne-oma-klienti-laadis tegutsemine) kasutatakse mitte üksnes maksukuulekuse riskide varaseks tuvastamiseks ja kinnitamiseks, vaid ka selleks, et hinnata teatavate riskide esinemissagedust ja nende tagajärgi (saamata jäänud maksutulu suurust) ning et tunda ära ja aidata parandada maksumaksjate käitumises sageli esinevaid vigu ja käibemaksuseaduste väärtõlgendamist.</w:t>
      </w:r>
    </w:p>
  </w:footnote>
  <w:footnote w:id="26">
    <w:p w14:paraId="4BD09D53" w14:textId="77777777" w:rsidR="00C34499" w:rsidRPr="00C23515" w:rsidRDefault="00C34499" w:rsidP="005B15B7">
      <w:pPr>
        <w:pStyle w:val="FootnoteText"/>
      </w:pPr>
      <w:r>
        <w:rPr>
          <w:rStyle w:val="FootnoteReference"/>
        </w:rPr>
        <w:footnoteRef/>
      </w:r>
      <w:r>
        <w:tab/>
        <w:t>Andmed on kättesaadavad 28 liikmesriigist 23 kohta (v.a Saksamaa, Prantsusmaa, Luksemburg, Madalmaad ja Ühendkuningriik). Kuna nendest liikmesriikidest neli (Saksamaa, Prantsusmaa, Madalmaad ja Ühendkuningriik) ei teinud neid andmeid kättesaadavaks ka eelmise aruande jaoks, on tulemused siiski varasema perioodiga võrreldavad.</w:t>
      </w:r>
    </w:p>
  </w:footnote>
  <w:footnote w:id="27">
    <w:p w14:paraId="1D304B0D" w14:textId="77777777" w:rsidR="00C34499" w:rsidRPr="00BE61A4" w:rsidRDefault="00C34499" w:rsidP="005B15B7">
      <w:pPr>
        <w:pStyle w:val="FootnoteText"/>
      </w:pPr>
      <w:r>
        <w:rPr>
          <w:rStyle w:val="FootnoteReference"/>
        </w:rPr>
        <w:footnoteRef/>
      </w:r>
      <w:r>
        <w:tab/>
      </w:r>
      <w:hyperlink r:id="rId6" w:history="1">
        <w:r>
          <w:rPr>
            <w:rStyle w:val="Hyperlink"/>
          </w:rPr>
          <w:t>https://ec.europa.eu/info/sites/default/files/coronovirus_policy_measures_16_november.pdf</w:t>
        </w:r>
      </w:hyperlink>
      <w:r>
        <w:t xml:space="preserve">. </w:t>
      </w:r>
    </w:p>
  </w:footnote>
  <w:footnote w:id="28">
    <w:p w14:paraId="60BBF9A7" w14:textId="2A6112EB" w:rsidR="00C34499" w:rsidRPr="00BE61A4" w:rsidRDefault="00C34499" w:rsidP="005B15B7">
      <w:pPr>
        <w:pStyle w:val="FootnoteText"/>
      </w:pPr>
      <w:r>
        <w:rPr>
          <w:rStyle w:val="FootnoteReference"/>
        </w:rPr>
        <w:footnoteRef/>
      </w:r>
      <w:r>
        <w:tab/>
      </w:r>
      <w:hyperlink r:id="rId7" w:history="1">
        <w:r>
          <w:rPr>
            <w:rStyle w:val="Hyperlink"/>
          </w:rPr>
          <w:t>https://eur-lex.europa.eu/legal-content/EN/TXT/PDF/?uri=CELEX:52014SC0038&amp;from=EN</w:t>
        </w:r>
      </w:hyperlink>
      <w:r>
        <w:t>.</w:t>
      </w:r>
    </w:p>
  </w:footnote>
  <w:footnote w:id="29">
    <w:p w14:paraId="266563E5" w14:textId="77777777" w:rsidR="00C34499" w:rsidRPr="00C23515" w:rsidRDefault="00C34499" w:rsidP="005B15B7">
      <w:pPr>
        <w:pStyle w:val="FootnoteText"/>
      </w:pPr>
      <w:r>
        <w:rPr>
          <w:rStyle w:val="FootnoteReference"/>
        </w:rPr>
        <w:footnoteRef/>
      </w:r>
      <w:r>
        <w:tab/>
        <w:t>Maksuhaldurid esitasid veebilehtede aadressid ja neid kontrolliti 2020. aasta septembris.</w:t>
      </w:r>
    </w:p>
  </w:footnote>
  <w:footnote w:id="30">
    <w:p w14:paraId="1AB61512" w14:textId="77777777" w:rsidR="00C34499" w:rsidRPr="00C23515" w:rsidRDefault="00C34499" w:rsidP="005B15B7">
      <w:pPr>
        <w:pStyle w:val="FootnoteText"/>
      </w:pPr>
      <w:r>
        <w:rPr>
          <w:rStyle w:val="FootnoteReference"/>
        </w:rPr>
        <w:footnoteRef/>
      </w:r>
      <w:r>
        <w:tab/>
        <w:t xml:space="preserve">Mõned käibemaksuküsimused kuuluvad Saksamaa liidumaade pädevusse. Teatavatele maksuametitele (nt Berliini-Neuköllni maksuamet) on määratud keskne pädevus müüjate üle, kes ei ole Saksamaal registreeritud. Käesoleva aruande koostamisel külastasime Müncheni ja Berliini ametiasutuste veebisaite. </w:t>
      </w:r>
    </w:p>
  </w:footnote>
  <w:footnote w:id="31">
    <w:p w14:paraId="565314F3" w14:textId="05D5EC52" w:rsidR="00C34499" w:rsidRPr="00C23515" w:rsidRDefault="00C34499" w:rsidP="005B15B7">
      <w:pPr>
        <w:pStyle w:val="FootnoteText"/>
      </w:pPr>
      <w:r>
        <w:rPr>
          <w:rStyle w:val="FootnoteReference"/>
        </w:rPr>
        <w:footnoteRef/>
      </w:r>
      <w:r>
        <w:tab/>
        <w:t>Ainult iiri (</w:t>
      </w:r>
      <w:r>
        <w:rPr>
          <w:i/>
          <w:iCs/>
        </w:rPr>
        <w:t>gaeilge</w:t>
      </w:r>
      <w:r>
        <w:t>) keeles.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DEA15" w14:textId="77777777" w:rsidR="00467CAD" w:rsidRPr="00467CAD" w:rsidRDefault="00467CAD" w:rsidP="00467C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6A64" w14:textId="77777777" w:rsidR="00C34499" w:rsidRDefault="00C3449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DEC70" w14:textId="32CF2297" w:rsidR="00C34499" w:rsidRDefault="00C34499">
    <w:pPr>
      <w:pStyle w:val="Header"/>
    </w:pPr>
    <w:r>
      <w:rPr>
        <w:noProof/>
        <w:lang w:val="en-GB" w:eastAsia="en-GB"/>
      </w:rPr>
      <w:drawing>
        <wp:anchor distT="0" distB="0" distL="114300" distR="114300" simplePos="0" relativeHeight="251667968" behindDoc="1" locked="0" layoutInCell="1" allowOverlap="1" wp14:anchorId="039C114B" wp14:editId="06731118">
          <wp:simplePos x="0" y="0"/>
          <wp:positionH relativeFrom="margin">
            <wp:posOffset>-1208478</wp:posOffset>
          </wp:positionH>
          <wp:positionV relativeFrom="margin">
            <wp:posOffset>480541</wp:posOffset>
          </wp:positionV>
          <wp:extent cx="7867019" cy="8060698"/>
          <wp:effectExtent l="0" t="0" r="635" b="0"/>
          <wp:wrapNone/>
          <wp:docPr id="238" name="Picture 1" descr="Kirjeldus: Kirjeldus: Kirjeldus: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5089" cy="8068967"/>
                  </a:xfrm>
                  <a:prstGeom prst="rect">
                    <a:avLst/>
                  </a:prstGeom>
                  <a:noFill/>
                  <a:ln w="9525">
                    <a:noFill/>
                    <a:miter lim="800000"/>
                    <a:headEnd/>
                    <a:tailEnd/>
                  </a:ln>
                </pic:spPr>
              </pic:pic>
            </a:graphicData>
          </a:graphic>
          <wp14:sizeRelV relativeFrom="margin">
            <wp14:pctHeight>0</wp14:pctHeight>
          </wp14:sizeRelV>
        </wp:anchor>
      </w:drawing>
    </w:r>
    <w:r>
      <w:rPr>
        <w:noProof/>
        <w:lang w:val="en-GB" w:eastAsia="en-GB"/>
      </w:rPr>
      <mc:AlternateContent>
        <mc:Choice Requires="wps">
          <w:drawing>
            <wp:anchor distT="0" distB="0" distL="114300" distR="114300" simplePos="0" relativeHeight="251658752" behindDoc="0" locked="0" layoutInCell="1" allowOverlap="1" wp14:anchorId="6408AC47" wp14:editId="716B4E18">
              <wp:simplePos x="0" y="0"/>
              <wp:positionH relativeFrom="margin">
                <wp:posOffset>5876270</wp:posOffset>
              </wp:positionH>
              <wp:positionV relativeFrom="page">
                <wp:posOffset>152250</wp:posOffset>
              </wp:positionV>
              <wp:extent cx="622300" cy="1229360"/>
              <wp:effectExtent l="1270" t="0" r="0" b="3810"/>
              <wp:wrapNone/>
              <wp:docPr id="1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D9C7" w14:textId="7AD7C10E" w:rsidR="00C34499" w:rsidRPr="002A6AC5" w:rsidRDefault="00C34499" w:rsidP="00B23028">
                          <w:pPr>
                            <w:rPr>
                              <w:rFonts w:ascii="Arial" w:hAnsi="Arial" w:cs="Arial"/>
                              <w:color w:val="FFFFFF" w:themeColor="background1"/>
                              <w:sz w:val="18"/>
                              <w:szCs w:val="18"/>
                            </w:rPr>
                          </w:pPr>
                          <w:r>
                            <w:rPr>
                              <w:rFonts w:ascii="Arial" w:hAnsi="Arial"/>
                              <w:color w:val="FFFFFF" w:themeColor="background1"/>
                              <w:sz w:val="18"/>
                              <w:szCs w:val="18"/>
                            </w:rPr>
                            <w:t>KP-01-21-068-ET-N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8AC47" id="_x0000_t202" coordsize="21600,21600" o:spt="202" path="m,l,21600r21600,l21600,xe">
              <v:stroke joinstyle="miter"/>
              <v:path gradientshapeok="t" o:connecttype="rect"/>
            </v:shapetype>
            <v:shape id="Text Box 72" o:spid="_x0000_s1028" type="#_x0000_t202" style="position:absolute;margin-left:462.7pt;margin-top:12pt;width:49pt;height:96.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" filled="f" fillcolor="black" stroked="f">
              <v:textbox style="layout-flow:vertical" inset="0,0,0,0">
                <w:txbxContent>
                  <w:p w14:paraId="3C58D9C7" w14:textId="7AD7C10E" w:rsidR="00C34499" w:rsidRPr="002A6AC5" w:rsidRDefault="00C34499" w:rsidP="00B23028">
                    <w:pPr>
                      <w:rPr>
                        <w:rFonts w:ascii="Arial" w:hAnsi="Arial" w:cs="Arial"/>
                        <w:color w:val="FFFFFF" w:themeColor="background1"/>
                        <w:sz w:val="18"/>
                        <w:szCs w:val="18"/>
                      </w:rPr>
                    </w:pPr>
                    <w:r>
                      <w:rPr>
                        <w:rFonts w:ascii="Arial" w:hAnsi="Arial"/>
                        <w:color w:val="FFFFFF" w:themeColor="background1"/>
                        <w:sz w:val="18"/>
                        <w:szCs w:val="18"/>
                      </w:rPr>
                      <w:t>KP-01-21-068-ET-N</w:t>
                    </w:r>
                  </w:p>
                </w:txbxContent>
              </v:textbox>
              <w10:wrap anchorx="margin" anchory="page"/>
            </v:shape>
          </w:pict>
        </mc:Fallback>
      </mc:AlternateContent>
    </w:r>
    <w:r>
      <w:rPr>
        <w:noProof/>
        <w:lang w:val="en-GB" w:eastAsia="en-GB"/>
      </w:rPr>
      <mc:AlternateContent>
        <mc:Choice Requires="wps">
          <w:drawing>
            <wp:anchor distT="0" distB="0" distL="114300" distR="114300" simplePos="0" relativeHeight="251656704" behindDoc="1" locked="0" layoutInCell="1" allowOverlap="1" wp14:anchorId="7B870DA0" wp14:editId="1B90FFAC">
              <wp:simplePos x="0" y="0"/>
              <wp:positionH relativeFrom="column">
                <wp:posOffset>-908576</wp:posOffset>
              </wp:positionH>
              <wp:positionV relativeFrom="margin">
                <wp:posOffset>-899314</wp:posOffset>
              </wp:positionV>
              <wp:extent cx="7560310" cy="1370037"/>
              <wp:effectExtent l="0" t="0" r="2540" b="1905"/>
              <wp:wrapNone/>
              <wp:docPr id="15" name="Rectangle 15"/>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38D4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B0C1D" id="Rectangle 15" o:spid="_x0000_s1026" style="position:absolute;margin-left:-71.55pt;margin-top:-70.8pt;width:595.3pt;height:107.9pt;z-index:-251659776;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" fillcolor="#38d4d6" stroked="f" strokeweight="2pt">
              <w10:wrap anchory="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EFF27" w14:textId="77777777" w:rsidR="00C34499" w:rsidRDefault="00C344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FBB39" w14:textId="77777777" w:rsidR="00467CAD" w:rsidRPr="00467CAD" w:rsidRDefault="00467CAD" w:rsidP="00467CA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3D5AB" w14:textId="77777777" w:rsidR="00467CAD" w:rsidRPr="00467CAD" w:rsidRDefault="00467CAD" w:rsidP="00467CA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79E12" w14:textId="77777777" w:rsidR="00C34499" w:rsidRDefault="00C344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5C465" w14:textId="77777777" w:rsidR="00C34499" w:rsidRDefault="00C34499" w:rsidP="005B15B7">
    <w:pPr>
      <w:pStyle w:val="Header"/>
      <w:ind w:right="-742"/>
    </w:pPr>
    <w:r>
      <w:rPr>
        <w:noProof/>
        <w:lang w:val="en-GB" w:eastAsia="en-GB"/>
      </w:rPr>
      <w:drawing>
        <wp:anchor distT="0" distB="0" distL="114300" distR="114300" simplePos="0" relativeHeight="251659776" behindDoc="1" locked="0" layoutInCell="1" allowOverlap="1" wp14:anchorId="6CF043A3" wp14:editId="585FB73B">
          <wp:simplePos x="0" y="0"/>
          <wp:positionH relativeFrom="margin">
            <wp:posOffset>6654537</wp:posOffset>
          </wp:positionH>
          <wp:positionV relativeFrom="margin">
            <wp:posOffset>2622046</wp:posOffset>
          </wp:positionV>
          <wp:extent cx="7356672" cy="7425559"/>
          <wp:effectExtent l="19050" t="0" r="0" b="0"/>
          <wp:wrapNone/>
          <wp:docPr id="7" name="Picture 7" descr="Kirjeldus: Kirjeldus: Kirjeldus: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1B20F" w14:textId="77777777" w:rsidR="00C34499" w:rsidRDefault="00C344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7DE33" w14:textId="77777777" w:rsidR="00C34499" w:rsidRDefault="00C344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12D8F" w14:textId="77777777" w:rsidR="00C34499" w:rsidRDefault="00C34499" w:rsidP="005B15B7">
    <w:pPr>
      <w:pStyle w:val="Header"/>
      <w:ind w:right="-742"/>
    </w:pPr>
    <w:r>
      <w:rPr>
        <w:noProof/>
        <w:lang w:val="en-GB" w:eastAsia="en-GB"/>
      </w:rPr>
      <w:drawing>
        <wp:anchor distT="0" distB="0" distL="114300" distR="114300" simplePos="0" relativeHeight="251670016" behindDoc="1" locked="0" layoutInCell="1" allowOverlap="1" wp14:anchorId="6B1DA222" wp14:editId="6AE1F4B9">
          <wp:simplePos x="0" y="0"/>
          <wp:positionH relativeFrom="margin">
            <wp:posOffset>6654537</wp:posOffset>
          </wp:positionH>
          <wp:positionV relativeFrom="margin">
            <wp:posOffset>2622046</wp:posOffset>
          </wp:positionV>
          <wp:extent cx="7356672" cy="7425559"/>
          <wp:effectExtent l="19050" t="0" r="0" b="0"/>
          <wp:wrapNone/>
          <wp:docPr id="1" name="Picture 1" descr="Kirjeldus: Kirjeldus: Kirjeldus: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ED802" w14:textId="77777777" w:rsidR="00C34499" w:rsidRDefault="00C344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1846CE"/>
    <w:multiLevelType w:val="hybridMultilevel"/>
    <w:tmpl w:val="88886C52"/>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5E81277"/>
    <w:multiLevelType w:val="hybridMultilevel"/>
    <w:tmpl w:val="00309046"/>
    <w:lvl w:ilvl="0" w:tplc="080C0001">
      <w:start w:val="1"/>
      <w:numFmt w:val="bullet"/>
      <w:lvlText w:val=""/>
      <w:lvlJc w:val="left"/>
      <w:pPr>
        <w:ind w:left="790" w:hanging="360"/>
      </w:pPr>
      <w:rPr>
        <w:rFonts w:ascii="Symbol" w:hAnsi="Symbol" w:hint="default"/>
      </w:rPr>
    </w:lvl>
    <w:lvl w:ilvl="1" w:tplc="080C0003" w:tentative="1">
      <w:start w:val="1"/>
      <w:numFmt w:val="bullet"/>
      <w:lvlText w:val="o"/>
      <w:lvlJc w:val="left"/>
      <w:pPr>
        <w:ind w:left="1510" w:hanging="360"/>
      </w:pPr>
      <w:rPr>
        <w:rFonts w:ascii="Courier New" w:hAnsi="Courier New" w:cs="Courier New" w:hint="default"/>
      </w:rPr>
    </w:lvl>
    <w:lvl w:ilvl="2" w:tplc="080C0005" w:tentative="1">
      <w:start w:val="1"/>
      <w:numFmt w:val="bullet"/>
      <w:lvlText w:val=""/>
      <w:lvlJc w:val="left"/>
      <w:pPr>
        <w:ind w:left="2230" w:hanging="360"/>
      </w:pPr>
      <w:rPr>
        <w:rFonts w:ascii="Wingdings" w:hAnsi="Wingdings" w:hint="default"/>
      </w:rPr>
    </w:lvl>
    <w:lvl w:ilvl="3" w:tplc="080C0001" w:tentative="1">
      <w:start w:val="1"/>
      <w:numFmt w:val="bullet"/>
      <w:lvlText w:val=""/>
      <w:lvlJc w:val="left"/>
      <w:pPr>
        <w:ind w:left="2950" w:hanging="360"/>
      </w:pPr>
      <w:rPr>
        <w:rFonts w:ascii="Symbol" w:hAnsi="Symbol" w:hint="default"/>
      </w:rPr>
    </w:lvl>
    <w:lvl w:ilvl="4" w:tplc="080C0003" w:tentative="1">
      <w:start w:val="1"/>
      <w:numFmt w:val="bullet"/>
      <w:lvlText w:val="o"/>
      <w:lvlJc w:val="left"/>
      <w:pPr>
        <w:ind w:left="3670" w:hanging="360"/>
      </w:pPr>
      <w:rPr>
        <w:rFonts w:ascii="Courier New" w:hAnsi="Courier New" w:cs="Courier New" w:hint="default"/>
      </w:rPr>
    </w:lvl>
    <w:lvl w:ilvl="5" w:tplc="080C0005" w:tentative="1">
      <w:start w:val="1"/>
      <w:numFmt w:val="bullet"/>
      <w:lvlText w:val=""/>
      <w:lvlJc w:val="left"/>
      <w:pPr>
        <w:ind w:left="4390" w:hanging="360"/>
      </w:pPr>
      <w:rPr>
        <w:rFonts w:ascii="Wingdings" w:hAnsi="Wingdings" w:hint="default"/>
      </w:rPr>
    </w:lvl>
    <w:lvl w:ilvl="6" w:tplc="080C0001" w:tentative="1">
      <w:start w:val="1"/>
      <w:numFmt w:val="bullet"/>
      <w:lvlText w:val=""/>
      <w:lvlJc w:val="left"/>
      <w:pPr>
        <w:ind w:left="5110" w:hanging="360"/>
      </w:pPr>
      <w:rPr>
        <w:rFonts w:ascii="Symbol" w:hAnsi="Symbol" w:hint="default"/>
      </w:rPr>
    </w:lvl>
    <w:lvl w:ilvl="7" w:tplc="080C0003" w:tentative="1">
      <w:start w:val="1"/>
      <w:numFmt w:val="bullet"/>
      <w:lvlText w:val="o"/>
      <w:lvlJc w:val="left"/>
      <w:pPr>
        <w:ind w:left="5830" w:hanging="360"/>
      </w:pPr>
      <w:rPr>
        <w:rFonts w:ascii="Courier New" w:hAnsi="Courier New" w:cs="Courier New" w:hint="default"/>
      </w:rPr>
    </w:lvl>
    <w:lvl w:ilvl="8" w:tplc="080C0005" w:tentative="1">
      <w:start w:val="1"/>
      <w:numFmt w:val="bullet"/>
      <w:lvlText w:val=""/>
      <w:lvlJc w:val="left"/>
      <w:pPr>
        <w:ind w:left="6550" w:hanging="360"/>
      </w:pPr>
      <w:rPr>
        <w:rFonts w:ascii="Wingdings" w:hAnsi="Wingdings" w:hint="default"/>
      </w:rPr>
    </w:lvl>
  </w:abstractNum>
  <w:abstractNum w:abstractNumId="4" w15:restartNumberingAfterBreak="0">
    <w:nsid w:val="192D763F"/>
    <w:multiLevelType w:val="hybridMultilevel"/>
    <w:tmpl w:val="4F26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530A4"/>
    <w:multiLevelType w:val="hybridMultilevel"/>
    <w:tmpl w:val="8CE23BCC"/>
    <w:lvl w:ilvl="0" w:tplc="C9BE20DA">
      <w:start w:val="1"/>
      <w:numFmt w:val="decimal"/>
      <w:pStyle w:val="ListNumber2"/>
      <w:lvlText w:val="(%1)"/>
      <w:lvlJc w:val="left"/>
      <w:pPr>
        <w:tabs>
          <w:tab w:val="num" w:pos="1911"/>
        </w:tabs>
        <w:ind w:left="1911" w:hanging="709"/>
      </w:pPr>
    </w:lvl>
    <w:lvl w:ilvl="1" w:tplc="BAA8569C">
      <w:start w:val="1"/>
      <w:numFmt w:val="lowerLetter"/>
      <w:pStyle w:val="ListNumber2Level2"/>
      <w:lvlText w:val="(%2)"/>
      <w:lvlJc w:val="left"/>
      <w:pPr>
        <w:tabs>
          <w:tab w:val="num" w:pos="2619"/>
        </w:tabs>
        <w:ind w:left="2619" w:hanging="708"/>
      </w:pPr>
    </w:lvl>
    <w:lvl w:ilvl="2" w:tplc="1AC6610A">
      <w:start w:val="1"/>
      <w:numFmt w:val="bullet"/>
      <w:pStyle w:val="ListNumber2Level3"/>
      <w:lvlText w:val="–"/>
      <w:lvlJc w:val="left"/>
      <w:pPr>
        <w:tabs>
          <w:tab w:val="num" w:pos="3328"/>
        </w:tabs>
        <w:ind w:left="3328" w:hanging="709"/>
      </w:pPr>
      <w:rPr>
        <w:rFonts w:ascii="Times New Roman" w:hAnsi="Times New Roman"/>
      </w:rPr>
    </w:lvl>
    <w:lvl w:ilvl="3" w:tplc="37F2939A">
      <w:start w:val="1"/>
      <w:numFmt w:val="bullet"/>
      <w:pStyle w:val="ListNumber2Level4"/>
      <w:lvlText w:val=""/>
      <w:lvlJc w:val="left"/>
      <w:pPr>
        <w:tabs>
          <w:tab w:val="num" w:pos="4037"/>
        </w:tabs>
        <w:ind w:left="4037" w:hanging="709"/>
      </w:pPr>
      <w:rPr>
        <w:rFonts w:ascii="Symbol" w:hAnsi="Symbol"/>
      </w:rPr>
    </w:lvl>
    <w:lvl w:ilvl="4" w:tplc="DDB62226">
      <w:start w:val="1"/>
      <w:numFmt w:val="lowerLetter"/>
      <w:lvlText w:val="(%5)"/>
      <w:lvlJc w:val="left"/>
      <w:pPr>
        <w:tabs>
          <w:tab w:val="num" w:pos="1800"/>
        </w:tabs>
        <w:ind w:left="1800" w:hanging="360"/>
      </w:pPr>
    </w:lvl>
    <w:lvl w:ilvl="5" w:tplc="8F2AB0AA">
      <w:start w:val="1"/>
      <w:numFmt w:val="lowerRoman"/>
      <w:lvlText w:val="(%6)"/>
      <w:lvlJc w:val="left"/>
      <w:pPr>
        <w:tabs>
          <w:tab w:val="num" w:pos="2160"/>
        </w:tabs>
        <w:ind w:left="2160" w:hanging="360"/>
      </w:pPr>
    </w:lvl>
    <w:lvl w:ilvl="6" w:tplc="0A62A522">
      <w:start w:val="1"/>
      <w:numFmt w:val="decimal"/>
      <w:lvlText w:val="%7."/>
      <w:lvlJc w:val="left"/>
      <w:pPr>
        <w:tabs>
          <w:tab w:val="num" w:pos="2520"/>
        </w:tabs>
        <w:ind w:left="2520" w:hanging="360"/>
      </w:pPr>
    </w:lvl>
    <w:lvl w:ilvl="7" w:tplc="9FB218B8">
      <w:start w:val="1"/>
      <w:numFmt w:val="lowerLetter"/>
      <w:lvlText w:val="%8."/>
      <w:lvlJc w:val="left"/>
      <w:pPr>
        <w:tabs>
          <w:tab w:val="num" w:pos="2880"/>
        </w:tabs>
        <w:ind w:left="2880" w:hanging="360"/>
      </w:pPr>
    </w:lvl>
    <w:lvl w:ilvl="8" w:tplc="A69405F6">
      <w:start w:val="1"/>
      <w:numFmt w:val="lowerRoman"/>
      <w:lvlText w:val="%9."/>
      <w:lvlJc w:val="left"/>
      <w:pPr>
        <w:tabs>
          <w:tab w:val="num" w:pos="3240"/>
        </w:tabs>
        <w:ind w:left="3240" w:hanging="360"/>
      </w:pPr>
    </w:lvl>
  </w:abstractNum>
  <w:abstractNum w:abstractNumId="6" w15:restartNumberingAfterBreak="0">
    <w:nsid w:val="1F734306"/>
    <w:multiLevelType w:val="multilevel"/>
    <w:tmpl w:val="81D079D4"/>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2402F76"/>
    <w:multiLevelType w:val="hybridMultilevel"/>
    <w:tmpl w:val="00E826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2DD3599"/>
    <w:multiLevelType w:val="hybridMultilevel"/>
    <w:tmpl w:val="4EAA5BA6"/>
    <w:lvl w:ilvl="0" w:tplc="CEB0B26E">
      <w:start w:val="1"/>
      <w:numFmt w:val="decimal"/>
      <w:pStyle w:val="ListNumber"/>
      <w:lvlText w:val="(%1)"/>
      <w:lvlJc w:val="left"/>
      <w:pPr>
        <w:tabs>
          <w:tab w:val="num" w:pos="709"/>
        </w:tabs>
        <w:ind w:left="709" w:hanging="709"/>
      </w:pPr>
    </w:lvl>
    <w:lvl w:ilvl="1" w:tplc="D7A673C2">
      <w:start w:val="1"/>
      <w:numFmt w:val="lowerLetter"/>
      <w:pStyle w:val="ListNumberLevel2"/>
      <w:lvlText w:val="(%2)"/>
      <w:lvlJc w:val="left"/>
      <w:pPr>
        <w:tabs>
          <w:tab w:val="num" w:pos="1417"/>
        </w:tabs>
        <w:ind w:left="1417" w:hanging="708"/>
      </w:pPr>
    </w:lvl>
    <w:lvl w:ilvl="2" w:tplc="340ADFE6">
      <w:start w:val="1"/>
      <w:numFmt w:val="bullet"/>
      <w:pStyle w:val="ListNumberLevel3"/>
      <w:lvlText w:val="–"/>
      <w:lvlJc w:val="left"/>
      <w:pPr>
        <w:tabs>
          <w:tab w:val="num" w:pos="2126"/>
        </w:tabs>
        <w:ind w:left="2126" w:hanging="709"/>
      </w:pPr>
      <w:rPr>
        <w:rFonts w:ascii="Times New Roman" w:hAnsi="Times New Roman"/>
      </w:rPr>
    </w:lvl>
    <w:lvl w:ilvl="3" w:tplc="157C839A">
      <w:start w:val="1"/>
      <w:numFmt w:val="bullet"/>
      <w:pStyle w:val="ListNumberLevel4"/>
      <w:lvlText w:val=""/>
      <w:lvlJc w:val="left"/>
      <w:pPr>
        <w:tabs>
          <w:tab w:val="num" w:pos="2835"/>
        </w:tabs>
        <w:ind w:left="2835" w:hanging="709"/>
      </w:pPr>
      <w:rPr>
        <w:rFonts w:ascii="Symbol" w:hAnsi="Symbol"/>
      </w:rPr>
    </w:lvl>
    <w:lvl w:ilvl="4" w:tplc="12246420">
      <w:start w:val="1"/>
      <w:numFmt w:val="lowerLetter"/>
      <w:lvlText w:val="(%5)"/>
      <w:lvlJc w:val="left"/>
      <w:pPr>
        <w:tabs>
          <w:tab w:val="num" w:pos="1800"/>
        </w:tabs>
        <w:ind w:left="1800" w:hanging="360"/>
      </w:pPr>
    </w:lvl>
    <w:lvl w:ilvl="5" w:tplc="75BC33D6">
      <w:start w:val="1"/>
      <w:numFmt w:val="lowerRoman"/>
      <w:lvlText w:val="(%6)"/>
      <w:lvlJc w:val="left"/>
      <w:pPr>
        <w:tabs>
          <w:tab w:val="num" w:pos="2160"/>
        </w:tabs>
        <w:ind w:left="2160" w:hanging="360"/>
      </w:pPr>
    </w:lvl>
    <w:lvl w:ilvl="6" w:tplc="F72844A6">
      <w:start w:val="1"/>
      <w:numFmt w:val="decimal"/>
      <w:lvlText w:val="%7."/>
      <w:lvlJc w:val="left"/>
      <w:pPr>
        <w:tabs>
          <w:tab w:val="num" w:pos="2520"/>
        </w:tabs>
        <w:ind w:left="2520" w:hanging="360"/>
      </w:pPr>
    </w:lvl>
    <w:lvl w:ilvl="7" w:tplc="EC1EE9B8">
      <w:start w:val="1"/>
      <w:numFmt w:val="lowerLetter"/>
      <w:lvlText w:val="%8."/>
      <w:lvlJc w:val="left"/>
      <w:pPr>
        <w:tabs>
          <w:tab w:val="num" w:pos="2880"/>
        </w:tabs>
        <w:ind w:left="2880" w:hanging="360"/>
      </w:pPr>
    </w:lvl>
    <w:lvl w:ilvl="8" w:tplc="F27402F8">
      <w:start w:val="1"/>
      <w:numFmt w:val="lowerRoman"/>
      <w:lvlText w:val="%9."/>
      <w:lvlJc w:val="left"/>
      <w:pPr>
        <w:tabs>
          <w:tab w:val="num" w:pos="3240"/>
        </w:tabs>
        <w:ind w:left="3240" w:hanging="360"/>
      </w:pPr>
    </w:lvl>
  </w:abstractNum>
  <w:abstractNum w:abstractNumId="9" w15:restartNumberingAfterBreak="0">
    <w:nsid w:val="26960718"/>
    <w:multiLevelType w:val="hybridMultilevel"/>
    <w:tmpl w:val="9A588C58"/>
    <w:lvl w:ilvl="0" w:tplc="080C0001">
      <w:start w:val="1"/>
      <w:numFmt w:val="bullet"/>
      <w:lvlText w:val=""/>
      <w:lvlJc w:val="left"/>
      <w:pPr>
        <w:ind w:left="787" w:hanging="360"/>
      </w:pPr>
      <w:rPr>
        <w:rFonts w:ascii="Symbol" w:hAnsi="Symbol" w:hint="default"/>
      </w:rPr>
    </w:lvl>
    <w:lvl w:ilvl="1" w:tplc="080C0003" w:tentative="1">
      <w:start w:val="1"/>
      <w:numFmt w:val="bullet"/>
      <w:lvlText w:val="o"/>
      <w:lvlJc w:val="left"/>
      <w:pPr>
        <w:ind w:left="1507" w:hanging="360"/>
      </w:pPr>
      <w:rPr>
        <w:rFonts w:ascii="Courier New" w:hAnsi="Courier New" w:cs="Courier New" w:hint="default"/>
      </w:rPr>
    </w:lvl>
    <w:lvl w:ilvl="2" w:tplc="080C0005" w:tentative="1">
      <w:start w:val="1"/>
      <w:numFmt w:val="bullet"/>
      <w:lvlText w:val=""/>
      <w:lvlJc w:val="left"/>
      <w:pPr>
        <w:ind w:left="2227" w:hanging="360"/>
      </w:pPr>
      <w:rPr>
        <w:rFonts w:ascii="Wingdings" w:hAnsi="Wingdings" w:hint="default"/>
      </w:rPr>
    </w:lvl>
    <w:lvl w:ilvl="3" w:tplc="080C0001" w:tentative="1">
      <w:start w:val="1"/>
      <w:numFmt w:val="bullet"/>
      <w:lvlText w:val=""/>
      <w:lvlJc w:val="left"/>
      <w:pPr>
        <w:ind w:left="2947" w:hanging="360"/>
      </w:pPr>
      <w:rPr>
        <w:rFonts w:ascii="Symbol" w:hAnsi="Symbol" w:hint="default"/>
      </w:rPr>
    </w:lvl>
    <w:lvl w:ilvl="4" w:tplc="080C0003" w:tentative="1">
      <w:start w:val="1"/>
      <w:numFmt w:val="bullet"/>
      <w:lvlText w:val="o"/>
      <w:lvlJc w:val="left"/>
      <w:pPr>
        <w:ind w:left="3667" w:hanging="360"/>
      </w:pPr>
      <w:rPr>
        <w:rFonts w:ascii="Courier New" w:hAnsi="Courier New" w:cs="Courier New" w:hint="default"/>
      </w:rPr>
    </w:lvl>
    <w:lvl w:ilvl="5" w:tplc="080C0005" w:tentative="1">
      <w:start w:val="1"/>
      <w:numFmt w:val="bullet"/>
      <w:lvlText w:val=""/>
      <w:lvlJc w:val="left"/>
      <w:pPr>
        <w:ind w:left="4387" w:hanging="360"/>
      </w:pPr>
      <w:rPr>
        <w:rFonts w:ascii="Wingdings" w:hAnsi="Wingdings" w:hint="default"/>
      </w:rPr>
    </w:lvl>
    <w:lvl w:ilvl="6" w:tplc="080C0001" w:tentative="1">
      <w:start w:val="1"/>
      <w:numFmt w:val="bullet"/>
      <w:lvlText w:val=""/>
      <w:lvlJc w:val="left"/>
      <w:pPr>
        <w:ind w:left="5107" w:hanging="360"/>
      </w:pPr>
      <w:rPr>
        <w:rFonts w:ascii="Symbol" w:hAnsi="Symbol" w:hint="default"/>
      </w:rPr>
    </w:lvl>
    <w:lvl w:ilvl="7" w:tplc="080C0003" w:tentative="1">
      <w:start w:val="1"/>
      <w:numFmt w:val="bullet"/>
      <w:lvlText w:val="o"/>
      <w:lvlJc w:val="left"/>
      <w:pPr>
        <w:ind w:left="5827" w:hanging="360"/>
      </w:pPr>
      <w:rPr>
        <w:rFonts w:ascii="Courier New" w:hAnsi="Courier New" w:cs="Courier New" w:hint="default"/>
      </w:rPr>
    </w:lvl>
    <w:lvl w:ilvl="8" w:tplc="080C0005" w:tentative="1">
      <w:start w:val="1"/>
      <w:numFmt w:val="bullet"/>
      <w:lvlText w:val=""/>
      <w:lvlJc w:val="left"/>
      <w:pPr>
        <w:ind w:left="6547" w:hanging="360"/>
      </w:pPr>
      <w:rPr>
        <w:rFonts w:ascii="Wingdings" w:hAnsi="Wingdings" w:hint="default"/>
      </w:rPr>
    </w:lvl>
  </w:abstractNum>
  <w:abstractNum w:abstractNumId="10" w15:restartNumberingAfterBreak="0">
    <w:nsid w:val="2B75631B"/>
    <w:multiLevelType w:val="hybridMultilevel"/>
    <w:tmpl w:val="A4DC141A"/>
    <w:lvl w:ilvl="0" w:tplc="C1D81346">
      <w:start w:val="1"/>
      <w:numFmt w:val="bullet"/>
      <w:pStyle w:val="ListBullet1"/>
      <w:lvlText w:val=""/>
      <w:lvlJc w:val="left"/>
      <w:pPr>
        <w:tabs>
          <w:tab w:val="num" w:pos="765"/>
        </w:tabs>
        <w:ind w:left="765" w:hanging="283"/>
      </w:pPr>
      <w:rPr>
        <w:rFonts w:ascii="Symbol" w:hAnsi="Symbol"/>
      </w:rPr>
    </w:lvl>
    <w:lvl w:ilvl="1" w:tplc="A57AB7DA">
      <w:numFmt w:val="decimal"/>
      <w:lvlText w:val=""/>
      <w:lvlJc w:val="left"/>
    </w:lvl>
    <w:lvl w:ilvl="2" w:tplc="9E9419FA">
      <w:numFmt w:val="decimal"/>
      <w:lvlText w:val=""/>
      <w:lvlJc w:val="left"/>
    </w:lvl>
    <w:lvl w:ilvl="3" w:tplc="D286F550">
      <w:numFmt w:val="decimal"/>
      <w:lvlText w:val=""/>
      <w:lvlJc w:val="left"/>
    </w:lvl>
    <w:lvl w:ilvl="4" w:tplc="9050E456">
      <w:numFmt w:val="decimal"/>
      <w:lvlText w:val=""/>
      <w:lvlJc w:val="left"/>
    </w:lvl>
    <w:lvl w:ilvl="5" w:tplc="6534EA82">
      <w:numFmt w:val="decimal"/>
      <w:lvlText w:val=""/>
      <w:lvlJc w:val="left"/>
    </w:lvl>
    <w:lvl w:ilvl="6" w:tplc="261EB732">
      <w:numFmt w:val="decimal"/>
      <w:lvlText w:val=""/>
      <w:lvlJc w:val="left"/>
    </w:lvl>
    <w:lvl w:ilvl="7" w:tplc="A37C7EB6">
      <w:numFmt w:val="decimal"/>
      <w:lvlText w:val=""/>
      <w:lvlJc w:val="left"/>
    </w:lvl>
    <w:lvl w:ilvl="8" w:tplc="6AD4D7A2">
      <w:numFmt w:val="decimal"/>
      <w:lvlText w:val=""/>
      <w:lvlJc w:val="left"/>
    </w:lvl>
  </w:abstractNum>
  <w:abstractNum w:abstractNumId="11" w15:restartNumberingAfterBreak="0">
    <w:nsid w:val="2CAB4527"/>
    <w:multiLevelType w:val="hybridMultilevel"/>
    <w:tmpl w:val="26C24C12"/>
    <w:lvl w:ilvl="0" w:tplc="A61AC41C">
      <w:start w:val="1"/>
      <w:numFmt w:val="decimal"/>
      <w:pStyle w:val="ListNumber3"/>
      <w:lvlText w:val="(%1)"/>
      <w:lvlJc w:val="left"/>
      <w:pPr>
        <w:tabs>
          <w:tab w:val="num" w:pos="1911"/>
        </w:tabs>
        <w:ind w:left="1911" w:hanging="709"/>
      </w:pPr>
    </w:lvl>
    <w:lvl w:ilvl="1" w:tplc="E1B6945C">
      <w:start w:val="1"/>
      <w:numFmt w:val="lowerLetter"/>
      <w:pStyle w:val="ListNumber3Level2"/>
      <w:lvlText w:val="(%2)"/>
      <w:lvlJc w:val="left"/>
      <w:pPr>
        <w:tabs>
          <w:tab w:val="num" w:pos="2619"/>
        </w:tabs>
        <w:ind w:left="2619" w:hanging="708"/>
      </w:pPr>
    </w:lvl>
    <w:lvl w:ilvl="2" w:tplc="09D0B5B0">
      <w:start w:val="1"/>
      <w:numFmt w:val="bullet"/>
      <w:pStyle w:val="ListNumber3Level3"/>
      <w:lvlText w:val="–"/>
      <w:lvlJc w:val="left"/>
      <w:pPr>
        <w:tabs>
          <w:tab w:val="num" w:pos="3328"/>
        </w:tabs>
        <w:ind w:left="3328" w:hanging="709"/>
      </w:pPr>
      <w:rPr>
        <w:rFonts w:ascii="Times New Roman" w:hAnsi="Times New Roman"/>
      </w:rPr>
    </w:lvl>
    <w:lvl w:ilvl="3" w:tplc="A35ECABA">
      <w:start w:val="1"/>
      <w:numFmt w:val="bullet"/>
      <w:pStyle w:val="ListNumber3Level4"/>
      <w:lvlText w:val=""/>
      <w:lvlJc w:val="left"/>
      <w:pPr>
        <w:tabs>
          <w:tab w:val="num" w:pos="4037"/>
        </w:tabs>
        <w:ind w:left="4037" w:hanging="709"/>
      </w:pPr>
      <w:rPr>
        <w:rFonts w:ascii="Symbol" w:hAnsi="Symbol"/>
      </w:rPr>
    </w:lvl>
    <w:lvl w:ilvl="4" w:tplc="D9EA7412">
      <w:start w:val="1"/>
      <w:numFmt w:val="lowerLetter"/>
      <w:lvlText w:val="(%5)"/>
      <w:lvlJc w:val="left"/>
      <w:pPr>
        <w:tabs>
          <w:tab w:val="num" w:pos="1800"/>
        </w:tabs>
        <w:ind w:left="1800" w:hanging="360"/>
      </w:pPr>
    </w:lvl>
    <w:lvl w:ilvl="5" w:tplc="6BFE7AB0">
      <w:start w:val="1"/>
      <w:numFmt w:val="lowerRoman"/>
      <w:lvlText w:val="(%6)"/>
      <w:lvlJc w:val="left"/>
      <w:pPr>
        <w:tabs>
          <w:tab w:val="num" w:pos="2160"/>
        </w:tabs>
        <w:ind w:left="2160" w:hanging="360"/>
      </w:pPr>
    </w:lvl>
    <w:lvl w:ilvl="6" w:tplc="550AB6B8">
      <w:start w:val="1"/>
      <w:numFmt w:val="decimal"/>
      <w:lvlText w:val="%7."/>
      <w:lvlJc w:val="left"/>
      <w:pPr>
        <w:tabs>
          <w:tab w:val="num" w:pos="2520"/>
        </w:tabs>
        <w:ind w:left="2520" w:hanging="360"/>
      </w:pPr>
    </w:lvl>
    <w:lvl w:ilvl="7" w:tplc="3802FC88">
      <w:start w:val="1"/>
      <w:numFmt w:val="lowerLetter"/>
      <w:lvlText w:val="%8."/>
      <w:lvlJc w:val="left"/>
      <w:pPr>
        <w:tabs>
          <w:tab w:val="num" w:pos="2880"/>
        </w:tabs>
        <w:ind w:left="2880" w:hanging="360"/>
      </w:pPr>
    </w:lvl>
    <w:lvl w:ilvl="8" w:tplc="B75A7812">
      <w:start w:val="1"/>
      <w:numFmt w:val="lowerRoman"/>
      <w:lvlText w:val="%9."/>
      <w:lvlJc w:val="left"/>
      <w:pPr>
        <w:tabs>
          <w:tab w:val="num" w:pos="3240"/>
        </w:tabs>
        <w:ind w:left="3240" w:hanging="360"/>
      </w:pPr>
    </w:lvl>
  </w:abstractNum>
  <w:abstractNum w:abstractNumId="12" w15:restartNumberingAfterBreak="0">
    <w:nsid w:val="34293F3F"/>
    <w:multiLevelType w:val="hybridMultilevel"/>
    <w:tmpl w:val="B074E4EC"/>
    <w:lvl w:ilvl="0" w:tplc="9B7E992A">
      <w:start w:val="1"/>
      <w:numFmt w:val="bullet"/>
      <w:pStyle w:val="ListDash"/>
      <w:lvlText w:val="–"/>
      <w:lvlJc w:val="left"/>
      <w:pPr>
        <w:tabs>
          <w:tab w:val="num" w:pos="283"/>
        </w:tabs>
        <w:ind w:left="283" w:hanging="283"/>
      </w:pPr>
      <w:rPr>
        <w:rFonts w:ascii="Times New Roman" w:hAnsi="Times New Roman"/>
      </w:rPr>
    </w:lvl>
    <w:lvl w:ilvl="1" w:tplc="578275C8">
      <w:numFmt w:val="decimal"/>
      <w:lvlText w:val=""/>
      <w:lvlJc w:val="left"/>
    </w:lvl>
    <w:lvl w:ilvl="2" w:tplc="17BCE51C">
      <w:numFmt w:val="decimal"/>
      <w:lvlText w:val=""/>
      <w:lvlJc w:val="left"/>
    </w:lvl>
    <w:lvl w:ilvl="3" w:tplc="E1FAF93A">
      <w:numFmt w:val="decimal"/>
      <w:lvlText w:val=""/>
      <w:lvlJc w:val="left"/>
    </w:lvl>
    <w:lvl w:ilvl="4" w:tplc="D14E5D38">
      <w:numFmt w:val="decimal"/>
      <w:lvlText w:val=""/>
      <w:lvlJc w:val="left"/>
    </w:lvl>
    <w:lvl w:ilvl="5" w:tplc="A9B4EB18">
      <w:numFmt w:val="decimal"/>
      <w:lvlText w:val=""/>
      <w:lvlJc w:val="left"/>
    </w:lvl>
    <w:lvl w:ilvl="6" w:tplc="871848CA">
      <w:numFmt w:val="decimal"/>
      <w:lvlText w:val=""/>
      <w:lvlJc w:val="left"/>
    </w:lvl>
    <w:lvl w:ilvl="7" w:tplc="BA0266CE">
      <w:numFmt w:val="decimal"/>
      <w:lvlText w:val=""/>
      <w:lvlJc w:val="left"/>
    </w:lvl>
    <w:lvl w:ilvl="8" w:tplc="8A707A36">
      <w:numFmt w:val="decimal"/>
      <w:lvlText w:val=""/>
      <w:lvlJc w:val="left"/>
    </w:lvl>
  </w:abstractNum>
  <w:abstractNum w:abstractNumId="13" w15:restartNumberingAfterBreak="0">
    <w:nsid w:val="358B6119"/>
    <w:multiLevelType w:val="hybridMultilevel"/>
    <w:tmpl w:val="A8BA546C"/>
    <w:lvl w:ilvl="0" w:tplc="305A4120">
      <w:start w:val="1"/>
      <w:numFmt w:val="decimal"/>
      <w:pStyle w:val="ListNumber1"/>
      <w:lvlText w:val="(%1)"/>
      <w:lvlJc w:val="left"/>
      <w:pPr>
        <w:tabs>
          <w:tab w:val="num" w:pos="1191"/>
        </w:tabs>
        <w:ind w:left="1191" w:hanging="709"/>
      </w:pPr>
    </w:lvl>
    <w:lvl w:ilvl="1" w:tplc="B4E2E590">
      <w:start w:val="1"/>
      <w:numFmt w:val="lowerLetter"/>
      <w:pStyle w:val="ListNumber1Level2"/>
      <w:lvlText w:val="(%2)"/>
      <w:lvlJc w:val="left"/>
      <w:pPr>
        <w:tabs>
          <w:tab w:val="num" w:pos="1899"/>
        </w:tabs>
        <w:ind w:left="1899" w:hanging="708"/>
      </w:pPr>
    </w:lvl>
    <w:lvl w:ilvl="2" w:tplc="4698A9C6">
      <w:start w:val="1"/>
      <w:numFmt w:val="bullet"/>
      <w:pStyle w:val="ListNumber1Level3"/>
      <w:lvlText w:val="–"/>
      <w:lvlJc w:val="left"/>
      <w:pPr>
        <w:tabs>
          <w:tab w:val="num" w:pos="2608"/>
        </w:tabs>
        <w:ind w:left="2608" w:hanging="709"/>
      </w:pPr>
      <w:rPr>
        <w:rFonts w:ascii="Times New Roman" w:hAnsi="Times New Roman"/>
      </w:rPr>
    </w:lvl>
    <w:lvl w:ilvl="3" w:tplc="B6AA408C">
      <w:start w:val="1"/>
      <w:numFmt w:val="bullet"/>
      <w:pStyle w:val="ListNumber1Level4"/>
      <w:lvlText w:val=""/>
      <w:lvlJc w:val="left"/>
      <w:pPr>
        <w:tabs>
          <w:tab w:val="num" w:pos="3317"/>
        </w:tabs>
        <w:ind w:left="3317" w:hanging="709"/>
      </w:pPr>
      <w:rPr>
        <w:rFonts w:ascii="Symbol" w:hAnsi="Symbol"/>
      </w:rPr>
    </w:lvl>
    <w:lvl w:ilvl="4" w:tplc="B6D473A0">
      <w:start w:val="1"/>
      <w:numFmt w:val="lowerLetter"/>
      <w:lvlText w:val="(%5)"/>
      <w:lvlJc w:val="left"/>
      <w:pPr>
        <w:tabs>
          <w:tab w:val="num" w:pos="1800"/>
        </w:tabs>
        <w:ind w:left="1800" w:hanging="360"/>
      </w:pPr>
    </w:lvl>
    <w:lvl w:ilvl="5" w:tplc="60C27BAA">
      <w:start w:val="1"/>
      <w:numFmt w:val="lowerRoman"/>
      <w:lvlText w:val="(%6)"/>
      <w:lvlJc w:val="left"/>
      <w:pPr>
        <w:tabs>
          <w:tab w:val="num" w:pos="2160"/>
        </w:tabs>
        <w:ind w:left="2160" w:hanging="360"/>
      </w:pPr>
    </w:lvl>
    <w:lvl w:ilvl="6" w:tplc="B5168CF6">
      <w:start w:val="1"/>
      <w:numFmt w:val="decimal"/>
      <w:lvlText w:val="%7."/>
      <w:lvlJc w:val="left"/>
      <w:pPr>
        <w:tabs>
          <w:tab w:val="num" w:pos="2520"/>
        </w:tabs>
        <w:ind w:left="2520" w:hanging="360"/>
      </w:pPr>
    </w:lvl>
    <w:lvl w:ilvl="7" w:tplc="3D66D430">
      <w:start w:val="1"/>
      <w:numFmt w:val="lowerLetter"/>
      <w:lvlText w:val="%8."/>
      <w:lvlJc w:val="left"/>
      <w:pPr>
        <w:tabs>
          <w:tab w:val="num" w:pos="2880"/>
        </w:tabs>
        <w:ind w:left="2880" w:hanging="360"/>
      </w:pPr>
    </w:lvl>
    <w:lvl w:ilvl="8" w:tplc="DA50BE40">
      <w:start w:val="1"/>
      <w:numFmt w:val="lowerRoman"/>
      <w:lvlText w:val="%9."/>
      <w:lvlJc w:val="left"/>
      <w:pPr>
        <w:tabs>
          <w:tab w:val="num" w:pos="3240"/>
        </w:tabs>
        <w:ind w:left="3240" w:hanging="360"/>
      </w:pPr>
    </w:lvl>
  </w:abstractNum>
  <w:abstractNum w:abstractNumId="14" w15:restartNumberingAfterBreak="0">
    <w:nsid w:val="391E603A"/>
    <w:multiLevelType w:val="multilevel"/>
    <w:tmpl w:val="D1BEEF80"/>
    <w:styleLink w:val="Style2"/>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3AFB6DC8"/>
    <w:multiLevelType w:val="hybridMultilevel"/>
    <w:tmpl w:val="D97CFDF8"/>
    <w:lvl w:ilvl="0" w:tplc="65AAB846">
      <w:start w:val="1"/>
      <w:numFmt w:val="bullet"/>
      <w:pStyle w:val="ListBullet2"/>
      <w:lvlText w:val=""/>
      <w:lvlJc w:val="left"/>
      <w:pPr>
        <w:tabs>
          <w:tab w:val="num" w:pos="1485"/>
        </w:tabs>
        <w:ind w:left="1485" w:hanging="283"/>
      </w:pPr>
      <w:rPr>
        <w:rFonts w:ascii="Symbol" w:hAnsi="Symbol"/>
      </w:rPr>
    </w:lvl>
    <w:lvl w:ilvl="1" w:tplc="C92C4B1C">
      <w:numFmt w:val="decimal"/>
      <w:lvlText w:val=""/>
      <w:lvlJc w:val="left"/>
    </w:lvl>
    <w:lvl w:ilvl="2" w:tplc="EEFAABC2">
      <w:numFmt w:val="decimal"/>
      <w:lvlText w:val=""/>
      <w:lvlJc w:val="left"/>
    </w:lvl>
    <w:lvl w:ilvl="3" w:tplc="C58410DA">
      <w:numFmt w:val="decimal"/>
      <w:lvlText w:val=""/>
      <w:lvlJc w:val="left"/>
    </w:lvl>
    <w:lvl w:ilvl="4" w:tplc="F09AF6E6">
      <w:numFmt w:val="decimal"/>
      <w:lvlText w:val=""/>
      <w:lvlJc w:val="left"/>
    </w:lvl>
    <w:lvl w:ilvl="5" w:tplc="7078353A">
      <w:numFmt w:val="decimal"/>
      <w:lvlText w:val=""/>
      <w:lvlJc w:val="left"/>
    </w:lvl>
    <w:lvl w:ilvl="6" w:tplc="4DCC0822">
      <w:numFmt w:val="decimal"/>
      <w:lvlText w:val=""/>
      <w:lvlJc w:val="left"/>
    </w:lvl>
    <w:lvl w:ilvl="7" w:tplc="6FE898F0">
      <w:numFmt w:val="decimal"/>
      <w:lvlText w:val=""/>
      <w:lvlJc w:val="left"/>
    </w:lvl>
    <w:lvl w:ilvl="8" w:tplc="A4166A70">
      <w:numFmt w:val="decimal"/>
      <w:lvlText w:val=""/>
      <w:lvlJc w:val="left"/>
    </w:lvl>
  </w:abstractNum>
  <w:abstractNum w:abstractNumId="16" w15:restartNumberingAfterBreak="0">
    <w:nsid w:val="3B1A10A2"/>
    <w:multiLevelType w:val="multilevel"/>
    <w:tmpl w:val="178EF4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3CF00E18"/>
    <w:multiLevelType w:val="hybridMultilevel"/>
    <w:tmpl w:val="4E1A982C"/>
    <w:lvl w:ilvl="0" w:tplc="4C0E2886">
      <w:start w:val="1"/>
      <w:numFmt w:val="bullet"/>
      <w:pStyle w:val="ListBullet"/>
      <w:lvlText w:val=""/>
      <w:lvlJc w:val="left"/>
      <w:pPr>
        <w:tabs>
          <w:tab w:val="num" w:pos="283"/>
        </w:tabs>
        <w:ind w:left="283" w:hanging="283"/>
      </w:pPr>
      <w:rPr>
        <w:rFonts w:ascii="Symbol" w:hAnsi="Symbol"/>
      </w:rPr>
    </w:lvl>
    <w:lvl w:ilvl="1" w:tplc="1B68EC90">
      <w:numFmt w:val="decimal"/>
      <w:lvlText w:val=""/>
      <w:lvlJc w:val="left"/>
    </w:lvl>
    <w:lvl w:ilvl="2" w:tplc="19EE2688">
      <w:numFmt w:val="decimal"/>
      <w:lvlText w:val=""/>
      <w:lvlJc w:val="left"/>
    </w:lvl>
    <w:lvl w:ilvl="3" w:tplc="B3987C92">
      <w:numFmt w:val="decimal"/>
      <w:lvlText w:val=""/>
      <w:lvlJc w:val="left"/>
    </w:lvl>
    <w:lvl w:ilvl="4" w:tplc="931AFB50">
      <w:numFmt w:val="decimal"/>
      <w:lvlText w:val=""/>
      <w:lvlJc w:val="left"/>
    </w:lvl>
    <w:lvl w:ilvl="5" w:tplc="C4860250">
      <w:numFmt w:val="decimal"/>
      <w:lvlText w:val=""/>
      <w:lvlJc w:val="left"/>
    </w:lvl>
    <w:lvl w:ilvl="6" w:tplc="268AFC42">
      <w:numFmt w:val="decimal"/>
      <w:lvlText w:val=""/>
      <w:lvlJc w:val="left"/>
    </w:lvl>
    <w:lvl w:ilvl="7" w:tplc="0EA41936">
      <w:numFmt w:val="decimal"/>
      <w:lvlText w:val=""/>
      <w:lvlJc w:val="left"/>
    </w:lvl>
    <w:lvl w:ilvl="8" w:tplc="9EEEBBD8">
      <w:numFmt w:val="decimal"/>
      <w:lvlText w:val=""/>
      <w:lvlJc w:val="left"/>
    </w:lvl>
  </w:abstractNum>
  <w:abstractNum w:abstractNumId="18" w15:restartNumberingAfterBreak="0">
    <w:nsid w:val="46113D4F"/>
    <w:multiLevelType w:val="hybridMultilevel"/>
    <w:tmpl w:val="A3323CB8"/>
    <w:lvl w:ilvl="0" w:tplc="AA342CB2">
      <w:start w:val="1"/>
      <w:numFmt w:val="bullet"/>
      <w:pStyle w:val="ListDash3"/>
      <w:lvlText w:val="–"/>
      <w:lvlJc w:val="left"/>
      <w:pPr>
        <w:tabs>
          <w:tab w:val="num" w:pos="1485"/>
        </w:tabs>
        <w:ind w:left="1485" w:hanging="283"/>
      </w:pPr>
      <w:rPr>
        <w:rFonts w:ascii="Times New Roman" w:hAnsi="Times New Roman"/>
      </w:rPr>
    </w:lvl>
    <w:lvl w:ilvl="1" w:tplc="34DC4874">
      <w:numFmt w:val="decimal"/>
      <w:lvlText w:val=""/>
      <w:lvlJc w:val="left"/>
    </w:lvl>
    <w:lvl w:ilvl="2" w:tplc="D6DEB310">
      <w:numFmt w:val="decimal"/>
      <w:lvlText w:val=""/>
      <w:lvlJc w:val="left"/>
    </w:lvl>
    <w:lvl w:ilvl="3" w:tplc="16485182">
      <w:numFmt w:val="decimal"/>
      <w:lvlText w:val=""/>
      <w:lvlJc w:val="left"/>
    </w:lvl>
    <w:lvl w:ilvl="4" w:tplc="555ABD86">
      <w:numFmt w:val="decimal"/>
      <w:lvlText w:val=""/>
      <w:lvlJc w:val="left"/>
    </w:lvl>
    <w:lvl w:ilvl="5" w:tplc="3FAAB86E">
      <w:numFmt w:val="decimal"/>
      <w:lvlText w:val=""/>
      <w:lvlJc w:val="left"/>
    </w:lvl>
    <w:lvl w:ilvl="6" w:tplc="F762246E">
      <w:numFmt w:val="decimal"/>
      <w:lvlText w:val=""/>
      <w:lvlJc w:val="left"/>
    </w:lvl>
    <w:lvl w:ilvl="7" w:tplc="0336A65E">
      <w:numFmt w:val="decimal"/>
      <w:lvlText w:val=""/>
      <w:lvlJc w:val="left"/>
    </w:lvl>
    <w:lvl w:ilvl="8" w:tplc="FBBA91E0">
      <w:numFmt w:val="decimal"/>
      <w:lvlText w:val=""/>
      <w:lvlJc w:val="left"/>
    </w:lvl>
  </w:abstractNum>
  <w:abstractNum w:abstractNumId="19"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C6A44F1"/>
    <w:multiLevelType w:val="hybridMultilevel"/>
    <w:tmpl w:val="3DE615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2" w15:restartNumberingAfterBreak="0">
    <w:nsid w:val="519A369A"/>
    <w:multiLevelType w:val="multilevel"/>
    <w:tmpl w:val="48823AC8"/>
    <w:lvl w:ilvl="0">
      <w:start w:val="1"/>
      <w:numFmt w:val="decimal"/>
      <w:lvlText w:val="%1."/>
      <w:lvlJc w:val="left"/>
      <w:pPr>
        <w:ind w:left="720" w:hanging="360"/>
      </w:pPr>
      <w:rPr>
        <w:rFonts w:hint="default"/>
        <w:b/>
        <w:i w:val="0"/>
      </w:rPr>
    </w:lvl>
    <w:lvl w:ilvl="1">
      <w:start w:val="1"/>
      <w:numFmt w:val="decimal"/>
      <w:lvlText w:val="4.%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4D10AB0"/>
    <w:multiLevelType w:val="hybridMultilevel"/>
    <w:tmpl w:val="5B50620E"/>
    <w:lvl w:ilvl="0" w:tplc="7968FD2C">
      <w:start w:val="1"/>
      <w:numFmt w:val="bullet"/>
      <w:pStyle w:val="ListDash4"/>
      <w:lvlText w:val="–"/>
      <w:lvlJc w:val="left"/>
      <w:pPr>
        <w:tabs>
          <w:tab w:val="num" w:pos="1485"/>
        </w:tabs>
        <w:ind w:left="1485" w:hanging="283"/>
      </w:pPr>
      <w:rPr>
        <w:rFonts w:ascii="Times New Roman" w:hAnsi="Times New Roman"/>
      </w:rPr>
    </w:lvl>
    <w:lvl w:ilvl="1" w:tplc="39886356">
      <w:numFmt w:val="decimal"/>
      <w:lvlText w:val=""/>
      <w:lvlJc w:val="left"/>
    </w:lvl>
    <w:lvl w:ilvl="2" w:tplc="2F7AA8C0">
      <w:numFmt w:val="decimal"/>
      <w:lvlText w:val=""/>
      <w:lvlJc w:val="left"/>
    </w:lvl>
    <w:lvl w:ilvl="3" w:tplc="6D14153A">
      <w:numFmt w:val="decimal"/>
      <w:lvlText w:val=""/>
      <w:lvlJc w:val="left"/>
    </w:lvl>
    <w:lvl w:ilvl="4" w:tplc="BEDC759E">
      <w:numFmt w:val="decimal"/>
      <w:lvlText w:val=""/>
      <w:lvlJc w:val="left"/>
    </w:lvl>
    <w:lvl w:ilvl="5" w:tplc="B4AA7BA2">
      <w:numFmt w:val="decimal"/>
      <w:lvlText w:val=""/>
      <w:lvlJc w:val="left"/>
    </w:lvl>
    <w:lvl w:ilvl="6" w:tplc="9C5E6694">
      <w:numFmt w:val="decimal"/>
      <w:lvlText w:val=""/>
      <w:lvlJc w:val="left"/>
    </w:lvl>
    <w:lvl w:ilvl="7" w:tplc="CACCA572">
      <w:numFmt w:val="decimal"/>
      <w:lvlText w:val=""/>
      <w:lvlJc w:val="left"/>
    </w:lvl>
    <w:lvl w:ilvl="8" w:tplc="863AFD14">
      <w:numFmt w:val="decimal"/>
      <w:lvlText w:val=""/>
      <w:lvlJc w:val="left"/>
    </w:lvl>
  </w:abstractNum>
  <w:abstractNum w:abstractNumId="24" w15:restartNumberingAfterBreak="0">
    <w:nsid w:val="5C864DEE"/>
    <w:multiLevelType w:val="multilevel"/>
    <w:tmpl w:val="EA3C91D6"/>
    <w:lvl w:ilvl="0">
      <w:start w:val="1"/>
      <w:numFmt w:val="decimal"/>
      <w:lvlText w:val="%1."/>
      <w:lvlJc w:val="left"/>
      <w:pPr>
        <w:ind w:left="720" w:hanging="360"/>
      </w:pPr>
      <w:rPr>
        <w:rFonts w:hint="default"/>
        <w:b/>
        <w:i w:val="0"/>
      </w:rPr>
    </w:lvl>
    <w:lvl w:ilvl="1">
      <w:start w:val="1"/>
      <w:numFmt w:val="decimal"/>
      <w:lvlText w:val="6.%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E0D6286"/>
    <w:multiLevelType w:val="hybridMultilevel"/>
    <w:tmpl w:val="B0567122"/>
    <w:lvl w:ilvl="0" w:tplc="AF94605A">
      <w:start w:val="1"/>
      <w:numFmt w:val="bullet"/>
      <w:pStyle w:val="ListDash2"/>
      <w:lvlText w:val="–"/>
      <w:lvlJc w:val="left"/>
      <w:pPr>
        <w:tabs>
          <w:tab w:val="num" w:pos="1485"/>
        </w:tabs>
        <w:ind w:left="1485" w:hanging="283"/>
      </w:pPr>
      <w:rPr>
        <w:rFonts w:ascii="Times New Roman" w:hAnsi="Times New Roman"/>
      </w:rPr>
    </w:lvl>
    <w:lvl w:ilvl="1" w:tplc="FBF2246C">
      <w:numFmt w:val="decimal"/>
      <w:lvlText w:val=""/>
      <w:lvlJc w:val="left"/>
    </w:lvl>
    <w:lvl w:ilvl="2" w:tplc="C92C45C8">
      <w:numFmt w:val="decimal"/>
      <w:lvlText w:val=""/>
      <w:lvlJc w:val="left"/>
    </w:lvl>
    <w:lvl w:ilvl="3" w:tplc="931C1DF2">
      <w:numFmt w:val="decimal"/>
      <w:lvlText w:val=""/>
      <w:lvlJc w:val="left"/>
    </w:lvl>
    <w:lvl w:ilvl="4" w:tplc="4BD219AC">
      <w:numFmt w:val="decimal"/>
      <w:lvlText w:val=""/>
      <w:lvlJc w:val="left"/>
    </w:lvl>
    <w:lvl w:ilvl="5" w:tplc="3D08D0D6">
      <w:numFmt w:val="decimal"/>
      <w:lvlText w:val=""/>
      <w:lvlJc w:val="left"/>
    </w:lvl>
    <w:lvl w:ilvl="6" w:tplc="3318A10E">
      <w:numFmt w:val="decimal"/>
      <w:lvlText w:val=""/>
      <w:lvlJc w:val="left"/>
    </w:lvl>
    <w:lvl w:ilvl="7" w:tplc="2F8A2A7A">
      <w:numFmt w:val="decimal"/>
      <w:lvlText w:val=""/>
      <w:lvlJc w:val="left"/>
    </w:lvl>
    <w:lvl w:ilvl="8" w:tplc="F83CDFE0">
      <w:numFmt w:val="decimal"/>
      <w:lvlText w:val=""/>
      <w:lvlJc w:val="left"/>
    </w:lvl>
  </w:abstractNum>
  <w:abstractNum w:abstractNumId="26" w15:restartNumberingAfterBreak="0">
    <w:nsid w:val="6057433F"/>
    <w:multiLevelType w:val="hybridMultilevel"/>
    <w:tmpl w:val="3D5ECD48"/>
    <w:lvl w:ilvl="0" w:tplc="1D000196">
      <w:start w:val="1"/>
      <w:numFmt w:val="bullet"/>
      <w:pStyle w:val="ListDash1"/>
      <w:lvlText w:val="–"/>
      <w:lvlJc w:val="left"/>
      <w:pPr>
        <w:tabs>
          <w:tab w:val="num" w:pos="765"/>
        </w:tabs>
        <w:ind w:left="765" w:hanging="283"/>
      </w:pPr>
      <w:rPr>
        <w:rFonts w:ascii="Times New Roman" w:hAnsi="Times New Roman"/>
      </w:rPr>
    </w:lvl>
    <w:lvl w:ilvl="1" w:tplc="2BB2C23E">
      <w:numFmt w:val="decimal"/>
      <w:lvlText w:val=""/>
      <w:lvlJc w:val="left"/>
    </w:lvl>
    <w:lvl w:ilvl="2" w:tplc="5308D568">
      <w:numFmt w:val="decimal"/>
      <w:lvlText w:val=""/>
      <w:lvlJc w:val="left"/>
    </w:lvl>
    <w:lvl w:ilvl="3" w:tplc="79B223FC">
      <w:numFmt w:val="decimal"/>
      <w:lvlText w:val=""/>
      <w:lvlJc w:val="left"/>
    </w:lvl>
    <w:lvl w:ilvl="4" w:tplc="BD18E306">
      <w:numFmt w:val="decimal"/>
      <w:lvlText w:val=""/>
      <w:lvlJc w:val="left"/>
    </w:lvl>
    <w:lvl w:ilvl="5" w:tplc="14FC4DF0">
      <w:numFmt w:val="decimal"/>
      <w:lvlText w:val=""/>
      <w:lvlJc w:val="left"/>
    </w:lvl>
    <w:lvl w:ilvl="6" w:tplc="74B85836">
      <w:numFmt w:val="decimal"/>
      <w:lvlText w:val=""/>
      <w:lvlJc w:val="left"/>
    </w:lvl>
    <w:lvl w:ilvl="7" w:tplc="83B09100">
      <w:numFmt w:val="decimal"/>
      <w:lvlText w:val=""/>
      <w:lvlJc w:val="left"/>
    </w:lvl>
    <w:lvl w:ilvl="8" w:tplc="4E1032DC">
      <w:numFmt w:val="decimal"/>
      <w:lvlText w:val=""/>
      <w:lvlJc w:val="left"/>
    </w:lvl>
  </w:abstractNum>
  <w:abstractNum w:abstractNumId="27" w15:restartNumberingAfterBreak="0">
    <w:nsid w:val="620F2440"/>
    <w:multiLevelType w:val="hybridMultilevel"/>
    <w:tmpl w:val="6860A420"/>
    <w:lvl w:ilvl="0" w:tplc="9D843966">
      <w:start w:val="1"/>
      <w:numFmt w:val="bullet"/>
      <w:pStyle w:val="ListBullet3"/>
      <w:lvlText w:val=""/>
      <w:lvlJc w:val="left"/>
      <w:pPr>
        <w:tabs>
          <w:tab w:val="num" w:pos="1485"/>
        </w:tabs>
        <w:ind w:left="1485" w:hanging="283"/>
      </w:pPr>
      <w:rPr>
        <w:rFonts w:ascii="Symbol" w:hAnsi="Symbol"/>
      </w:rPr>
    </w:lvl>
    <w:lvl w:ilvl="1" w:tplc="903E3862">
      <w:numFmt w:val="decimal"/>
      <w:lvlText w:val=""/>
      <w:lvlJc w:val="left"/>
    </w:lvl>
    <w:lvl w:ilvl="2" w:tplc="4EBAC4BC">
      <w:numFmt w:val="decimal"/>
      <w:lvlText w:val=""/>
      <w:lvlJc w:val="left"/>
    </w:lvl>
    <w:lvl w:ilvl="3" w:tplc="162ACD60">
      <w:numFmt w:val="decimal"/>
      <w:lvlText w:val=""/>
      <w:lvlJc w:val="left"/>
    </w:lvl>
    <w:lvl w:ilvl="4" w:tplc="92E281D6">
      <w:numFmt w:val="decimal"/>
      <w:lvlText w:val=""/>
      <w:lvlJc w:val="left"/>
    </w:lvl>
    <w:lvl w:ilvl="5" w:tplc="6DA23AF0">
      <w:numFmt w:val="decimal"/>
      <w:lvlText w:val=""/>
      <w:lvlJc w:val="left"/>
    </w:lvl>
    <w:lvl w:ilvl="6" w:tplc="86D2AA64">
      <w:numFmt w:val="decimal"/>
      <w:lvlText w:val=""/>
      <w:lvlJc w:val="left"/>
    </w:lvl>
    <w:lvl w:ilvl="7" w:tplc="72A0EBAC">
      <w:numFmt w:val="decimal"/>
      <w:lvlText w:val=""/>
      <w:lvlJc w:val="left"/>
    </w:lvl>
    <w:lvl w:ilvl="8" w:tplc="D0D4CC42">
      <w:numFmt w:val="decimal"/>
      <w:lvlText w:val=""/>
      <w:lvlJc w:val="left"/>
    </w:lvl>
  </w:abstractNum>
  <w:abstractNum w:abstractNumId="28" w15:restartNumberingAfterBreak="0">
    <w:nsid w:val="63516967"/>
    <w:multiLevelType w:val="multilevel"/>
    <w:tmpl w:val="86389530"/>
    <w:lvl w:ilvl="0">
      <w:start w:val="1"/>
      <w:numFmt w:val="decimal"/>
      <w:lvlText w:val="%1."/>
      <w:lvlJc w:val="left"/>
      <w:pPr>
        <w:ind w:left="720" w:hanging="360"/>
      </w:pPr>
      <w:rPr>
        <w:rFonts w:hint="default"/>
        <w:b/>
        <w:i w:val="0"/>
      </w:rPr>
    </w:lvl>
    <w:lvl w:ilvl="1">
      <w:start w:val="1"/>
      <w:numFmt w:val="decimal"/>
      <w:lvlText w:val="7.%2."/>
      <w:lvlJc w:val="left"/>
      <w:pPr>
        <w:ind w:left="1080" w:hanging="720"/>
      </w:pPr>
      <w:rPr>
        <w:rFonts w:hint="default"/>
      </w:r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9" w15:restartNumberingAfterBreak="0">
    <w:nsid w:val="6DF118C0"/>
    <w:multiLevelType w:val="hybridMultilevel"/>
    <w:tmpl w:val="B90C8B88"/>
    <w:lvl w:ilvl="0" w:tplc="23422402">
      <w:start w:val="1"/>
      <w:numFmt w:val="bullet"/>
      <w:pStyle w:val="ListBullet4"/>
      <w:lvlText w:val=""/>
      <w:lvlJc w:val="left"/>
      <w:pPr>
        <w:tabs>
          <w:tab w:val="num" w:pos="1485"/>
        </w:tabs>
        <w:ind w:left="1485" w:hanging="283"/>
      </w:pPr>
      <w:rPr>
        <w:rFonts w:ascii="Symbol" w:hAnsi="Symbol"/>
      </w:rPr>
    </w:lvl>
    <w:lvl w:ilvl="1" w:tplc="ED465116">
      <w:numFmt w:val="decimal"/>
      <w:lvlText w:val=""/>
      <w:lvlJc w:val="left"/>
    </w:lvl>
    <w:lvl w:ilvl="2" w:tplc="1E7CF12A">
      <w:numFmt w:val="decimal"/>
      <w:lvlText w:val=""/>
      <w:lvlJc w:val="left"/>
    </w:lvl>
    <w:lvl w:ilvl="3" w:tplc="5DC6C962">
      <w:numFmt w:val="decimal"/>
      <w:lvlText w:val=""/>
      <w:lvlJc w:val="left"/>
    </w:lvl>
    <w:lvl w:ilvl="4" w:tplc="6C30003A">
      <w:numFmt w:val="decimal"/>
      <w:lvlText w:val=""/>
      <w:lvlJc w:val="left"/>
    </w:lvl>
    <w:lvl w:ilvl="5" w:tplc="0E0647CA">
      <w:numFmt w:val="decimal"/>
      <w:lvlText w:val=""/>
      <w:lvlJc w:val="left"/>
    </w:lvl>
    <w:lvl w:ilvl="6" w:tplc="9D1CE892">
      <w:numFmt w:val="decimal"/>
      <w:lvlText w:val=""/>
      <w:lvlJc w:val="left"/>
    </w:lvl>
    <w:lvl w:ilvl="7" w:tplc="EDBAACCC">
      <w:numFmt w:val="decimal"/>
      <w:lvlText w:val=""/>
      <w:lvlJc w:val="left"/>
    </w:lvl>
    <w:lvl w:ilvl="8" w:tplc="A4EA4BD4">
      <w:numFmt w:val="decimal"/>
      <w:lvlText w:val=""/>
      <w:lvlJc w:val="left"/>
    </w:lvl>
  </w:abstractNum>
  <w:abstractNum w:abstractNumId="30" w15:restartNumberingAfterBreak="0">
    <w:nsid w:val="722304D7"/>
    <w:multiLevelType w:val="hybridMultilevel"/>
    <w:tmpl w:val="9DE2758E"/>
    <w:lvl w:ilvl="0" w:tplc="46104EC0">
      <w:start w:val="1"/>
      <w:numFmt w:val="decimal"/>
      <w:pStyle w:val="ListNumber4"/>
      <w:lvlText w:val="(%1)"/>
      <w:lvlJc w:val="left"/>
      <w:pPr>
        <w:tabs>
          <w:tab w:val="num" w:pos="1911"/>
        </w:tabs>
        <w:ind w:left="1911" w:hanging="709"/>
      </w:pPr>
    </w:lvl>
    <w:lvl w:ilvl="1" w:tplc="6F7C83E8">
      <w:start w:val="1"/>
      <w:numFmt w:val="lowerLetter"/>
      <w:pStyle w:val="ListNumber4Level2"/>
      <w:lvlText w:val="(%2)"/>
      <w:lvlJc w:val="left"/>
      <w:pPr>
        <w:tabs>
          <w:tab w:val="num" w:pos="2619"/>
        </w:tabs>
        <w:ind w:left="2619" w:hanging="708"/>
      </w:pPr>
    </w:lvl>
    <w:lvl w:ilvl="2" w:tplc="D4647AD0">
      <w:start w:val="1"/>
      <w:numFmt w:val="bullet"/>
      <w:pStyle w:val="ListNumber4Level3"/>
      <w:lvlText w:val="–"/>
      <w:lvlJc w:val="left"/>
      <w:pPr>
        <w:tabs>
          <w:tab w:val="num" w:pos="3328"/>
        </w:tabs>
        <w:ind w:left="3328" w:hanging="709"/>
      </w:pPr>
      <w:rPr>
        <w:rFonts w:ascii="Times New Roman" w:hAnsi="Times New Roman"/>
      </w:rPr>
    </w:lvl>
    <w:lvl w:ilvl="3" w:tplc="10B2D9BC">
      <w:start w:val="1"/>
      <w:numFmt w:val="bullet"/>
      <w:pStyle w:val="ListNumber4Level4"/>
      <w:lvlText w:val=""/>
      <w:lvlJc w:val="left"/>
      <w:pPr>
        <w:tabs>
          <w:tab w:val="num" w:pos="4037"/>
        </w:tabs>
        <w:ind w:left="4037" w:hanging="709"/>
      </w:pPr>
      <w:rPr>
        <w:rFonts w:ascii="Symbol" w:hAnsi="Symbol"/>
      </w:rPr>
    </w:lvl>
    <w:lvl w:ilvl="4" w:tplc="9DBA8BB4">
      <w:start w:val="1"/>
      <w:numFmt w:val="lowerLetter"/>
      <w:lvlText w:val="(%5)"/>
      <w:lvlJc w:val="left"/>
      <w:pPr>
        <w:tabs>
          <w:tab w:val="num" w:pos="1800"/>
        </w:tabs>
        <w:ind w:left="1800" w:hanging="360"/>
      </w:pPr>
    </w:lvl>
    <w:lvl w:ilvl="5" w:tplc="DA8013D0">
      <w:start w:val="1"/>
      <w:numFmt w:val="lowerRoman"/>
      <w:lvlText w:val="(%6)"/>
      <w:lvlJc w:val="left"/>
      <w:pPr>
        <w:tabs>
          <w:tab w:val="num" w:pos="2160"/>
        </w:tabs>
        <w:ind w:left="2160" w:hanging="360"/>
      </w:pPr>
    </w:lvl>
    <w:lvl w:ilvl="6" w:tplc="8CE6ED78">
      <w:start w:val="1"/>
      <w:numFmt w:val="decimal"/>
      <w:lvlText w:val="%7."/>
      <w:lvlJc w:val="left"/>
      <w:pPr>
        <w:tabs>
          <w:tab w:val="num" w:pos="2520"/>
        </w:tabs>
        <w:ind w:left="2520" w:hanging="360"/>
      </w:pPr>
    </w:lvl>
    <w:lvl w:ilvl="7" w:tplc="D2D000CA">
      <w:start w:val="1"/>
      <w:numFmt w:val="lowerLetter"/>
      <w:lvlText w:val="%8."/>
      <w:lvlJc w:val="left"/>
      <w:pPr>
        <w:tabs>
          <w:tab w:val="num" w:pos="2880"/>
        </w:tabs>
        <w:ind w:left="2880" w:hanging="360"/>
      </w:pPr>
    </w:lvl>
    <w:lvl w:ilvl="8" w:tplc="AFC8342C">
      <w:start w:val="1"/>
      <w:numFmt w:val="lowerRoman"/>
      <w:lvlText w:val="%9."/>
      <w:lvlJc w:val="left"/>
      <w:pPr>
        <w:tabs>
          <w:tab w:val="num" w:pos="3240"/>
        </w:tabs>
        <w:ind w:left="3240" w:hanging="360"/>
      </w:pPr>
    </w:lvl>
  </w:abstractNum>
  <w:abstractNum w:abstractNumId="31" w15:restartNumberingAfterBreak="0">
    <w:nsid w:val="73DA49EC"/>
    <w:multiLevelType w:val="hybridMultilevel"/>
    <w:tmpl w:val="2C20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D07C14"/>
    <w:multiLevelType w:val="hybridMultilevel"/>
    <w:tmpl w:val="65E432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8371EFE"/>
    <w:multiLevelType w:val="multilevel"/>
    <w:tmpl w:val="49EAF6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97F5E5C"/>
    <w:multiLevelType w:val="multilevel"/>
    <w:tmpl w:val="3DC046CE"/>
    <w:lvl w:ilvl="0">
      <w:start w:val="1"/>
      <w:numFmt w:val="decimal"/>
      <w:pStyle w:val="NumPar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umPar3"/>
      <w:lvlText w:val="4.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EE01D81"/>
    <w:multiLevelType w:val="multilevel"/>
    <w:tmpl w:val="3B70A2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6"/>
  </w:num>
  <w:num w:numId="4">
    <w:abstractNumId w:val="17"/>
  </w:num>
  <w:num w:numId="5">
    <w:abstractNumId w:val="10"/>
  </w:num>
  <w:num w:numId="6">
    <w:abstractNumId w:val="15"/>
  </w:num>
  <w:num w:numId="7">
    <w:abstractNumId w:val="27"/>
  </w:num>
  <w:num w:numId="8">
    <w:abstractNumId w:val="29"/>
  </w:num>
  <w:num w:numId="9">
    <w:abstractNumId w:val="12"/>
  </w:num>
  <w:num w:numId="10">
    <w:abstractNumId w:val="26"/>
  </w:num>
  <w:num w:numId="11">
    <w:abstractNumId w:val="25"/>
  </w:num>
  <w:num w:numId="12">
    <w:abstractNumId w:val="18"/>
  </w:num>
  <w:num w:numId="13">
    <w:abstractNumId w:val="23"/>
  </w:num>
  <w:num w:numId="14">
    <w:abstractNumId w:val="8"/>
  </w:num>
  <w:num w:numId="15">
    <w:abstractNumId w:val="13"/>
  </w:num>
  <w:num w:numId="16">
    <w:abstractNumId w:val="5"/>
  </w:num>
  <w:num w:numId="17">
    <w:abstractNumId w:val="11"/>
  </w:num>
  <w:num w:numId="18">
    <w:abstractNumId w:val="30"/>
  </w:num>
  <w:num w:numId="19">
    <w:abstractNumId w:val="19"/>
  </w:num>
  <w:num w:numId="20">
    <w:abstractNumId w:val="21"/>
  </w:num>
  <w:num w:numId="21">
    <w:abstractNumId w:val="3"/>
  </w:num>
  <w:num w:numId="22">
    <w:abstractNumId w:val="31"/>
  </w:num>
  <w:num w:numId="23">
    <w:abstractNumId w:val="32"/>
  </w:num>
  <w:num w:numId="24">
    <w:abstractNumId w:val="20"/>
  </w:num>
  <w:num w:numId="25">
    <w:abstractNumId w:val="2"/>
  </w:num>
  <w:num w:numId="26">
    <w:abstractNumId w:val="9"/>
  </w:num>
  <w:num w:numId="27">
    <w:abstractNumId w:val="7"/>
  </w:num>
  <w:num w:numId="28">
    <w:abstractNumId w:val="14"/>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 w:ilvl="0">
        <w:start w:val="1"/>
        <w:numFmt w:val="decimal"/>
        <w:lvlText w:val="%1."/>
        <w:lvlJc w:val="left"/>
        <w:pPr>
          <w:ind w:left="720" w:hanging="360"/>
        </w:pPr>
        <w:rPr>
          <w:rFonts w:hint="default"/>
          <w:b/>
          <w:i w:val="0"/>
        </w:rPr>
      </w:lvl>
    </w:lvlOverride>
    <w:lvlOverride w:ilvl="1">
      <w:lvl w:ilvl="1">
        <w:start w:val="1"/>
        <w:numFmt w:val="decimal"/>
        <w:lvlText w:val="3.%2."/>
        <w:lvlJc w:val="left"/>
        <w:pPr>
          <w:ind w:left="1080" w:hanging="720"/>
        </w:pPr>
        <w:rPr>
          <w:rFonts w:hint="default"/>
        </w:rPr>
      </w:lvl>
    </w:lvlOverride>
    <w:lvlOverride w:ilvl="2">
      <w:lvl w:ilvl="2">
        <w:start w:val="1"/>
        <w:numFmt w:val="decimal"/>
        <w:isLgl/>
        <w:lvlText w:val="%1.%2.%3."/>
        <w:lvlJc w:val="left"/>
        <w:pPr>
          <w:ind w:left="1440" w:hanging="108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2160" w:hanging="180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520" w:hanging="2160"/>
        </w:pPr>
        <w:rPr>
          <w:rFonts w:hint="default"/>
        </w:rPr>
      </w:lvl>
    </w:lvlOverride>
    <w:lvlOverride w:ilvl="8">
      <w:lvl w:ilvl="8">
        <w:start w:val="1"/>
        <w:numFmt w:val="decimal"/>
        <w:isLgl/>
        <w:lvlText w:val="%1.%2.%3.%4.%5.%6.%7.%8.%9."/>
        <w:lvlJc w:val="left"/>
        <w:pPr>
          <w:ind w:left="2880" w:hanging="2520"/>
        </w:pPr>
        <w:rPr>
          <w:rFonts w:hint="default"/>
        </w:rPr>
      </w:lvl>
    </w:lvlOverride>
  </w:num>
  <w:num w:numId="34">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16"/>
  </w:num>
  <w:num w:numId="36">
    <w:abstractNumId w:val="4"/>
  </w:num>
  <w:num w:numId="37">
    <w:abstractNumId w:val="35"/>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7D5402A-B156-4C07-84B2-31ED25D6DDDF"/>
    <w:docVar w:name="LW_COVERPAGE_TYPE" w:val="1"/>
    <w:docVar w:name="LW_CROSSREFERENCE" w:val="&lt;UNUSED&gt;"/>
    <w:docVar w:name="LW_DocType" w:val="NORMAL"/>
    <w:docVar w:name="LW_EMISSION" w:val="7.4.2022"/>
    <w:docVar w:name="LW_EMISSION_ISODATE" w:val="2022-04-07"/>
    <w:docVar w:name="LW_EMISSION_LOCATION" w:val="BRX"/>
    <w:docVar w:name="LW_EMISSION_PREFIX" w:val="Brüssel,"/>
    <w:docVar w:name="LW_EMISSION_SUFFIX" w:val=" "/>
    <w:docVar w:name="LW_ID_DOCTYPE_NONLW" w:val="CP-006"/>
    <w:docVar w:name="LW_LANGUE" w:val="ET"/>
    <w:docVar w:name="LW_LEVEL_OF_SENSITIVITY" w:val="Standard treatment"/>
    <w:docVar w:name="LW_NOM.INST" w:val="EUROOPA KOMISJON"/>
    <w:docVar w:name="LW_NOM.INST_JOINTDOC" w:val="&lt;EMPTY&gt;"/>
    <w:docVar w:name="LW_PART_NBR" w:val="1"/>
    <w:docVar w:name="LW_PART_NBR_TOTAL" w:val="1"/>
    <w:docVar w:name="LW_REF.INST.NEW" w:val="COM"/>
    <w:docVar w:name="LW_REF.INST.NEW_ADOPTED" w:val="final"/>
    <w:docVar w:name="LW_REF.INST.NEW_TEXT" w:val="(2022) 1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Määruse (EMÜ, Euratom) nr 1553/89 artikli 12 kohane üheksas aruanne käibemaksukohustuslasena registreerimise, käibemaksu kogumis- ja kontrollimenetluste kohta"/>
    <w:docVar w:name="LW_TYPE.DOC.CP" w:val="KOMISJONI ARUANNE EUROOPA PARLAMENDILE JA NÕUKOGULE"/>
    <w:docVar w:name="LwApiVersions" w:val="LW4CoDe 1.23.2.0; LW 8.0, Build 20211117"/>
  </w:docVars>
  <w:rsids>
    <w:rsidRoot w:val="00B92285"/>
    <w:rsid w:val="0001287C"/>
    <w:rsid w:val="000175E8"/>
    <w:rsid w:val="00031019"/>
    <w:rsid w:val="00065410"/>
    <w:rsid w:val="00076EF4"/>
    <w:rsid w:val="00083734"/>
    <w:rsid w:val="000A4F4C"/>
    <w:rsid w:val="000A5F9F"/>
    <w:rsid w:val="000A7146"/>
    <w:rsid w:val="000B5CEE"/>
    <w:rsid w:val="000D13AA"/>
    <w:rsid w:val="000D7049"/>
    <w:rsid w:val="000E431D"/>
    <w:rsid w:val="000E6FBA"/>
    <w:rsid w:val="000F44BF"/>
    <w:rsid w:val="001138E2"/>
    <w:rsid w:val="0012059D"/>
    <w:rsid w:val="00133332"/>
    <w:rsid w:val="00135C2F"/>
    <w:rsid w:val="00155550"/>
    <w:rsid w:val="001653E0"/>
    <w:rsid w:val="0017235B"/>
    <w:rsid w:val="00172F6F"/>
    <w:rsid w:val="001B03AF"/>
    <w:rsid w:val="001C71DA"/>
    <w:rsid w:val="001E531F"/>
    <w:rsid w:val="001F219C"/>
    <w:rsid w:val="001F22C5"/>
    <w:rsid w:val="00205D1C"/>
    <w:rsid w:val="0021682D"/>
    <w:rsid w:val="00221F20"/>
    <w:rsid w:val="002308AE"/>
    <w:rsid w:val="0023188C"/>
    <w:rsid w:val="002322EB"/>
    <w:rsid w:val="0023401D"/>
    <w:rsid w:val="00275A8D"/>
    <w:rsid w:val="00284D58"/>
    <w:rsid w:val="00292981"/>
    <w:rsid w:val="002A2E8F"/>
    <w:rsid w:val="002E0E82"/>
    <w:rsid w:val="002E2607"/>
    <w:rsid w:val="002F169E"/>
    <w:rsid w:val="00302ECB"/>
    <w:rsid w:val="0032421A"/>
    <w:rsid w:val="003261A4"/>
    <w:rsid w:val="003353FB"/>
    <w:rsid w:val="00351F81"/>
    <w:rsid w:val="00357732"/>
    <w:rsid w:val="003661BB"/>
    <w:rsid w:val="00382D5E"/>
    <w:rsid w:val="00383BFF"/>
    <w:rsid w:val="00391DC0"/>
    <w:rsid w:val="00394A78"/>
    <w:rsid w:val="00394D60"/>
    <w:rsid w:val="003F3146"/>
    <w:rsid w:val="003F5456"/>
    <w:rsid w:val="003F564B"/>
    <w:rsid w:val="004112B6"/>
    <w:rsid w:val="00420570"/>
    <w:rsid w:val="00421037"/>
    <w:rsid w:val="00426BDF"/>
    <w:rsid w:val="00436860"/>
    <w:rsid w:val="00436E2F"/>
    <w:rsid w:val="00441909"/>
    <w:rsid w:val="00445CA1"/>
    <w:rsid w:val="00451A54"/>
    <w:rsid w:val="00467CAD"/>
    <w:rsid w:val="00467FAC"/>
    <w:rsid w:val="004705A6"/>
    <w:rsid w:val="00474572"/>
    <w:rsid w:val="00494027"/>
    <w:rsid w:val="004A2665"/>
    <w:rsid w:val="005070BB"/>
    <w:rsid w:val="0052179E"/>
    <w:rsid w:val="00527446"/>
    <w:rsid w:val="00543B56"/>
    <w:rsid w:val="005526D2"/>
    <w:rsid w:val="00564215"/>
    <w:rsid w:val="00566119"/>
    <w:rsid w:val="00590AC2"/>
    <w:rsid w:val="00590B29"/>
    <w:rsid w:val="005929D5"/>
    <w:rsid w:val="005A11D9"/>
    <w:rsid w:val="005B15B7"/>
    <w:rsid w:val="005B3404"/>
    <w:rsid w:val="005C4F4C"/>
    <w:rsid w:val="005D6F8E"/>
    <w:rsid w:val="005F052C"/>
    <w:rsid w:val="005F4D63"/>
    <w:rsid w:val="005F56C0"/>
    <w:rsid w:val="0060323C"/>
    <w:rsid w:val="0060442A"/>
    <w:rsid w:val="00626AC7"/>
    <w:rsid w:val="00627958"/>
    <w:rsid w:val="006317C8"/>
    <w:rsid w:val="00633D44"/>
    <w:rsid w:val="006628FB"/>
    <w:rsid w:val="00671CFF"/>
    <w:rsid w:val="00673C6A"/>
    <w:rsid w:val="00683ED4"/>
    <w:rsid w:val="00684520"/>
    <w:rsid w:val="006A7807"/>
    <w:rsid w:val="006C137A"/>
    <w:rsid w:val="006C58FF"/>
    <w:rsid w:val="006D0193"/>
    <w:rsid w:val="006E2BEC"/>
    <w:rsid w:val="0070162C"/>
    <w:rsid w:val="00712E11"/>
    <w:rsid w:val="007221D3"/>
    <w:rsid w:val="00746D21"/>
    <w:rsid w:val="00764485"/>
    <w:rsid w:val="007661F3"/>
    <w:rsid w:val="00783262"/>
    <w:rsid w:val="007C5FA0"/>
    <w:rsid w:val="007C74C6"/>
    <w:rsid w:val="007D27FE"/>
    <w:rsid w:val="007D54BD"/>
    <w:rsid w:val="007E6456"/>
    <w:rsid w:val="007F560C"/>
    <w:rsid w:val="00810379"/>
    <w:rsid w:val="00831E0D"/>
    <w:rsid w:val="00837467"/>
    <w:rsid w:val="00840899"/>
    <w:rsid w:val="00882B22"/>
    <w:rsid w:val="008A2E1E"/>
    <w:rsid w:val="008A3435"/>
    <w:rsid w:val="008B43BD"/>
    <w:rsid w:val="008C277E"/>
    <w:rsid w:val="008D08E4"/>
    <w:rsid w:val="008D0DFC"/>
    <w:rsid w:val="008D242B"/>
    <w:rsid w:val="008E0F12"/>
    <w:rsid w:val="008E53F6"/>
    <w:rsid w:val="008F09B2"/>
    <w:rsid w:val="00903D74"/>
    <w:rsid w:val="00912D46"/>
    <w:rsid w:val="009306D5"/>
    <w:rsid w:val="009370F5"/>
    <w:rsid w:val="00955659"/>
    <w:rsid w:val="00955890"/>
    <w:rsid w:val="009C5C74"/>
    <w:rsid w:val="009D1E92"/>
    <w:rsid w:val="009D2B3C"/>
    <w:rsid w:val="009D4744"/>
    <w:rsid w:val="009D6C93"/>
    <w:rsid w:val="009F2AA2"/>
    <w:rsid w:val="009F6CEA"/>
    <w:rsid w:val="00A07241"/>
    <w:rsid w:val="00A15024"/>
    <w:rsid w:val="00A26663"/>
    <w:rsid w:val="00A86ACC"/>
    <w:rsid w:val="00AA0231"/>
    <w:rsid w:val="00AC0604"/>
    <w:rsid w:val="00AE07C9"/>
    <w:rsid w:val="00AF428F"/>
    <w:rsid w:val="00B04C9D"/>
    <w:rsid w:val="00B142A9"/>
    <w:rsid w:val="00B1461C"/>
    <w:rsid w:val="00B23028"/>
    <w:rsid w:val="00B30A68"/>
    <w:rsid w:val="00B43E87"/>
    <w:rsid w:val="00B476FA"/>
    <w:rsid w:val="00B538AC"/>
    <w:rsid w:val="00B6600F"/>
    <w:rsid w:val="00B81846"/>
    <w:rsid w:val="00B92285"/>
    <w:rsid w:val="00BA2A02"/>
    <w:rsid w:val="00BC2EA7"/>
    <w:rsid w:val="00BD31D3"/>
    <w:rsid w:val="00BE1F6B"/>
    <w:rsid w:val="00BE327F"/>
    <w:rsid w:val="00BE74F6"/>
    <w:rsid w:val="00C014B2"/>
    <w:rsid w:val="00C07B3C"/>
    <w:rsid w:val="00C10D0F"/>
    <w:rsid w:val="00C277CA"/>
    <w:rsid w:val="00C34499"/>
    <w:rsid w:val="00C4402D"/>
    <w:rsid w:val="00C540C9"/>
    <w:rsid w:val="00C86B03"/>
    <w:rsid w:val="00C9280E"/>
    <w:rsid w:val="00C945FF"/>
    <w:rsid w:val="00C95C1D"/>
    <w:rsid w:val="00CA1673"/>
    <w:rsid w:val="00CD065F"/>
    <w:rsid w:val="00CE5403"/>
    <w:rsid w:val="00D02138"/>
    <w:rsid w:val="00D21000"/>
    <w:rsid w:val="00D2626C"/>
    <w:rsid w:val="00D26E40"/>
    <w:rsid w:val="00D30A80"/>
    <w:rsid w:val="00D3781D"/>
    <w:rsid w:val="00D57F30"/>
    <w:rsid w:val="00D61189"/>
    <w:rsid w:val="00DA331A"/>
    <w:rsid w:val="00DA4F5A"/>
    <w:rsid w:val="00DA7AB3"/>
    <w:rsid w:val="00DD1A1F"/>
    <w:rsid w:val="00DE03AF"/>
    <w:rsid w:val="00DE54FD"/>
    <w:rsid w:val="00E22FF4"/>
    <w:rsid w:val="00E31E3A"/>
    <w:rsid w:val="00E4409F"/>
    <w:rsid w:val="00E67555"/>
    <w:rsid w:val="00E767B3"/>
    <w:rsid w:val="00E82EA7"/>
    <w:rsid w:val="00E85267"/>
    <w:rsid w:val="00E87E16"/>
    <w:rsid w:val="00E905E6"/>
    <w:rsid w:val="00E9339C"/>
    <w:rsid w:val="00EB2654"/>
    <w:rsid w:val="00EE2EEA"/>
    <w:rsid w:val="00EF254A"/>
    <w:rsid w:val="00EF59B5"/>
    <w:rsid w:val="00F05D9A"/>
    <w:rsid w:val="00F21762"/>
    <w:rsid w:val="00F37A07"/>
    <w:rsid w:val="00F457CF"/>
    <w:rsid w:val="00F45D15"/>
    <w:rsid w:val="00F468CE"/>
    <w:rsid w:val="00F54C21"/>
    <w:rsid w:val="00F55953"/>
    <w:rsid w:val="00F63D2F"/>
    <w:rsid w:val="00F65E82"/>
    <w:rsid w:val="00F67FAA"/>
    <w:rsid w:val="00F716D7"/>
    <w:rsid w:val="00F93C25"/>
    <w:rsid w:val="00FD4C3B"/>
    <w:rsid w:val="00FD59DD"/>
    <w:rsid w:val="00FE0EC3"/>
    <w:rsid w:val="00FE5E0C"/>
    <w:rsid w:val="1570E363"/>
    <w:rsid w:val="17DB1649"/>
    <w:rsid w:val="23B10EA3"/>
    <w:rsid w:val="2DAC0ABD"/>
    <w:rsid w:val="32AB80BE"/>
    <w:rsid w:val="3A0B0B15"/>
    <w:rsid w:val="4DFB9CE0"/>
    <w:rsid w:val="6263E8B5"/>
    <w:rsid w:val="6851F32F"/>
    <w:rsid w:val="6E41923B"/>
    <w:rsid w:val="7925FA3B"/>
    <w:rsid w:val="7EFFE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BD0055F"/>
  <w15:chartTrackingRefBased/>
  <w15:docId w15:val="{0352BDF9-FF6B-431E-BF16-85631570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9"/>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C"/>
    <w:pPr>
      <w:spacing w:before="120" w:after="120"/>
    </w:pPr>
    <w:rPr>
      <w:rFonts w:ascii="Times New Roman" w:hAnsi="Times New Roman"/>
    </w:rPr>
  </w:style>
  <w:style w:type="paragraph" w:styleId="Heading1">
    <w:name w:val="heading 1"/>
    <w:basedOn w:val="Heading2"/>
    <w:next w:val="Text1"/>
    <w:link w:val="Heading1Char"/>
    <w:uiPriority w:val="9"/>
    <w:qFormat/>
    <w:rsid w:val="004705A6"/>
    <w:pPr>
      <w:spacing w:before="240"/>
      <w:outlineLvl w:val="0"/>
    </w:pPr>
  </w:style>
  <w:style w:type="paragraph" w:styleId="Heading2">
    <w:name w:val="heading 2"/>
    <w:basedOn w:val="Heading3"/>
    <w:next w:val="Text2"/>
    <w:link w:val="Heading2Char"/>
    <w:uiPriority w:val="9"/>
    <w:qFormat/>
    <w:rsid w:val="00BA2A02"/>
    <w:pPr>
      <w:keepNext/>
      <w:outlineLvl w:val="1"/>
    </w:pPr>
    <w:rPr>
      <w:rFonts w:ascii="Times New Roman" w:hAnsi="Times New Roman"/>
    </w:rPr>
  </w:style>
  <w:style w:type="paragraph" w:styleId="Heading3">
    <w:name w:val="heading 3"/>
    <w:basedOn w:val="Normal"/>
    <w:next w:val="Text3"/>
    <w:link w:val="Heading3Char"/>
    <w:uiPriority w:val="9"/>
    <w:qFormat/>
    <w:rsid w:val="004705A6"/>
    <w:pPr>
      <w:outlineLvl w:val="2"/>
    </w:pPr>
    <w:rPr>
      <w:rFonts w:ascii="Verdana" w:eastAsia="Times New Roman" w:hAnsi="Verdana" w:cs="Times New Roman"/>
      <w:b/>
      <w:i/>
      <w:sz w:val="20"/>
      <w:szCs w:val="20"/>
    </w:rPr>
  </w:style>
  <w:style w:type="paragraph" w:styleId="Heading4">
    <w:name w:val="heading 4"/>
    <w:basedOn w:val="Normal"/>
    <w:next w:val="Text4"/>
    <w:link w:val="Heading4Char"/>
    <w:uiPriority w:val="9"/>
    <w:qFormat/>
    <w:rsid w:val="005B15B7"/>
    <w:pPr>
      <w:keepNext/>
      <w:numPr>
        <w:ilvl w:val="3"/>
        <w:numId w:val="3"/>
      </w:numPr>
      <w:outlineLvl w:val="3"/>
    </w:pPr>
    <w:rPr>
      <w:rFonts w:eastAsia="Times New Roman" w:cs="Times New Roman"/>
      <w:sz w:val="24"/>
      <w:szCs w:val="20"/>
    </w:rPr>
  </w:style>
  <w:style w:type="paragraph" w:styleId="Heading5">
    <w:name w:val="heading 5"/>
    <w:basedOn w:val="Normal"/>
    <w:next w:val="Normal"/>
    <w:link w:val="Heading5Char"/>
    <w:uiPriority w:val="9"/>
    <w:qFormat/>
    <w:rsid w:val="005B15B7"/>
    <w:pPr>
      <w:tabs>
        <w:tab w:val="num" w:pos="0"/>
      </w:tabs>
      <w:spacing w:before="240" w:after="60"/>
      <w:outlineLvl w:val="4"/>
    </w:pPr>
    <w:rPr>
      <w:rFonts w:ascii="Arial" w:eastAsia="Times New Roman" w:hAnsi="Arial" w:cs="Times New Roman"/>
      <w:szCs w:val="20"/>
    </w:rPr>
  </w:style>
  <w:style w:type="paragraph" w:styleId="Heading6">
    <w:name w:val="heading 6"/>
    <w:basedOn w:val="Normal"/>
    <w:next w:val="Normal"/>
    <w:link w:val="Heading6Char"/>
    <w:rsid w:val="005B15B7"/>
    <w:pPr>
      <w:tabs>
        <w:tab w:val="num" w:pos="0"/>
      </w:tabs>
      <w:spacing w:before="240" w:after="60"/>
      <w:outlineLvl w:val="5"/>
    </w:pPr>
    <w:rPr>
      <w:rFonts w:ascii="Arial" w:eastAsia="Times New Roman" w:hAnsi="Arial" w:cs="Times New Roman"/>
      <w:i/>
      <w:szCs w:val="20"/>
    </w:rPr>
  </w:style>
  <w:style w:type="paragraph" w:styleId="Heading7">
    <w:name w:val="heading 7"/>
    <w:basedOn w:val="Normal"/>
    <w:next w:val="Normal"/>
    <w:link w:val="Heading7Char"/>
    <w:rsid w:val="005B15B7"/>
    <w:pPr>
      <w:tabs>
        <w:tab w:val="num" w:pos="0"/>
      </w:tabs>
      <w:spacing w:before="240" w:after="60"/>
      <w:outlineLvl w:val="6"/>
    </w:pPr>
    <w:rPr>
      <w:rFonts w:ascii="Arial" w:eastAsia="Times New Roman" w:hAnsi="Arial" w:cs="Times New Roman"/>
      <w:sz w:val="20"/>
      <w:szCs w:val="20"/>
    </w:rPr>
  </w:style>
  <w:style w:type="paragraph" w:styleId="Heading8">
    <w:name w:val="heading 8"/>
    <w:basedOn w:val="Normal"/>
    <w:next w:val="Normal"/>
    <w:link w:val="Heading8Char"/>
    <w:rsid w:val="005B15B7"/>
    <w:pPr>
      <w:tabs>
        <w:tab w:val="num" w:pos="0"/>
      </w:tabs>
      <w:spacing w:before="240" w:after="60"/>
      <w:outlineLvl w:val="7"/>
    </w:pPr>
    <w:rPr>
      <w:rFonts w:ascii="Arial" w:eastAsia="Times New Roman" w:hAnsi="Arial" w:cs="Times New Roman"/>
      <w:i/>
      <w:sz w:val="20"/>
      <w:szCs w:val="20"/>
    </w:rPr>
  </w:style>
  <w:style w:type="paragraph" w:styleId="Heading9">
    <w:name w:val="heading 9"/>
    <w:basedOn w:val="Normal"/>
    <w:next w:val="Normal"/>
    <w:link w:val="Heading9Char"/>
    <w:rsid w:val="005B15B7"/>
    <w:pPr>
      <w:tabs>
        <w:tab w:val="num" w:pos="0"/>
      </w:tabs>
      <w:spacing w:before="240" w:after="60"/>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B92285"/>
    <w:rPr>
      <w:color w:val="0000FF"/>
      <w:shd w:val="clear" w:color="auto" w:fill="auto"/>
    </w:rPr>
  </w:style>
  <w:style w:type="paragraph" w:customStyle="1" w:styleId="Pagedecouverture">
    <w:name w:val="Page de couverture"/>
    <w:basedOn w:val="Normal"/>
    <w:next w:val="Normal"/>
    <w:rsid w:val="00B92285"/>
    <w:pPr>
      <w:spacing w:after="0" w:line="240" w:lineRule="auto"/>
      <w:jc w:val="both"/>
    </w:pPr>
    <w:rPr>
      <w:rFonts w:cs="Times New Roman"/>
      <w:sz w:val="24"/>
    </w:rPr>
  </w:style>
  <w:style w:type="paragraph" w:styleId="Header">
    <w:name w:val="header"/>
    <w:basedOn w:val="Normal"/>
    <w:link w:val="HeaderChar"/>
    <w:uiPriority w:val="99"/>
    <w:unhideWhenUsed/>
    <w:rsid w:val="00B9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285"/>
  </w:style>
  <w:style w:type="paragraph" w:styleId="Footer">
    <w:name w:val="footer"/>
    <w:basedOn w:val="Normal"/>
    <w:link w:val="FooterChar"/>
    <w:unhideWhenUsed/>
    <w:rsid w:val="00B92285"/>
    <w:pPr>
      <w:tabs>
        <w:tab w:val="center" w:pos="4513"/>
        <w:tab w:val="right" w:pos="9026"/>
      </w:tabs>
      <w:spacing w:after="0" w:line="240" w:lineRule="auto"/>
    </w:pPr>
  </w:style>
  <w:style w:type="character" w:customStyle="1" w:styleId="FooterChar">
    <w:name w:val="Footer Char"/>
    <w:basedOn w:val="DefaultParagraphFont"/>
    <w:link w:val="Footer"/>
    <w:qFormat/>
    <w:rsid w:val="00B92285"/>
  </w:style>
  <w:style w:type="paragraph" w:customStyle="1" w:styleId="FooterCoverPage">
    <w:name w:val="Footer Cover Page"/>
    <w:basedOn w:val="Normal"/>
    <w:link w:val="FooterCoverPageChar"/>
    <w:rsid w:val="00B92285"/>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sid w:val="00B92285"/>
    <w:rPr>
      <w:rFonts w:ascii="Times New Roman" w:hAnsi="Times New Roman"/>
      <w:sz w:val="24"/>
    </w:rPr>
  </w:style>
  <w:style w:type="paragraph" w:customStyle="1" w:styleId="FooterSensitivity">
    <w:name w:val="Footer Sensitivity"/>
    <w:basedOn w:val="Normal"/>
    <w:link w:val="FooterSensitivityChar"/>
    <w:rsid w:val="00B9228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sid w:val="00B92285"/>
    <w:rPr>
      <w:rFonts w:ascii="Times New Roman" w:hAnsi="Times New Roman"/>
      <w:b/>
      <w:sz w:val="32"/>
    </w:rPr>
  </w:style>
  <w:style w:type="paragraph" w:customStyle="1" w:styleId="HeaderCoverPage">
    <w:name w:val="Header Cover Page"/>
    <w:basedOn w:val="Normal"/>
    <w:link w:val="HeaderCoverPageChar"/>
    <w:rsid w:val="00B92285"/>
    <w:pPr>
      <w:tabs>
        <w:tab w:val="center" w:pos="4535"/>
        <w:tab w:val="right" w:pos="9071"/>
      </w:tabs>
      <w:spacing w:before="0" w:line="240" w:lineRule="auto"/>
      <w:jc w:val="both"/>
    </w:pPr>
    <w:rPr>
      <w:sz w:val="24"/>
    </w:rPr>
  </w:style>
  <w:style w:type="character" w:customStyle="1" w:styleId="HeaderCoverPageChar">
    <w:name w:val="Header Cover Page Char"/>
    <w:basedOn w:val="DefaultParagraphFont"/>
    <w:link w:val="HeaderCoverPage"/>
    <w:rsid w:val="00B92285"/>
    <w:rPr>
      <w:rFonts w:ascii="Times New Roman" w:hAnsi="Times New Roman"/>
      <w:sz w:val="24"/>
    </w:rPr>
  </w:style>
  <w:style w:type="paragraph" w:customStyle="1" w:styleId="HeaderSensitivity">
    <w:name w:val="Header Sensitivity"/>
    <w:basedOn w:val="Normal"/>
    <w:link w:val="HeaderSensitivityChar"/>
    <w:rsid w:val="00B92285"/>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rPr>
  </w:style>
  <w:style w:type="character" w:customStyle="1" w:styleId="HeaderSensitivityChar">
    <w:name w:val="Header Sensitivity Char"/>
    <w:basedOn w:val="DefaultParagraphFont"/>
    <w:link w:val="HeaderSensitivity"/>
    <w:rsid w:val="00B92285"/>
    <w:rPr>
      <w:rFonts w:ascii="Times New Roman" w:hAnsi="Times New Roman"/>
      <w:b/>
      <w:sz w:val="32"/>
    </w:rPr>
  </w:style>
  <w:style w:type="paragraph" w:customStyle="1" w:styleId="HeaderSensitivityRight">
    <w:name w:val="Header Sensitivity Right"/>
    <w:basedOn w:val="Normal"/>
    <w:link w:val="HeaderSensitivityRightChar"/>
    <w:rsid w:val="00B92285"/>
    <w:pPr>
      <w:spacing w:before="0" w:line="240" w:lineRule="auto"/>
      <w:jc w:val="right"/>
    </w:pPr>
    <w:rPr>
      <w:sz w:val="28"/>
    </w:rPr>
  </w:style>
  <w:style w:type="character" w:customStyle="1" w:styleId="HeaderSensitivityRightChar">
    <w:name w:val="Header Sensitivity Right Char"/>
    <w:basedOn w:val="DefaultParagraphFont"/>
    <w:link w:val="HeaderSensitivityRight"/>
    <w:rsid w:val="00B92285"/>
    <w:rPr>
      <w:rFonts w:ascii="Times New Roman" w:hAnsi="Times New Roman"/>
      <w:sz w:val="28"/>
    </w:rPr>
  </w:style>
  <w:style w:type="character" w:styleId="Hyperlink">
    <w:name w:val="Hyperlink"/>
    <w:uiPriority w:val="99"/>
    <w:rsid w:val="005B15B7"/>
    <w:rPr>
      <w:color w:val="0000FF"/>
      <w:u w:val="single"/>
    </w:rPr>
  </w:style>
  <w:style w:type="paragraph" w:customStyle="1" w:styleId="DocumentSubtitle">
    <w:name w:val="Document Subtitle"/>
    <w:basedOn w:val="Normal"/>
    <w:link w:val="DocumentSubtitleChar"/>
    <w:qFormat/>
    <w:rsid w:val="005B15B7"/>
    <w:pPr>
      <w:jc w:val="center"/>
    </w:pPr>
    <w:rPr>
      <w:rFonts w:ascii="Verdana" w:eastAsia="Times New Roman" w:hAnsi="Verdana" w:cs="Times New Roman"/>
      <w:sz w:val="32"/>
      <w:szCs w:val="36"/>
    </w:rPr>
  </w:style>
  <w:style w:type="character" w:customStyle="1" w:styleId="DocumentSubtitleChar">
    <w:name w:val="Document Subtitle Char"/>
    <w:link w:val="DocumentSubtitle"/>
    <w:rsid w:val="005B15B7"/>
    <w:rPr>
      <w:rFonts w:ascii="Verdana" w:eastAsia="Times New Roman" w:hAnsi="Verdana" w:cs="Times New Roman"/>
      <w:sz w:val="32"/>
      <w:szCs w:val="36"/>
    </w:rPr>
  </w:style>
  <w:style w:type="paragraph" w:customStyle="1" w:styleId="Body">
    <w:name w:val="Body"/>
    <w:basedOn w:val="Normal"/>
    <w:link w:val="BodyChar"/>
    <w:qFormat/>
    <w:rsid w:val="005B15B7"/>
    <w:rPr>
      <w:rFonts w:ascii="Verdana" w:eastAsia="Times New Roman" w:hAnsi="Verdana" w:cs="Times New Roman"/>
      <w:sz w:val="18"/>
      <w:szCs w:val="20"/>
    </w:rPr>
  </w:style>
  <w:style w:type="character" w:customStyle="1" w:styleId="BodyChar">
    <w:name w:val="Body Char"/>
    <w:link w:val="Body"/>
    <w:rsid w:val="005B15B7"/>
    <w:rPr>
      <w:rFonts w:ascii="Verdana" w:eastAsia="Times New Roman" w:hAnsi="Verdana" w:cs="Times New Roman"/>
      <w:sz w:val="18"/>
      <w:szCs w:val="20"/>
      <w:lang w:val="et-EE"/>
    </w:rPr>
  </w:style>
  <w:style w:type="paragraph" w:customStyle="1" w:styleId="HeadingBody">
    <w:name w:val="Heading Body"/>
    <w:basedOn w:val="Normal"/>
    <w:link w:val="HeadingBodyChar"/>
    <w:qFormat/>
    <w:rsid w:val="005B15B7"/>
    <w:rPr>
      <w:rFonts w:ascii="Verdana" w:eastAsia="Times New Roman" w:hAnsi="Verdana" w:cs="Times New Roman"/>
      <w:b/>
      <w:sz w:val="20"/>
      <w:szCs w:val="18"/>
    </w:rPr>
  </w:style>
  <w:style w:type="paragraph" w:customStyle="1" w:styleId="Titlepublication">
    <w:name w:val="Title publication"/>
    <w:basedOn w:val="Normal"/>
    <w:link w:val="TitlepublicationChar"/>
    <w:qFormat/>
    <w:rsid w:val="005B15B7"/>
    <w:pPr>
      <w:jc w:val="center"/>
    </w:pPr>
    <w:rPr>
      <w:rFonts w:ascii="Verdana" w:eastAsia="Times New Roman" w:hAnsi="Verdana" w:cs="Times New Roman"/>
      <w:b/>
      <w:color w:val="FF0000"/>
      <w:sz w:val="52"/>
      <w:szCs w:val="52"/>
    </w:rPr>
  </w:style>
  <w:style w:type="character" w:customStyle="1" w:styleId="HeadingBodyChar">
    <w:name w:val="Heading Body Char"/>
    <w:basedOn w:val="DefaultParagraphFont"/>
    <w:link w:val="HeadingBody"/>
    <w:rsid w:val="005B15B7"/>
    <w:rPr>
      <w:rFonts w:ascii="Verdana" w:eastAsia="Times New Roman" w:hAnsi="Verdana" w:cs="Times New Roman"/>
      <w:b/>
      <w:sz w:val="20"/>
      <w:szCs w:val="18"/>
    </w:rPr>
  </w:style>
  <w:style w:type="character" w:customStyle="1" w:styleId="TitlepublicationChar">
    <w:name w:val="Title publication Char"/>
    <w:basedOn w:val="DefaultParagraphFont"/>
    <w:link w:val="Titlepublication"/>
    <w:rsid w:val="005B15B7"/>
    <w:rPr>
      <w:rFonts w:ascii="Verdana" w:eastAsia="Times New Roman" w:hAnsi="Verdana" w:cs="Times New Roman"/>
      <w:b/>
      <w:color w:val="FF0000"/>
      <w:sz w:val="52"/>
      <w:szCs w:val="52"/>
    </w:rPr>
  </w:style>
  <w:style w:type="paragraph" w:styleId="CommentText">
    <w:name w:val="annotation text"/>
    <w:basedOn w:val="Normal"/>
    <w:link w:val="CommentTextChar1"/>
    <w:uiPriority w:val="99"/>
    <w:rsid w:val="005B15B7"/>
    <w:rPr>
      <w:rFonts w:eastAsia="Times New Roman" w:cs="Times New Roman"/>
      <w:sz w:val="20"/>
      <w:szCs w:val="20"/>
    </w:rPr>
  </w:style>
  <w:style w:type="character" w:customStyle="1" w:styleId="CommentTextChar">
    <w:name w:val="Comment Text Char"/>
    <w:basedOn w:val="DefaultParagraphFont"/>
    <w:uiPriority w:val="99"/>
    <w:rsid w:val="005B15B7"/>
    <w:rPr>
      <w:sz w:val="20"/>
      <w:szCs w:val="20"/>
    </w:rPr>
  </w:style>
  <w:style w:type="character" w:styleId="CommentReference">
    <w:name w:val="annotation reference"/>
    <w:uiPriority w:val="99"/>
    <w:semiHidden/>
    <w:unhideWhenUsed/>
    <w:rsid w:val="005B15B7"/>
    <w:rPr>
      <w:sz w:val="16"/>
      <w:szCs w:val="16"/>
    </w:rPr>
  </w:style>
  <w:style w:type="character" w:customStyle="1" w:styleId="CommentTextChar1">
    <w:name w:val="Comment Text Char1"/>
    <w:basedOn w:val="DefaultParagraphFont"/>
    <w:link w:val="CommentText"/>
    <w:uiPriority w:val="99"/>
    <w:rsid w:val="005B15B7"/>
    <w:rPr>
      <w:rFonts w:ascii="Times New Roman" w:eastAsia="Times New Roman" w:hAnsi="Times New Roman" w:cs="Times New Roman"/>
      <w:sz w:val="20"/>
      <w:szCs w:val="20"/>
      <w:lang w:val="et-EE"/>
    </w:rPr>
  </w:style>
  <w:style w:type="paragraph" w:styleId="BalloonText">
    <w:name w:val="Balloon Text"/>
    <w:basedOn w:val="Normal"/>
    <w:link w:val="BalloonTextChar"/>
    <w:uiPriority w:val="99"/>
    <w:semiHidden/>
    <w:unhideWhenUsed/>
    <w:rsid w:val="005B15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5B7"/>
    <w:rPr>
      <w:rFonts w:ascii="Segoe UI" w:hAnsi="Segoe UI" w:cs="Segoe UI"/>
      <w:sz w:val="18"/>
      <w:szCs w:val="18"/>
    </w:rPr>
  </w:style>
  <w:style w:type="character" w:customStyle="1" w:styleId="Heading1Char">
    <w:name w:val="Heading 1 Char"/>
    <w:basedOn w:val="DefaultParagraphFont"/>
    <w:link w:val="Heading1"/>
    <w:uiPriority w:val="9"/>
    <w:rsid w:val="004705A6"/>
    <w:rPr>
      <w:rFonts w:ascii="Verdana" w:eastAsia="Times New Roman" w:hAnsi="Verdana" w:cs="Times New Roman"/>
      <w:b/>
      <w:i/>
      <w:sz w:val="20"/>
      <w:szCs w:val="20"/>
    </w:rPr>
  </w:style>
  <w:style w:type="character" w:customStyle="1" w:styleId="Heading2Char">
    <w:name w:val="Heading 2 Char"/>
    <w:basedOn w:val="DefaultParagraphFont"/>
    <w:link w:val="Heading2"/>
    <w:uiPriority w:val="9"/>
    <w:rsid w:val="00BA2A02"/>
    <w:rPr>
      <w:rFonts w:ascii="Times New Roman" w:eastAsia="Times New Roman" w:hAnsi="Times New Roman" w:cs="Times New Roman"/>
      <w:b/>
      <w:i/>
      <w:sz w:val="20"/>
      <w:szCs w:val="20"/>
    </w:rPr>
  </w:style>
  <w:style w:type="character" w:customStyle="1" w:styleId="Heading3Char">
    <w:name w:val="Heading 3 Char"/>
    <w:basedOn w:val="DefaultParagraphFont"/>
    <w:link w:val="Heading3"/>
    <w:uiPriority w:val="9"/>
    <w:rsid w:val="004705A6"/>
    <w:rPr>
      <w:rFonts w:ascii="Verdana" w:eastAsia="Times New Roman" w:hAnsi="Verdana" w:cs="Times New Roman"/>
      <w:b/>
      <w:i/>
      <w:sz w:val="20"/>
      <w:szCs w:val="20"/>
    </w:rPr>
  </w:style>
  <w:style w:type="character" w:customStyle="1" w:styleId="Heading4Char">
    <w:name w:val="Heading 4 Char"/>
    <w:basedOn w:val="DefaultParagraphFont"/>
    <w:link w:val="Heading4"/>
    <w:uiPriority w:val="9"/>
    <w:rsid w:val="005B15B7"/>
    <w:rPr>
      <w:rFonts w:ascii="Times New Roman" w:eastAsia="Times New Roman" w:hAnsi="Times New Roman" w:cs="Times New Roman"/>
      <w:sz w:val="24"/>
      <w:szCs w:val="20"/>
      <w:lang w:val="et-EE"/>
    </w:rPr>
  </w:style>
  <w:style w:type="character" w:customStyle="1" w:styleId="Heading5Char">
    <w:name w:val="Heading 5 Char"/>
    <w:basedOn w:val="DefaultParagraphFont"/>
    <w:link w:val="Heading5"/>
    <w:uiPriority w:val="9"/>
    <w:rsid w:val="005B15B7"/>
    <w:rPr>
      <w:rFonts w:ascii="Arial" w:eastAsia="Times New Roman" w:hAnsi="Arial" w:cs="Times New Roman"/>
      <w:szCs w:val="20"/>
      <w:lang w:val="et-EE"/>
    </w:rPr>
  </w:style>
  <w:style w:type="character" w:customStyle="1" w:styleId="Heading6Char">
    <w:name w:val="Heading 6 Char"/>
    <w:basedOn w:val="DefaultParagraphFont"/>
    <w:link w:val="Heading6"/>
    <w:rsid w:val="005B15B7"/>
    <w:rPr>
      <w:rFonts w:ascii="Arial" w:eastAsia="Times New Roman" w:hAnsi="Arial" w:cs="Times New Roman"/>
      <w:i/>
      <w:szCs w:val="20"/>
      <w:lang w:val="et-EE"/>
    </w:rPr>
  </w:style>
  <w:style w:type="character" w:customStyle="1" w:styleId="Heading7Char">
    <w:name w:val="Heading 7 Char"/>
    <w:basedOn w:val="DefaultParagraphFont"/>
    <w:link w:val="Heading7"/>
    <w:rsid w:val="005B15B7"/>
    <w:rPr>
      <w:rFonts w:ascii="Arial" w:eastAsia="Times New Roman" w:hAnsi="Arial" w:cs="Times New Roman"/>
      <w:sz w:val="20"/>
      <w:szCs w:val="20"/>
      <w:lang w:val="et-EE"/>
    </w:rPr>
  </w:style>
  <w:style w:type="character" w:customStyle="1" w:styleId="Heading8Char">
    <w:name w:val="Heading 8 Char"/>
    <w:basedOn w:val="DefaultParagraphFont"/>
    <w:link w:val="Heading8"/>
    <w:rsid w:val="005B15B7"/>
    <w:rPr>
      <w:rFonts w:ascii="Arial" w:eastAsia="Times New Roman" w:hAnsi="Arial" w:cs="Times New Roman"/>
      <w:i/>
      <w:sz w:val="20"/>
      <w:szCs w:val="20"/>
      <w:lang w:val="et-EE"/>
    </w:rPr>
  </w:style>
  <w:style w:type="character" w:customStyle="1" w:styleId="Heading9Char">
    <w:name w:val="Heading 9 Char"/>
    <w:basedOn w:val="DefaultParagraphFont"/>
    <w:link w:val="Heading9"/>
    <w:rsid w:val="005B15B7"/>
    <w:rPr>
      <w:rFonts w:ascii="Arial" w:eastAsia="Times New Roman" w:hAnsi="Arial" w:cs="Times New Roman"/>
      <w:i/>
      <w:sz w:val="18"/>
      <w:szCs w:val="20"/>
      <w:lang w:val="et-EE"/>
    </w:rPr>
  </w:style>
  <w:style w:type="paragraph" w:styleId="Caption">
    <w:name w:val="caption"/>
    <w:basedOn w:val="Normal"/>
    <w:next w:val="Normal"/>
    <w:link w:val="CaptionChar"/>
    <w:autoRedefine/>
    <w:uiPriority w:val="35"/>
    <w:unhideWhenUsed/>
    <w:qFormat/>
    <w:rsid w:val="00FE0EC3"/>
    <w:pPr>
      <w:keepNext/>
      <w:spacing w:after="0"/>
    </w:pPr>
    <w:rPr>
      <w:rFonts w:eastAsiaTheme="minorEastAsia" w:cs="Times New Roman"/>
      <w:b/>
      <w:bCs/>
      <w:noProof/>
      <w:sz w:val="20"/>
      <w:szCs w:val="20"/>
      <w:lang w:eastAsia="en-GB"/>
    </w:rPr>
  </w:style>
  <w:style w:type="paragraph" w:customStyle="1" w:styleId="Text1">
    <w:name w:val="Text 1"/>
    <w:basedOn w:val="Normal"/>
    <w:rsid w:val="005B15B7"/>
    <w:pPr>
      <w:ind w:left="482"/>
    </w:pPr>
    <w:rPr>
      <w:rFonts w:eastAsia="Times New Roman" w:cs="Times New Roman"/>
      <w:sz w:val="24"/>
      <w:szCs w:val="20"/>
    </w:rPr>
  </w:style>
  <w:style w:type="paragraph" w:customStyle="1" w:styleId="Text2">
    <w:name w:val="Text 2"/>
    <w:basedOn w:val="Normal"/>
    <w:rsid w:val="005B15B7"/>
    <w:pPr>
      <w:tabs>
        <w:tab w:val="left" w:pos="2302"/>
      </w:tabs>
      <w:ind w:left="1202"/>
    </w:pPr>
    <w:rPr>
      <w:rFonts w:eastAsia="Times New Roman" w:cs="Times New Roman"/>
      <w:sz w:val="24"/>
      <w:szCs w:val="20"/>
    </w:rPr>
  </w:style>
  <w:style w:type="paragraph" w:customStyle="1" w:styleId="Text3">
    <w:name w:val="Text 3"/>
    <w:basedOn w:val="Normal"/>
    <w:rsid w:val="005B15B7"/>
    <w:pPr>
      <w:tabs>
        <w:tab w:val="left" w:pos="2302"/>
      </w:tabs>
      <w:ind w:left="1202"/>
    </w:pPr>
    <w:rPr>
      <w:rFonts w:eastAsia="Times New Roman" w:cs="Times New Roman"/>
      <w:sz w:val="24"/>
      <w:szCs w:val="20"/>
    </w:rPr>
  </w:style>
  <w:style w:type="paragraph" w:customStyle="1" w:styleId="Text4">
    <w:name w:val="Text 4"/>
    <w:basedOn w:val="Normal"/>
    <w:rsid w:val="005B15B7"/>
    <w:pPr>
      <w:tabs>
        <w:tab w:val="left" w:pos="2302"/>
      </w:tabs>
      <w:ind w:left="1202"/>
    </w:pPr>
    <w:rPr>
      <w:rFonts w:eastAsia="Times New Roman" w:cs="Times New Roman"/>
      <w:sz w:val="24"/>
      <w:szCs w:val="20"/>
    </w:rPr>
  </w:style>
  <w:style w:type="paragraph" w:customStyle="1" w:styleId="Address">
    <w:name w:val="Address"/>
    <w:basedOn w:val="Normal"/>
    <w:rsid w:val="005B15B7"/>
    <w:pPr>
      <w:spacing w:after="0"/>
    </w:pPr>
    <w:rPr>
      <w:rFonts w:eastAsia="Times New Roman" w:cs="Times New Roman"/>
      <w:sz w:val="24"/>
      <w:szCs w:val="20"/>
    </w:rPr>
  </w:style>
  <w:style w:type="paragraph" w:customStyle="1" w:styleId="AddressTL">
    <w:name w:val="AddressTL"/>
    <w:basedOn w:val="Normal"/>
    <w:next w:val="Normal"/>
    <w:rsid w:val="005B15B7"/>
    <w:pPr>
      <w:spacing w:after="720"/>
    </w:pPr>
    <w:rPr>
      <w:rFonts w:eastAsia="Times New Roman" w:cs="Times New Roman"/>
      <w:sz w:val="24"/>
      <w:szCs w:val="20"/>
    </w:rPr>
  </w:style>
  <w:style w:type="paragraph" w:customStyle="1" w:styleId="AddressTR">
    <w:name w:val="AddressTR"/>
    <w:basedOn w:val="Normal"/>
    <w:next w:val="Normal"/>
    <w:rsid w:val="005B15B7"/>
    <w:pPr>
      <w:spacing w:after="720"/>
      <w:ind w:left="5103"/>
    </w:pPr>
    <w:rPr>
      <w:rFonts w:eastAsia="Times New Roman" w:cs="Times New Roman"/>
      <w:sz w:val="24"/>
      <w:szCs w:val="20"/>
    </w:rPr>
  </w:style>
  <w:style w:type="paragraph" w:styleId="BlockText">
    <w:name w:val="Block Text"/>
    <w:basedOn w:val="Normal"/>
    <w:rsid w:val="005B15B7"/>
    <w:pPr>
      <w:ind w:left="1440" w:right="1440"/>
    </w:pPr>
    <w:rPr>
      <w:rFonts w:eastAsia="Times New Roman" w:cs="Times New Roman"/>
      <w:sz w:val="24"/>
      <w:szCs w:val="20"/>
    </w:rPr>
  </w:style>
  <w:style w:type="paragraph" w:styleId="BodyText">
    <w:name w:val="Body Text"/>
    <w:basedOn w:val="Normal"/>
    <w:link w:val="BodyTextChar"/>
    <w:qFormat/>
    <w:rsid w:val="005B15B7"/>
    <w:rPr>
      <w:rFonts w:eastAsia="Times New Roman" w:cs="Times New Roman"/>
      <w:sz w:val="24"/>
      <w:szCs w:val="20"/>
    </w:rPr>
  </w:style>
  <w:style w:type="character" w:customStyle="1" w:styleId="BodyTextChar">
    <w:name w:val="Body Text Char"/>
    <w:basedOn w:val="DefaultParagraphFont"/>
    <w:link w:val="BodyText"/>
    <w:rsid w:val="005B15B7"/>
    <w:rPr>
      <w:rFonts w:ascii="Times New Roman" w:eastAsia="Times New Roman" w:hAnsi="Times New Roman" w:cs="Times New Roman"/>
      <w:sz w:val="24"/>
      <w:szCs w:val="20"/>
      <w:lang w:val="et-EE"/>
    </w:rPr>
  </w:style>
  <w:style w:type="paragraph" w:styleId="BodyText2">
    <w:name w:val="Body Text 2"/>
    <w:basedOn w:val="Normal"/>
    <w:link w:val="BodyText2Char"/>
    <w:rsid w:val="005B15B7"/>
    <w:pPr>
      <w:spacing w:line="480" w:lineRule="auto"/>
    </w:pPr>
    <w:rPr>
      <w:rFonts w:eastAsia="Times New Roman" w:cs="Times New Roman"/>
      <w:sz w:val="24"/>
      <w:szCs w:val="20"/>
    </w:rPr>
  </w:style>
  <w:style w:type="character" w:customStyle="1" w:styleId="BodyText2Char">
    <w:name w:val="Body Text 2 Char"/>
    <w:basedOn w:val="DefaultParagraphFont"/>
    <w:link w:val="BodyText2"/>
    <w:rsid w:val="005B15B7"/>
    <w:rPr>
      <w:rFonts w:ascii="Times New Roman" w:eastAsia="Times New Roman" w:hAnsi="Times New Roman" w:cs="Times New Roman"/>
      <w:sz w:val="24"/>
      <w:szCs w:val="20"/>
      <w:lang w:val="et-EE"/>
    </w:rPr>
  </w:style>
  <w:style w:type="paragraph" w:styleId="BodyText3">
    <w:name w:val="Body Text 3"/>
    <w:basedOn w:val="Normal"/>
    <w:link w:val="BodyText3Char"/>
    <w:rsid w:val="005B15B7"/>
    <w:rPr>
      <w:rFonts w:eastAsia="Times New Roman" w:cs="Times New Roman"/>
      <w:sz w:val="16"/>
      <w:szCs w:val="20"/>
    </w:rPr>
  </w:style>
  <w:style w:type="character" w:customStyle="1" w:styleId="BodyText3Char">
    <w:name w:val="Body Text 3 Char"/>
    <w:basedOn w:val="DefaultParagraphFont"/>
    <w:link w:val="BodyText3"/>
    <w:rsid w:val="005B15B7"/>
    <w:rPr>
      <w:rFonts w:ascii="Times New Roman" w:eastAsia="Times New Roman" w:hAnsi="Times New Roman" w:cs="Times New Roman"/>
      <w:sz w:val="16"/>
      <w:szCs w:val="20"/>
      <w:lang w:val="et-EE"/>
    </w:rPr>
  </w:style>
  <w:style w:type="paragraph" w:styleId="BodyTextFirstIndent">
    <w:name w:val="Body Text First Indent"/>
    <w:basedOn w:val="BodyText"/>
    <w:link w:val="BodyTextFirstIndentChar"/>
    <w:rsid w:val="005B15B7"/>
    <w:pPr>
      <w:ind w:firstLine="210"/>
    </w:pPr>
  </w:style>
  <w:style w:type="character" w:customStyle="1" w:styleId="BodyTextFirstIndentChar">
    <w:name w:val="Body Text First Indent Char"/>
    <w:basedOn w:val="BodyTextChar"/>
    <w:link w:val="BodyTextFirstIndent"/>
    <w:rsid w:val="005B15B7"/>
    <w:rPr>
      <w:rFonts w:ascii="Times New Roman" w:eastAsia="Times New Roman" w:hAnsi="Times New Roman" w:cs="Times New Roman"/>
      <w:sz w:val="24"/>
      <w:szCs w:val="20"/>
      <w:lang w:val="et-EE"/>
    </w:rPr>
  </w:style>
  <w:style w:type="paragraph" w:styleId="BodyTextIndent">
    <w:name w:val="Body Text Indent"/>
    <w:basedOn w:val="Normal"/>
    <w:link w:val="BodyTextIndentChar"/>
    <w:rsid w:val="005B15B7"/>
    <w:pPr>
      <w:ind w:left="283"/>
    </w:pPr>
    <w:rPr>
      <w:rFonts w:eastAsia="Times New Roman" w:cs="Times New Roman"/>
      <w:sz w:val="24"/>
      <w:szCs w:val="20"/>
    </w:rPr>
  </w:style>
  <w:style w:type="character" w:customStyle="1" w:styleId="BodyTextIndentChar">
    <w:name w:val="Body Text Indent Char"/>
    <w:basedOn w:val="DefaultParagraphFont"/>
    <w:link w:val="BodyTextIndent"/>
    <w:rsid w:val="005B15B7"/>
    <w:rPr>
      <w:rFonts w:ascii="Times New Roman" w:eastAsia="Times New Roman" w:hAnsi="Times New Roman" w:cs="Times New Roman"/>
      <w:sz w:val="24"/>
      <w:szCs w:val="20"/>
      <w:lang w:val="et-EE"/>
    </w:rPr>
  </w:style>
  <w:style w:type="paragraph" w:styleId="BodyTextFirstIndent2">
    <w:name w:val="Body Text First Indent 2"/>
    <w:basedOn w:val="BodyTextIndent"/>
    <w:link w:val="BodyTextFirstIndent2Char"/>
    <w:rsid w:val="005B15B7"/>
    <w:pPr>
      <w:ind w:firstLine="210"/>
    </w:pPr>
  </w:style>
  <w:style w:type="character" w:customStyle="1" w:styleId="BodyTextFirstIndent2Char">
    <w:name w:val="Body Text First Indent 2 Char"/>
    <w:basedOn w:val="BodyTextIndentChar"/>
    <w:link w:val="BodyTextFirstIndent2"/>
    <w:rsid w:val="005B15B7"/>
    <w:rPr>
      <w:rFonts w:ascii="Times New Roman" w:eastAsia="Times New Roman" w:hAnsi="Times New Roman" w:cs="Times New Roman"/>
      <w:sz w:val="24"/>
      <w:szCs w:val="20"/>
      <w:lang w:val="et-EE"/>
    </w:rPr>
  </w:style>
  <w:style w:type="paragraph" w:styleId="BodyTextIndent2">
    <w:name w:val="Body Text Indent 2"/>
    <w:basedOn w:val="Normal"/>
    <w:link w:val="BodyTextIndent2Char"/>
    <w:rsid w:val="005B15B7"/>
    <w:pPr>
      <w:spacing w:line="480" w:lineRule="auto"/>
      <w:ind w:left="283"/>
    </w:pPr>
    <w:rPr>
      <w:rFonts w:eastAsia="Times New Roman" w:cs="Times New Roman"/>
      <w:sz w:val="24"/>
      <w:szCs w:val="20"/>
    </w:rPr>
  </w:style>
  <w:style w:type="character" w:customStyle="1" w:styleId="BodyTextIndent2Char">
    <w:name w:val="Body Text Indent 2 Char"/>
    <w:basedOn w:val="DefaultParagraphFont"/>
    <w:link w:val="BodyTextIndent2"/>
    <w:rsid w:val="005B15B7"/>
    <w:rPr>
      <w:rFonts w:ascii="Times New Roman" w:eastAsia="Times New Roman" w:hAnsi="Times New Roman" w:cs="Times New Roman"/>
      <w:sz w:val="24"/>
      <w:szCs w:val="20"/>
      <w:lang w:val="et-EE"/>
    </w:rPr>
  </w:style>
  <w:style w:type="paragraph" w:styleId="BodyTextIndent3">
    <w:name w:val="Body Text Indent 3"/>
    <w:basedOn w:val="Normal"/>
    <w:link w:val="BodyTextIndent3Char"/>
    <w:rsid w:val="005B15B7"/>
    <w:pPr>
      <w:ind w:left="283"/>
    </w:pPr>
    <w:rPr>
      <w:rFonts w:eastAsia="Times New Roman" w:cs="Times New Roman"/>
      <w:sz w:val="16"/>
      <w:szCs w:val="20"/>
    </w:rPr>
  </w:style>
  <w:style w:type="character" w:customStyle="1" w:styleId="BodyTextIndent3Char">
    <w:name w:val="Body Text Indent 3 Char"/>
    <w:basedOn w:val="DefaultParagraphFont"/>
    <w:link w:val="BodyTextIndent3"/>
    <w:rsid w:val="005B15B7"/>
    <w:rPr>
      <w:rFonts w:ascii="Times New Roman" w:eastAsia="Times New Roman" w:hAnsi="Times New Roman" w:cs="Times New Roman"/>
      <w:sz w:val="16"/>
      <w:szCs w:val="20"/>
      <w:lang w:val="et-EE"/>
    </w:rPr>
  </w:style>
  <w:style w:type="paragraph" w:customStyle="1" w:styleId="ChapterTitle">
    <w:name w:val="ChapterTitle"/>
    <w:basedOn w:val="Normal"/>
    <w:next w:val="SectionTitle"/>
    <w:rsid w:val="005B15B7"/>
    <w:pPr>
      <w:keepNext/>
      <w:spacing w:after="480"/>
      <w:jc w:val="center"/>
    </w:pPr>
    <w:rPr>
      <w:rFonts w:eastAsia="Times New Roman" w:cs="Times New Roman"/>
      <w:b/>
      <w:sz w:val="32"/>
      <w:szCs w:val="20"/>
    </w:rPr>
  </w:style>
  <w:style w:type="paragraph" w:customStyle="1" w:styleId="SectionTitle">
    <w:name w:val="SectionTitle"/>
    <w:basedOn w:val="Normal"/>
    <w:next w:val="Heading1"/>
    <w:rsid w:val="005B15B7"/>
    <w:pPr>
      <w:keepNext/>
      <w:spacing w:after="480"/>
      <w:jc w:val="center"/>
    </w:pPr>
    <w:rPr>
      <w:rFonts w:eastAsia="Times New Roman" w:cs="Times New Roman"/>
      <w:b/>
      <w:smallCaps/>
      <w:sz w:val="28"/>
      <w:szCs w:val="20"/>
    </w:rPr>
  </w:style>
  <w:style w:type="paragraph" w:styleId="Closing">
    <w:name w:val="Closing"/>
    <w:basedOn w:val="Normal"/>
    <w:link w:val="ClosingChar"/>
    <w:rsid w:val="005B15B7"/>
    <w:pPr>
      <w:ind w:left="4252"/>
    </w:pPr>
    <w:rPr>
      <w:rFonts w:eastAsia="Times New Roman" w:cs="Times New Roman"/>
      <w:sz w:val="24"/>
      <w:szCs w:val="20"/>
    </w:rPr>
  </w:style>
  <w:style w:type="character" w:customStyle="1" w:styleId="ClosingChar">
    <w:name w:val="Closing Char"/>
    <w:basedOn w:val="DefaultParagraphFont"/>
    <w:link w:val="Closing"/>
    <w:rsid w:val="005B15B7"/>
    <w:rPr>
      <w:rFonts w:ascii="Times New Roman" w:eastAsia="Times New Roman" w:hAnsi="Times New Roman" w:cs="Times New Roman"/>
      <w:sz w:val="24"/>
      <w:szCs w:val="20"/>
      <w:lang w:val="et-EE"/>
    </w:rPr>
  </w:style>
  <w:style w:type="paragraph" w:styleId="Date">
    <w:name w:val="Date"/>
    <w:basedOn w:val="Normal"/>
    <w:next w:val="References"/>
    <w:link w:val="DateChar"/>
    <w:rsid w:val="005B15B7"/>
    <w:pPr>
      <w:spacing w:after="0"/>
      <w:ind w:left="5103" w:right="-567"/>
    </w:pPr>
    <w:rPr>
      <w:rFonts w:eastAsia="Times New Roman" w:cs="Times New Roman"/>
      <w:sz w:val="24"/>
      <w:szCs w:val="20"/>
    </w:rPr>
  </w:style>
  <w:style w:type="character" w:customStyle="1" w:styleId="DateChar">
    <w:name w:val="Date Char"/>
    <w:basedOn w:val="DefaultParagraphFont"/>
    <w:link w:val="Date"/>
    <w:rsid w:val="005B15B7"/>
    <w:rPr>
      <w:rFonts w:ascii="Times New Roman" w:eastAsia="Times New Roman" w:hAnsi="Times New Roman" w:cs="Times New Roman"/>
      <w:sz w:val="24"/>
      <w:szCs w:val="20"/>
      <w:lang w:val="et-EE"/>
    </w:rPr>
  </w:style>
  <w:style w:type="paragraph" w:customStyle="1" w:styleId="References">
    <w:name w:val="References"/>
    <w:basedOn w:val="Normal"/>
    <w:next w:val="AddressTR"/>
    <w:rsid w:val="005B15B7"/>
    <w:pPr>
      <w:ind w:left="5103"/>
    </w:pPr>
    <w:rPr>
      <w:rFonts w:eastAsia="Times New Roman" w:cs="Times New Roman"/>
      <w:sz w:val="20"/>
      <w:szCs w:val="20"/>
    </w:rPr>
  </w:style>
  <w:style w:type="paragraph" w:styleId="DocumentMap">
    <w:name w:val="Document Map"/>
    <w:basedOn w:val="Normal"/>
    <w:link w:val="DocumentMapChar"/>
    <w:semiHidden/>
    <w:rsid w:val="005B15B7"/>
    <w:pPr>
      <w:shd w:val="clear" w:color="auto" w:fill="000080"/>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5B15B7"/>
    <w:rPr>
      <w:rFonts w:ascii="Tahoma" w:eastAsia="Times New Roman" w:hAnsi="Tahoma" w:cs="Times New Roman"/>
      <w:sz w:val="24"/>
      <w:szCs w:val="20"/>
      <w:shd w:val="clear" w:color="auto" w:fill="000080"/>
      <w:lang w:val="et-EE"/>
    </w:rPr>
  </w:style>
  <w:style w:type="paragraph" w:customStyle="1" w:styleId="DoubSign">
    <w:name w:val="DoubSign"/>
    <w:basedOn w:val="Normal"/>
    <w:next w:val="Enclosures"/>
    <w:rsid w:val="005B15B7"/>
    <w:pPr>
      <w:tabs>
        <w:tab w:val="left" w:pos="5103"/>
      </w:tabs>
      <w:spacing w:before="1200" w:after="0"/>
    </w:pPr>
    <w:rPr>
      <w:rFonts w:eastAsia="Times New Roman" w:cs="Times New Roman"/>
      <w:sz w:val="24"/>
      <w:szCs w:val="20"/>
    </w:rPr>
  </w:style>
  <w:style w:type="paragraph" w:customStyle="1" w:styleId="Enclosures">
    <w:name w:val="Enclosures"/>
    <w:basedOn w:val="Normal"/>
    <w:rsid w:val="005B15B7"/>
    <w:pPr>
      <w:keepNext/>
      <w:keepLines/>
      <w:tabs>
        <w:tab w:val="left" w:pos="5642"/>
      </w:tabs>
      <w:spacing w:before="480" w:after="0"/>
      <w:ind w:left="1191" w:hanging="1191"/>
    </w:pPr>
    <w:rPr>
      <w:rFonts w:eastAsia="Times New Roman" w:cs="Times New Roman"/>
      <w:sz w:val="24"/>
      <w:szCs w:val="20"/>
    </w:rPr>
  </w:style>
  <w:style w:type="paragraph" w:styleId="EndnoteText">
    <w:name w:val="endnote text"/>
    <w:basedOn w:val="Normal"/>
    <w:link w:val="EndnoteTextChar"/>
    <w:uiPriority w:val="99"/>
    <w:semiHidden/>
    <w:rsid w:val="005B15B7"/>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5B15B7"/>
    <w:rPr>
      <w:rFonts w:ascii="Times New Roman" w:eastAsia="Times New Roman" w:hAnsi="Times New Roman" w:cs="Times New Roman"/>
      <w:sz w:val="20"/>
      <w:szCs w:val="20"/>
      <w:lang w:val="et-EE"/>
    </w:rPr>
  </w:style>
  <w:style w:type="paragraph" w:styleId="EnvelopeAddress">
    <w:name w:val="envelope address"/>
    <w:basedOn w:val="Normal"/>
    <w:rsid w:val="005B15B7"/>
    <w:pPr>
      <w:framePr w:w="7920" w:h="1980" w:hRule="exact" w:hSpace="180" w:wrap="auto" w:hAnchor="page" w:xAlign="center" w:yAlign="bottom"/>
      <w:spacing w:after="0"/>
    </w:pPr>
    <w:rPr>
      <w:rFonts w:eastAsia="Times New Roman" w:cs="Times New Roman"/>
      <w:sz w:val="24"/>
      <w:szCs w:val="20"/>
    </w:rPr>
  </w:style>
  <w:style w:type="paragraph" w:styleId="EnvelopeReturn">
    <w:name w:val="envelope return"/>
    <w:basedOn w:val="Normal"/>
    <w:rsid w:val="005B15B7"/>
    <w:pPr>
      <w:spacing w:after="0"/>
    </w:pPr>
    <w:rPr>
      <w:rFonts w:eastAsia="Times New Roman" w:cs="Times New Roman"/>
      <w:sz w:val="20"/>
      <w:szCs w:val="20"/>
    </w:rPr>
  </w:style>
  <w:style w:type="paragraph" w:styleId="FootnoteText">
    <w:name w:val="footnote text"/>
    <w:aliases w:val="footnote Text.Footnote TAX.Char,Footnote,footnote Text,Footnote TAX,Char,Footnote Text1,Footnote text,Schriftart: 9 pt,Schriftart: 10 pt,Schriftart: 8 pt,Footnote Text Char1 Char Char"/>
    <w:basedOn w:val="Normal"/>
    <w:link w:val="FootnoteTextChar"/>
    <w:uiPriority w:val="99"/>
    <w:qFormat/>
    <w:rsid w:val="00EF59B5"/>
    <w:pPr>
      <w:spacing w:before="20" w:after="20"/>
      <w:ind w:left="357" w:hanging="357"/>
    </w:pPr>
    <w:rPr>
      <w:rFonts w:eastAsia="Times New Roman" w:cs="Times New Roman"/>
      <w:sz w:val="16"/>
      <w:szCs w:val="16"/>
    </w:rPr>
  </w:style>
  <w:style w:type="character" w:customStyle="1" w:styleId="FootnoteTextChar">
    <w:name w:val="Footnote Text Char"/>
    <w:aliases w:val="footnote Text.Footnote TAX.Char Char,Footnote Char,footnote Text Char,Footnote TAX Char,Char Char,Footnote Text1 Char,Footnote text Char,Schriftart: 9 pt Char,Schriftart: 10 pt Char,Schriftart: 8 pt Char"/>
    <w:basedOn w:val="DefaultParagraphFont"/>
    <w:link w:val="FootnoteText"/>
    <w:uiPriority w:val="99"/>
    <w:qFormat/>
    <w:rsid w:val="00EF59B5"/>
    <w:rPr>
      <w:rFonts w:ascii="Times New Roman" w:eastAsia="Times New Roman" w:hAnsi="Times New Roman" w:cs="Times New Roman"/>
      <w:sz w:val="16"/>
      <w:szCs w:val="16"/>
    </w:rPr>
  </w:style>
  <w:style w:type="paragraph" w:styleId="Index1">
    <w:name w:val="index 1"/>
    <w:basedOn w:val="Normal"/>
    <w:next w:val="Normal"/>
    <w:autoRedefine/>
    <w:semiHidden/>
    <w:rsid w:val="005B15B7"/>
    <w:pPr>
      <w:ind w:left="240" w:hanging="240"/>
    </w:pPr>
    <w:rPr>
      <w:rFonts w:eastAsia="Times New Roman" w:cs="Times New Roman"/>
      <w:sz w:val="24"/>
      <w:szCs w:val="20"/>
    </w:rPr>
  </w:style>
  <w:style w:type="paragraph" w:styleId="Index2">
    <w:name w:val="index 2"/>
    <w:basedOn w:val="Normal"/>
    <w:next w:val="Normal"/>
    <w:autoRedefine/>
    <w:semiHidden/>
    <w:rsid w:val="005B15B7"/>
    <w:pPr>
      <w:ind w:left="480" w:hanging="240"/>
    </w:pPr>
    <w:rPr>
      <w:rFonts w:eastAsia="Times New Roman" w:cs="Times New Roman"/>
      <w:sz w:val="24"/>
      <w:szCs w:val="20"/>
    </w:rPr>
  </w:style>
  <w:style w:type="paragraph" w:styleId="Index3">
    <w:name w:val="index 3"/>
    <w:basedOn w:val="Normal"/>
    <w:next w:val="Normal"/>
    <w:autoRedefine/>
    <w:semiHidden/>
    <w:rsid w:val="005B15B7"/>
    <w:pPr>
      <w:ind w:left="720" w:hanging="240"/>
    </w:pPr>
    <w:rPr>
      <w:rFonts w:eastAsia="Times New Roman" w:cs="Times New Roman"/>
      <w:sz w:val="24"/>
      <w:szCs w:val="20"/>
    </w:rPr>
  </w:style>
  <w:style w:type="paragraph" w:styleId="Index4">
    <w:name w:val="index 4"/>
    <w:basedOn w:val="Normal"/>
    <w:next w:val="Normal"/>
    <w:autoRedefine/>
    <w:semiHidden/>
    <w:rsid w:val="005B15B7"/>
    <w:pPr>
      <w:ind w:left="960" w:hanging="240"/>
    </w:pPr>
    <w:rPr>
      <w:rFonts w:eastAsia="Times New Roman" w:cs="Times New Roman"/>
      <w:sz w:val="24"/>
      <w:szCs w:val="20"/>
    </w:rPr>
  </w:style>
  <w:style w:type="paragraph" w:styleId="Index5">
    <w:name w:val="index 5"/>
    <w:basedOn w:val="Normal"/>
    <w:next w:val="Normal"/>
    <w:autoRedefine/>
    <w:semiHidden/>
    <w:rsid w:val="005B15B7"/>
    <w:pPr>
      <w:ind w:left="1200" w:hanging="240"/>
    </w:pPr>
    <w:rPr>
      <w:rFonts w:eastAsia="Times New Roman" w:cs="Times New Roman"/>
      <w:sz w:val="24"/>
      <w:szCs w:val="20"/>
    </w:rPr>
  </w:style>
  <w:style w:type="paragraph" w:styleId="Index6">
    <w:name w:val="index 6"/>
    <w:basedOn w:val="Normal"/>
    <w:next w:val="Normal"/>
    <w:autoRedefine/>
    <w:semiHidden/>
    <w:rsid w:val="005B15B7"/>
    <w:pPr>
      <w:ind w:left="1440" w:hanging="240"/>
    </w:pPr>
    <w:rPr>
      <w:rFonts w:eastAsia="Times New Roman" w:cs="Times New Roman"/>
      <w:sz w:val="24"/>
      <w:szCs w:val="20"/>
    </w:rPr>
  </w:style>
  <w:style w:type="paragraph" w:styleId="Index7">
    <w:name w:val="index 7"/>
    <w:basedOn w:val="Normal"/>
    <w:next w:val="Normal"/>
    <w:autoRedefine/>
    <w:semiHidden/>
    <w:rsid w:val="005B15B7"/>
    <w:pPr>
      <w:ind w:left="1680" w:hanging="240"/>
    </w:pPr>
    <w:rPr>
      <w:rFonts w:eastAsia="Times New Roman" w:cs="Times New Roman"/>
      <w:sz w:val="24"/>
      <w:szCs w:val="20"/>
    </w:rPr>
  </w:style>
  <w:style w:type="paragraph" w:styleId="Index8">
    <w:name w:val="index 8"/>
    <w:basedOn w:val="Normal"/>
    <w:next w:val="Normal"/>
    <w:autoRedefine/>
    <w:semiHidden/>
    <w:rsid w:val="005B15B7"/>
    <w:pPr>
      <w:ind w:left="1920" w:hanging="240"/>
    </w:pPr>
    <w:rPr>
      <w:rFonts w:eastAsia="Times New Roman" w:cs="Times New Roman"/>
      <w:sz w:val="24"/>
      <w:szCs w:val="20"/>
    </w:rPr>
  </w:style>
  <w:style w:type="paragraph" w:styleId="Index9">
    <w:name w:val="index 9"/>
    <w:basedOn w:val="Normal"/>
    <w:next w:val="Normal"/>
    <w:autoRedefine/>
    <w:semiHidden/>
    <w:rsid w:val="005B15B7"/>
    <w:pPr>
      <w:ind w:left="2160" w:hanging="240"/>
    </w:pPr>
    <w:rPr>
      <w:rFonts w:eastAsia="Times New Roman" w:cs="Times New Roman"/>
      <w:sz w:val="24"/>
      <w:szCs w:val="20"/>
    </w:rPr>
  </w:style>
  <w:style w:type="paragraph" w:styleId="IndexHeading">
    <w:name w:val="index heading"/>
    <w:basedOn w:val="Normal"/>
    <w:next w:val="Index1"/>
    <w:semiHidden/>
    <w:rsid w:val="005B15B7"/>
    <w:rPr>
      <w:rFonts w:ascii="Arial" w:eastAsia="Times New Roman" w:hAnsi="Arial" w:cs="Times New Roman"/>
      <w:b/>
      <w:sz w:val="24"/>
      <w:szCs w:val="20"/>
    </w:rPr>
  </w:style>
  <w:style w:type="paragraph" w:styleId="List">
    <w:name w:val="List"/>
    <w:basedOn w:val="Normal"/>
    <w:rsid w:val="005B15B7"/>
    <w:pPr>
      <w:ind w:left="283" w:hanging="283"/>
    </w:pPr>
    <w:rPr>
      <w:rFonts w:eastAsia="Times New Roman" w:cs="Times New Roman"/>
      <w:sz w:val="24"/>
      <w:szCs w:val="20"/>
    </w:rPr>
  </w:style>
  <w:style w:type="paragraph" w:styleId="List2">
    <w:name w:val="List 2"/>
    <w:basedOn w:val="Normal"/>
    <w:rsid w:val="005B15B7"/>
    <w:pPr>
      <w:ind w:left="566" w:hanging="283"/>
    </w:pPr>
    <w:rPr>
      <w:rFonts w:eastAsia="Times New Roman" w:cs="Times New Roman"/>
      <w:sz w:val="24"/>
      <w:szCs w:val="20"/>
    </w:rPr>
  </w:style>
  <w:style w:type="paragraph" w:styleId="List3">
    <w:name w:val="List 3"/>
    <w:basedOn w:val="Normal"/>
    <w:rsid w:val="005B15B7"/>
    <w:pPr>
      <w:ind w:left="849" w:hanging="283"/>
    </w:pPr>
    <w:rPr>
      <w:rFonts w:eastAsia="Times New Roman" w:cs="Times New Roman"/>
      <w:sz w:val="24"/>
      <w:szCs w:val="20"/>
    </w:rPr>
  </w:style>
  <w:style w:type="paragraph" w:styleId="List4">
    <w:name w:val="List 4"/>
    <w:basedOn w:val="Normal"/>
    <w:rsid w:val="005B15B7"/>
    <w:pPr>
      <w:ind w:left="1132" w:hanging="283"/>
    </w:pPr>
    <w:rPr>
      <w:rFonts w:eastAsia="Times New Roman" w:cs="Times New Roman"/>
      <w:sz w:val="24"/>
      <w:szCs w:val="20"/>
    </w:rPr>
  </w:style>
  <w:style w:type="paragraph" w:styleId="List5">
    <w:name w:val="List 5"/>
    <w:basedOn w:val="Normal"/>
    <w:rsid w:val="005B15B7"/>
    <w:pPr>
      <w:ind w:left="1415" w:hanging="283"/>
    </w:pPr>
    <w:rPr>
      <w:rFonts w:eastAsia="Times New Roman" w:cs="Times New Roman"/>
      <w:sz w:val="24"/>
      <w:szCs w:val="20"/>
    </w:rPr>
  </w:style>
  <w:style w:type="paragraph" w:styleId="ListBullet">
    <w:name w:val="List Bullet"/>
    <w:basedOn w:val="Normal"/>
    <w:rsid w:val="005B15B7"/>
    <w:pPr>
      <w:numPr>
        <w:numId w:val="4"/>
      </w:numPr>
    </w:pPr>
    <w:rPr>
      <w:rFonts w:eastAsia="Times New Roman" w:cs="Times New Roman"/>
      <w:sz w:val="24"/>
      <w:szCs w:val="20"/>
    </w:rPr>
  </w:style>
  <w:style w:type="paragraph" w:styleId="ListBullet2">
    <w:name w:val="List Bullet 2"/>
    <w:basedOn w:val="Text2"/>
    <w:rsid w:val="005B15B7"/>
    <w:pPr>
      <w:numPr>
        <w:numId w:val="6"/>
      </w:numPr>
      <w:tabs>
        <w:tab w:val="clear" w:pos="2302"/>
      </w:tabs>
    </w:pPr>
  </w:style>
  <w:style w:type="paragraph" w:styleId="ListBullet3">
    <w:name w:val="List Bullet 3"/>
    <w:basedOn w:val="Text3"/>
    <w:rsid w:val="005B15B7"/>
    <w:pPr>
      <w:numPr>
        <w:numId w:val="7"/>
      </w:numPr>
      <w:tabs>
        <w:tab w:val="clear" w:pos="2302"/>
      </w:tabs>
    </w:pPr>
  </w:style>
  <w:style w:type="paragraph" w:styleId="ListBullet4">
    <w:name w:val="List Bullet 4"/>
    <w:basedOn w:val="Text4"/>
    <w:rsid w:val="005B15B7"/>
    <w:pPr>
      <w:numPr>
        <w:numId w:val="8"/>
      </w:numPr>
      <w:tabs>
        <w:tab w:val="clear" w:pos="2302"/>
      </w:tabs>
    </w:pPr>
  </w:style>
  <w:style w:type="paragraph" w:styleId="ListBullet5">
    <w:name w:val="List Bullet 5"/>
    <w:basedOn w:val="Normal"/>
    <w:autoRedefine/>
    <w:rsid w:val="005B15B7"/>
    <w:pPr>
      <w:numPr>
        <w:numId w:val="1"/>
      </w:numPr>
    </w:pPr>
    <w:rPr>
      <w:rFonts w:eastAsia="Times New Roman" w:cs="Times New Roman"/>
      <w:sz w:val="24"/>
      <w:szCs w:val="20"/>
    </w:rPr>
  </w:style>
  <w:style w:type="paragraph" w:styleId="ListContinue">
    <w:name w:val="List Continue"/>
    <w:basedOn w:val="Normal"/>
    <w:rsid w:val="005B15B7"/>
    <w:pPr>
      <w:ind w:left="283"/>
    </w:pPr>
    <w:rPr>
      <w:rFonts w:eastAsia="Times New Roman" w:cs="Times New Roman"/>
      <w:sz w:val="24"/>
      <w:szCs w:val="20"/>
    </w:rPr>
  </w:style>
  <w:style w:type="paragraph" w:styleId="ListContinue2">
    <w:name w:val="List Continue 2"/>
    <w:basedOn w:val="Normal"/>
    <w:rsid w:val="005B15B7"/>
    <w:pPr>
      <w:ind w:left="566"/>
    </w:pPr>
    <w:rPr>
      <w:rFonts w:eastAsia="Times New Roman" w:cs="Times New Roman"/>
      <w:sz w:val="24"/>
      <w:szCs w:val="20"/>
    </w:rPr>
  </w:style>
  <w:style w:type="paragraph" w:styleId="ListContinue3">
    <w:name w:val="List Continue 3"/>
    <w:basedOn w:val="Normal"/>
    <w:rsid w:val="005B15B7"/>
    <w:pPr>
      <w:ind w:left="849"/>
    </w:pPr>
    <w:rPr>
      <w:rFonts w:eastAsia="Times New Roman" w:cs="Times New Roman"/>
      <w:sz w:val="24"/>
      <w:szCs w:val="20"/>
    </w:rPr>
  </w:style>
  <w:style w:type="paragraph" w:styleId="ListContinue4">
    <w:name w:val="List Continue 4"/>
    <w:basedOn w:val="Normal"/>
    <w:rsid w:val="005B15B7"/>
    <w:pPr>
      <w:ind w:left="1132"/>
    </w:pPr>
    <w:rPr>
      <w:rFonts w:eastAsia="Times New Roman" w:cs="Times New Roman"/>
      <w:sz w:val="24"/>
      <w:szCs w:val="20"/>
    </w:rPr>
  </w:style>
  <w:style w:type="paragraph" w:styleId="ListContinue5">
    <w:name w:val="List Continue 5"/>
    <w:basedOn w:val="Normal"/>
    <w:rsid w:val="005B15B7"/>
    <w:pPr>
      <w:ind w:left="1415"/>
    </w:pPr>
    <w:rPr>
      <w:rFonts w:eastAsia="Times New Roman" w:cs="Times New Roman"/>
      <w:sz w:val="24"/>
      <w:szCs w:val="20"/>
    </w:rPr>
  </w:style>
  <w:style w:type="paragraph" w:styleId="ListNumber">
    <w:name w:val="List Number"/>
    <w:basedOn w:val="Normal"/>
    <w:rsid w:val="005B15B7"/>
    <w:pPr>
      <w:numPr>
        <w:numId w:val="14"/>
      </w:numPr>
    </w:pPr>
    <w:rPr>
      <w:rFonts w:eastAsia="Times New Roman" w:cs="Times New Roman"/>
      <w:sz w:val="24"/>
      <w:szCs w:val="20"/>
    </w:rPr>
  </w:style>
  <w:style w:type="paragraph" w:styleId="ListNumber2">
    <w:name w:val="List Number 2"/>
    <w:basedOn w:val="Text2"/>
    <w:rsid w:val="005B15B7"/>
    <w:pPr>
      <w:numPr>
        <w:numId w:val="16"/>
      </w:numPr>
      <w:tabs>
        <w:tab w:val="clear" w:pos="2302"/>
      </w:tabs>
    </w:pPr>
  </w:style>
  <w:style w:type="paragraph" w:styleId="ListNumber3">
    <w:name w:val="List Number 3"/>
    <w:basedOn w:val="Text3"/>
    <w:rsid w:val="005B15B7"/>
    <w:pPr>
      <w:numPr>
        <w:numId w:val="17"/>
      </w:numPr>
      <w:tabs>
        <w:tab w:val="clear" w:pos="2302"/>
      </w:tabs>
    </w:pPr>
  </w:style>
  <w:style w:type="paragraph" w:styleId="ListNumber4">
    <w:name w:val="List Number 4"/>
    <w:basedOn w:val="Text4"/>
    <w:rsid w:val="005B15B7"/>
    <w:pPr>
      <w:numPr>
        <w:numId w:val="18"/>
      </w:numPr>
      <w:tabs>
        <w:tab w:val="clear" w:pos="2302"/>
      </w:tabs>
    </w:pPr>
  </w:style>
  <w:style w:type="paragraph" w:styleId="ListNumber5">
    <w:name w:val="List Number 5"/>
    <w:basedOn w:val="Normal"/>
    <w:rsid w:val="005B15B7"/>
    <w:pPr>
      <w:numPr>
        <w:numId w:val="2"/>
      </w:numPr>
    </w:pPr>
    <w:rPr>
      <w:rFonts w:eastAsia="Times New Roman" w:cs="Times New Roman"/>
      <w:sz w:val="24"/>
      <w:szCs w:val="20"/>
    </w:rPr>
  </w:style>
  <w:style w:type="paragraph" w:styleId="MacroText">
    <w:name w:val="macro"/>
    <w:link w:val="MacroTextChar"/>
    <w:semiHidden/>
    <w:rsid w:val="005B15B7"/>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5B15B7"/>
    <w:rPr>
      <w:rFonts w:ascii="Courier New" w:eastAsia="Times New Roman" w:hAnsi="Courier New" w:cs="Times New Roman"/>
      <w:sz w:val="20"/>
      <w:szCs w:val="20"/>
    </w:rPr>
  </w:style>
  <w:style w:type="paragraph" w:styleId="MessageHeader">
    <w:name w:val="Message Header"/>
    <w:basedOn w:val="Normal"/>
    <w:link w:val="MessageHeaderChar"/>
    <w:rsid w:val="005B15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Times New Roman"/>
      <w:sz w:val="24"/>
      <w:szCs w:val="20"/>
    </w:rPr>
  </w:style>
  <w:style w:type="character" w:customStyle="1" w:styleId="MessageHeaderChar">
    <w:name w:val="Message Header Char"/>
    <w:basedOn w:val="DefaultParagraphFont"/>
    <w:link w:val="MessageHeader"/>
    <w:rsid w:val="005B15B7"/>
    <w:rPr>
      <w:rFonts w:ascii="Arial" w:eastAsia="Times New Roman" w:hAnsi="Arial" w:cs="Times New Roman"/>
      <w:sz w:val="24"/>
      <w:szCs w:val="20"/>
      <w:shd w:val="pct20" w:color="auto" w:fill="auto"/>
      <w:lang w:val="et-EE"/>
    </w:rPr>
  </w:style>
  <w:style w:type="paragraph" w:styleId="NormalIndent">
    <w:name w:val="Normal Indent"/>
    <w:basedOn w:val="Normal"/>
    <w:link w:val="NormalIndentChar"/>
    <w:rsid w:val="005B15B7"/>
    <w:pPr>
      <w:ind w:left="720"/>
    </w:pPr>
    <w:rPr>
      <w:rFonts w:eastAsia="Times New Roman" w:cs="Times New Roman"/>
      <w:sz w:val="24"/>
      <w:szCs w:val="20"/>
    </w:rPr>
  </w:style>
  <w:style w:type="paragraph" w:styleId="NoteHeading">
    <w:name w:val="Note Heading"/>
    <w:basedOn w:val="Normal"/>
    <w:next w:val="Normal"/>
    <w:link w:val="NoteHeadingChar"/>
    <w:rsid w:val="005B15B7"/>
    <w:rPr>
      <w:rFonts w:eastAsia="Times New Roman" w:cs="Times New Roman"/>
      <w:sz w:val="24"/>
      <w:szCs w:val="20"/>
    </w:rPr>
  </w:style>
  <w:style w:type="character" w:customStyle="1" w:styleId="NoteHeadingChar">
    <w:name w:val="Note Heading Char"/>
    <w:basedOn w:val="DefaultParagraphFont"/>
    <w:link w:val="NoteHeading"/>
    <w:rsid w:val="005B15B7"/>
    <w:rPr>
      <w:rFonts w:ascii="Times New Roman" w:eastAsia="Times New Roman" w:hAnsi="Times New Roman" w:cs="Times New Roman"/>
      <w:sz w:val="24"/>
      <w:szCs w:val="20"/>
      <w:lang w:val="et-EE"/>
    </w:rPr>
  </w:style>
  <w:style w:type="paragraph" w:customStyle="1" w:styleId="NoteHead">
    <w:name w:val="NoteHead"/>
    <w:basedOn w:val="Normal"/>
    <w:next w:val="Subject"/>
    <w:rsid w:val="005B15B7"/>
    <w:pPr>
      <w:spacing w:before="720" w:after="720"/>
      <w:jc w:val="center"/>
    </w:pPr>
    <w:rPr>
      <w:rFonts w:eastAsia="Times New Roman" w:cs="Times New Roman"/>
      <w:b/>
      <w:smallCaps/>
      <w:sz w:val="24"/>
      <w:szCs w:val="20"/>
    </w:rPr>
  </w:style>
  <w:style w:type="paragraph" w:customStyle="1" w:styleId="Subject">
    <w:name w:val="Subject"/>
    <w:basedOn w:val="Normal"/>
    <w:next w:val="Normal"/>
    <w:rsid w:val="005B15B7"/>
    <w:pPr>
      <w:spacing w:after="480"/>
      <w:ind w:left="1531" w:hanging="1531"/>
    </w:pPr>
    <w:rPr>
      <w:rFonts w:eastAsia="Times New Roman" w:cs="Times New Roman"/>
      <w:b/>
      <w:sz w:val="24"/>
      <w:szCs w:val="20"/>
    </w:rPr>
  </w:style>
  <w:style w:type="paragraph" w:customStyle="1" w:styleId="NoteList">
    <w:name w:val="NoteList"/>
    <w:basedOn w:val="Normal"/>
    <w:next w:val="Subject"/>
    <w:rsid w:val="005B15B7"/>
    <w:pPr>
      <w:tabs>
        <w:tab w:val="left" w:pos="5823"/>
      </w:tabs>
      <w:spacing w:before="720" w:after="720"/>
      <w:ind w:left="5104" w:hanging="3119"/>
    </w:pPr>
    <w:rPr>
      <w:rFonts w:eastAsia="Times New Roman" w:cs="Times New Roman"/>
      <w:b/>
      <w:smallCaps/>
      <w:sz w:val="24"/>
      <w:szCs w:val="20"/>
    </w:rPr>
  </w:style>
  <w:style w:type="paragraph" w:customStyle="1" w:styleId="NumPar1">
    <w:name w:val="NumPar 1"/>
    <w:basedOn w:val="Heading1"/>
    <w:next w:val="Text1"/>
    <w:rsid w:val="005B15B7"/>
    <w:pPr>
      <w:outlineLvl w:val="9"/>
    </w:pPr>
    <w:rPr>
      <w:b w:val="0"/>
      <w:smallCaps/>
    </w:rPr>
  </w:style>
  <w:style w:type="paragraph" w:customStyle="1" w:styleId="NumPar2">
    <w:name w:val="NumPar 2"/>
    <w:basedOn w:val="Heading2"/>
    <w:next w:val="Text2"/>
    <w:rsid w:val="005B15B7"/>
    <w:pPr>
      <w:outlineLvl w:val="9"/>
    </w:pPr>
    <w:rPr>
      <w:b w:val="0"/>
    </w:rPr>
  </w:style>
  <w:style w:type="paragraph" w:customStyle="1" w:styleId="NumPar3">
    <w:name w:val="NumPar 3"/>
    <w:basedOn w:val="Heading3"/>
    <w:next w:val="Text3"/>
    <w:rsid w:val="005B15B7"/>
    <w:pPr>
      <w:numPr>
        <w:ilvl w:val="2"/>
        <w:numId w:val="30"/>
      </w:numPr>
      <w:ind w:left="360" w:hanging="360"/>
      <w:outlineLvl w:val="9"/>
    </w:pPr>
    <w:rPr>
      <w:i w:val="0"/>
    </w:rPr>
  </w:style>
  <w:style w:type="paragraph" w:customStyle="1" w:styleId="NumPar4">
    <w:name w:val="NumPar 4"/>
    <w:basedOn w:val="Heading4"/>
    <w:next w:val="Text4"/>
    <w:rsid w:val="005B15B7"/>
    <w:pPr>
      <w:keepNext w:val="0"/>
      <w:outlineLvl w:val="9"/>
    </w:pPr>
  </w:style>
  <w:style w:type="paragraph" w:customStyle="1" w:styleId="PartTitle">
    <w:name w:val="PartTitle"/>
    <w:basedOn w:val="Normal"/>
    <w:next w:val="ChapterTitle"/>
    <w:rsid w:val="005B15B7"/>
    <w:pPr>
      <w:keepNext/>
      <w:pageBreakBefore/>
      <w:spacing w:after="480"/>
      <w:jc w:val="center"/>
    </w:pPr>
    <w:rPr>
      <w:rFonts w:eastAsia="Times New Roman" w:cs="Times New Roman"/>
      <w:b/>
      <w:sz w:val="36"/>
      <w:szCs w:val="20"/>
    </w:rPr>
  </w:style>
  <w:style w:type="paragraph" w:styleId="PlainText">
    <w:name w:val="Plain Text"/>
    <w:basedOn w:val="Normal"/>
    <w:link w:val="PlainTextChar"/>
    <w:uiPriority w:val="99"/>
    <w:rsid w:val="005B15B7"/>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5B15B7"/>
    <w:rPr>
      <w:rFonts w:ascii="Courier New" w:eastAsia="Times New Roman" w:hAnsi="Courier New" w:cs="Times New Roman"/>
      <w:sz w:val="20"/>
      <w:szCs w:val="20"/>
      <w:lang w:val="et-EE"/>
    </w:rPr>
  </w:style>
  <w:style w:type="paragraph" w:styleId="Salutation">
    <w:name w:val="Salutation"/>
    <w:basedOn w:val="Normal"/>
    <w:next w:val="Normal"/>
    <w:link w:val="SalutationChar"/>
    <w:rsid w:val="005B15B7"/>
    <w:rPr>
      <w:rFonts w:eastAsia="Times New Roman" w:cs="Times New Roman"/>
      <w:sz w:val="24"/>
      <w:szCs w:val="20"/>
    </w:rPr>
  </w:style>
  <w:style w:type="character" w:customStyle="1" w:styleId="SalutationChar">
    <w:name w:val="Salutation Char"/>
    <w:basedOn w:val="DefaultParagraphFont"/>
    <w:link w:val="Salutation"/>
    <w:rsid w:val="005B15B7"/>
    <w:rPr>
      <w:rFonts w:ascii="Times New Roman" w:eastAsia="Times New Roman" w:hAnsi="Times New Roman" w:cs="Times New Roman"/>
      <w:sz w:val="24"/>
      <w:szCs w:val="20"/>
      <w:lang w:val="et-EE"/>
    </w:rPr>
  </w:style>
  <w:style w:type="paragraph" w:styleId="Signature">
    <w:name w:val="Signature"/>
    <w:basedOn w:val="Normal"/>
    <w:next w:val="Enclosures"/>
    <w:link w:val="SignatureChar"/>
    <w:rsid w:val="005B15B7"/>
    <w:pPr>
      <w:tabs>
        <w:tab w:val="left" w:pos="5103"/>
      </w:tabs>
      <w:spacing w:before="1200" w:after="0"/>
      <w:ind w:left="5103"/>
      <w:jc w:val="center"/>
    </w:pPr>
    <w:rPr>
      <w:rFonts w:eastAsia="Times New Roman" w:cs="Times New Roman"/>
      <w:sz w:val="24"/>
      <w:szCs w:val="20"/>
    </w:rPr>
  </w:style>
  <w:style w:type="character" w:customStyle="1" w:styleId="SignatureChar">
    <w:name w:val="Signature Char"/>
    <w:basedOn w:val="DefaultParagraphFont"/>
    <w:link w:val="Signature"/>
    <w:rsid w:val="005B15B7"/>
    <w:rPr>
      <w:rFonts w:ascii="Times New Roman" w:eastAsia="Times New Roman" w:hAnsi="Times New Roman" w:cs="Times New Roman"/>
      <w:sz w:val="24"/>
      <w:szCs w:val="20"/>
      <w:lang w:val="et-EE"/>
    </w:rPr>
  </w:style>
  <w:style w:type="paragraph" w:styleId="Subtitle">
    <w:name w:val="Subtitle"/>
    <w:basedOn w:val="Normal"/>
    <w:link w:val="SubtitleChar"/>
    <w:rsid w:val="005B15B7"/>
    <w:pPr>
      <w:spacing w:after="60"/>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sid w:val="005B15B7"/>
    <w:rPr>
      <w:rFonts w:ascii="Arial" w:eastAsia="Times New Roman" w:hAnsi="Arial" w:cs="Times New Roman"/>
      <w:sz w:val="24"/>
      <w:szCs w:val="20"/>
      <w:lang w:val="et-EE"/>
    </w:rPr>
  </w:style>
  <w:style w:type="paragraph" w:customStyle="1" w:styleId="SubTitle1">
    <w:name w:val="SubTitle 1"/>
    <w:basedOn w:val="Normal"/>
    <w:next w:val="SubTitle2"/>
    <w:rsid w:val="005B15B7"/>
    <w:pPr>
      <w:jc w:val="center"/>
    </w:pPr>
    <w:rPr>
      <w:rFonts w:eastAsia="Times New Roman" w:cs="Times New Roman"/>
      <w:b/>
      <w:sz w:val="40"/>
      <w:szCs w:val="20"/>
    </w:rPr>
  </w:style>
  <w:style w:type="paragraph" w:customStyle="1" w:styleId="SubTitle2">
    <w:name w:val="SubTitle 2"/>
    <w:basedOn w:val="Normal"/>
    <w:rsid w:val="005B15B7"/>
    <w:pPr>
      <w:jc w:val="center"/>
    </w:pPr>
    <w:rPr>
      <w:rFonts w:eastAsia="Times New Roman" w:cs="Times New Roman"/>
      <w:b/>
      <w:sz w:val="32"/>
      <w:szCs w:val="20"/>
    </w:rPr>
  </w:style>
  <w:style w:type="paragraph" w:styleId="TableofAuthorities">
    <w:name w:val="table of authorities"/>
    <w:basedOn w:val="Normal"/>
    <w:next w:val="Normal"/>
    <w:semiHidden/>
    <w:rsid w:val="005B15B7"/>
    <w:pPr>
      <w:ind w:left="240" w:hanging="240"/>
    </w:pPr>
    <w:rPr>
      <w:rFonts w:eastAsia="Times New Roman" w:cs="Times New Roman"/>
      <w:sz w:val="24"/>
      <w:szCs w:val="20"/>
    </w:rPr>
  </w:style>
  <w:style w:type="paragraph" w:styleId="TableofFigures">
    <w:name w:val="table of figures"/>
    <w:basedOn w:val="Normal"/>
    <w:next w:val="Normal"/>
    <w:uiPriority w:val="99"/>
    <w:rsid w:val="009F6CEA"/>
    <w:pPr>
      <w:ind w:left="482" w:hanging="482"/>
    </w:pPr>
    <w:rPr>
      <w:rFonts w:eastAsia="Times New Roman" w:cs="Times New Roman"/>
      <w:sz w:val="20"/>
      <w:szCs w:val="20"/>
    </w:rPr>
  </w:style>
  <w:style w:type="paragraph" w:styleId="Title">
    <w:name w:val="Title"/>
    <w:basedOn w:val="Normal"/>
    <w:next w:val="SubTitle1"/>
    <w:link w:val="TitleChar"/>
    <w:uiPriority w:val="10"/>
    <w:qFormat/>
    <w:rsid w:val="005B15B7"/>
    <w:pPr>
      <w:spacing w:after="480"/>
      <w:jc w:val="center"/>
    </w:pPr>
    <w:rPr>
      <w:rFonts w:eastAsia="Times New Roman" w:cs="Times New Roman"/>
      <w:b/>
      <w:kern w:val="28"/>
      <w:sz w:val="48"/>
      <w:szCs w:val="20"/>
    </w:rPr>
  </w:style>
  <w:style w:type="character" w:customStyle="1" w:styleId="TitleChar">
    <w:name w:val="Title Char"/>
    <w:basedOn w:val="DefaultParagraphFont"/>
    <w:link w:val="Title"/>
    <w:uiPriority w:val="10"/>
    <w:rsid w:val="005B15B7"/>
    <w:rPr>
      <w:rFonts w:ascii="Times New Roman" w:eastAsia="Times New Roman" w:hAnsi="Times New Roman" w:cs="Times New Roman"/>
      <w:b/>
      <w:kern w:val="28"/>
      <w:sz w:val="48"/>
      <w:szCs w:val="20"/>
      <w:lang w:val="et-EE"/>
    </w:rPr>
  </w:style>
  <w:style w:type="paragraph" w:styleId="TOAHeading">
    <w:name w:val="toa heading"/>
    <w:basedOn w:val="Normal"/>
    <w:next w:val="Normal"/>
    <w:semiHidden/>
    <w:rsid w:val="005B15B7"/>
    <w:rPr>
      <w:rFonts w:ascii="Arial" w:eastAsia="Times New Roman" w:hAnsi="Arial" w:cs="Times New Roman"/>
      <w:b/>
      <w:sz w:val="24"/>
      <w:szCs w:val="20"/>
    </w:rPr>
  </w:style>
  <w:style w:type="paragraph" w:styleId="TOC1">
    <w:name w:val="toc 1"/>
    <w:basedOn w:val="Normal"/>
    <w:next w:val="Normal"/>
    <w:uiPriority w:val="39"/>
    <w:qFormat/>
    <w:rsid w:val="00FE0EC3"/>
    <w:pPr>
      <w:tabs>
        <w:tab w:val="right" w:leader="dot" w:pos="8640"/>
      </w:tabs>
      <w:ind w:left="482" w:right="720" w:hanging="482"/>
    </w:pPr>
    <w:rPr>
      <w:rFonts w:eastAsia="Times New Roman" w:cs="Times New Roman"/>
      <w:caps/>
      <w:sz w:val="20"/>
      <w:szCs w:val="20"/>
    </w:rPr>
  </w:style>
  <w:style w:type="paragraph" w:styleId="TOC2">
    <w:name w:val="toc 2"/>
    <w:basedOn w:val="Normal"/>
    <w:next w:val="Normal"/>
    <w:uiPriority w:val="39"/>
    <w:qFormat/>
    <w:rsid w:val="005B15B7"/>
    <w:pPr>
      <w:tabs>
        <w:tab w:val="right" w:leader="dot" w:pos="8640"/>
      </w:tabs>
      <w:spacing w:before="60" w:after="60"/>
      <w:ind w:left="482" w:right="720"/>
      <w:outlineLvl w:val="1"/>
    </w:pPr>
    <w:rPr>
      <w:rFonts w:ascii="Verdana" w:eastAsia="Times New Roman" w:hAnsi="Verdana" w:cs="Times New Roman"/>
      <w:sz w:val="20"/>
      <w:szCs w:val="20"/>
    </w:rPr>
  </w:style>
  <w:style w:type="paragraph" w:styleId="TOC3">
    <w:name w:val="toc 3"/>
    <w:basedOn w:val="Normal"/>
    <w:next w:val="Normal"/>
    <w:uiPriority w:val="39"/>
    <w:qFormat/>
    <w:rsid w:val="005B15B7"/>
    <w:pPr>
      <w:tabs>
        <w:tab w:val="right" w:leader="dot" w:pos="8640"/>
      </w:tabs>
      <w:spacing w:before="60" w:after="60"/>
      <w:ind w:left="2041" w:right="720" w:hanging="907"/>
    </w:pPr>
    <w:rPr>
      <w:rFonts w:ascii="Verdana" w:eastAsia="Times New Roman" w:hAnsi="Verdana" w:cs="Times New Roman"/>
      <w:sz w:val="20"/>
      <w:szCs w:val="20"/>
    </w:rPr>
  </w:style>
  <w:style w:type="paragraph" w:styleId="TOC4">
    <w:name w:val="toc 4"/>
    <w:basedOn w:val="Normal"/>
    <w:next w:val="Normal"/>
    <w:uiPriority w:val="39"/>
    <w:rsid w:val="005B15B7"/>
    <w:pPr>
      <w:tabs>
        <w:tab w:val="right" w:leader="dot" w:pos="8641"/>
      </w:tabs>
      <w:spacing w:before="60" w:after="60"/>
      <w:ind w:left="2880" w:right="720" w:hanging="964"/>
    </w:pPr>
    <w:rPr>
      <w:rFonts w:ascii="Verdana" w:eastAsia="Times New Roman" w:hAnsi="Verdana" w:cs="Times New Roman"/>
      <w:sz w:val="20"/>
      <w:szCs w:val="20"/>
    </w:rPr>
  </w:style>
  <w:style w:type="paragraph" w:styleId="TOC5">
    <w:name w:val="toc 5"/>
    <w:basedOn w:val="Normal"/>
    <w:next w:val="Normal"/>
    <w:uiPriority w:val="39"/>
    <w:rsid w:val="005B15B7"/>
    <w:pPr>
      <w:tabs>
        <w:tab w:val="right" w:leader="dot" w:pos="8641"/>
      </w:tabs>
      <w:spacing w:before="240"/>
      <w:ind w:right="720"/>
    </w:pPr>
    <w:rPr>
      <w:rFonts w:eastAsia="Times New Roman" w:cs="Times New Roman"/>
      <w:caps/>
      <w:sz w:val="24"/>
      <w:szCs w:val="20"/>
    </w:rPr>
  </w:style>
  <w:style w:type="paragraph" w:styleId="TOC6">
    <w:name w:val="toc 6"/>
    <w:basedOn w:val="Normal"/>
    <w:next w:val="Normal"/>
    <w:autoRedefine/>
    <w:semiHidden/>
    <w:rsid w:val="005B15B7"/>
    <w:pPr>
      <w:ind w:left="1200"/>
    </w:pPr>
    <w:rPr>
      <w:rFonts w:eastAsia="Times New Roman" w:cs="Times New Roman"/>
      <w:sz w:val="24"/>
      <w:szCs w:val="20"/>
    </w:rPr>
  </w:style>
  <w:style w:type="paragraph" w:styleId="TOC7">
    <w:name w:val="toc 7"/>
    <w:basedOn w:val="Normal"/>
    <w:next w:val="Normal"/>
    <w:autoRedefine/>
    <w:semiHidden/>
    <w:rsid w:val="005B15B7"/>
    <w:pPr>
      <w:ind w:left="1440"/>
    </w:pPr>
    <w:rPr>
      <w:rFonts w:eastAsia="Times New Roman" w:cs="Times New Roman"/>
      <w:sz w:val="24"/>
      <w:szCs w:val="20"/>
    </w:rPr>
  </w:style>
  <w:style w:type="paragraph" w:styleId="TOC8">
    <w:name w:val="toc 8"/>
    <w:basedOn w:val="Normal"/>
    <w:next w:val="Normal"/>
    <w:autoRedefine/>
    <w:semiHidden/>
    <w:rsid w:val="005B15B7"/>
    <w:pPr>
      <w:ind w:left="1680"/>
    </w:pPr>
    <w:rPr>
      <w:rFonts w:eastAsia="Times New Roman" w:cs="Times New Roman"/>
      <w:sz w:val="24"/>
      <w:szCs w:val="20"/>
    </w:rPr>
  </w:style>
  <w:style w:type="paragraph" w:styleId="TOC9">
    <w:name w:val="toc 9"/>
    <w:basedOn w:val="Normal"/>
    <w:next w:val="Normal"/>
    <w:autoRedefine/>
    <w:semiHidden/>
    <w:rsid w:val="005B15B7"/>
    <w:pPr>
      <w:ind w:left="1920"/>
    </w:pPr>
    <w:rPr>
      <w:rFonts w:eastAsia="Times New Roman" w:cs="Times New Roman"/>
      <w:sz w:val="24"/>
      <w:szCs w:val="20"/>
    </w:rPr>
  </w:style>
  <w:style w:type="paragraph" w:customStyle="1" w:styleId="YReferences">
    <w:name w:val="YReferences"/>
    <w:basedOn w:val="Normal"/>
    <w:next w:val="Normal"/>
    <w:rsid w:val="005B15B7"/>
    <w:pPr>
      <w:spacing w:after="480"/>
      <w:ind w:left="1531" w:hanging="1531"/>
    </w:pPr>
    <w:rPr>
      <w:rFonts w:eastAsia="Times New Roman" w:cs="Times New Roman"/>
      <w:sz w:val="24"/>
      <w:szCs w:val="20"/>
    </w:rPr>
  </w:style>
  <w:style w:type="paragraph" w:customStyle="1" w:styleId="ListBullet1">
    <w:name w:val="List Bullet 1"/>
    <w:basedOn w:val="Text1"/>
    <w:rsid w:val="005B15B7"/>
    <w:pPr>
      <w:numPr>
        <w:numId w:val="5"/>
      </w:numPr>
    </w:pPr>
  </w:style>
  <w:style w:type="paragraph" w:customStyle="1" w:styleId="ListDash">
    <w:name w:val="List Dash"/>
    <w:basedOn w:val="Normal"/>
    <w:rsid w:val="005B15B7"/>
    <w:pPr>
      <w:numPr>
        <w:numId w:val="9"/>
      </w:numPr>
    </w:pPr>
    <w:rPr>
      <w:rFonts w:eastAsia="Times New Roman" w:cs="Times New Roman"/>
      <w:sz w:val="24"/>
      <w:szCs w:val="20"/>
    </w:rPr>
  </w:style>
  <w:style w:type="paragraph" w:customStyle="1" w:styleId="ListDash1">
    <w:name w:val="List Dash 1"/>
    <w:basedOn w:val="Text1"/>
    <w:rsid w:val="005B15B7"/>
    <w:pPr>
      <w:numPr>
        <w:numId w:val="10"/>
      </w:numPr>
    </w:pPr>
  </w:style>
  <w:style w:type="paragraph" w:customStyle="1" w:styleId="ListDash2">
    <w:name w:val="List Dash 2"/>
    <w:basedOn w:val="Text2"/>
    <w:rsid w:val="005B15B7"/>
    <w:pPr>
      <w:numPr>
        <w:numId w:val="11"/>
      </w:numPr>
      <w:tabs>
        <w:tab w:val="clear" w:pos="2302"/>
      </w:tabs>
    </w:pPr>
  </w:style>
  <w:style w:type="paragraph" w:customStyle="1" w:styleId="ListDash3">
    <w:name w:val="List Dash 3"/>
    <w:basedOn w:val="Text3"/>
    <w:rsid w:val="005B15B7"/>
    <w:pPr>
      <w:numPr>
        <w:numId w:val="12"/>
      </w:numPr>
      <w:tabs>
        <w:tab w:val="clear" w:pos="2302"/>
      </w:tabs>
    </w:pPr>
  </w:style>
  <w:style w:type="paragraph" w:customStyle="1" w:styleId="ListDash4">
    <w:name w:val="List Dash 4"/>
    <w:basedOn w:val="Text4"/>
    <w:rsid w:val="005B15B7"/>
    <w:pPr>
      <w:numPr>
        <w:numId w:val="13"/>
      </w:numPr>
      <w:tabs>
        <w:tab w:val="clear" w:pos="2302"/>
      </w:tabs>
    </w:pPr>
  </w:style>
  <w:style w:type="paragraph" w:customStyle="1" w:styleId="ListNumberLevel2">
    <w:name w:val="List Number (Level 2)"/>
    <w:basedOn w:val="Normal"/>
    <w:rsid w:val="005B15B7"/>
    <w:pPr>
      <w:numPr>
        <w:ilvl w:val="1"/>
        <w:numId w:val="14"/>
      </w:numPr>
    </w:pPr>
    <w:rPr>
      <w:rFonts w:eastAsia="Times New Roman" w:cs="Times New Roman"/>
      <w:sz w:val="24"/>
      <w:szCs w:val="20"/>
    </w:rPr>
  </w:style>
  <w:style w:type="paragraph" w:customStyle="1" w:styleId="ListNumberLevel3">
    <w:name w:val="List Number (Level 3)"/>
    <w:basedOn w:val="Normal"/>
    <w:rsid w:val="005B15B7"/>
    <w:pPr>
      <w:numPr>
        <w:ilvl w:val="2"/>
        <w:numId w:val="14"/>
      </w:numPr>
    </w:pPr>
    <w:rPr>
      <w:rFonts w:eastAsia="Times New Roman" w:cs="Times New Roman"/>
      <w:sz w:val="24"/>
      <w:szCs w:val="20"/>
    </w:rPr>
  </w:style>
  <w:style w:type="paragraph" w:customStyle="1" w:styleId="ListNumberLevel4">
    <w:name w:val="List Number (Level 4)"/>
    <w:basedOn w:val="Normal"/>
    <w:rsid w:val="005B15B7"/>
    <w:pPr>
      <w:numPr>
        <w:ilvl w:val="3"/>
        <w:numId w:val="14"/>
      </w:numPr>
    </w:pPr>
    <w:rPr>
      <w:rFonts w:eastAsia="Times New Roman" w:cs="Times New Roman"/>
      <w:sz w:val="24"/>
      <w:szCs w:val="20"/>
    </w:rPr>
  </w:style>
  <w:style w:type="paragraph" w:customStyle="1" w:styleId="ListNumber1">
    <w:name w:val="List Number 1"/>
    <w:basedOn w:val="Text1"/>
    <w:rsid w:val="005B15B7"/>
    <w:pPr>
      <w:numPr>
        <w:numId w:val="15"/>
      </w:numPr>
    </w:pPr>
  </w:style>
  <w:style w:type="paragraph" w:customStyle="1" w:styleId="ListNumber1Level2">
    <w:name w:val="List Number 1 (Level 2)"/>
    <w:basedOn w:val="Text1"/>
    <w:rsid w:val="005B15B7"/>
    <w:pPr>
      <w:numPr>
        <w:ilvl w:val="1"/>
        <w:numId w:val="15"/>
      </w:numPr>
    </w:pPr>
  </w:style>
  <w:style w:type="paragraph" w:customStyle="1" w:styleId="ListNumber1Level3">
    <w:name w:val="List Number 1 (Level 3)"/>
    <w:basedOn w:val="Text1"/>
    <w:rsid w:val="005B15B7"/>
    <w:pPr>
      <w:numPr>
        <w:ilvl w:val="2"/>
        <w:numId w:val="15"/>
      </w:numPr>
    </w:pPr>
  </w:style>
  <w:style w:type="paragraph" w:customStyle="1" w:styleId="ListNumber1Level4">
    <w:name w:val="List Number 1 (Level 4)"/>
    <w:basedOn w:val="Text1"/>
    <w:rsid w:val="005B15B7"/>
    <w:pPr>
      <w:numPr>
        <w:ilvl w:val="3"/>
        <w:numId w:val="15"/>
      </w:numPr>
    </w:pPr>
  </w:style>
  <w:style w:type="paragraph" w:customStyle="1" w:styleId="ListNumber2Level2">
    <w:name w:val="List Number 2 (Level 2)"/>
    <w:basedOn w:val="Text2"/>
    <w:rsid w:val="005B15B7"/>
    <w:pPr>
      <w:numPr>
        <w:ilvl w:val="1"/>
        <w:numId w:val="16"/>
      </w:numPr>
      <w:tabs>
        <w:tab w:val="clear" w:pos="2302"/>
      </w:tabs>
    </w:pPr>
  </w:style>
  <w:style w:type="paragraph" w:customStyle="1" w:styleId="ListNumber2Level3">
    <w:name w:val="List Number 2 (Level 3)"/>
    <w:basedOn w:val="Text2"/>
    <w:rsid w:val="005B15B7"/>
    <w:pPr>
      <w:numPr>
        <w:ilvl w:val="2"/>
        <w:numId w:val="16"/>
      </w:numPr>
      <w:tabs>
        <w:tab w:val="clear" w:pos="2302"/>
      </w:tabs>
    </w:pPr>
  </w:style>
  <w:style w:type="paragraph" w:customStyle="1" w:styleId="ListNumber2Level4">
    <w:name w:val="List Number 2 (Level 4)"/>
    <w:basedOn w:val="Text2"/>
    <w:rsid w:val="005B15B7"/>
    <w:pPr>
      <w:numPr>
        <w:ilvl w:val="3"/>
        <w:numId w:val="16"/>
      </w:numPr>
      <w:tabs>
        <w:tab w:val="clear" w:pos="2302"/>
      </w:tabs>
    </w:pPr>
  </w:style>
  <w:style w:type="paragraph" w:customStyle="1" w:styleId="ListNumber3Level2">
    <w:name w:val="List Number 3 (Level 2)"/>
    <w:basedOn w:val="Text3"/>
    <w:rsid w:val="005B15B7"/>
    <w:pPr>
      <w:numPr>
        <w:ilvl w:val="1"/>
        <w:numId w:val="17"/>
      </w:numPr>
      <w:tabs>
        <w:tab w:val="clear" w:pos="2302"/>
      </w:tabs>
    </w:pPr>
  </w:style>
  <w:style w:type="paragraph" w:customStyle="1" w:styleId="ListNumber3Level3">
    <w:name w:val="List Number 3 (Level 3)"/>
    <w:basedOn w:val="Text3"/>
    <w:rsid w:val="005B15B7"/>
    <w:pPr>
      <w:numPr>
        <w:ilvl w:val="2"/>
        <w:numId w:val="17"/>
      </w:numPr>
      <w:tabs>
        <w:tab w:val="clear" w:pos="2302"/>
      </w:tabs>
    </w:pPr>
  </w:style>
  <w:style w:type="paragraph" w:customStyle="1" w:styleId="ListNumber3Level4">
    <w:name w:val="List Number 3 (Level 4)"/>
    <w:basedOn w:val="Text3"/>
    <w:rsid w:val="005B15B7"/>
    <w:pPr>
      <w:numPr>
        <w:ilvl w:val="3"/>
        <w:numId w:val="17"/>
      </w:numPr>
      <w:tabs>
        <w:tab w:val="clear" w:pos="2302"/>
      </w:tabs>
    </w:pPr>
  </w:style>
  <w:style w:type="paragraph" w:customStyle="1" w:styleId="ListNumber4Level2">
    <w:name w:val="List Number 4 (Level 2)"/>
    <w:basedOn w:val="Text4"/>
    <w:rsid w:val="005B15B7"/>
    <w:pPr>
      <w:numPr>
        <w:ilvl w:val="1"/>
        <w:numId w:val="18"/>
      </w:numPr>
      <w:tabs>
        <w:tab w:val="clear" w:pos="2302"/>
      </w:tabs>
    </w:pPr>
  </w:style>
  <w:style w:type="paragraph" w:customStyle="1" w:styleId="ListNumber4Level3">
    <w:name w:val="List Number 4 (Level 3)"/>
    <w:basedOn w:val="Text4"/>
    <w:rsid w:val="005B15B7"/>
    <w:pPr>
      <w:numPr>
        <w:ilvl w:val="2"/>
        <w:numId w:val="18"/>
      </w:numPr>
      <w:tabs>
        <w:tab w:val="clear" w:pos="2302"/>
      </w:tabs>
    </w:pPr>
  </w:style>
  <w:style w:type="paragraph" w:customStyle="1" w:styleId="ListNumber4Level4">
    <w:name w:val="List Number 4 (Level 4)"/>
    <w:basedOn w:val="Text4"/>
    <w:rsid w:val="005B15B7"/>
    <w:pPr>
      <w:numPr>
        <w:ilvl w:val="3"/>
        <w:numId w:val="18"/>
      </w:numPr>
      <w:tabs>
        <w:tab w:val="clear" w:pos="2302"/>
      </w:tabs>
    </w:pPr>
  </w:style>
  <w:style w:type="paragraph" w:customStyle="1" w:styleId="TOCHeading1">
    <w:name w:val="TOC Heading1"/>
    <w:basedOn w:val="Normal"/>
    <w:next w:val="Normal"/>
    <w:rsid w:val="005B15B7"/>
    <w:pPr>
      <w:keepNext/>
      <w:spacing w:before="240"/>
      <w:jc w:val="center"/>
    </w:pPr>
    <w:rPr>
      <w:rFonts w:eastAsia="Times New Roman" w:cs="Times New Roman"/>
      <w:b/>
      <w:sz w:val="24"/>
      <w:szCs w:val="20"/>
    </w:rPr>
  </w:style>
  <w:style w:type="paragraph" w:customStyle="1" w:styleId="Contact">
    <w:name w:val="Contact"/>
    <w:basedOn w:val="Normal"/>
    <w:next w:val="Normal"/>
    <w:rsid w:val="005B15B7"/>
    <w:pPr>
      <w:spacing w:after="480"/>
      <w:ind w:left="567" w:hanging="567"/>
    </w:pPr>
    <w:rPr>
      <w:rFonts w:eastAsia="Times New Roman" w:cs="Times New Roman"/>
      <w:sz w:val="24"/>
      <w:szCs w:val="20"/>
    </w:rPr>
  </w:style>
  <w:style w:type="paragraph" w:customStyle="1" w:styleId="ZCom">
    <w:name w:val="Z_Com"/>
    <w:basedOn w:val="Normal"/>
    <w:next w:val="ZDGName"/>
    <w:uiPriority w:val="99"/>
    <w:rsid w:val="005B15B7"/>
    <w:pPr>
      <w:widowControl w:val="0"/>
      <w:autoSpaceDE w:val="0"/>
      <w:autoSpaceDN w:val="0"/>
      <w:spacing w:after="0"/>
      <w:ind w:right="85"/>
    </w:pPr>
    <w:rPr>
      <w:rFonts w:ascii="Arial" w:eastAsia="Times New Roman" w:hAnsi="Arial" w:cs="Arial"/>
      <w:sz w:val="24"/>
      <w:szCs w:val="24"/>
      <w:lang w:eastAsia="en-GB"/>
    </w:rPr>
  </w:style>
  <w:style w:type="paragraph" w:customStyle="1" w:styleId="ZDGName">
    <w:name w:val="Z_DGName"/>
    <w:basedOn w:val="Normal"/>
    <w:uiPriority w:val="99"/>
    <w:rsid w:val="005B15B7"/>
    <w:pPr>
      <w:widowControl w:val="0"/>
      <w:autoSpaceDE w:val="0"/>
      <w:autoSpaceDN w:val="0"/>
      <w:spacing w:after="0"/>
      <w:ind w:right="85"/>
    </w:pPr>
    <w:rPr>
      <w:rFonts w:ascii="Arial" w:eastAsia="Times New Roman" w:hAnsi="Arial" w:cs="Arial"/>
      <w:sz w:val="16"/>
      <w:szCs w:val="16"/>
      <w:lang w:eastAsia="en-GB"/>
    </w:rPr>
  </w:style>
  <w:style w:type="character" w:styleId="FootnoteReference">
    <w:name w:val="footnote reference"/>
    <w:aliases w:val="Footnote Reference Superscript,Footnote symbol,Footnote call,Footnote Reference Superscript Char, Char Char1,BVI fnr Char,Footnote symbol Char, BVI fnr Char,SUPERS Char,Footnote reference number Char,note TESI Char,number Char"/>
    <w:uiPriority w:val="99"/>
    <w:qFormat/>
    <w:rsid w:val="005B15B7"/>
    <w:rPr>
      <w:vertAlign w:val="superscript"/>
    </w:rPr>
  </w:style>
  <w:style w:type="table" w:styleId="ColorfulGrid-Accent3">
    <w:name w:val="Colorful Grid Accent 3"/>
    <w:basedOn w:val="TableNormal"/>
    <w:uiPriority w:val="69"/>
    <w:rsid w:val="005B15B7"/>
    <w:pPr>
      <w:spacing w:after="0" w:line="240" w:lineRule="auto"/>
    </w:pPr>
    <w:rPr>
      <w:rFonts w:ascii="Verdana" w:eastAsia="Times New Roman" w:hAnsi="Verdana" w:cs="Times New Roman"/>
      <w:sz w:val="18"/>
      <w:szCs w:val="20"/>
      <w:lang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rsid w:val="005B15B7"/>
    <w:pPr>
      <w:jc w:val="center"/>
    </w:pPr>
    <w:rPr>
      <w:rFonts w:ascii="Verdana" w:eastAsia="Times New Roman" w:hAnsi="Verdana" w:cs="Times New Roman"/>
      <w:b/>
      <w:sz w:val="52"/>
      <w:szCs w:val="20"/>
    </w:rPr>
  </w:style>
  <w:style w:type="paragraph" w:customStyle="1" w:styleId="Footerapproval">
    <w:name w:val="Footer approval"/>
    <w:basedOn w:val="Footer"/>
    <w:link w:val="ApprovalfooterChar"/>
    <w:qFormat/>
    <w:rsid w:val="005B15B7"/>
    <w:pPr>
      <w:tabs>
        <w:tab w:val="clear" w:pos="4513"/>
        <w:tab w:val="clear" w:pos="9026"/>
        <w:tab w:val="left" w:pos="6804"/>
      </w:tabs>
      <w:spacing w:line="276" w:lineRule="auto"/>
      <w:ind w:right="-567"/>
    </w:pPr>
    <w:rPr>
      <w:rFonts w:ascii="Verdana" w:eastAsia="Times New Roman" w:hAnsi="Verdana" w:cs="Times New Roman"/>
      <w:sz w:val="13"/>
      <w:szCs w:val="20"/>
    </w:rPr>
  </w:style>
  <w:style w:type="character" w:customStyle="1" w:styleId="DocumentTitleChar">
    <w:name w:val="Document Title Char"/>
    <w:link w:val="DocumentTitle"/>
    <w:rsid w:val="005B15B7"/>
    <w:rPr>
      <w:rFonts w:ascii="Verdana" w:eastAsia="Times New Roman" w:hAnsi="Verdana" w:cs="Times New Roman"/>
      <w:b/>
      <w:sz w:val="52"/>
      <w:szCs w:val="20"/>
      <w:lang w:val="et-EE"/>
    </w:rPr>
  </w:style>
  <w:style w:type="paragraph" w:customStyle="1" w:styleId="FooterDate">
    <w:name w:val="Footer Date"/>
    <w:basedOn w:val="Footer"/>
    <w:link w:val="FooterDateChar"/>
    <w:rsid w:val="005B15B7"/>
    <w:pPr>
      <w:tabs>
        <w:tab w:val="clear" w:pos="4513"/>
        <w:tab w:val="clear" w:pos="9026"/>
        <w:tab w:val="right" w:pos="9240"/>
      </w:tabs>
      <w:spacing w:line="276" w:lineRule="auto"/>
      <w:ind w:right="-567"/>
    </w:pPr>
    <w:rPr>
      <w:rFonts w:ascii="Verdana" w:eastAsia="Times New Roman" w:hAnsi="Verdana" w:cs="Times New Roman"/>
      <w:sz w:val="16"/>
      <w:szCs w:val="20"/>
    </w:rPr>
  </w:style>
  <w:style w:type="character" w:customStyle="1" w:styleId="ApprovalfooterChar">
    <w:name w:val="Approval_footer Char"/>
    <w:basedOn w:val="FooterChar"/>
    <w:link w:val="Footerapproval"/>
    <w:rsid w:val="005B15B7"/>
    <w:rPr>
      <w:rFonts w:ascii="Verdana" w:eastAsia="Times New Roman" w:hAnsi="Verdana" w:cs="Times New Roman"/>
      <w:sz w:val="13"/>
      <w:szCs w:val="20"/>
      <w:lang w:val="et-EE"/>
    </w:rPr>
  </w:style>
  <w:style w:type="paragraph" w:customStyle="1" w:styleId="PageNumber1">
    <w:name w:val="Page Number1"/>
    <w:basedOn w:val="Footer"/>
    <w:link w:val="PagenumberChar"/>
    <w:rsid w:val="005B15B7"/>
    <w:pPr>
      <w:tabs>
        <w:tab w:val="clear" w:pos="4513"/>
        <w:tab w:val="clear" w:pos="9026"/>
        <w:tab w:val="right" w:pos="9240"/>
      </w:tabs>
      <w:spacing w:line="276" w:lineRule="auto"/>
      <w:ind w:right="-622"/>
    </w:pPr>
    <w:rPr>
      <w:rFonts w:ascii="Verdana" w:eastAsia="Times New Roman" w:hAnsi="Verdana" w:cs="Times New Roman"/>
      <w:sz w:val="16"/>
      <w:szCs w:val="20"/>
    </w:rPr>
  </w:style>
  <w:style w:type="character" w:customStyle="1" w:styleId="FooterDateChar">
    <w:name w:val="Footer Date Char"/>
    <w:link w:val="FooterDate"/>
    <w:rsid w:val="005B15B7"/>
    <w:rPr>
      <w:rFonts w:ascii="Verdana" w:eastAsia="Times New Roman" w:hAnsi="Verdana" w:cs="Times New Roman"/>
      <w:sz w:val="16"/>
      <w:szCs w:val="20"/>
      <w:lang w:val="et-EE"/>
    </w:rPr>
  </w:style>
  <w:style w:type="character" w:customStyle="1" w:styleId="PagenumberChar">
    <w:name w:val="Page number Char"/>
    <w:link w:val="PageNumber1"/>
    <w:rsid w:val="005B15B7"/>
    <w:rPr>
      <w:rFonts w:ascii="Verdana" w:eastAsia="Times New Roman" w:hAnsi="Verdana" w:cs="Times New Roman"/>
      <w:sz w:val="16"/>
      <w:szCs w:val="20"/>
      <w:lang w:val="et-EE"/>
    </w:rPr>
  </w:style>
  <w:style w:type="paragraph" w:customStyle="1" w:styleId="HeaderTitle">
    <w:name w:val="Header Title"/>
    <w:basedOn w:val="Normal"/>
    <w:link w:val="HeaderTitleChar"/>
    <w:rsid w:val="005B15B7"/>
    <w:pPr>
      <w:jc w:val="center"/>
    </w:pPr>
    <w:rPr>
      <w:rFonts w:ascii="Verdana" w:eastAsia="Times New Roman" w:hAnsi="Verdana" w:cs="Times New Roman"/>
      <w:b/>
      <w:color w:val="808080"/>
      <w:sz w:val="18"/>
      <w:szCs w:val="18"/>
    </w:rPr>
  </w:style>
  <w:style w:type="paragraph" w:customStyle="1" w:styleId="Bulletpoint1">
    <w:name w:val="Bullet point1"/>
    <w:basedOn w:val="NormalIndent"/>
    <w:link w:val="Bulletpoint1Char"/>
    <w:qFormat/>
    <w:rsid w:val="005B15B7"/>
    <w:pPr>
      <w:ind w:left="0"/>
    </w:pPr>
    <w:rPr>
      <w:rFonts w:ascii="Verdana" w:hAnsi="Verdana"/>
      <w:sz w:val="18"/>
    </w:rPr>
  </w:style>
  <w:style w:type="character" w:customStyle="1" w:styleId="HeaderTitleChar">
    <w:name w:val="Header Title Char"/>
    <w:link w:val="HeaderTitle"/>
    <w:rsid w:val="005B15B7"/>
    <w:rPr>
      <w:rFonts w:ascii="Verdana" w:eastAsia="Times New Roman" w:hAnsi="Verdana" w:cs="Times New Roman"/>
      <w:b/>
      <w:color w:val="808080"/>
      <w:sz w:val="18"/>
      <w:szCs w:val="18"/>
      <w:lang w:val="et-EE"/>
    </w:rPr>
  </w:style>
  <w:style w:type="paragraph" w:customStyle="1" w:styleId="Heading">
    <w:name w:val="Heading"/>
    <w:basedOn w:val="TOC1"/>
    <w:link w:val="HeadingChar"/>
    <w:qFormat/>
    <w:rsid w:val="005B15B7"/>
    <w:pPr>
      <w:widowControl w:val="0"/>
      <w:autoSpaceDE w:val="0"/>
      <w:autoSpaceDN w:val="0"/>
      <w:adjustRightInd w:val="0"/>
      <w:spacing w:after="0"/>
      <w:ind w:left="0" w:firstLine="0"/>
    </w:pPr>
    <w:rPr>
      <w:b/>
      <w:u w:val="single"/>
    </w:rPr>
  </w:style>
  <w:style w:type="character" w:customStyle="1" w:styleId="NormalIndentChar">
    <w:name w:val="Normal Indent Char"/>
    <w:link w:val="NormalIndent"/>
    <w:rsid w:val="005B15B7"/>
    <w:rPr>
      <w:rFonts w:ascii="Times New Roman" w:eastAsia="Times New Roman" w:hAnsi="Times New Roman" w:cs="Times New Roman"/>
      <w:sz w:val="24"/>
      <w:szCs w:val="20"/>
      <w:lang w:val="et-EE"/>
    </w:rPr>
  </w:style>
  <w:style w:type="character" w:customStyle="1" w:styleId="Bulletpoint1Char">
    <w:name w:val="Bullet point1 Char"/>
    <w:basedOn w:val="NormalIndentChar"/>
    <w:link w:val="Bulletpoint1"/>
    <w:rsid w:val="005B15B7"/>
    <w:rPr>
      <w:rFonts w:ascii="Verdana" w:eastAsia="Times New Roman" w:hAnsi="Verdana" w:cs="Times New Roman"/>
      <w:sz w:val="18"/>
      <w:szCs w:val="20"/>
      <w:lang w:val="et-EE"/>
    </w:rPr>
  </w:style>
  <w:style w:type="paragraph" w:customStyle="1" w:styleId="BulletPoint2">
    <w:name w:val="Bullet Point 2"/>
    <w:basedOn w:val="NormalIndent"/>
    <w:link w:val="BulletPoint2Char"/>
    <w:qFormat/>
    <w:rsid w:val="005B15B7"/>
    <w:pPr>
      <w:numPr>
        <w:numId w:val="19"/>
      </w:numPr>
      <w:ind w:left="1077" w:hanging="357"/>
    </w:pPr>
    <w:rPr>
      <w:rFonts w:ascii="Verdana" w:hAnsi="Verdana"/>
      <w:sz w:val="18"/>
    </w:rPr>
  </w:style>
  <w:style w:type="character" w:customStyle="1" w:styleId="HeadingChar">
    <w:name w:val="Heading Char"/>
    <w:link w:val="Heading"/>
    <w:rsid w:val="005B15B7"/>
    <w:rPr>
      <w:rFonts w:ascii="Verdana" w:eastAsia="Times New Roman" w:hAnsi="Verdana" w:cs="Times New Roman"/>
      <w:b/>
      <w:caps/>
      <w:sz w:val="20"/>
      <w:szCs w:val="20"/>
      <w:u w:val="single"/>
      <w:lang w:val="et-EE"/>
    </w:rPr>
  </w:style>
  <w:style w:type="character" w:customStyle="1" w:styleId="BulletPoint2Char">
    <w:name w:val="Bullet Point 2 Char"/>
    <w:link w:val="BulletPoint2"/>
    <w:rsid w:val="005B15B7"/>
    <w:rPr>
      <w:rFonts w:ascii="Verdana" w:eastAsia="Times New Roman" w:hAnsi="Verdana" w:cs="Times New Roman"/>
      <w:sz w:val="18"/>
      <w:szCs w:val="20"/>
      <w:lang w:val="et-EE"/>
    </w:rPr>
  </w:style>
  <w:style w:type="paragraph" w:customStyle="1" w:styleId="Heading20">
    <w:name w:val="Heading2"/>
    <w:basedOn w:val="Title2"/>
    <w:link w:val="Heading2Char0"/>
    <w:qFormat/>
    <w:rsid w:val="005B15B7"/>
    <w:pPr>
      <w:numPr>
        <w:numId w:val="0"/>
      </w:numPr>
    </w:pPr>
    <w:rPr>
      <w:rFonts w:ascii="Verdana" w:hAnsi="Verdana"/>
      <w:b/>
      <w:i/>
      <w:sz w:val="20"/>
    </w:rPr>
  </w:style>
  <w:style w:type="table" w:styleId="TableGrid">
    <w:name w:val="Table Grid"/>
    <w:aliases w:val="Document Table"/>
    <w:basedOn w:val="TableNormal"/>
    <w:uiPriority w:val="59"/>
    <w:rsid w:val="005B15B7"/>
    <w:pPr>
      <w:spacing w:after="0" w:line="240" w:lineRule="auto"/>
    </w:pPr>
    <w:rPr>
      <w:rFonts w:ascii="Verdana" w:eastAsia="Times New Roman" w:hAnsi="Verdana" w:cs="Times New Roman"/>
      <w:sz w:val="18"/>
      <w:szCs w:val="20"/>
      <w:lang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sid w:val="005B15B7"/>
    <w:rPr>
      <w:rFonts w:ascii="Verdana" w:eastAsia="Times New Roman" w:hAnsi="Verdana" w:cs="Times New Roman"/>
      <w:b/>
      <w:i/>
      <w:sz w:val="20"/>
      <w:szCs w:val="20"/>
      <w:lang w:val="et-EE"/>
    </w:rPr>
  </w:style>
  <w:style w:type="table" w:customStyle="1" w:styleId="Style1">
    <w:name w:val="Style1"/>
    <w:basedOn w:val="TableNormal"/>
    <w:rsid w:val="005B15B7"/>
    <w:pPr>
      <w:spacing w:after="0" w:line="240" w:lineRule="auto"/>
    </w:pPr>
    <w:rPr>
      <w:rFonts w:ascii="Times New Roman" w:eastAsia="Times New Roman" w:hAnsi="Times New Roman" w:cs="Times New Roman"/>
      <w:sz w:val="20"/>
      <w:szCs w:val="20"/>
      <w:lang w:eastAsia="nl-BE"/>
    </w:rPr>
    <w:tblPr/>
  </w:style>
  <w:style w:type="table" w:styleId="TableElegant">
    <w:name w:val="Table Elegant"/>
    <w:basedOn w:val="TableNormal"/>
    <w:rsid w:val="005B15B7"/>
    <w:pPr>
      <w:spacing w:after="240" w:line="240" w:lineRule="auto"/>
      <w:jc w:val="both"/>
    </w:pPr>
    <w:rPr>
      <w:rFonts w:ascii="Times New Roman" w:eastAsia="Times New Roman" w:hAnsi="Times New Roman" w:cs="Times New Roman"/>
      <w:sz w:val="20"/>
      <w:szCs w:val="20"/>
      <w:lang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5B15B7"/>
    <w:pPr>
      <w:spacing w:after="0"/>
    </w:pPr>
    <w:rPr>
      <w:i/>
      <w:noProof/>
      <w:sz w:val="13"/>
    </w:rPr>
  </w:style>
  <w:style w:type="character" w:customStyle="1" w:styleId="FooterDocumentChar">
    <w:name w:val="Footer Document Char"/>
    <w:link w:val="FooterDocument"/>
    <w:rsid w:val="005B15B7"/>
    <w:rPr>
      <w:rFonts w:ascii="Verdana" w:eastAsia="Times New Roman" w:hAnsi="Verdana" w:cs="Times New Roman"/>
      <w:i/>
      <w:noProof/>
      <w:sz w:val="13"/>
      <w:szCs w:val="20"/>
      <w:lang w:val="et-EE"/>
    </w:rPr>
  </w:style>
  <w:style w:type="paragraph" w:styleId="TOCHeading">
    <w:name w:val="TOC Heading"/>
    <w:basedOn w:val="Heading1"/>
    <w:next w:val="Normal"/>
    <w:uiPriority w:val="39"/>
    <w:unhideWhenUsed/>
    <w:qFormat/>
    <w:rsid w:val="005B15B7"/>
    <w:pPr>
      <w:keepLines/>
      <w:spacing w:before="480" w:after="0"/>
      <w:outlineLvl w:val="9"/>
    </w:pPr>
    <w:rPr>
      <w:rFonts w:asciiTheme="majorHAnsi" w:eastAsiaTheme="majorEastAsia" w:hAnsiTheme="majorHAnsi" w:cstheme="majorBidi"/>
      <w:bCs/>
      <w:smallCaps/>
      <w:color w:val="365F91" w:themeColor="accent1" w:themeShade="BF"/>
      <w:sz w:val="28"/>
      <w:szCs w:val="28"/>
    </w:rPr>
  </w:style>
  <w:style w:type="paragraph" w:customStyle="1" w:styleId="Title2">
    <w:name w:val="Title 2"/>
    <w:basedOn w:val="Normal"/>
    <w:rsid w:val="005B15B7"/>
    <w:pPr>
      <w:numPr>
        <w:numId w:val="20"/>
      </w:numPr>
    </w:pPr>
    <w:rPr>
      <w:rFonts w:eastAsia="Times New Roman" w:cs="Times New Roman"/>
      <w:sz w:val="24"/>
      <w:szCs w:val="20"/>
    </w:rPr>
  </w:style>
  <w:style w:type="paragraph" w:customStyle="1" w:styleId="Subtitle0">
    <w:name w:val="Subtitle_"/>
    <w:basedOn w:val="TOC2"/>
    <w:link w:val="SubtitleChar0"/>
    <w:qFormat/>
    <w:rsid w:val="005B15B7"/>
    <w:pPr>
      <w:ind w:left="0"/>
    </w:pPr>
    <w:rPr>
      <w:b/>
      <w:i/>
    </w:rPr>
  </w:style>
  <w:style w:type="character" w:customStyle="1" w:styleId="SubtitleChar0">
    <w:name w:val="Subtitle_ Char"/>
    <w:basedOn w:val="Heading2Char0"/>
    <w:link w:val="Subtitle0"/>
    <w:rsid w:val="005B15B7"/>
    <w:rPr>
      <w:rFonts w:ascii="Verdana" w:eastAsia="Times New Roman" w:hAnsi="Verdana" w:cs="Times New Roman"/>
      <w:b/>
      <w:i/>
      <w:sz w:val="20"/>
      <w:szCs w:val="20"/>
      <w:lang w:val="et-EE"/>
    </w:rPr>
  </w:style>
  <w:style w:type="paragraph" w:customStyle="1" w:styleId="Subtitlepublication">
    <w:name w:val="Subtitle publication"/>
    <w:basedOn w:val="Normal"/>
    <w:link w:val="SubtitlepublicationChar"/>
    <w:qFormat/>
    <w:rsid w:val="005B15B7"/>
    <w:pPr>
      <w:jc w:val="center"/>
    </w:pPr>
    <w:rPr>
      <w:rFonts w:ascii="Verdana" w:eastAsia="Times New Roman" w:hAnsi="Verdana" w:cs="Times New Roman"/>
      <w:b/>
      <w:i/>
      <w:color w:val="FF0000"/>
      <w:sz w:val="32"/>
      <w:szCs w:val="20"/>
    </w:rPr>
  </w:style>
  <w:style w:type="paragraph" w:customStyle="1" w:styleId="Editorname">
    <w:name w:val="Editor name"/>
    <w:basedOn w:val="Normal"/>
    <w:link w:val="EditornameChar"/>
    <w:qFormat/>
    <w:rsid w:val="005B15B7"/>
    <w:pPr>
      <w:jc w:val="center"/>
    </w:pPr>
    <w:rPr>
      <w:rFonts w:ascii="Verdana" w:eastAsia="Times New Roman" w:hAnsi="Verdana" w:cs="Times New Roman"/>
      <w:color w:val="FF0000"/>
      <w:sz w:val="24"/>
      <w:szCs w:val="20"/>
    </w:rPr>
  </w:style>
  <w:style w:type="character" w:customStyle="1" w:styleId="SubtitlepublicationChar">
    <w:name w:val="Subtitle publication Char"/>
    <w:basedOn w:val="DefaultParagraphFont"/>
    <w:link w:val="Subtitlepublication"/>
    <w:rsid w:val="005B15B7"/>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qFormat/>
    <w:rsid w:val="005B15B7"/>
    <w:rPr>
      <w:rFonts w:ascii="Verdana" w:eastAsia="Times New Roman" w:hAnsi="Verdana" w:cs="Times New Roman"/>
      <w:color w:val="FF0000"/>
      <w:sz w:val="24"/>
      <w:szCs w:val="20"/>
    </w:rPr>
  </w:style>
  <w:style w:type="character" w:customStyle="1" w:styleId="EditornameChar">
    <w:name w:val="Editor name Char"/>
    <w:basedOn w:val="DefaultParagraphFont"/>
    <w:link w:val="Editorname"/>
    <w:rsid w:val="005B15B7"/>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qFormat/>
    <w:rsid w:val="005B15B7"/>
    <w:pPr>
      <w:ind w:right="28"/>
    </w:pPr>
    <w:rPr>
      <w:rFonts w:ascii="Verdana" w:eastAsia="Times New Roman" w:hAnsi="Verdana" w:cs="Times New Roman"/>
      <w:i/>
      <w:color w:val="FF0000"/>
      <w:sz w:val="18"/>
      <w:szCs w:val="20"/>
    </w:rPr>
  </w:style>
  <w:style w:type="character" w:customStyle="1" w:styleId="BackcoversummaryChar">
    <w:name w:val="Backcover_summary Char"/>
    <w:basedOn w:val="DefaultParagraphFont"/>
    <w:link w:val="Backcoversummary"/>
    <w:rsid w:val="005B15B7"/>
    <w:rPr>
      <w:rFonts w:ascii="Verdana" w:eastAsia="Times New Roman" w:hAnsi="Verdana" w:cs="Times New Roman"/>
      <w:color w:val="FF0000"/>
      <w:sz w:val="24"/>
      <w:szCs w:val="20"/>
    </w:rPr>
  </w:style>
  <w:style w:type="character" w:customStyle="1" w:styleId="BackcovercategoryChar">
    <w:name w:val="Backcover_category Char"/>
    <w:basedOn w:val="DefaultParagraphFont"/>
    <w:link w:val="Backcovercategory"/>
    <w:rsid w:val="005B15B7"/>
    <w:rPr>
      <w:rFonts w:ascii="Verdana" w:eastAsia="Times New Roman" w:hAnsi="Verdana" w:cs="Times New Roman"/>
      <w:i/>
      <w:color w:val="FF0000"/>
      <w:sz w:val="18"/>
      <w:szCs w:val="20"/>
    </w:rPr>
  </w:style>
  <w:style w:type="paragraph" w:customStyle="1" w:styleId="SectionTitle0">
    <w:name w:val="Section Title"/>
    <w:basedOn w:val="Normal"/>
    <w:next w:val="Normal"/>
    <w:rsid w:val="005B15B7"/>
    <w:pPr>
      <w:keepNext/>
      <w:spacing w:before="1080"/>
      <w:ind w:left="992" w:hanging="992"/>
    </w:pPr>
    <w:rPr>
      <w:rFonts w:ascii="Century Gothic" w:eastAsia="Times New Roman" w:hAnsi="Century Gothic" w:cs="Times New Roman"/>
      <w:caps/>
      <w:color w:val="333399"/>
      <w:sz w:val="28"/>
      <w:szCs w:val="24"/>
      <w:lang w:eastAsia="en-GB"/>
    </w:rPr>
  </w:style>
  <w:style w:type="paragraph" w:styleId="ListParagraph">
    <w:name w:val="List Paragraph"/>
    <w:basedOn w:val="Normal"/>
    <w:uiPriority w:val="34"/>
    <w:qFormat/>
    <w:rsid w:val="005B15B7"/>
    <w:pPr>
      <w:ind w:left="720"/>
      <w:contextualSpacing/>
    </w:pPr>
    <w:rPr>
      <w:rFonts w:eastAsia="Times New Roman" w:cs="Times New Roman"/>
      <w:sz w:val="24"/>
      <w:szCs w:val="20"/>
    </w:rPr>
  </w:style>
  <w:style w:type="paragraph" w:styleId="Revision">
    <w:name w:val="Revision"/>
    <w:hidden/>
    <w:uiPriority w:val="99"/>
    <w:semiHidden/>
    <w:rsid w:val="005B15B7"/>
    <w:pPr>
      <w:spacing w:after="0" w:line="240" w:lineRule="auto"/>
    </w:pPr>
    <w:rPr>
      <w:rFonts w:ascii="Calibri" w:eastAsia="Calibri" w:hAnsi="Calibri" w:cs="Times New Roman"/>
    </w:rPr>
  </w:style>
  <w:style w:type="paragraph" w:customStyle="1" w:styleId="Default">
    <w:name w:val="Default"/>
    <w:rsid w:val="005B15B7"/>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uiPriority w:val="22"/>
    <w:qFormat/>
    <w:rsid w:val="005B15B7"/>
    <w:rPr>
      <w:b/>
      <w:bCs/>
    </w:rPr>
  </w:style>
  <w:style w:type="paragraph" w:styleId="NormalWeb">
    <w:name w:val="Normal (Web)"/>
    <w:basedOn w:val="Normal"/>
    <w:uiPriority w:val="99"/>
    <w:unhideWhenUsed/>
    <w:rsid w:val="005B15B7"/>
    <w:pPr>
      <w:spacing w:after="0"/>
    </w:pPr>
    <w:rPr>
      <w:rFonts w:eastAsia="Calibri" w:cs="Times New Roman"/>
      <w:sz w:val="24"/>
      <w:szCs w:val="24"/>
      <w:lang w:eastAsia="en-GB"/>
    </w:rPr>
  </w:style>
  <w:style w:type="character" w:styleId="BookTitle">
    <w:name w:val="Book Title"/>
    <w:uiPriority w:val="33"/>
    <w:qFormat/>
    <w:rsid w:val="005B15B7"/>
    <w:rPr>
      <w:b/>
      <w:bCs/>
      <w:smallCaps/>
      <w:spacing w:val="5"/>
      <w:lang w:val="et-EE"/>
    </w:rPr>
  </w:style>
  <w:style w:type="character" w:customStyle="1" w:styleId="hps">
    <w:name w:val="hps"/>
    <w:rsid w:val="005B15B7"/>
  </w:style>
  <w:style w:type="character" w:customStyle="1" w:styleId="shorttext">
    <w:name w:val="short_text"/>
    <w:rsid w:val="005B15B7"/>
  </w:style>
  <w:style w:type="character" w:customStyle="1" w:styleId="st">
    <w:name w:val="st"/>
    <w:rsid w:val="005B15B7"/>
  </w:style>
  <w:style w:type="paragraph" w:customStyle="1" w:styleId="Abs15">
    <w:name w:val="Abs15"/>
    <w:basedOn w:val="Normal"/>
    <w:rsid w:val="005B15B7"/>
    <w:pPr>
      <w:spacing w:after="0" w:line="300" w:lineRule="auto"/>
    </w:pPr>
    <w:rPr>
      <w:rFonts w:eastAsia="Times New Roman" w:cs="Times New Roman"/>
      <w:sz w:val="24"/>
      <w:szCs w:val="20"/>
      <w:lang w:eastAsia="de-DE"/>
    </w:rPr>
  </w:style>
  <w:style w:type="character" w:styleId="Emphasis">
    <w:name w:val="Emphasis"/>
    <w:uiPriority w:val="20"/>
    <w:qFormat/>
    <w:rsid w:val="005B15B7"/>
    <w:rPr>
      <w:i/>
      <w:iCs/>
    </w:rPr>
  </w:style>
  <w:style w:type="paragraph" w:customStyle="1" w:styleId="astandard3520normal">
    <w:name w:val="a_standard__35__20_normal"/>
    <w:basedOn w:val="Normal"/>
    <w:rsid w:val="005B15B7"/>
    <w:pPr>
      <w:spacing w:before="100" w:beforeAutospacing="1" w:after="100" w:afterAutospacing="1"/>
    </w:pPr>
    <w:rPr>
      <w:rFonts w:eastAsia="Times New Roman" w:cs="Times New Roman"/>
      <w:sz w:val="24"/>
      <w:szCs w:val="24"/>
      <w:lang w:eastAsia="en-GB"/>
    </w:rPr>
  </w:style>
  <w:style w:type="paragraph" w:customStyle="1" w:styleId="astandardsous-titre201">
    <w:name w:val="a_standard_sous-titre_20_1"/>
    <w:basedOn w:val="Normal"/>
    <w:rsid w:val="005B15B7"/>
    <w:pPr>
      <w:spacing w:before="100" w:beforeAutospacing="1" w:after="100" w:afterAutospacing="1"/>
    </w:pPr>
    <w:rPr>
      <w:rFonts w:eastAsia="Times New Roman" w:cs="Times New Roman"/>
      <w:sz w:val="24"/>
      <w:szCs w:val="24"/>
      <w:lang w:eastAsia="en-GB"/>
    </w:rPr>
  </w:style>
  <w:style w:type="paragraph" w:customStyle="1" w:styleId="Boxfinal">
    <w:name w:val="Box_final"/>
    <w:basedOn w:val="Normal"/>
    <w:link w:val="BoxfinalChar"/>
    <w:qFormat/>
    <w:rsid w:val="005B15B7"/>
    <w:pPr>
      <w:spacing w:after="0"/>
      <w:jc w:val="center"/>
    </w:pPr>
    <w:rPr>
      <w:rFonts w:eastAsia="Times New Roman" w:cs="Times New Roman"/>
      <w:b/>
      <w:bCs/>
      <w:color w:val="000000"/>
      <w:szCs w:val="18"/>
    </w:rPr>
  </w:style>
  <w:style w:type="character" w:customStyle="1" w:styleId="BoxfinalChar">
    <w:name w:val="Box_final Char"/>
    <w:link w:val="Boxfinal"/>
    <w:rsid w:val="005B15B7"/>
    <w:rPr>
      <w:rFonts w:ascii="Times New Roman" w:eastAsia="Times New Roman" w:hAnsi="Times New Roman" w:cs="Times New Roman"/>
      <w:b/>
      <w:bCs/>
      <w:color w:val="000000"/>
      <w:szCs w:val="18"/>
      <w:lang w:val="et-EE"/>
    </w:rPr>
  </w:style>
  <w:style w:type="paragraph" w:customStyle="1" w:styleId="Figuresfinal">
    <w:name w:val="Figures_final"/>
    <w:basedOn w:val="Normal"/>
    <w:link w:val="FiguresfinalChar"/>
    <w:autoRedefine/>
    <w:qFormat/>
    <w:rsid w:val="005B15B7"/>
    <w:pPr>
      <w:overflowPunct w:val="0"/>
      <w:autoSpaceDE w:val="0"/>
      <w:autoSpaceDN w:val="0"/>
      <w:adjustRightInd w:val="0"/>
      <w:spacing w:after="0"/>
      <w:ind w:firstLine="227"/>
      <w:jc w:val="center"/>
      <w:textAlignment w:val="baseline"/>
    </w:pPr>
    <w:rPr>
      <w:rFonts w:eastAsia="Times New Roman" w:cs="Times New Roman"/>
      <w:b/>
      <w:sz w:val="18"/>
      <w:szCs w:val="20"/>
      <w:lang w:eastAsia="de-DE"/>
    </w:rPr>
  </w:style>
  <w:style w:type="character" w:customStyle="1" w:styleId="FiguresfinalChar">
    <w:name w:val="Figures_final Char"/>
    <w:link w:val="Figuresfinal"/>
    <w:rsid w:val="005B15B7"/>
    <w:rPr>
      <w:rFonts w:ascii="Times New Roman" w:eastAsia="Times New Roman" w:hAnsi="Times New Roman" w:cs="Times New Roman"/>
      <w:b/>
      <w:sz w:val="18"/>
      <w:szCs w:val="20"/>
      <w:lang w:val="et-EE" w:eastAsia="de-DE"/>
    </w:rPr>
  </w:style>
  <w:style w:type="paragraph" w:styleId="NoSpacing">
    <w:name w:val="No Spacing"/>
    <w:link w:val="NoSpacingChar"/>
    <w:uiPriority w:val="1"/>
    <w:qFormat/>
    <w:rsid w:val="005B15B7"/>
    <w:pPr>
      <w:spacing w:after="0" w:line="240" w:lineRule="auto"/>
    </w:pPr>
    <w:rPr>
      <w:rFonts w:ascii="Calibri" w:eastAsia="Calibri" w:hAnsi="Calibri" w:cs="Times New Roman"/>
    </w:rPr>
  </w:style>
  <w:style w:type="character" w:styleId="FollowedHyperlink">
    <w:name w:val="FollowedHyperlink"/>
    <w:uiPriority w:val="99"/>
    <w:semiHidden/>
    <w:unhideWhenUsed/>
    <w:rsid w:val="005B15B7"/>
    <w:rPr>
      <w:color w:val="800080"/>
      <w:u w:val="single"/>
    </w:rPr>
  </w:style>
  <w:style w:type="character" w:customStyle="1" w:styleId="plainlinksneverexpand">
    <w:name w:val="plainlinksneverexpand"/>
    <w:rsid w:val="005B15B7"/>
  </w:style>
  <w:style w:type="paragraph" w:customStyle="1" w:styleId="CM1">
    <w:name w:val="CM1"/>
    <w:basedOn w:val="Default"/>
    <w:next w:val="Default"/>
    <w:uiPriority w:val="99"/>
    <w:rsid w:val="005B15B7"/>
    <w:rPr>
      <w:rFonts w:ascii="Times New Roman" w:eastAsia="Calibri" w:hAnsi="Times New Roman" w:cs="Times New Roman"/>
      <w:color w:val="auto"/>
      <w:lang w:eastAsia="en-GB"/>
    </w:rPr>
  </w:style>
  <w:style w:type="paragraph" w:customStyle="1" w:styleId="CM3">
    <w:name w:val="CM3"/>
    <w:basedOn w:val="Default"/>
    <w:next w:val="Default"/>
    <w:uiPriority w:val="99"/>
    <w:rsid w:val="005B15B7"/>
    <w:rPr>
      <w:rFonts w:ascii="Times New Roman" w:eastAsia="Calibri" w:hAnsi="Times New Roman" w:cs="Times New Roman"/>
      <w:color w:val="auto"/>
      <w:lang w:eastAsia="en-GB"/>
    </w:rPr>
  </w:style>
  <w:style w:type="paragraph" w:customStyle="1" w:styleId="CM4">
    <w:name w:val="CM4"/>
    <w:basedOn w:val="Default"/>
    <w:next w:val="Default"/>
    <w:uiPriority w:val="99"/>
    <w:rsid w:val="005B15B7"/>
    <w:rPr>
      <w:rFonts w:ascii="Times New Roman" w:eastAsia="Calibri" w:hAnsi="Times New Roman" w:cs="Times New Roman"/>
      <w:color w:val="auto"/>
      <w:lang w:eastAsia="en-GB"/>
    </w:rPr>
  </w:style>
  <w:style w:type="paragraph" w:styleId="CommentSubject">
    <w:name w:val="annotation subject"/>
    <w:basedOn w:val="CommentText"/>
    <w:next w:val="CommentText"/>
    <w:link w:val="CommentSubjectChar"/>
    <w:uiPriority w:val="99"/>
    <w:semiHidden/>
    <w:unhideWhenUsed/>
    <w:rsid w:val="005B15B7"/>
    <w:rPr>
      <w:rFonts w:ascii="Calibri" w:eastAsia="Calibri" w:hAnsi="Calibri"/>
      <w:b/>
      <w:bCs/>
    </w:rPr>
  </w:style>
  <w:style w:type="character" w:customStyle="1" w:styleId="CommentSubjectChar">
    <w:name w:val="Comment Subject Char"/>
    <w:basedOn w:val="CommentTextChar1"/>
    <w:link w:val="CommentSubject"/>
    <w:uiPriority w:val="99"/>
    <w:semiHidden/>
    <w:rsid w:val="005B15B7"/>
    <w:rPr>
      <w:rFonts w:ascii="Calibri" w:eastAsia="Calibri" w:hAnsi="Calibri" w:cs="Times New Roman"/>
      <w:b/>
      <w:bCs/>
      <w:sz w:val="20"/>
      <w:szCs w:val="20"/>
      <w:lang w:val="et-EE"/>
    </w:rPr>
  </w:style>
  <w:style w:type="character" w:customStyle="1" w:styleId="A0">
    <w:name w:val="A0"/>
    <w:uiPriority w:val="99"/>
    <w:rsid w:val="005B15B7"/>
    <w:rPr>
      <w:rFonts w:cs="Minion Pro"/>
      <w:b/>
      <w:bCs/>
      <w:color w:val="000000"/>
      <w:sz w:val="118"/>
      <w:szCs w:val="118"/>
    </w:rPr>
  </w:style>
  <w:style w:type="character" w:customStyle="1" w:styleId="A1">
    <w:name w:val="A1"/>
    <w:uiPriority w:val="99"/>
    <w:rsid w:val="005B15B7"/>
    <w:rPr>
      <w:rFonts w:cs="Minion Pro"/>
      <w:b/>
      <w:bCs/>
      <w:color w:val="000000"/>
      <w:sz w:val="160"/>
      <w:szCs w:val="160"/>
    </w:rPr>
  </w:style>
  <w:style w:type="paragraph" w:customStyle="1" w:styleId="Pa21">
    <w:name w:val="Pa21"/>
    <w:basedOn w:val="Default"/>
    <w:next w:val="Default"/>
    <w:uiPriority w:val="99"/>
    <w:rsid w:val="005B15B7"/>
    <w:pPr>
      <w:spacing w:line="201" w:lineRule="atLeast"/>
    </w:pPr>
    <w:rPr>
      <w:rFonts w:ascii="Minion Pro" w:eastAsia="Calibri" w:hAnsi="Minion Pro" w:cs="Times New Roman"/>
      <w:color w:val="auto"/>
      <w:lang w:eastAsia="en-GB"/>
    </w:rPr>
  </w:style>
  <w:style w:type="character" w:customStyle="1" w:styleId="A3">
    <w:name w:val="A3"/>
    <w:uiPriority w:val="99"/>
    <w:rsid w:val="005B15B7"/>
    <w:rPr>
      <w:rFonts w:ascii="Myriad Pro Light" w:hAnsi="Myriad Pro Light" w:cs="Myriad Pro Light"/>
      <w:b/>
      <w:bCs/>
      <w:color w:val="000000"/>
      <w:sz w:val="19"/>
      <w:szCs w:val="19"/>
    </w:rPr>
  </w:style>
  <w:style w:type="paragraph" w:customStyle="1" w:styleId="Pa20">
    <w:name w:val="Pa20"/>
    <w:basedOn w:val="Default"/>
    <w:next w:val="Default"/>
    <w:uiPriority w:val="99"/>
    <w:rsid w:val="005B15B7"/>
    <w:pPr>
      <w:spacing w:line="281" w:lineRule="atLeast"/>
    </w:pPr>
    <w:rPr>
      <w:rFonts w:ascii="Myriad Pro" w:eastAsia="Calibri" w:hAnsi="Myriad Pro" w:cs="Times New Roman"/>
      <w:color w:val="auto"/>
      <w:lang w:eastAsia="en-GB"/>
    </w:rPr>
  </w:style>
  <w:style w:type="paragraph" w:customStyle="1" w:styleId="Pa23">
    <w:name w:val="Pa23"/>
    <w:basedOn w:val="Default"/>
    <w:next w:val="Default"/>
    <w:uiPriority w:val="99"/>
    <w:rsid w:val="005B15B7"/>
    <w:pPr>
      <w:spacing w:line="201" w:lineRule="atLeast"/>
    </w:pPr>
    <w:rPr>
      <w:rFonts w:ascii="Myriad Pro" w:eastAsia="Calibri" w:hAnsi="Myriad Pro" w:cs="Times New Roman"/>
      <w:color w:val="auto"/>
      <w:lang w:eastAsia="en-GB"/>
    </w:rPr>
  </w:style>
  <w:style w:type="paragraph" w:customStyle="1" w:styleId="Pa26">
    <w:name w:val="Pa26"/>
    <w:basedOn w:val="Default"/>
    <w:next w:val="Default"/>
    <w:uiPriority w:val="99"/>
    <w:rsid w:val="005B15B7"/>
    <w:pPr>
      <w:spacing w:line="201" w:lineRule="atLeast"/>
    </w:pPr>
    <w:rPr>
      <w:rFonts w:ascii="Myriad Pro" w:eastAsia="Calibri" w:hAnsi="Myriad Pro" w:cs="Times New Roman"/>
      <w:color w:val="auto"/>
      <w:lang w:eastAsia="en-GB"/>
    </w:rPr>
  </w:style>
  <w:style w:type="paragraph" w:customStyle="1" w:styleId="Pa5">
    <w:name w:val="Pa5"/>
    <w:basedOn w:val="Default"/>
    <w:next w:val="Default"/>
    <w:uiPriority w:val="99"/>
    <w:rsid w:val="005B15B7"/>
    <w:pPr>
      <w:spacing w:line="201" w:lineRule="atLeast"/>
    </w:pPr>
    <w:rPr>
      <w:rFonts w:ascii="HMRCModena Light" w:eastAsia="Calibri" w:hAnsi="HMRCModena Light" w:cs="Times New Roman"/>
      <w:color w:val="auto"/>
      <w:lang w:eastAsia="en-GB"/>
    </w:rPr>
  </w:style>
  <w:style w:type="paragraph" w:customStyle="1" w:styleId="Table1">
    <w:name w:val="Table1"/>
    <w:basedOn w:val="Figuresfinal"/>
    <w:link w:val="Table1Char"/>
    <w:qFormat/>
    <w:rsid w:val="005B15B7"/>
  </w:style>
  <w:style w:type="character" w:customStyle="1" w:styleId="NoSpacingChar">
    <w:name w:val="No Spacing Char"/>
    <w:link w:val="NoSpacing"/>
    <w:uiPriority w:val="1"/>
    <w:rsid w:val="005B15B7"/>
    <w:rPr>
      <w:rFonts w:ascii="Calibri" w:eastAsia="Calibri" w:hAnsi="Calibri" w:cs="Times New Roman"/>
    </w:rPr>
  </w:style>
  <w:style w:type="character" w:customStyle="1" w:styleId="Table1Char">
    <w:name w:val="Table1 Char"/>
    <w:basedOn w:val="FiguresfinalChar"/>
    <w:link w:val="Table1"/>
    <w:rsid w:val="005B15B7"/>
    <w:rPr>
      <w:rFonts w:ascii="Times New Roman" w:eastAsia="Times New Roman" w:hAnsi="Times New Roman" w:cs="Times New Roman"/>
      <w:b/>
      <w:sz w:val="18"/>
      <w:szCs w:val="20"/>
      <w:lang w:val="et-EE" w:eastAsia="de-DE"/>
    </w:rPr>
  </w:style>
  <w:style w:type="character" w:customStyle="1" w:styleId="apple-converted-space">
    <w:name w:val="apple-converted-space"/>
    <w:rsid w:val="005B15B7"/>
  </w:style>
  <w:style w:type="paragraph" w:customStyle="1" w:styleId="FirstParagraph">
    <w:name w:val="First Paragraph"/>
    <w:basedOn w:val="BodyText"/>
    <w:next w:val="BodyText"/>
    <w:rsid w:val="005B15B7"/>
    <w:pPr>
      <w:spacing w:before="180" w:after="180"/>
    </w:pPr>
    <w:rPr>
      <w:rFonts w:ascii="Century Gothic" w:hAnsi="Century Gothic"/>
      <w:sz w:val="20"/>
    </w:rPr>
  </w:style>
  <w:style w:type="character" w:customStyle="1" w:styleId="CaptionChar">
    <w:name w:val="Caption Char"/>
    <w:link w:val="Caption"/>
    <w:uiPriority w:val="35"/>
    <w:rsid w:val="00FE0EC3"/>
    <w:rPr>
      <w:rFonts w:ascii="Times New Roman" w:eastAsiaTheme="minorEastAsia" w:hAnsi="Times New Roman" w:cs="Times New Roman"/>
      <w:b/>
      <w:bCs/>
      <w:noProof/>
      <w:sz w:val="20"/>
      <w:szCs w:val="20"/>
      <w:lang w:eastAsia="en-GB"/>
    </w:rPr>
  </w:style>
  <w:style w:type="table" w:customStyle="1" w:styleId="GridTable4-Accent11">
    <w:name w:val="Grid Table 4 - Accent 11"/>
    <w:basedOn w:val="TableNormal"/>
    <w:uiPriority w:val="49"/>
    <w:rsid w:val="005B15B7"/>
    <w:pPr>
      <w:spacing w:before="100" w:after="0" w:line="240" w:lineRule="auto"/>
    </w:pPr>
    <w:rPr>
      <w:rFonts w:ascii="Century Gothic" w:eastAsia="Times New Roman" w:hAnsi="Century Gothic" w:cs="Times New Roman"/>
      <w:sz w:val="20"/>
      <w:szCs w:val="20"/>
    </w:rPr>
    <w:tblPr>
      <w:tblStyleRowBandSize w:val="1"/>
      <w:tblStyleColBandSize w:val="1"/>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Pr>
    <w:tblStylePr w:type="firstRow">
      <w:rPr>
        <w:b/>
        <w:bCs/>
        <w:color w:val="FFFFFF"/>
      </w:rPr>
      <w:tblPr/>
      <w:tcPr>
        <w:tcBorders>
          <w:top w:val="single" w:sz="4" w:space="0" w:color="6F6F6F"/>
          <w:left w:val="single" w:sz="4" w:space="0" w:color="6F6F6F"/>
          <w:bottom w:val="single" w:sz="4" w:space="0" w:color="6F6F6F"/>
          <w:right w:val="single" w:sz="4" w:space="0" w:color="6F6F6F"/>
          <w:insideH w:val="nil"/>
          <w:insideV w:val="nil"/>
        </w:tcBorders>
        <w:shd w:val="clear" w:color="auto" w:fill="6F6F6F"/>
      </w:tcPr>
    </w:tblStylePr>
    <w:tblStylePr w:type="lastRow">
      <w:rPr>
        <w:b/>
        <w:bCs/>
      </w:rPr>
      <w:tblPr/>
      <w:tcPr>
        <w:tcBorders>
          <w:top w:val="double" w:sz="4" w:space="0" w:color="6F6F6F"/>
        </w:tcBorders>
      </w:tcPr>
    </w:tblStylePr>
    <w:tblStylePr w:type="firstCol">
      <w:rPr>
        <w:b/>
        <w:bCs/>
      </w:rPr>
    </w:tblStylePr>
    <w:tblStylePr w:type="lastCol">
      <w:rPr>
        <w:b/>
        <w:bCs/>
      </w:rPr>
    </w:tblStylePr>
    <w:tblStylePr w:type="band1Vert">
      <w:tblPr/>
      <w:tcPr>
        <w:shd w:val="clear" w:color="auto" w:fill="E2E2E2"/>
      </w:tcPr>
    </w:tblStylePr>
    <w:tblStylePr w:type="band1Horz">
      <w:tblPr/>
      <w:tcPr>
        <w:shd w:val="clear" w:color="auto" w:fill="E2E2E2"/>
      </w:tcPr>
    </w:tblStylePr>
  </w:style>
  <w:style w:type="paragraph" w:customStyle="1" w:styleId="Alaotsikko1">
    <w:name w:val="Alaotsikko1"/>
    <w:basedOn w:val="Normal"/>
    <w:link w:val="AlaotsikkoChar"/>
    <w:qFormat/>
    <w:rsid w:val="005B15B7"/>
    <w:rPr>
      <w:rFonts w:ascii="Arial" w:eastAsia="Arial" w:hAnsi="Arial" w:cs="Times New Roman"/>
      <w:b/>
      <w:caps/>
      <w:color w:val="FF9933"/>
      <w:sz w:val="24"/>
      <w:szCs w:val="24"/>
      <w:u w:color="FFC000"/>
    </w:rPr>
  </w:style>
  <w:style w:type="character" w:customStyle="1" w:styleId="AlaotsikkoChar">
    <w:name w:val="Alaotsikko Char"/>
    <w:link w:val="Alaotsikko1"/>
    <w:rsid w:val="005B15B7"/>
    <w:rPr>
      <w:rFonts w:ascii="Arial" w:eastAsia="Arial" w:hAnsi="Arial" w:cs="Times New Roman"/>
      <w:b/>
      <w:caps/>
      <w:color w:val="FF9933"/>
      <w:sz w:val="24"/>
      <w:szCs w:val="24"/>
      <w:u w:color="FFC000"/>
      <w:lang w:val="et-EE"/>
    </w:rPr>
  </w:style>
  <w:style w:type="paragraph" w:customStyle="1" w:styleId="Etusivunotsikko">
    <w:name w:val="Etusivun otsikko"/>
    <w:basedOn w:val="Normal"/>
    <w:link w:val="EtusivunotsikkoChar"/>
    <w:qFormat/>
    <w:rsid w:val="005B15B7"/>
    <w:pPr>
      <w:spacing w:line="440" w:lineRule="exact"/>
    </w:pPr>
    <w:rPr>
      <w:rFonts w:ascii="Arial" w:eastAsia="Arial" w:hAnsi="Arial" w:cs="Times New Roman"/>
      <w:b/>
      <w:caps/>
      <w:color w:val="262626"/>
      <w:sz w:val="40"/>
    </w:rPr>
  </w:style>
  <w:style w:type="character" w:customStyle="1" w:styleId="EtusivunotsikkoChar">
    <w:name w:val="Etusivun otsikko Char"/>
    <w:link w:val="Etusivunotsikko"/>
    <w:rsid w:val="005B15B7"/>
    <w:rPr>
      <w:rFonts w:ascii="Arial" w:eastAsia="Arial" w:hAnsi="Arial" w:cs="Times New Roman"/>
      <w:b/>
      <w:caps/>
      <w:color w:val="262626"/>
      <w:sz w:val="40"/>
      <w:lang w:val="et-EE"/>
    </w:rPr>
  </w:style>
  <w:style w:type="paragraph" w:customStyle="1" w:styleId="rNormaali">
    <w:name w:val="r Normaali"/>
    <w:basedOn w:val="Normal"/>
    <w:link w:val="rNormaaliChar"/>
    <w:rsid w:val="005B15B7"/>
    <w:pPr>
      <w:overflowPunct w:val="0"/>
      <w:autoSpaceDE w:val="0"/>
      <w:autoSpaceDN w:val="0"/>
      <w:adjustRightInd w:val="0"/>
      <w:spacing w:after="0"/>
      <w:textAlignment w:val="baseline"/>
    </w:pPr>
    <w:rPr>
      <w:rFonts w:ascii="Verdana" w:eastAsia="Times New Roman" w:hAnsi="Verdana" w:cs="Times New Roman"/>
      <w:sz w:val="20"/>
      <w:szCs w:val="20"/>
      <w:lang w:eastAsia="fi-FI"/>
    </w:rPr>
  </w:style>
  <w:style w:type="character" w:customStyle="1" w:styleId="rNormaaliChar">
    <w:name w:val="r Normaali Char"/>
    <w:link w:val="rNormaali"/>
    <w:rsid w:val="005B15B7"/>
    <w:rPr>
      <w:rFonts w:ascii="Verdana" w:eastAsia="Times New Roman" w:hAnsi="Verdana" w:cs="Times New Roman"/>
      <w:sz w:val="20"/>
      <w:szCs w:val="20"/>
      <w:lang w:val="et-EE" w:eastAsia="fi-FI"/>
    </w:rPr>
  </w:style>
  <w:style w:type="table" w:customStyle="1" w:styleId="TableGrid1">
    <w:name w:val="Table Grid1"/>
    <w:basedOn w:val="TableNormal"/>
    <w:next w:val="TableGrid"/>
    <w:uiPriority w:val="59"/>
    <w:rsid w:val="005B15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sid w:val="005B15B7"/>
    <w:rPr>
      <w:vertAlign w:val="superscript"/>
    </w:rPr>
  </w:style>
  <w:style w:type="character" w:customStyle="1" w:styleId="st1">
    <w:name w:val="st1"/>
    <w:rsid w:val="005B15B7"/>
  </w:style>
  <w:style w:type="table" w:customStyle="1" w:styleId="ModernPaper">
    <w:name w:val="Modern Paper"/>
    <w:basedOn w:val="TableNormal"/>
    <w:uiPriority w:val="99"/>
    <w:rsid w:val="005B15B7"/>
    <w:pPr>
      <w:spacing w:before="200" w:after="120" w:line="240" w:lineRule="auto"/>
    </w:pPr>
    <w:rPr>
      <w:color w:val="1F497D" w:themeColor="text2"/>
      <w:lang w:eastAsia="ja-JP"/>
    </w:rPr>
    <w:tblPr>
      <w:tblBorders>
        <w:insideH w:val="single" w:sz="8" w:space="0" w:color="1F497D"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244061" w:themeColor="accent1" w:themeShade="80"/>
        <w:sz w:val="28"/>
      </w:rPr>
      <w:tblPr/>
      <w:trPr>
        <w:tblHeader/>
      </w:trPr>
      <w:tcPr>
        <w:tcBorders>
          <w:top w:val="nil"/>
          <w:left w:val="nil"/>
          <w:bottom w:val="single" w:sz="24" w:space="0" w:color="1F497D"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paragraph" w:customStyle="1" w:styleId="NORMAL0">
    <w:name w:val="_NORMAL"/>
    <w:basedOn w:val="Normal"/>
    <w:qFormat/>
    <w:rsid w:val="005B15B7"/>
    <w:pPr>
      <w:spacing w:after="160" w:line="300" w:lineRule="exact"/>
    </w:pPr>
    <w:rPr>
      <w:rFonts w:ascii="Calibri" w:eastAsiaTheme="minorEastAsia" w:hAnsi="Calibri" w:cs="Tahoma"/>
      <w:szCs w:val="20"/>
    </w:rPr>
  </w:style>
  <w:style w:type="table" w:customStyle="1" w:styleId="TableGrid2">
    <w:name w:val="Table Grid2"/>
    <w:basedOn w:val="TableNormal"/>
    <w:next w:val="TableGrid"/>
    <w:uiPriority w:val="59"/>
    <w:rsid w:val="005B1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inside">
    <w:name w:val="_tabelle_inside"/>
    <w:basedOn w:val="NORMAL0"/>
    <w:qFormat/>
    <w:rsid w:val="005B15B7"/>
    <w:rPr>
      <w:b/>
    </w:rPr>
  </w:style>
  <w:style w:type="numbering" w:customStyle="1" w:styleId="Style2">
    <w:name w:val="Style2"/>
    <w:uiPriority w:val="99"/>
    <w:rsid w:val="005B15B7"/>
    <w:pPr>
      <w:numPr>
        <w:numId w:val="28"/>
      </w:numPr>
    </w:pPr>
  </w:style>
  <w:style w:type="character" w:customStyle="1" w:styleId="UnresolvedMention">
    <w:name w:val="Unresolved Mention"/>
    <w:basedOn w:val="DefaultParagraphFont"/>
    <w:uiPriority w:val="99"/>
    <w:semiHidden/>
    <w:unhideWhenUsed/>
    <w:rsid w:val="005B15B7"/>
    <w:rPr>
      <w:color w:val="605E5C"/>
      <w:shd w:val="clear" w:color="auto" w:fill="E1DFDD"/>
    </w:rPr>
  </w:style>
  <w:style w:type="paragraph" w:customStyle="1" w:styleId="Source">
    <w:name w:val="Source"/>
    <w:basedOn w:val="Normal"/>
    <w:next w:val="Normal"/>
    <w:rsid w:val="00EF59B5"/>
    <w:pPr>
      <w:spacing w:before="0" w:line="240" w:lineRule="auto"/>
    </w:pPr>
    <w:rPr>
      <w:rFonts w:ascii="EC Square Sans Pro" w:eastAsia="Times New Roman" w:hAnsi="EC Square Sans Pro" w:cs="Times New Roman"/>
      <w:i/>
      <w:sz w:val="16"/>
      <w:szCs w:val="16"/>
    </w:rPr>
  </w:style>
  <w:style w:type="table" w:styleId="GridTable5Dark-Accent1">
    <w:name w:val="Grid Table 5 Dark Accent 1"/>
    <w:basedOn w:val="TableNormal"/>
    <w:uiPriority w:val="50"/>
    <w:rsid w:val="00451A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445C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Recommendation">
    <w:name w:val="Recommendation"/>
    <w:basedOn w:val="Caption"/>
    <w:next w:val="Normal"/>
    <w:qFormat/>
    <w:rsid w:val="00AE07C9"/>
    <w:pPr>
      <w:spacing w:after="240"/>
    </w:pPr>
  </w:style>
  <w:style w:type="paragraph" w:customStyle="1" w:styleId="FIgure">
    <w:name w:val="FIgure"/>
    <w:basedOn w:val="Normal"/>
    <w:link w:val="FIgureChar"/>
    <w:qFormat/>
    <w:rsid w:val="00EF59B5"/>
    <w:pPr>
      <w:keepNext/>
      <w:spacing w:before="0" w:after="0"/>
    </w:pPr>
    <w:rPr>
      <w:noProof/>
      <w:lang w:eastAsia="en-GB"/>
    </w:rPr>
  </w:style>
  <w:style w:type="character" w:customStyle="1" w:styleId="FIgureChar">
    <w:name w:val="FIgure Char"/>
    <w:basedOn w:val="DefaultParagraphFont"/>
    <w:link w:val="FIgure"/>
    <w:rsid w:val="00EF59B5"/>
    <w:rPr>
      <w:rFonts w:ascii="Times New Roman" w:hAnsi="Times New Roman"/>
      <w:noProof/>
      <w:lang w:eastAsia="en-GB"/>
    </w:rPr>
  </w:style>
  <w:style w:type="paragraph" w:customStyle="1" w:styleId="Question">
    <w:name w:val="Question"/>
    <w:basedOn w:val="Normal"/>
    <w:link w:val="QuestionChar"/>
    <w:qFormat/>
    <w:rsid w:val="008A2E1E"/>
    <w:pPr>
      <w:keepNext/>
      <w:spacing w:before="0" w:after="0"/>
    </w:pPr>
    <w:rPr>
      <w:rFonts w:cs="Times New Roman"/>
      <w:i/>
      <w:sz w:val="20"/>
    </w:rPr>
  </w:style>
  <w:style w:type="character" w:customStyle="1" w:styleId="QuestionChar">
    <w:name w:val="Question Char"/>
    <w:basedOn w:val="DefaultParagraphFont"/>
    <w:link w:val="Question"/>
    <w:rsid w:val="008A2E1E"/>
    <w:rPr>
      <w:rFonts w:ascii="Times New Roman" w:hAnsi="Times New Roman" w:cs="Times New Roman"/>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28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hyperlink" Target="https://www.biznes.gov.pl/en/firma/taxes-and-insurance-in-poland/vat" TargetMode="External"/><Relationship Id="rId21" Type="http://schemas.openxmlformats.org/officeDocument/2006/relationships/diagramColors" Target="diagrams/colors1.xml"/><Relationship Id="rId42" Type="http://schemas.openxmlformats.org/officeDocument/2006/relationships/chart" Target="charts/chart13.xml"/><Relationship Id="rId47" Type="http://schemas.openxmlformats.org/officeDocument/2006/relationships/image" Target="media/image12.emf"/><Relationship Id="rId63" Type="http://schemas.openxmlformats.org/officeDocument/2006/relationships/chart" Target="charts/chart22.xml"/><Relationship Id="rId68" Type="http://schemas.openxmlformats.org/officeDocument/2006/relationships/chart" Target="charts/chart26.xml"/><Relationship Id="rId84" Type="http://schemas.openxmlformats.org/officeDocument/2006/relationships/chart" Target="charts/chart35.xml"/><Relationship Id="rId89" Type="http://schemas.openxmlformats.org/officeDocument/2006/relationships/hyperlink" Target="https://business.belgium.be/en/setting_up_your_business/registration_with_the_vat_authorities" TargetMode="External"/><Relationship Id="rId112" Type="http://schemas.openxmlformats.org/officeDocument/2006/relationships/hyperlink" Target="https://www.vid.gov.lv/en/value-added-tax" TargetMode="External"/><Relationship Id="rId133" Type="http://schemas.openxmlformats.org/officeDocument/2006/relationships/hyperlink" Target="https://eur-lex.europa.eu/legal-content/EN/TXT/?uri=CELEX:51998DC0490" TargetMode="External"/><Relationship Id="rId138" Type="http://schemas.openxmlformats.org/officeDocument/2006/relationships/footer" Target="footer5.xml"/><Relationship Id="rId154" Type="http://schemas.openxmlformats.org/officeDocument/2006/relationships/footer" Target="footer9.xml"/><Relationship Id="rId159" Type="http://schemas.openxmlformats.org/officeDocument/2006/relationships/header" Target="header12.xml"/><Relationship Id="rId16" Type="http://schemas.openxmlformats.org/officeDocument/2006/relationships/header" Target="header3.xml"/><Relationship Id="rId107" Type="http://schemas.openxmlformats.org/officeDocument/2006/relationships/hyperlink" Target="https://en.nav.gov.hu/taxation/taxpayer_registration/general_rules.html" TargetMode="External"/><Relationship Id="rId11" Type="http://schemas.openxmlformats.org/officeDocument/2006/relationships/image" Target="media/image1.emf"/><Relationship Id="rId32" Type="http://schemas.openxmlformats.org/officeDocument/2006/relationships/chart" Target="charts/chart6.xml"/><Relationship Id="rId37" Type="http://schemas.openxmlformats.org/officeDocument/2006/relationships/image" Target="media/image7.png"/><Relationship Id="rId53" Type="http://schemas.openxmlformats.org/officeDocument/2006/relationships/chart" Target="charts/chart18.xml"/><Relationship Id="rId58" Type="http://schemas.openxmlformats.org/officeDocument/2006/relationships/chart" Target="charts/chart20.xml"/><Relationship Id="rId74" Type="http://schemas.openxmlformats.org/officeDocument/2006/relationships/image" Target="media/image26.png"/><Relationship Id="rId79" Type="http://schemas.openxmlformats.org/officeDocument/2006/relationships/chart" Target="charts/chart30.xml"/><Relationship Id="rId102" Type="http://schemas.openxmlformats.org/officeDocument/2006/relationships/hyperlink" Target="https://www.impots.gouv.fr/portail/" TargetMode="External"/><Relationship Id="rId123" Type="http://schemas.openxmlformats.org/officeDocument/2006/relationships/hyperlink" Target="https://www.agenciatributaria.es/AEAT.internet/en_gb/Inicio/La_Agencia_Tributaria/Campanas/_Campanas_/Fiscalidad_de_no_residentes/_IVA___VAT_/_IVA___VAT_.shtml" TargetMode="External"/><Relationship Id="rId128" Type="http://schemas.openxmlformats.org/officeDocument/2006/relationships/hyperlink" Target="https://eur-lex.europa.eu/legal-content/ET/TXT/?uri=CELEX:52014DC0069" TargetMode="External"/><Relationship Id="rId144" Type="http://schemas.openxmlformats.org/officeDocument/2006/relationships/hyperlink" Target="https://europa.eu/european-union/index_et" TargetMode="External"/><Relationship Id="rId149" Type="http://schemas.openxmlformats.org/officeDocument/2006/relationships/header" Target="header7.xml"/><Relationship Id="rId5" Type="http://schemas.openxmlformats.org/officeDocument/2006/relationships/numbering" Target="numbering.xml"/><Relationship Id="rId90" Type="http://schemas.openxmlformats.org/officeDocument/2006/relationships/hyperlink" Target="https://old.nra.bg/en/page?id=517" TargetMode="External"/><Relationship Id="rId95" Type="http://schemas.openxmlformats.org/officeDocument/2006/relationships/hyperlink" Target="https://skat.dk/skat.aspx?oid=2234572" TargetMode="External"/><Relationship Id="rId160" Type="http://schemas.openxmlformats.org/officeDocument/2006/relationships/footer" Target="footer12.xml"/><Relationship Id="rId22" Type="http://schemas.microsoft.com/office/2007/relationships/diagramDrawing" Target="diagrams/drawing1.xml"/><Relationship Id="rId27" Type="http://schemas.openxmlformats.org/officeDocument/2006/relationships/image" Target="media/image4.emf"/><Relationship Id="rId43" Type="http://schemas.openxmlformats.org/officeDocument/2006/relationships/image" Target="media/image9.emf"/><Relationship Id="rId48" Type="http://schemas.openxmlformats.org/officeDocument/2006/relationships/image" Target="media/image13.emf"/><Relationship Id="rId64" Type="http://schemas.openxmlformats.org/officeDocument/2006/relationships/chart" Target="charts/chart23.xml"/><Relationship Id="rId69" Type="http://schemas.openxmlformats.org/officeDocument/2006/relationships/image" Target="media/image22.png"/><Relationship Id="rId113" Type="http://schemas.openxmlformats.org/officeDocument/2006/relationships/hyperlink" Target="https://www.vmi.lt/cms/en/mokesciu-moketoju-iregistravimas-pvm-moketoju-registre" TargetMode="External"/><Relationship Id="rId118" Type="http://schemas.openxmlformats.org/officeDocument/2006/relationships/hyperlink" Target="https://info.portaldasfinancas.gov.pt/pt/docs/Conteudos_1pagina/Pages/portuguese-tax-system.aspx" TargetMode="External"/><Relationship Id="rId134" Type="http://schemas.openxmlformats.org/officeDocument/2006/relationships/hyperlink" Target="https://eur-lex.europa.eu/legal-content/EN/TXT/?uri=CELEX:51995DC0354" TargetMode="External"/><Relationship Id="rId139" Type="http://schemas.openxmlformats.org/officeDocument/2006/relationships/header" Target="header6.xml"/><Relationship Id="rId80" Type="http://schemas.openxmlformats.org/officeDocument/2006/relationships/chart" Target="charts/chart31.xml"/><Relationship Id="rId85" Type="http://schemas.openxmlformats.org/officeDocument/2006/relationships/hyperlink" Target="https://www.bmf.gv.at/services/publikationen/broschueren-ratgeber.html" TargetMode="External"/><Relationship Id="rId150" Type="http://schemas.openxmlformats.org/officeDocument/2006/relationships/header" Target="header8.xml"/><Relationship Id="rId155" Type="http://schemas.openxmlformats.org/officeDocument/2006/relationships/header" Target="header10.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image" Target="media/image8.emf"/><Relationship Id="rId59" Type="http://schemas.openxmlformats.org/officeDocument/2006/relationships/image" Target="media/image18.emf"/><Relationship Id="rId103" Type="http://schemas.openxmlformats.org/officeDocument/2006/relationships/hyperlink" Target="https://www.impots.gouv.fr/portail/international_en/business" TargetMode="External"/><Relationship Id="rId108" Type="http://schemas.openxmlformats.org/officeDocument/2006/relationships/hyperlink" Target="https://en.nav.gov.hu/taxation/taxpayer_registration/specific_rules.html" TargetMode="External"/><Relationship Id="rId124" Type="http://schemas.openxmlformats.org/officeDocument/2006/relationships/hyperlink" Target="https://www.skatteverket.se/servicelankar/otherlanguages/inenglish/businessesandemployers/startingandrunningaswedishbusiness/registeringabusiness.4.12815e4f14a62bc048f5179.html" TargetMode="External"/><Relationship Id="rId129" Type="http://schemas.openxmlformats.org/officeDocument/2006/relationships/hyperlink" Target="https://eur-lex.europa.eu/legal-content/ET/TXT/?uri=CELEX:52008DC0719&amp;qid=1634200021633" TargetMode="External"/><Relationship Id="rId54" Type="http://schemas.openxmlformats.org/officeDocument/2006/relationships/image" Target="media/image15.png"/><Relationship Id="rId70" Type="http://schemas.openxmlformats.org/officeDocument/2006/relationships/image" Target="media/image23.emf"/><Relationship Id="rId75" Type="http://schemas.openxmlformats.org/officeDocument/2006/relationships/chart" Target="charts/chart28.xml"/><Relationship Id="rId91" Type="http://schemas.openxmlformats.org/officeDocument/2006/relationships/hyperlink" Target="https://www.porezna-uprava.hr/PdviEu/Stranice/PDViEU.aspx" TargetMode="External"/><Relationship Id="rId96" Type="http://schemas.openxmlformats.org/officeDocument/2006/relationships/hyperlink" Target="https://skat.dk/skat.aspx?oid=2244390" TargetMode="External"/><Relationship Id="rId140" Type="http://schemas.openxmlformats.org/officeDocument/2006/relationships/footer" Target="footer6.xml"/><Relationship Id="rId145" Type="http://schemas.openxmlformats.org/officeDocument/2006/relationships/hyperlink" Target="https://publications.europa.eu/et/publications"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emf"/><Relationship Id="rId28" Type="http://schemas.openxmlformats.org/officeDocument/2006/relationships/chart" Target="charts/chart3.xml"/><Relationship Id="rId36" Type="http://schemas.openxmlformats.org/officeDocument/2006/relationships/chart" Target="charts/chart9.xml"/><Relationship Id="rId49" Type="http://schemas.openxmlformats.org/officeDocument/2006/relationships/chart" Target="charts/chart15.xml"/><Relationship Id="rId57" Type="http://schemas.openxmlformats.org/officeDocument/2006/relationships/image" Target="media/image17.png"/><Relationship Id="rId106" Type="http://schemas.openxmlformats.org/officeDocument/2006/relationships/hyperlink" Target="https://www.aade.gr/menoy/hristikoi-odigoi/forologikes-ypohreoseis-agroton" TargetMode="External"/><Relationship Id="rId114" Type="http://schemas.openxmlformats.org/officeDocument/2006/relationships/hyperlink" Target="https://guichet.public.lu/fr/citoyens/impots-taxes/exercice-activite-independant/inscription-adm-fiscales/inscrire-tva.html" TargetMode="External"/><Relationship Id="rId119" Type="http://schemas.openxmlformats.org/officeDocument/2006/relationships/hyperlink" Target="https://info.portaldasfinancas.gov.pt/pt/apoio_contribuinte/Manuais/Documents/Manual_Inicio_PF.pdf" TargetMode="External"/><Relationship Id="rId127" Type="http://schemas.openxmlformats.org/officeDocument/2006/relationships/hyperlink" Target="https://eur-lex.europa.eu/legal-content/ET/TXT/?uri=CELEX:52017DC0780"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0.emf"/><Relationship Id="rId52" Type="http://schemas.openxmlformats.org/officeDocument/2006/relationships/chart" Target="charts/chart17.xml"/><Relationship Id="rId60" Type="http://schemas.openxmlformats.org/officeDocument/2006/relationships/image" Target="media/image19.png"/><Relationship Id="rId65" Type="http://schemas.openxmlformats.org/officeDocument/2006/relationships/image" Target="media/image21.png"/><Relationship Id="rId73" Type="http://schemas.openxmlformats.org/officeDocument/2006/relationships/image" Target="media/image25.png"/><Relationship Id="rId78" Type="http://schemas.openxmlformats.org/officeDocument/2006/relationships/image" Target="media/image28.png"/><Relationship Id="rId81" Type="http://schemas.openxmlformats.org/officeDocument/2006/relationships/chart" Target="charts/chart32.xml"/><Relationship Id="rId86" Type="http://schemas.openxmlformats.org/officeDocument/2006/relationships/hyperlink" Target="https://www.bmf.gv.at/en/topics/taxation/vat-assessment-refund.html" TargetMode="External"/><Relationship Id="rId94" Type="http://schemas.openxmlformats.org/officeDocument/2006/relationships/hyperlink" Target="https://www.financnisprava.cz/en/taxes/vat-registration-for-non-established-per" TargetMode="External"/><Relationship Id="rId99" Type="http://schemas.openxmlformats.org/officeDocument/2006/relationships/hyperlink" Target="https://www.emta.ee/eng/business-client/registration-business/registration-and-deletion-person-liable-value-added-tax" TargetMode="External"/><Relationship Id="rId101" Type="http://schemas.openxmlformats.org/officeDocument/2006/relationships/hyperlink" Target="https://www.vero.fi/en/businesses-and-corporations/about-corporate-taxes/vat/" TargetMode="External"/><Relationship Id="rId122" Type="http://schemas.openxmlformats.org/officeDocument/2006/relationships/hyperlink" Target="https://www.fu.gov.si/en/taxes_and_other_duties/areas_of_work/value_added_tax_vat/" TargetMode="External"/><Relationship Id="rId130" Type="http://schemas.openxmlformats.org/officeDocument/2006/relationships/hyperlink" Target="https://eur-lex.europa.eu/legal-content/ET/TXT/?uri=CELEX:52008SC2759" TargetMode="External"/><Relationship Id="rId135" Type="http://schemas.openxmlformats.org/officeDocument/2006/relationships/header" Target="header4.xml"/><Relationship Id="rId143" Type="http://schemas.openxmlformats.org/officeDocument/2006/relationships/hyperlink" Target="https://europa.eu/european-union/contact_et" TargetMode="External"/><Relationship Id="rId148" Type="http://schemas.openxmlformats.org/officeDocument/2006/relationships/hyperlink" Target="http://data.europa.eu/euodp/et" TargetMode="External"/><Relationship Id="rId151" Type="http://schemas.openxmlformats.org/officeDocument/2006/relationships/footer" Target="footer7.xml"/><Relationship Id="rId156"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chart" Target="charts/chart10.xml"/><Relationship Id="rId109" Type="http://schemas.openxmlformats.org/officeDocument/2006/relationships/hyperlink" Target="https://www.revenue.ie/en/vat/vat-registration/how-do-you-register-for-vat/index.aspx" TargetMode="External"/><Relationship Id="rId34" Type="http://schemas.openxmlformats.org/officeDocument/2006/relationships/chart" Target="charts/chart7.xml"/><Relationship Id="rId50" Type="http://schemas.openxmlformats.org/officeDocument/2006/relationships/chart" Target="charts/chart16.xml"/><Relationship Id="rId55" Type="http://schemas.openxmlformats.org/officeDocument/2006/relationships/chart" Target="charts/chart19.xml"/><Relationship Id="rId76" Type="http://schemas.openxmlformats.org/officeDocument/2006/relationships/image" Target="media/image27.png"/><Relationship Id="rId97" Type="http://schemas.openxmlformats.org/officeDocument/2006/relationships/hyperlink" Target="https://indberet.virk.dk/myndigheder/stat/ERST/Start_virksomhed" TargetMode="External"/><Relationship Id="rId104" Type="http://schemas.openxmlformats.org/officeDocument/2006/relationships/hyperlink" Target="https://www.finanzamt.bayern.de/Informationen/Steuerinfos/Zielgruppen/Existenzgruender/default.php?f=Muenchen&amp;c=n&amp;d=x&amp;t=x" TargetMode="External"/><Relationship Id="rId120" Type="http://schemas.openxmlformats.org/officeDocument/2006/relationships/hyperlink" Target="https://www.financnasprava.sk/sk/podnikatelia/dane/dan-z-pridanej-hodnoty/registracia-dph" TargetMode="External"/><Relationship Id="rId125" Type="http://schemas.openxmlformats.org/officeDocument/2006/relationships/hyperlink" Target="https://www.skatteverket.se/servicelankar/otherlanguages/inenglish/businessesandemployers/startingandrunningaswedishbusiness/declaringtaxesbusinesses/vat.4.12815e4f14a62bc048f52be.html?q=vat" TargetMode="External"/><Relationship Id="rId141" Type="http://schemas.openxmlformats.org/officeDocument/2006/relationships/image" Target="media/image29.jpeg"/><Relationship Id="rId146" Type="http://schemas.openxmlformats.org/officeDocument/2006/relationships/hyperlink" Target="https://europa.eu/european-union/contact_et" TargetMode="Externa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hyperlink" Target="https://www.porezna-uprava.hr/en/EN_porezni_sustav/Pages/value_added_tax.aspx"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chart" Target="charts/chart1.xml"/><Relationship Id="rId40" Type="http://schemas.openxmlformats.org/officeDocument/2006/relationships/chart" Target="charts/chart11.xml"/><Relationship Id="rId45" Type="http://schemas.openxmlformats.org/officeDocument/2006/relationships/image" Target="media/image11.png"/><Relationship Id="rId66" Type="http://schemas.openxmlformats.org/officeDocument/2006/relationships/chart" Target="charts/chart24.xml"/><Relationship Id="rId87" Type="http://schemas.openxmlformats.org/officeDocument/2006/relationships/hyperlink" Target="https://finances.belgium.be/fr/entreprises/tva/declaration/debut_fin_modification_activite" TargetMode="External"/><Relationship Id="rId110" Type="http://schemas.openxmlformats.org/officeDocument/2006/relationships/hyperlink" Target="https://www.agenziaentrate.gov.it/portale/web/guest/imprese/istanze/partita-iva" TargetMode="External"/><Relationship Id="rId115" Type="http://schemas.openxmlformats.org/officeDocument/2006/relationships/hyperlink" Target="https://cfr.gov.mt/en/faqs/Pages/VAT/VAT-FAQs.aspx" TargetMode="External"/><Relationship Id="rId131" Type="http://schemas.openxmlformats.org/officeDocument/2006/relationships/hyperlink" Target="https://eur-lex.europa.eu/legal-content/ET/TXT/?uri=CELEX:52004DC0855&amp;qid=1634200021633" TargetMode="External"/><Relationship Id="rId136" Type="http://schemas.openxmlformats.org/officeDocument/2006/relationships/header" Target="header5.xml"/><Relationship Id="rId157" Type="http://schemas.openxmlformats.org/officeDocument/2006/relationships/footer" Target="footer10.xml"/><Relationship Id="rId61" Type="http://schemas.openxmlformats.org/officeDocument/2006/relationships/image" Target="media/image20.png"/><Relationship Id="rId82" Type="http://schemas.openxmlformats.org/officeDocument/2006/relationships/chart" Target="charts/chart33.xml"/><Relationship Id="rId152" Type="http://schemas.openxmlformats.org/officeDocument/2006/relationships/footer" Target="footer8.xml"/><Relationship Id="rId19" Type="http://schemas.openxmlformats.org/officeDocument/2006/relationships/diagramLayout" Target="diagrams/layout1.xml"/><Relationship Id="rId14" Type="http://schemas.openxmlformats.org/officeDocument/2006/relationships/footer" Target="footer1.xml"/><Relationship Id="rId30" Type="http://schemas.openxmlformats.org/officeDocument/2006/relationships/chart" Target="charts/chart5.xml"/><Relationship Id="rId35" Type="http://schemas.openxmlformats.org/officeDocument/2006/relationships/chart" Target="charts/chart8.xml"/><Relationship Id="rId56" Type="http://schemas.openxmlformats.org/officeDocument/2006/relationships/image" Target="media/image16.png"/><Relationship Id="rId77" Type="http://schemas.openxmlformats.org/officeDocument/2006/relationships/chart" Target="charts/chart29.xml"/><Relationship Id="rId100" Type="http://schemas.openxmlformats.org/officeDocument/2006/relationships/hyperlink" Target="https://www.emta.ee/eng/business-client/registration-business/registration-foreign-traders-vat-liability" TargetMode="External"/><Relationship Id="rId105" Type="http://schemas.openxmlformats.org/officeDocument/2006/relationships/hyperlink" Target="https://service.berlin.de/dienstleistung/325409/" TargetMode="External"/><Relationship Id="rId126" Type="http://schemas.openxmlformats.org/officeDocument/2006/relationships/hyperlink" Target="https://www.gov.uk/vat-registration" TargetMode="External"/><Relationship Id="rId147" Type="http://schemas.openxmlformats.org/officeDocument/2006/relationships/hyperlink" Target="https://eur-lex.europa.eu/homepage.html?locale=et" TargetMode="Externa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chart" Target="charts/chart27.xml"/><Relationship Id="rId93" Type="http://schemas.openxmlformats.org/officeDocument/2006/relationships/hyperlink" Target="https://www.mof.gov.cy/mof/tax/taxdep.nsf/All/A80CE65EF4296B63C225854A00316AD0?OpenDocument" TargetMode="External"/><Relationship Id="rId98" Type="http://schemas.openxmlformats.org/officeDocument/2006/relationships/hyperlink" Target="https://indberet.virk.dk/myndigheder/stat/ERST/Webreg_aendre_virksomhed__lukke_virksomhed" TargetMode="External"/><Relationship Id="rId121" Type="http://schemas.openxmlformats.org/officeDocument/2006/relationships/hyperlink" Target="https://www.financnasprava.sk/en/businesses/taxes-businesses" TargetMode="External"/><Relationship Id="rId142" Type="http://schemas.openxmlformats.org/officeDocument/2006/relationships/hyperlink" Target="https://europa.eu/european-union/contact_et" TargetMode="External"/><Relationship Id="R15fba3c42a904f5a"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chart" Target="charts/chart2.xml"/><Relationship Id="rId46" Type="http://schemas.openxmlformats.org/officeDocument/2006/relationships/chart" Target="charts/chart14.xml"/><Relationship Id="rId67" Type="http://schemas.openxmlformats.org/officeDocument/2006/relationships/chart" Target="charts/chart25.xml"/><Relationship Id="rId116" Type="http://schemas.openxmlformats.org/officeDocument/2006/relationships/hyperlink" Target="https://www.belastingdienst.nl/wps/wcm/connect/bldcontenten/belastingdienst/business/vat/vat_in_the_netherlands/your_tax_office_and_registration/your_tax_office_and_registration" TargetMode="External"/><Relationship Id="rId137" Type="http://schemas.openxmlformats.org/officeDocument/2006/relationships/footer" Target="footer4.xml"/><Relationship Id="rId158" Type="http://schemas.openxmlformats.org/officeDocument/2006/relationships/footer" Target="footer11.xml"/><Relationship Id="rId20" Type="http://schemas.openxmlformats.org/officeDocument/2006/relationships/diagramQuickStyle" Target="diagrams/quickStyle1.xml"/><Relationship Id="rId41" Type="http://schemas.openxmlformats.org/officeDocument/2006/relationships/chart" Target="charts/chart12.xml"/><Relationship Id="rId62" Type="http://schemas.openxmlformats.org/officeDocument/2006/relationships/chart" Target="charts/chart21.xml"/><Relationship Id="rId83" Type="http://schemas.openxmlformats.org/officeDocument/2006/relationships/chart" Target="charts/chart34.xml"/><Relationship Id="rId88" Type="http://schemas.openxmlformats.org/officeDocument/2006/relationships/hyperlink" Target="https://financien.belgium.be/nl/ondernemingen/btw/aangifte/aanvang_wijziging_einde_activiteit" TargetMode="External"/><Relationship Id="rId111" Type="http://schemas.openxmlformats.org/officeDocument/2006/relationships/hyperlink" Target="https://www.agenziaentrate.gov.it/portale/web/english/nse/business/vat-in-italy/vat-registration" TargetMode="External"/><Relationship Id="rId132" Type="http://schemas.openxmlformats.org/officeDocument/2006/relationships/hyperlink" Target="https://eur-lex.europa.eu/legal-content/EN/TXT/?uri=CELEX:52000DC0028" TargetMode="External"/><Relationship Id="rId153" Type="http://schemas.openxmlformats.org/officeDocument/2006/relationships/header" Target="header9.xml"/><Relationship Id="R8e3fb19f969140c4" Type="http://schemas.microsoft.com/office/2018/08/relationships/commentsExtensible" Target="commentsExtensible.xml"/></Relationships>
</file>

<file path=word/_rels/footer11.xml.rels><?xml version="1.0" encoding="UTF-8" standalone="yes"?>
<Relationships xmlns="http://schemas.openxmlformats.org/package/2006/relationships"><Relationship Id="rId1" Type="http://schemas.openxmlformats.org/officeDocument/2006/relationships/image" Target="media/image30.jpeg"/></Relationships>
</file>

<file path=word/_rels/footnotes.xml.rels><?xml version="1.0" encoding="UTF-8" standalone="yes"?>
<Relationships xmlns="http://schemas.openxmlformats.org/package/2006/relationships"><Relationship Id="rId3" Type="http://schemas.openxmlformats.org/officeDocument/2006/relationships/hyperlink" Target="https://op.europa.eu/webpub/eca/special-reports/e-commerce-12-2019/en" TargetMode="External"/><Relationship Id="rId7" Type="http://schemas.openxmlformats.org/officeDocument/2006/relationships/hyperlink" Target="https://eur-lex.europa.eu/legal-content/EN/TXT/PDF/?uri=CELEX:52014SC0038&amp;from=EN" TargetMode="External"/><Relationship Id="rId2" Type="http://schemas.openxmlformats.org/officeDocument/2006/relationships/hyperlink" Target="https://eur-lex.europa.eu/legal-content/et/TXT/?uri=CELEX:31989R1553" TargetMode="External"/><Relationship Id="rId1" Type="http://schemas.openxmlformats.org/officeDocument/2006/relationships/hyperlink" Target="https://ec.europa.eu/eurostat/statistics-explained/index.php/Tax_revenue_statistics" TargetMode="External"/><Relationship Id="rId6" Type="http://schemas.openxmlformats.org/officeDocument/2006/relationships/hyperlink" Target="https://ec.europa.eu/info/sites/default/files/coronovirus_policy_measures_16_november.pdf" TargetMode="External"/><Relationship Id="rId5" Type="http://schemas.openxmlformats.org/officeDocument/2006/relationships/hyperlink" Target="https://play.google.com/store/apps/details?id=pt.gov.portaldasfinancas.servicos.pagimp.app&amp;hl=en&amp;gl=US" TargetMode="External"/><Relationship Id="rId4" Type="http://schemas.openxmlformats.org/officeDocument/2006/relationships/hyperlink" Target="https://www.imf.org/external/pubs/ft/tnm/2010/tnm1017.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9.jpeg"/></Relationships>
</file>

<file path=word/_rels/header5.xml.rels><?xml version="1.0" encoding="UTF-8" standalone="yes"?>
<Relationships xmlns="http://schemas.openxmlformats.org/package/2006/relationships"><Relationship Id="rId1" Type="http://schemas.openxmlformats.org/officeDocument/2006/relationships/image" Target="media/image29.jpeg"/></Relationships>
</file>

<file path=word/_rels/header8.xml.rels><?xml version="1.0" encoding="UTF-8" standalone="yes"?>
<Relationships xmlns="http://schemas.openxmlformats.org/package/2006/relationships"><Relationship Id="rId1"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am\Economists%20Dropbox\Adam%20&#346;mietanka\VAT%20Gap%202021\Tables,%20graphs,%20inputs\VAT_Gap_2021-graphs-1307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net1.cec.eu.int\taxud\C\TAXUD-C4\05%20-%20unit%20C4%20-%20Sector%20B%20(TA)\Article%2012%20report\2020%20report\8.%20Work%20in%20progress\Artice%2012%20report%20edible%20graphs%2031-54%202021-11-25.xlsx" TargetMode="External"/><Relationship Id="rId2" Type="http://schemas.microsoft.com/office/2011/relationships/chartColorStyle" Target="colors2.xml"/><Relationship Id="rId1" Type="http://schemas.microsoft.com/office/2011/relationships/chartStyle" Target="style2.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tisltuu\Downloads\TAXUD-2021-01085-00-00-ET-SRC-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isltuu\Downloads\TAXUD-2021-01085-00-00-ET-SRC-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54628534127532E-2"/>
          <c:y val="5.2393427006430106E-2"/>
          <c:w val="0.92469225714551084"/>
          <c:h val="0.86753201455914697"/>
        </c:manualLayout>
      </c:layout>
      <c:barChart>
        <c:barDir val="col"/>
        <c:grouping val="clustered"/>
        <c:varyColors val="0"/>
        <c:ser>
          <c:idx val="0"/>
          <c:order val="0"/>
          <c:tx>
            <c:strRef>
              <c:f>'2.1'!$I$1</c:f>
              <c:strCache>
                <c:ptCount val="1"/>
                <c:pt idx="0">
                  <c:v>2018</c:v>
                </c:pt>
              </c:strCache>
            </c:strRef>
          </c:tx>
          <c:spPr>
            <a:solidFill>
              <a:schemeClr val="accent1"/>
            </a:solidFill>
            <a:ln>
              <a:noFill/>
            </a:ln>
            <a:effectLst>
              <a:outerShdw blurRad="50800" dist="38100" dir="2700000" algn="tl" rotWithShape="0">
                <a:prstClr val="black">
                  <a:alpha val="40000"/>
                </a:prstClr>
              </a:outerShdw>
            </a:effectLst>
          </c:spPr>
          <c:invertIfNegative val="0"/>
          <c:cat>
            <c:strRef>
              <c:f>'2.1'!$H$2:$H$29</c:f>
              <c:strCache>
                <c:ptCount val="28"/>
                <c:pt idx="0">
                  <c:v>HR</c:v>
                </c:pt>
                <c:pt idx="1">
                  <c:v>SE</c:v>
                </c:pt>
                <c:pt idx="2">
                  <c:v>CY</c:v>
                </c:pt>
                <c:pt idx="3">
                  <c:v>FI</c:v>
                </c:pt>
                <c:pt idx="4">
                  <c:v>NL</c:v>
                </c:pt>
                <c:pt idx="5">
                  <c:v>EE</c:v>
                </c:pt>
                <c:pt idx="6">
                  <c:v>LU</c:v>
                </c:pt>
                <c:pt idx="7">
                  <c:v>ES</c:v>
                </c:pt>
                <c:pt idx="8">
                  <c:v>SI</c:v>
                </c:pt>
                <c:pt idx="9">
                  <c:v>FR</c:v>
                </c:pt>
                <c:pt idx="10">
                  <c:v>PT</c:v>
                </c:pt>
                <c:pt idx="11">
                  <c:v>LV</c:v>
                </c:pt>
                <c:pt idx="12">
                  <c:v>BG</c:v>
                </c:pt>
                <c:pt idx="13">
                  <c:v>DK</c:v>
                </c:pt>
                <c:pt idx="14">
                  <c:v>AT</c:v>
                </c:pt>
                <c:pt idx="15">
                  <c:v>DE</c:v>
                </c:pt>
                <c:pt idx="16">
                  <c:v>UK</c:v>
                </c:pt>
                <c:pt idx="17">
                  <c:v>HU</c:v>
                </c:pt>
                <c:pt idx="18">
                  <c:v>IE</c:v>
                </c:pt>
                <c:pt idx="19">
                  <c:v>PL</c:v>
                </c:pt>
                <c:pt idx="20">
                  <c:v>BE</c:v>
                </c:pt>
                <c:pt idx="21">
                  <c:v>CZ</c:v>
                </c:pt>
                <c:pt idx="22">
                  <c:v>SK</c:v>
                </c:pt>
                <c:pt idx="23">
                  <c:v>IT</c:v>
                </c:pt>
                <c:pt idx="24">
                  <c:v>LT</c:v>
                </c:pt>
                <c:pt idx="25">
                  <c:v>MT</c:v>
                </c:pt>
                <c:pt idx="26">
                  <c:v>EL</c:v>
                </c:pt>
                <c:pt idx="27">
                  <c:v>RO</c:v>
                </c:pt>
              </c:strCache>
            </c:strRef>
          </c:cat>
          <c:val>
            <c:numRef>
              <c:f>'2.1'!$I$2:$I$29</c:f>
              <c:numCache>
                <c:formatCode>General</c:formatCode>
                <c:ptCount val="28"/>
                <c:pt idx="0">
                  <c:v>7.3706343770027161</c:v>
                </c:pt>
                <c:pt idx="1">
                  <c:v>3.3046390861272812</c:v>
                </c:pt>
                <c:pt idx="2">
                  <c:v>8.6170472204685211</c:v>
                </c:pt>
                <c:pt idx="3">
                  <c:v>3.973066434264183</c:v>
                </c:pt>
                <c:pt idx="4">
                  <c:v>5.4503969848155975</c:v>
                </c:pt>
                <c:pt idx="5">
                  <c:v>4.0162522345781326</c:v>
                </c:pt>
                <c:pt idx="6">
                  <c:v>8.5493557155132294</c:v>
                </c:pt>
                <c:pt idx="7">
                  <c:v>6.3437789678573608</c:v>
                </c:pt>
                <c:pt idx="8">
                  <c:v>4.1494362056255341</c:v>
                </c:pt>
                <c:pt idx="9">
                  <c:v>7.9207815229892731</c:v>
                </c:pt>
                <c:pt idx="10">
                  <c:v>8.9615896344184875</c:v>
                </c:pt>
                <c:pt idx="11">
                  <c:v>10.150064527988434</c:v>
                </c:pt>
                <c:pt idx="12">
                  <c:v>10.803433507680893</c:v>
                </c:pt>
                <c:pt idx="13">
                  <c:v>7.9477526247501373</c:v>
                </c:pt>
                <c:pt idx="14">
                  <c:v>9.3732327222824097</c:v>
                </c:pt>
                <c:pt idx="15">
                  <c:v>9.363575279712677</c:v>
                </c:pt>
                <c:pt idx="16">
                  <c:v>10.52042618393898</c:v>
                </c:pt>
                <c:pt idx="17">
                  <c:v>8.8718526065349579</c:v>
                </c:pt>
                <c:pt idx="18">
                  <c:v>9.8062030971050262</c:v>
                </c:pt>
                <c:pt idx="19">
                  <c:v>11.56766414642334</c:v>
                </c:pt>
                <c:pt idx="20">
                  <c:v>11.429402977228165</c:v>
                </c:pt>
                <c:pt idx="21">
                  <c:v>13.770890235900879</c:v>
                </c:pt>
                <c:pt idx="22">
                  <c:v>18.287853896617889</c:v>
                </c:pt>
                <c:pt idx="23">
                  <c:v>22.868078947067261</c:v>
                </c:pt>
                <c:pt idx="24">
                  <c:v>24.40887987613678</c:v>
                </c:pt>
                <c:pt idx="25">
                  <c:v>18.09118241071701</c:v>
                </c:pt>
                <c:pt idx="26">
                  <c:v>28.975522518157959</c:v>
                </c:pt>
                <c:pt idx="27">
                  <c:v>32.68115222454071</c:v>
                </c:pt>
              </c:numCache>
            </c:numRef>
          </c:val>
          <c:extLst>
            <c:ext xmlns:c16="http://schemas.microsoft.com/office/drawing/2014/chart" uri="{C3380CC4-5D6E-409C-BE32-E72D297353CC}">
              <c16:uniqueId val="{00000000-2ACA-4A3C-8C8E-3D3978238FB5}"/>
            </c:ext>
          </c:extLst>
        </c:ser>
        <c:ser>
          <c:idx val="1"/>
          <c:order val="1"/>
          <c:tx>
            <c:strRef>
              <c:f>'2.1'!$J$1</c:f>
              <c:strCache>
                <c:ptCount val="1"/>
                <c:pt idx="0">
                  <c:v>2019</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0"/>
              <c:layout>
                <c:manualLayout>
                  <c:x val="2.2442377152420492E-3"/>
                  <c:y val="-2.34742805279848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CA-4A3C-8C8E-3D3978238FB5}"/>
                </c:ext>
              </c:extLst>
            </c:dLbl>
            <c:dLbl>
              <c:idx val="2"/>
              <c:layout>
                <c:manualLayout>
                  <c:x val="4.4096571491566532E-3"/>
                  <c:y val="4.763038818766373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EC2-47A9-9837-69E6671BF4F6}"/>
                </c:ext>
              </c:extLst>
            </c:dLbl>
            <c:dLbl>
              <c:idx val="11"/>
              <c:layout>
                <c:manualLayout>
                  <c:x val="-2.2048285745783266E-3"/>
                  <c:y val="-2.38151940938318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EC2-47A9-9837-69E6671BF4F6}"/>
                </c:ext>
              </c:extLst>
            </c:dLbl>
            <c:dLbl>
              <c:idx val="12"/>
              <c:layout>
                <c:manualLayout>
                  <c:x val="2.1139414438220063E-3"/>
                  <c:y val="-4.56621004566210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CA-4A3C-8C8E-3D3978238FB5}"/>
                </c:ext>
              </c:extLst>
            </c:dLbl>
            <c:dLbl>
              <c:idx val="14"/>
              <c:layout>
                <c:manualLayout>
                  <c:x val="-7.751029086797924E-17"/>
                  <c:y val="-2.28310502283105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CA-4A3C-8C8E-3D3978238FB5}"/>
                </c:ext>
              </c:extLst>
            </c:dLbl>
            <c:dLbl>
              <c:idx val="16"/>
              <c:layout>
                <c:manualLayout>
                  <c:x val="0"/>
                  <c:y val="-2.73972602739726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CA-4A3C-8C8E-3D3978238FB5}"/>
                </c:ext>
              </c:extLst>
            </c:dLbl>
            <c:dLbl>
              <c:idx val="18"/>
              <c:layout>
                <c:manualLayout>
                  <c:x val="-4.2278828876440126E-3"/>
                  <c:y val="-2.73972602739726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CA-4A3C-8C8E-3D3978238FB5}"/>
                </c:ext>
              </c:extLst>
            </c:dLbl>
            <c:dLbl>
              <c:idx val="23"/>
              <c:layout>
                <c:manualLayout>
                  <c:x val="-1.5158077089649358E-2"/>
                  <c:y val="-1.40845070422535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CA-4A3C-8C8E-3D3978238FB5}"/>
                </c:ext>
              </c:extLst>
            </c:dLbl>
            <c:dLbl>
              <c:idx val="24"/>
              <c:layout>
                <c:manualLayout>
                  <c:x val="-2.1654395842355999E-3"/>
                  <c:y val="-3.7558685446009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CA-4A3C-8C8E-3D3978238FB5}"/>
                </c:ext>
              </c:extLst>
            </c:dLbl>
            <c:dLbl>
              <c:idx val="25"/>
              <c:layout>
                <c:manualLayout>
                  <c:x val="0"/>
                  <c:y val="-4.22535211267605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ACA-4A3C-8C8E-3D3978238FB5}"/>
                </c:ext>
              </c:extLst>
            </c:dLbl>
            <c:dLbl>
              <c:idx val="26"/>
              <c:layout>
                <c:manualLayout>
                  <c:x val="-6.4963187527067997E-3"/>
                  <c:y val="-7.04225352112676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CA-4A3C-8C8E-3D3978238FB5}"/>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'2.1'!$H$2:$H$29</c:f>
              <c:strCache>
                <c:ptCount val="28"/>
                <c:pt idx="0">
                  <c:v>HR</c:v>
                </c:pt>
                <c:pt idx="1">
                  <c:v>SE</c:v>
                </c:pt>
                <c:pt idx="2">
                  <c:v>CY</c:v>
                </c:pt>
                <c:pt idx="3">
                  <c:v>FI</c:v>
                </c:pt>
                <c:pt idx="4">
                  <c:v>NL</c:v>
                </c:pt>
                <c:pt idx="5">
                  <c:v>EE</c:v>
                </c:pt>
                <c:pt idx="6">
                  <c:v>LU</c:v>
                </c:pt>
                <c:pt idx="7">
                  <c:v>ES</c:v>
                </c:pt>
                <c:pt idx="8">
                  <c:v>SI</c:v>
                </c:pt>
                <c:pt idx="9">
                  <c:v>FR</c:v>
                </c:pt>
                <c:pt idx="10">
                  <c:v>PT</c:v>
                </c:pt>
                <c:pt idx="11">
                  <c:v>LV</c:v>
                </c:pt>
                <c:pt idx="12">
                  <c:v>BG</c:v>
                </c:pt>
                <c:pt idx="13">
                  <c:v>DK</c:v>
                </c:pt>
                <c:pt idx="14">
                  <c:v>AT</c:v>
                </c:pt>
                <c:pt idx="15">
                  <c:v>DE</c:v>
                </c:pt>
                <c:pt idx="16">
                  <c:v>UK</c:v>
                </c:pt>
                <c:pt idx="17">
                  <c:v>HU</c:v>
                </c:pt>
                <c:pt idx="18">
                  <c:v>IE</c:v>
                </c:pt>
                <c:pt idx="19">
                  <c:v>PL</c:v>
                </c:pt>
                <c:pt idx="20">
                  <c:v>BE</c:v>
                </c:pt>
                <c:pt idx="21">
                  <c:v>CZ</c:v>
                </c:pt>
                <c:pt idx="22">
                  <c:v>SK</c:v>
                </c:pt>
                <c:pt idx="23">
                  <c:v>IT</c:v>
                </c:pt>
                <c:pt idx="24">
                  <c:v>LT</c:v>
                </c:pt>
                <c:pt idx="25">
                  <c:v>MT</c:v>
                </c:pt>
                <c:pt idx="26">
                  <c:v>EL</c:v>
                </c:pt>
                <c:pt idx="27">
                  <c:v>RO</c:v>
                </c:pt>
              </c:strCache>
            </c:strRef>
          </c:cat>
          <c:val>
            <c:numRef>
              <c:f>'2.1'!$J$2:$J$29</c:f>
              <c:numCache>
                <c:formatCode>General</c:formatCode>
                <c:ptCount val="28"/>
                <c:pt idx="0">
                  <c:v>1.0314162820577621</c:v>
                </c:pt>
                <c:pt idx="1">
                  <c:v>1.3555837795138359</c:v>
                </c:pt>
                <c:pt idx="2">
                  <c:v>2.7216609567403793</c:v>
                </c:pt>
                <c:pt idx="3">
                  <c:v>2.8552556410431862</c:v>
                </c:pt>
                <c:pt idx="4">
                  <c:v>4.3763481080532074</c:v>
                </c:pt>
                <c:pt idx="5">
                  <c:v>4.4662177562713623</c:v>
                </c:pt>
                <c:pt idx="6">
                  <c:v>6.6255159676074982</c:v>
                </c:pt>
                <c:pt idx="7">
                  <c:v>6.8582303822040558</c:v>
                </c:pt>
                <c:pt idx="8">
                  <c:v>7.1220345795154572</c:v>
                </c:pt>
                <c:pt idx="9">
                  <c:v>7.3788359761238098</c:v>
                </c:pt>
                <c:pt idx="10">
                  <c:v>7.8905992209911346</c:v>
                </c:pt>
                <c:pt idx="11">
                  <c:v>8.2520656287670135</c:v>
                </c:pt>
                <c:pt idx="12">
                  <c:v>8.2813568413257599</c:v>
                </c:pt>
                <c:pt idx="13">
                  <c:v>8.5720665752887726</c:v>
                </c:pt>
                <c:pt idx="14">
                  <c:v>8.6942240595817566</c:v>
                </c:pt>
                <c:pt idx="15">
                  <c:v>8.7618403136730194</c:v>
                </c:pt>
                <c:pt idx="16">
                  <c:v>8.8767871260643005</c:v>
                </c:pt>
                <c:pt idx="17">
                  <c:v>9.6292048692703247</c:v>
                </c:pt>
                <c:pt idx="18">
                  <c:v>10.12137159705162</c:v>
                </c:pt>
                <c:pt idx="19">
                  <c:v>11.261164397001266</c:v>
                </c:pt>
                <c:pt idx="20">
                  <c:v>12.294624000787735</c:v>
                </c:pt>
                <c:pt idx="21">
                  <c:v>14.340713620185852</c:v>
                </c:pt>
                <c:pt idx="22">
                  <c:v>16.124598681926727</c:v>
                </c:pt>
                <c:pt idx="23">
                  <c:v>21.255654096603394</c:v>
                </c:pt>
                <c:pt idx="24">
                  <c:v>21.399341523647308</c:v>
                </c:pt>
                <c:pt idx="25">
                  <c:v>23.497581481933594</c:v>
                </c:pt>
                <c:pt idx="26">
                  <c:v>25.797140598297119</c:v>
                </c:pt>
                <c:pt idx="27">
                  <c:v>34.947091341018677</c:v>
                </c:pt>
              </c:numCache>
            </c:numRef>
          </c:val>
          <c:extLst>
            <c:ext xmlns:c16="http://schemas.microsoft.com/office/drawing/2014/chart" uri="{C3380CC4-5D6E-409C-BE32-E72D297353CC}">
              <c16:uniqueId val="{0000000A-2ACA-4A3C-8C8E-3D3978238FB5}"/>
            </c:ext>
          </c:extLst>
        </c:ser>
        <c:dLbls>
          <c:showLegendKey val="0"/>
          <c:showVal val="0"/>
          <c:showCatName val="0"/>
          <c:showSerName val="0"/>
          <c:showPercent val="0"/>
          <c:showBubbleSize val="0"/>
        </c:dLbls>
        <c:gapWidth val="219"/>
        <c:axId val="523294960"/>
        <c:axId val="523294176"/>
      </c:barChart>
      <c:lineChart>
        <c:grouping val="standard"/>
        <c:varyColors val="0"/>
        <c:ser>
          <c:idx val="2"/>
          <c:order val="2"/>
          <c:tx>
            <c:strRef>
              <c:f>'2.1'!$K$1</c:f>
              <c:strCache>
                <c:ptCount val="1"/>
                <c:pt idx="0">
                  <c:v>median</c:v>
                </c:pt>
              </c:strCache>
            </c:strRef>
          </c:tx>
          <c:spPr>
            <a:ln w="28575" cap="rnd">
              <a:solidFill>
                <a:schemeClr val="accent5"/>
              </a:solidFill>
              <a:round/>
            </a:ln>
            <a:effectLst>
              <a:outerShdw blurRad="50800" dist="38100" dir="2700000" algn="tl" rotWithShape="0">
                <a:prstClr val="black">
                  <a:alpha val="40000"/>
                </a:prstClr>
              </a:outerShdw>
            </a:effectLst>
          </c:spPr>
          <c:marker>
            <c:symbol val="none"/>
          </c:marker>
          <c:cat>
            <c:strRef>
              <c:f>'2.1'!$H$2:$H$29</c:f>
              <c:strCache>
                <c:ptCount val="28"/>
                <c:pt idx="0">
                  <c:v>HR</c:v>
                </c:pt>
                <c:pt idx="1">
                  <c:v>SE</c:v>
                </c:pt>
                <c:pt idx="2">
                  <c:v>CY</c:v>
                </c:pt>
                <c:pt idx="3">
                  <c:v>FI</c:v>
                </c:pt>
                <c:pt idx="4">
                  <c:v>NL</c:v>
                </c:pt>
                <c:pt idx="5">
                  <c:v>EE</c:v>
                </c:pt>
                <c:pt idx="6">
                  <c:v>LU</c:v>
                </c:pt>
                <c:pt idx="7">
                  <c:v>ES</c:v>
                </c:pt>
                <c:pt idx="8">
                  <c:v>SI</c:v>
                </c:pt>
                <c:pt idx="9">
                  <c:v>FR</c:v>
                </c:pt>
                <c:pt idx="10">
                  <c:v>PT</c:v>
                </c:pt>
                <c:pt idx="11">
                  <c:v>LV</c:v>
                </c:pt>
                <c:pt idx="12">
                  <c:v>BG</c:v>
                </c:pt>
                <c:pt idx="13">
                  <c:v>DK</c:v>
                </c:pt>
                <c:pt idx="14">
                  <c:v>AT</c:v>
                </c:pt>
                <c:pt idx="15">
                  <c:v>DE</c:v>
                </c:pt>
                <c:pt idx="16">
                  <c:v>UK</c:v>
                </c:pt>
                <c:pt idx="17">
                  <c:v>HU</c:v>
                </c:pt>
                <c:pt idx="18">
                  <c:v>IE</c:v>
                </c:pt>
                <c:pt idx="19">
                  <c:v>PL</c:v>
                </c:pt>
                <c:pt idx="20">
                  <c:v>BE</c:v>
                </c:pt>
                <c:pt idx="21">
                  <c:v>CZ</c:v>
                </c:pt>
                <c:pt idx="22">
                  <c:v>SK</c:v>
                </c:pt>
                <c:pt idx="23">
                  <c:v>IT</c:v>
                </c:pt>
                <c:pt idx="24">
                  <c:v>LT</c:v>
                </c:pt>
                <c:pt idx="25">
                  <c:v>MT</c:v>
                </c:pt>
                <c:pt idx="26">
                  <c:v>EL</c:v>
                </c:pt>
                <c:pt idx="27">
                  <c:v>RO</c:v>
                </c:pt>
              </c:strCache>
            </c:strRef>
          </c:cat>
          <c:val>
            <c:numRef>
              <c:f>'2.1'!$K$2:$K$29</c:f>
              <c:numCache>
                <c:formatCode>General</c:formatCode>
                <c:ptCount val="28"/>
                <c:pt idx="0">
                  <c:v>8.6331453174352646</c:v>
                </c:pt>
                <c:pt idx="1">
                  <c:v>8.6331453174352646</c:v>
                </c:pt>
                <c:pt idx="2">
                  <c:v>8.6331453174352646</c:v>
                </c:pt>
                <c:pt idx="3">
                  <c:v>8.6331453174352646</c:v>
                </c:pt>
                <c:pt idx="4">
                  <c:v>8.6331453174352646</c:v>
                </c:pt>
                <c:pt idx="5">
                  <c:v>8.6331453174352646</c:v>
                </c:pt>
                <c:pt idx="6">
                  <c:v>8.6331453174352646</c:v>
                </c:pt>
                <c:pt idx="7">
                  <c:v>8.6331453174352646</c:v>
                </c:pt>
                <c:pt idx="8">
                  <c:v>8.6331453174352646</c:v>
                </c:pt>
                <c:pt idx="9">
                  <c:v>8.6331453174352646</c:v>
                </c:pt>
                <c:pt idx="10">
                  <c:v>8.6331453174352646</c:v>
                </c:pt>
                <c:pt idx="11">
                  <c:v>8.6331453174352646</c:v>
                </c:pt>
                <c:pt idx="12">
                  <c:v>8.6331453174352646</c:v>
                </c:pt>
                <c:pt idx="13">
                  <c:v>8.6331453174352646</c:v>
                </c:pt>
                <c:pt idx="14">
                  <c:v>8.6331453174352646</c:v>
                </c:pt>
                <c:pt idx="15">
                  <c:v>8.6331453174352646</c:v>
                </c:pt>
                <c:pt idx="16">
                  <c:v>8.6331453174352646</c:v>
                </c:pt>
                <c:pt idx="17">
                  <c:v>8.6331453174352646</c:v>
                </c:pt>
                <c:pt idx="18">
                  <c:v>8.6331453174352646</c:v>
                </c:pt>
                <c:pt idx="19">
                  <c:v>8.6331453174352646</c:v>
                </c:pt>
                <c:pt idx="20">
                  <c:v>8.6331453174352646</c:v>
                </c:pt>
                <c:pt idx="21">
                  <c:v>8.6331453174352646</c:v>
                </c:pt>
                <c:pt idx="22">
                  <c:v>8.6331453174352646</c:v>
                </c:pt>
                <c:pt idx="23">
                  <c:v>8.6331453174352646</c:v>
                </c:pt>
                <c:pt idx="24">
                  <c:v>8.6331453174352646</c:v>
                </c:pt>
                <c:pt idx="25">
                  <c:v>8.6331453174352646</c:v>
                </c:pt>
                <c:pt idx="26">
                  <c:v>8.6331453174352646</c:v>
                </c:pt>
                <c:pt idx="27">
                  <c:v>8.6331453174352646</c:v>
                </c:pt>
              </c:numCache>
            </c:numRef>
          </c:val>
          <c:smooth val="0"/>
          <c:extLst>
            <c:ext xmlns:c16="http://schemas.microsoft.com/office/drawing/2014/chart" uri="{C3380CC4-5D6E-409C-BE32-E72D297353CC}">
              <c16:uniqueId val="{0000000B-2ACA-4A3C-8C8E-3D3978238FB5}"/>
            </c:ext>
          </c:extLst>
        </c:ser>
        <c:dLbls>
          <c:showLegendKey val="0"/>
          <c:showVal val="0"/>
          <c:showCatName val="0"/>
          <c:showSerName val="0"/>
          <c:showPercent val="0"/>
          <c:showBubbleSize val="0"/>
        </c:dLbls>
        <c:marker val="1"/>
        <c:smooth val="0"/>
        <c:axId val="523294960"/>
        <c:axId val="523294176"/>
      </c:lineChart>
      <c:catAx>
        <c:axId val="52329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3294176"/>
        <c:crosses val="autoZero"/>
        <c:auto val="1"/>
        <c:lblAlgn val="ctr"/>
        <c:lblOffset val="100"/>
        <c:noMultiLvlLbl val="0"/>
      </c:catAx>
      <c:valAx>
        <c:axId val="52329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3294960"/>
        <c:crosses val="autoZero"/>
        <c:crossBetween val="between"/>
      </c:valAx>
      <c:spPr>
        <a:noFill/>
        <a:ln>
          <a:noFill/>
        </a:ln>
        <a:effectLst/>
      </c:spPr>
    </c:plotArea>
    <c:legend>
      <c:legendPos val="b"/>
      <c:layout>
        <c:manualLayout>
          <c:xMode val="edge"/>
          <c:yMode val="edge"/>
          <c:x val="0.30664964145494383"/>
          <c:y val="0.16710952926549821"/>
          <c:w val="0.35583294343746663"/>
          <c:h val="7.55672985506485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15'!$E$4</c:f>
              <c:strCache>
                <c:ptCount val="1"/>
                <c:pt idx="0">
                  <c:v>Osakaal</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B90-4CD6-B5DE-E73C5D136D20}"/>
              </c:ext>
            </c:extLst>
          </c:dPt>
          <c:dPt>
            <c:idx val="1"/>
            <c:bubble3D val="0"/>
            <c:spPr>
              <a:solidFill>
                <a:srgbClr val="9FD07A"/>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9B90-4CD6-B5DE-E73C5D136D20}"/>
              </c:ext>
            </c:extLst>
          </c:dPt>
          <c:dPt>
            <c:idx val="2"/>
            <c:bubble3D val="0"/>
            <c:spPr>
              <a:solidFill>
                <a:schemeClr val="accent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9B90-4CD6-B5DE-E73C5D136D20}"/>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15:layout/>
              </c:ext>
            </c:extLst>
          </c:dLbls>
          <c:cat>
            <c:strRef>
              <c:f>'Fig 15'!$D$5:$D$7</c:f>
              <c:strCache>
                <c:ptCount val="3"/>
                <c:pt idx="0">
                  <c:v>Jah, süstemaatiliselt(AT, BG, CZ, EE, ES, FI, FR, HR, HU, IT, LT, LV, PL, PT, RO, SI, SK)</c:v>
                </c:pt>
                <c:pt idx="1">
                  <c:v>Jah, vahetevahel(BE, EL, IE, LU, MT, NL)</c:v>
                </c:pt>
                <c:pt idx="2">
                  <c:v>Ei(CY, DE, DK, SE, UK)</c:v>
                </c:pt>
              </c:strCache>
            </c:strRef>
          </c:cat>
          <c:val>
            <c:numRef>
              <c:f>'Fig 15'!$E$5:$E$7</c:f>
              <c:numCache>
                <c:formatCode>0%</c:formatCode>
                <c:ptCount val="3"/>
                <c:pt idx="0">
                  <c:v>0.21</c:v>
                </c:pt>
                <c:pt idx="1">
                  <c:v>0.46</c:v>
                </c:pt>
                <c:pt idx="2">
                  <c:v>0.28999999999999998</c:v>
                </c:pt>
              </c:numCache>
            </c:numRef>
          </c:val>
          <c:extLst>
            <c:ext xmlns:c16="http://schemas.microsoft.com/office/drawing/2014/chart" uri="{C3380CC4-5D6E-409C-BE32-E72D297353CC}">
              <c16:uniqueId val="{00000006-9B90-4CD6-B5DE-E73C5D136D20}"/>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0695774402607257"/>
          <c:y val="0.20457073300620032"/>
          <c:w val="0.67571170902215427"/>
          <c:h val="0.638163870820495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83252586134655E-2"/>
          <c:y val="4.6108194808982206E-2"/>
          <c:w val="0.30909046893379555"/>
          <c:h val="0.90759550889472151"/>
        </c:manualLayout>
      </c:layout>
      <c:pieChart>
        <c:varyColors val="1"/>
        <c:ser>
          <c:idx val="0"/>
          <c:order val="0"/>
          <c:tx>
            <c:strRef>
              <c:f>'Fig 15'!$E$19</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8361-449B-B7EB-D1FA62267FD0}"/>
              </c:ext>
            </c:extLst>
          </c:dPt>
          <c:dPt>
            <c:idx val="1"/>
            <c:bubble3D val="0"/>
            <c:spPr>
              <a:solidFill>
                <a:srgbClr val="9FD07A"/>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8361-449B-B7EB-D1FA62267FD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'Fig 15'!$D$20:$D$21</c:f>
              <c:strCache>
                <c:ptCount val="2"/>
                <c:pt idx="0">
                  <c:v>Jah(AT, BE, CY, CZ, DK, EL, ES, FR, HR, HU, IE, IT, LT, LU, LV, MT, NL, PT, RO, SI)</c:v>
                </c:pt>
                <c:pt idx="1">
                  <c:v>Ei(BG, DE, EE, FI, PL, SE, SK, UK)</c:v>
                </c:pt>
              </c:strCache>
            </c:strRef>
          </c:cat>
          <c:val>
            <c:numRef>
              <c:f>'Fig 15'!$E$20:$E$21</c:f>
              <c:numCache>
                <c:formatCode>General</c:formatCode>
                <c:ptCount val="2"/>
                <c:pt idx="0">
                  <c:v>20</c:v>
                </c:pt>
                <c:pt idx="1">
                  <c:v>8</c:v>
                </c:pt>
              </c:numCache>
            </c:numRef>
          </c:val>
          <c:extLst>
            <c:ext xmlns:c16="http://schemas.microsoft.com/office/drawing/2014/chart" uri="{C3380CC4-5D6E-409C-BE32-E72D297353CC}">
              <c16:uniqueId val="{00000004-8361-449B-B7EB-D1FA62267FD0}"/>
            </c:ext>
          </c:extLst>
        </c:ser>
        <c:dLbls>
          <c:showLegendKey val="0"/>
          <c:showVal val="0"/>
          <c:showCatName val="0"/>
          <c:showSerName val="0"/>
          <c:showPercent val="1"/>
          <c:showBubbleSize val="0"/>
          <c:showLeaderLines val="1"/>
        </c:dLbls>
        <c:firstSliceAng val="90"/>
      </c:pieChart>
      <c:spPr>
        <a:noFill/>
        <a:ln>
          <a:noFill/>
        </a:ln>
        <a:effectLst/>
      </c:spPr>
    </c:plotArea>
    <c:legend>
      <c:legendPos val="r"/>
      <c:layout>
        <c:manualLayout>
          <c:xMode val="edge"/>
          <c:yMode val="edge"/>
          <c:x val="0.3734069938143818"/>
          <c:y val="0.34014738062730288"/>
          <c:w val="0.62028634477450284"/>
          <c:h val="0.445605132691746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76240746239615"/>
          <c:y val="6.4638925929493846E-3"/>
          <c:w val="0.59465221460783735"/>
          <c:h val="0.9737241582666244"/>
        </c:manualLayout>
      </c:layout>
      <c:barChart>
        <c:barDir val="bar"/>
        <c:grouping val="clustered"/>
        <c:varyColors val="0"/>
        <c:ser>
          <c:idx val="0"/>
          <c:order val="0"/>
          <c:tx>
            <c:strRef>
              <c:f>'Fig 16'!$C$4</c:f>
              <c:strCache>
                <c:ptCount val="1"/>
                <c:pt idx="0">
                  <c:v>Küsimus 3.15.b. Kas maksuhalduri IT-allsüsteem võimaldab peatada käibedeklaratsioonide vastuvõtmise, meeldetuletuste saatmise, hinnanguliste maksuotsuste tegemise ja muud meetmed seoses mitteaktiivsete maksumaksjatega? - Jah(Ei: BG, CZ, EE, HR, IT, NL, SE</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16'!$C$5</c:f>
              <c:numCache>
                <c:formatCode>General</c:formatCode>
                <c:ptCount val="1"/>
                <c:pt idx="0">
                  <c:v>20</c:v>
                </c:pt>
              </c:numCache>
            </c:numRef>
          </c:val>
          <c:extLst>
            <c:ext xmlns:c16="http://schemas.microsoft.com/office/drawing/2014/chart" uri="{C3380CC4-5D6E-409C-BE32-E72D297353CC}">
              <c16:uniqueId val="{00000000-EF03-4C49-8308-39BE42BF41F9}"/>
            </c:ext>
          </c:extLst>
        </c:ser>
        <c:ser>
          <c:idx val="1"/>
          <c:order val="1"/>
          <c:tx>
            <c:strRef>
              <c:f>'Fig 16'!$D$4</c:f>
              <c:strCache>
                <c:ptCount val="1"/>
                <c:pt idx="0">
                  <c:v>Küsimus 3.15.d. Kas maksuhalduri juhtkond uurib korrapäraselt, mil määral tagab VIESi andmebaas käibemaksukohustuslaste VIESi identifitseerimisnumbri  kehtivuse kindluse? - Jah(Ei: DK, FR, HR, LT, NL, SE, UK)</c:v>
                </c:pt>
              </c:strCache>
            </c:strRef>
          </c:tx>
          <c:spPr>
            <a:solidFill>
              <a:schemeClr val="accent3"/>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9FD07A"/>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2-EF03-4C49-8308-39BE42BF41F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16'!$D$5</c:f>
              <c:numCache>
                <c:formatCode>General</c:formatCode>
                <c:ptCount val="1"/>
                <c:pt idx="0">
                  <c:v>21</c:v>
                </c:pt>
              </c:numCache>
            </c:numRef>
          </c:val>
          <c:extLst>
            <c:ext xmlns:c16="http://schemas.microsoft.com/office/drawing/2014/chart" uri="{C3380CC4-5D6E-409C-BE32-E72D297353CC}">
              <c16:uniqueId val="{00000003-EF03-4C49-8308-39BE42BF41F9}"/>
            </c:ext>
          </c:extLst>
        </c:ser>
        <c:ser>
          <c:idx val="2"/>
          <c:order val="2"/>
          <c:tx>
            <c:strRef>
              <c:f>'Fig 16'!$E$4</c:f>
              <c:strCache>
                <c:ptCount val="1"/>
                <c:pt idx="0">
                  <c:v>Küsimus 3.15.c. Kas maksuhalduri registreerimise IT-süsteem annab käibemaksukohustuslasena registreerimisega seotud haldusteavet (nt statistika registreeritud maksumaksjate kohta ettevõtte liigi, asukoha ja majandussektori kaupa)? - Jah(Ei: AT, CY, EE, MT</c:v>
                </c:pt>
              </c:strCache>
            </c:strRef>
          </c:tx>
          <c:spPr>
            <a:solidFill>
              <a:srgbClr val="35B5D3"/>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16'!$E$5</c:f>
              <c:numCache>
                <c:formatCode>General</c:formatCode>
                <c:ptCount val="1"/>
                <c:pt idx="0">
                  <c:v>23</c:v>
                </c:pt>
              </c:numCache>
            </c:numRef>
          </c:val>
          <c:extLst>
            <c:ext xmlns:c16="http://schemas.microsoft.com/office/drawing/2014/chart" uri="{C3380CC4-5D6E-409C-BE32-E72D297353CC}">
              <c16:uniqueId val="{00000004-EF03-4C49-8308-39BE42BF41F9}"/>
            </c:ext>
          </c:extLst>
        </c:ser>
        <c:ser>
          <c:idx val="3"/>
          <c:order val="3"/>
          <c:tx>
            <c:strRef>
              <c:f>'Fig 16'!$F$4</c:f>
              <c:strCache>
                <c:ptCount val="1"/>
                <c:pt idx="0">
                  <c:v>Küsimus 3.15.a. Kas maksuhalduri käibemaksukohustuslastena registreerimise IT-allsüsteem liidestub muude IT-allsüsteemidega (nt käibedeklaratsioonide esitamine ja maksete töötlemine)?' - Jah(Ei: CY, CZ, EE, MT)</c:v>
                </c:pt>
              </c:strCache>
            </c:strRef>
          </c:tx>
          <c:spPr>
            <a:solidFill>
              <a:schemeClr val="accent1">
                <a:lumMod val="6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16'!$F$5</c:f>
              <c:numCache>
                <c:formatCode>General</c:formatCode>
                <c:ptCount val="1"/>
                <c:pt idx="0">
                  <c:v>24</c:v>
                </c:pt>
              </c:numCache>
            </c:numRef>
          </c:val>
          <c:extLst>
            <c:ext xmlns:c16="http://schemas.microsoft.com/office/drawing/2014/chart" uri="{C3380CC4-5D6E-409C-BE32-E72D297353CC}">
              <c16:uniqueId val="{00000005-EF03-4C49-8308-39BE42BF41F9}"/>
            </c:ext>
          </c:extLst>
        </c:ser>
        <c:dLbls>
          <c:dLblPos val="outEnd"/>
          <c:showLegendKey val="0"/>
          <c:showVal val="1"/>
          <c:showCatName val="0"/>
          <c:showSerName val="0"/>
          <c:showPercent val="0"/>
          <c:showBubbleSize val="0"/>
        </c:dLbls>
        <c:gapWidth val="0"/>
        <c:overlap val="-50"/>
        <c:axId val="122923264"/>
        <c:axId val="122941440"/>
      </c:barChart>
      <c:catAx>
        <c:axId val="122923264"/>
        <c:scaling>
          <c:orientation val="minMax"/>
        </c:scaling>
        <c:delete val="1"/>
        <c:axPos val="l"/>
        <c:numFmt formatCode="General" sourceLinked="1"/>
        <c:majorTickMark val="none"/>
        <c:minorTickMark val="none"/>
        <c:tickLblPos val="nextTo"/>
        <c:crossAx val="122941440"/>
        <c:crosses val="autoZero"/>
        <c:auto val="1"/>
        <c:lblAlgn val="ctr"/>
        <c:lblOffset val="100"/>
        <c:noMultiLvlLbl val="0"/>
      </c:catAx>
      <c:valAx>
        <c:axId val="122941440"/>
        <c:scaling>
          <c:orientation val="minMax"/>
          <c:max val="28"/>
          <c:min val="0"/>
        </c:scaling>
        <c:delete val="1"/>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out"/>
        <c:minorTickMark val="none"/>
        <c:tickLblPos val="nextTo"/>
        <c:crossAx val="122923264"/>
        <c:crosses val="autoZero"/>
        <c:crossBetween val="between"/>
      </c:valAx>
      <c:spPr>
        <a:noFill/>
        <a:ln>
          <a:noFill/>
        </a:ln>
        <a:effectLst/>
      </c:spPr>
    </c:plotArea>
    <c:legend>
      <c:legendPos val="l"/>
      <c:layout>
        <c:manualLayout>
          <c:xMode val="edge"/>
          <c:yMode val="edge"/>
          <c:x val="0"/>
          <c:y val="8.4958554937914401E-3"/>
          <c:w val="0.38502065047355372"/>
          <c:h val="0.991504144506208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76235264856235"/>
          <c:y val="5.3049656671703908E-2"/>
          <c:w val="0.59465221460783735"/>
          <c:h val="0.93446910045335252"/>
        </c:manualLayout>
      </c:layout>
      <c:barChart>
        <c:barDir val="bar"/>
        <c:grouping val="clustered"/>
        <c:varyColors val="0"/>
        <c:ser>
          <c:idx val="0"/>
          <c:order val="0"/>
          <c:tx>
            <c:strRef>
              <c:f>'Fig 17'!$C$4</c:f>
              <c:strCache>
                <c:ptCount val="1"/>
                <c:pt idx="0">
                  <c:v>Jah(AT, BG, DK, EL, IT, LV)</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 17'!$C$5</c:f>
              <c:numCache>
                <c:formatCode>General</c:formatCode>
                <c:ptCount val="1"/>
                <c:pt idx="0">
                  <c:v>6</c:v>
                </c:pt>
              </c:numCache>
            </c:numRef>
          </c:val>
          <c:extLst>
            <c:ext xmlns:c16="http://schemas.microsoft.com/office/drawing/2014/chart" uri="{C3380CC4-5D6E-409C-BE32-E72D297353CC}">
              <c16:uniqueId val="{00000000-AC43-4194-8F3B-808DEC535483}"/>
            </c:ext>
          </c:extLst>
        </c:ser>
        <c:ser>
          <c:idx val="1"/>
          <c:order val="1"/>
          <c:tx>
            <c:strRef>
              <c:f>'Fig 17'!$D$4</c:f>
              <c:strCache>
                <c:ptCount val="1"/>
                <c:pt idx="0">
                  <c:v>Ainult hinnangute alusel(BE, CY, CZ, HU, IE, LT, LU, SK)</c:v>
                </c:pt>
              </c:strCache>
            </c:strRef>
          </c:tx>
          <c:spPr>
            <a:solidFill>
              <a:srgbClr val="9FD07A"/>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 17'!$D$5</c:f>
              <c:numCache>
                <c:formatCode>General</c:formatCode>
                <c:ptCount val="1"/>
                <c:pt idx="0">
                  <c:v>8</c:v>
                </c:pt>
              </c:numCache>
            </c:numRef>
          </c:val>
          <c:extLst>
            <c:ext xmlns:c16="http://schemas.microsoft.com/office/drawing/2014/chart" uri="{C3380CC4-5D6E-409C-BE32-E72D297353CC}">
              <c16:uniqueId val="{00000001-AC43-4194-8F3B-808DEC535483}"/>
            </c:ext>
          </c:extLst>
        </c:ser>
        <c:ser>
          <c:idx val="2"/>
          <c:order val="2"/>
          <c:tx>
            <c:strRef>
              <c:f>'Fig 17'!$E$4</c:f>
              <c:strCache>
                <c:ptCount val="1"/>
                <c:pt idx="0">
                  <c:v>Ei(DE, EE, ES, FI, FR, HR, MT, NL, PL, PT, RO, SE, SI, UK)</c:v>
                </c:pt>
              </c:strCache>
            </c:strRef>
          </c:tx>
          <c:spPr>
            <a:solidFill>
              <a:schemeClr val="accent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 17'!$E$5</c:f>
              <c:numCache>
                <c:formatCode>General</c:formatCode>
                <c:ptCount val="1"/>
                <c:pt idx="0">
                  <c:v>14</c:v>
                </c:pt>
              </c:numCache>
            </c:numRef>
          </c:val>
          <c:extLst>
            <c:ext xmlns:c16="http://schemas.microsoft.com/office/drawing/2014/chart" uri="{C3380CC4-5D6E-409C-BE32-E72D297353CC}">
              <c16:uniqueId val="{00000002-AC43-4194-8F3B-808DEC535483}"/>
            </c:ext>
          </c:extLst>
        </c:ser>
        <c:dLbls>
          <c:dLblPos val="outEnd"/>
          <c:showLegendKey val="0"/>
          <c:showVal val="1"/>
          <c:showCatName val="0"/>
          <c:showSerName val="0"/>
          <c:showPercent val="0"/>
          <c:showBubbleSize val="0"/>
        </c:dLbls>
        <c:gapWidth val="0"/>
        <c:overlap val="-50"/>
        <c:axId val="137326592"/>
        <c:axId val="137328128"/>
      </c:barChart>
      <c:catAx>
        <c:axId val="137326592"/>
        <c:scaling>
          <c:orientation val="minMax"/>
        </c:scaling>
        <c:delete val="1"/>
        <c:axPos val="l"/>
        <c:numFmt formatCode="General" sourceLinked="1"/>
        <c:majorTickMark val="none"/>
        <c:minorTickMark val="none"/>
        <c:tickLblPos val="nextTo"/>
        <c:crossAx val="137328128"/>
        <c:crosses val="autoZero"/>
        <c:auto val="1"/>
        <c:lblAlgn val="ctr"/>
        <c:lblOffset val="100"/>
        <c:noMultiLvlLbl val="0"/>
      </c:catAx>
      <c:valAx>
        <c:axId val="137328128"/>
        <c:scaling>
          <c:orientation val="minMax"/>
          <c:max val="28"/>
          <c:min val="0"/>
        </c:scaling>
        <c:delete val="1"/>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out"/>
        <c:minorTickMark val="none"/>
        <c:tickLblPos val="nextTo"/>
        <c:crossAx val="137326592"/>
        <c:crosses val="autoZero"/>
        <c:crossBetween val="between"/>
      </c:valAx>
      <c:spPr>
        <a:noFill/>
        <a:ln>
          <a:noFill/>
        </a:ln>
        <a:effectLst/>
      </c:spPr>
    </c:plotArea>
    <c:legend>
      <c:legendPos val="l"/>
      <c:layout>
        <c:manualLayout>
          <c:xMode val="edge"/>
          <c:yMode val="edge"/>
          <c:x val="0"/>
          <c:y val="4.4977332378907185E-2"/>
          <c:w val="0.38502065047355372"/>
          <c:h val="0.955022667621092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83252586134655E-2"/>
          <c:y val="4.6108194808982206E-2"/>
          <c:w val="0.30909046893379555"/>
          <c:h val="0.90759550889472151"/>
        </c:manualLayout>
      </c:layout>
      <c:pieChart>
        <c:varyColors val="1"/>
        <c:ser>
          <c:idx val="0"/>
          <c:order val="0"/>
          <c:tx>
            <c:strRef>
              <c:f>'Fig 20'!$C$3</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62A-4BCA-9A24-46D541958EE1}"/>
              </c:ext>
            </c:extLst>
          </c:dPt>
          <c:dPt>
            <c:idx val="1"/>
            <c:bubble3D val="0"/>
            <c:spPr>
              <a:solidFill>
                <a:srgbClr val="9FD07A"/>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A62A-4BCA-9A24-46D541958E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 20'!$B$4:$B$5</c:f>
              <c:strCache>
                <c:ptCount val="2"/>
                <c:pt idx="0">
                  <c:v>Jah(BG, CY, CZ, DE, DK, EE, EL, ES, FR, HR, HU, IE, IT, LT, LU, LV, MT, PT, RO, SI, SK)</c:v>
                </c:pt>
                <c:pt idx="1">
                  <c:v>Ei(AT, BE, FI, NL, PL, SE, UK)</c:v>
                </c:pt>
              </c:strCache>
            </c:strRef>
          </c:cat>
          <c:val>
            <c:numRef>
              <c:f>'Fig 20'!$C$4:$C$5</c:f>
              <c:numCache>
                <c:formatCode>General</c:formatCode>
                <c:ptCount val="2"/>
                <c:pt idx="0">
                  <c:v>21</c:v>
                </c:pt>
                <c:pt idx="1">
                  <c:v>7</c:v>
                </c:pt>
              </c:numCache>
            </c:numRef>
          </c:val>
          <c:extLst>
            <c:ext xmlns:c16="http://schemas.microsoft.com/office/drawing/2014/chart" uri="{C3380CC4-5D6E-409C-BE32-E72D297353CC}">
              <c16:uniqueId val="{00000004-A62A-4BCA-9A24-46D541958EE1}"/>
            </c:ext>
          </c:extLst>
        </c:ser>
        <c:dLbls>
          <c:showLegendKey val="0"/>
          <c:showVal val="0"/>
          <c:showCatName val="0"/>
          <c:showSerName val="0"/>
          <c:showPercent val="1"/>
          <c:showBubbleSize val="0"/>
          <c:showLeaderLines val="1"/>
        </c:dLbls>
        <c:firstSliceAng val="90"/>
      </c:pieChart>
      <c:spPr>
        <a:noFill/>
        <a:ln>
          <a:noFill/>
        </a:ln>
        <a:effectLst/>
      </c:spPr>
    </c:plotArea>
    <c:legend>
      <c:legendPos val="r"/>
      <c:layout>
        <c:manualLayout>
          <c:xMode val="edge"/>
          <c:yMode val="edge"/>
          <c:x val="0.3734069938143818"/>
          <c:y val="0.34014738062730288"/>
          <c:w val="0.62028634477450284"/>
          <c:h val="0.445605132691746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22'!$C$2</c:f>
              <c:strCache>
                <c:ptCount val="1"/>
                <c:pt idx="0">
                  <c:v>Liidu kord</c:v>
                </c:pt>
              </c:strCache>
            </c:strRef>
          </c:tx>
          <c:spPr>
            <a:solidFill>
              <a:schemeClr val="accent1"/>
            </a:solidFill>
            <a:ln>
              <a:noFill/>
            </a:ln>
            <a:effectLst>
              <a:outerShdw blurRad="50800" dist="38100" dir="2700000" algn="tl" rotWithShape="0">
                <a:prstClr val="black">
                  <a:alpha val="40000"/>
                </a:prstClr>
              </a:outerShdw>
            </a:effectLst>
          </c:spPr>
          <c:invertIfNegative val="0"/>
          <c:cat>
            <c:strRef>
              <c:f>'Fig 22'!$B$3:$B$31</c:f>
              <c:strCache>
                <c:ptCount val="29"/>
                <c:pt idx="0">
                  <c:v>AT</c:v>
                </c:pt>
                <c:pt idx="1">
                  <c:v>BE</c:v>
                </c:pt>
                <c:pt idx="2">
                  <c:v>BG</c:v>
                </c:pt>
                <c:pt idx="3">
                  <c:v>HR</c:v>
                </c:pt>
                <c:pt idx="4">
                  <c:v>CY</c:v>
                </c:pt>
                <c:pt idx="5">
                  <c:v>CZ</c:v>
                </c:pt>
                <c:pt idx="6">
                  <c:v>DK</c:v>
                </c:pt>
                <c:pt idx="7">
                  <c:v>EE</c:v>
                </c:pt>
                <c:pt idx="8">
                  <c:v>FI</c:v>
                </c:pt>
                <c:pt idx="9">
                  <c:v>FR</c:v>
                </c:pt>
                <c:pt idx="10">
                  <c:v>DE</c:v>
                </c:pt>
                <c:pt idx="11">
                  <c:v>EL</c:v>
                </c:pt>
                <c:pt idx="12">
                  <c:v>HU</c:v>
                </c:pt>
                <c:pt idx="13">
                  <c:v>IE</c:v>
                </c:pt>
                <c:pt idx="14">
                  <c:v>IT</c:v>
                </c:pt>
                <c:pt idx="15">
                  <c:v>LV</c:v>
                </c:pt>
                <c:pt idx="16">
                  <c:v>LT</c:v>
                </c:pt>
                <c:pt idx="17">
                  <c:v>LU</c:v>
                </c:pt>
                <c:pt idx="18">
                  <c:v>MT</c:v>
                </c:pt>
                <c:pt idx="19">
                  <c:v>NL</c:v>
                </c:pt>
                <c:pt idx="20">
                  <c:v>PL</c:v>
                </c:pt>
                <c:pt idx="21">
                  <c:v>PT</c:v>
                </c:pt>
                <c:pt idx="22">
                  <c:v>RO</c:v>
                </c:pt>
                <c:pt idx="23">
                  <c:v>SK</c:v>
                </c:pt>
                <c:pt idx="24">
                  <c:v>SI</c:v>
                </c:pt>
                <c:pt idx="25">
                  <c:v>ES</c:v>
                </c:pt>
                <c:pt idx="26">
                  <c:v>SE</c:v>
                </c:pt>
                <c:pt idx="27">
                  <c:v>UK</c:v>
                </c:pt>
                <c:pt idx="28">
                  <c:v>EU</c:v>
                </c:pt>
              </c:strCache>
            </c:strRef>
          </c:cat>
          <c:val>
            <c:numRef>
              <c:f>'Fig 22'!$C$3:$C$31</c:f>
              <c:numCache>
                <c:formatCode>0%</c:formatCode>
                <c:ptCount val="29"/>
                <c:pt idx="0">
                  <c:v>0.17610226976258805</c:v>
                </c:pt>
                <c:pt idx="1">
                  <c:v>-0.19404693760732686</c:v>
                </c:pt>
                <c:pt idx="2">
                  <c:v>0.32692307692307693</c:v>
                </c:pt>
                <c:pt idx="3">
                  <c:v>5.1643192488262914E-2</c:v>
                </c:pt>
                <c:pt idx="4">
                  <c:v>0.38008415147265079</c:v>
                </c:pt>
                <c:pt idx="5">
                  <c:v>0.13483709273182956</c:v>
                </c:pt>
                <c:pt idx="6">
                  <c:v>0.34788540245566169</c:v>
                </c:pt>
                <c:pt idx="7">
                  <c:v>1.2371134020618557</c:v>
                </c:pt>
                <c:pt idx="8">
                  <c:v>4.6683046683046681E-2</c:v>
                </c:pt>
                <c:pt idx="9">
                  <c:v>-0.2992849846782431</c:v>
                </c:pt>
                <c:pt idx="10">
                  <c:v>-0.22127406231395119</c:v>
                </c:pt>
                <c:pt idx="11">
                  <c:v>0.28301886792452829</c:v>
                </c:pt>
                <c:pt idx="12">
                  <c:v>0.30769230769230771</c:v>
                </c:pt>
                <c:pt idx="13">
                  <c:v>-0.41408450704225352</c:v>
                </c:pt>
                <c:pt idx="14">
                  <c:v>0.29420849420849421</c:v>
                </c:pt>
                <c:pt idx="15">
                  <c:v>0.35616438356164382</c:v>
                </c:pt>
                <c:pt idx="16">
                  <c:v>0.3108108108108108</c:v>
                </c:pt>
                <c:pt idx="17">
                  <c:v>-7.6923076923076927E-2</c:v>
                </c:pt>
                <c:pt idx="18">
                  <c:v>0.31010452961672474</c:v>
                </c:pt>
                <c:pt idx="19">
                  <c:v>0.70944195902990348</c:v>
                </c:pt>
                <c:pt idx="20">
                  <c:v>-0.32520325203252032</c:v>
                </c:pt>
                <c:pt idx="21">
                  <c:v>9.0909090909090912E-2</c:v>
                </c:pt>
                <c:pt idx="22">
                  <c:v>0.28843338213762809</c:v>
                </c:pt>
                <c:pt idx="23">
                  <c:v>-0.38596491228070173</c:v>
                </c:pt>
                <c:pt idx="24">
                  <c:v>0.17277486910994763</c:v>
                </c:pt>
                <c:pt idx="25">
                  <c:v>0.14773333333333333</c:v>
                </c:pt>
                <c:pt idx="26">
                  <c:v>-0.16103151862464182</c:v>
                </c:pt>
                <c:pt idx="27">
                  <c:v>0.32234726688102894</c:v>
                </c:pt>
                <c:pt idx="28">
                  <c:v>9.4309426370058763E-2</c:v>
                </c:pt>
              </c:numCache>
            </c:numRef>
          </c:val>
          <c:extLst>
            <c:ext xmlns:c16="http://schemas.microsoft.com/office/drawing/2014/chart" uri="{C3380CC4-5D6E-409C-BE32-E72D297353CC}">
              <c16:uniqueId val="{00000000-DECE-424C-8E07-DB4C3ED20131}"/>
            </c:ext>
          </c:extLst>
        </c:ser>
        <c:ser>
          <c:idx val="1"/>
          <c:order val="1"/>
          <c:tx>
            <c:strRef>
              <c:f>'Fig 22'!$D$2</c:f>
              <c:strCache>
                <c:ptCount val="1"/>
                <c:pt idx="0">
                  <c:v>Liiduväline kord</c:v>
                </c:pt>
              </c:strCache>
            </c:strRef>
          </c:tx>
          <c:spPr>
            <a:solidFill>
              <a:srgbClr val="9FD07A"/>
            </a:solidFill>
            <a:ln>
              <a:noFill/>
            </a:ln>
            <a:effectLst>
              <a:outerShdw blurRad="50800" dist="38100" dir="2700000" algn="tl" rotWithShape="0">
                <a:prstClr val="black">
                  <a:alpha val="40000"/>
                </a:prstClr>
              </a:outerShdw>
            </a:effectLst>
          </c:spPr>
          <c:invertIfNegative val="0"/>
          <c:cat>
            <c:strRef>
              <c:f>'Fig 22'!$B$3:$B$31</c:f>
              <c:strCache>
                <c:ptCount val="29"/>
                <c:pt idx="0">
                  <c:v>AT</c:v>
                </c:pt>
                <c:pt idx="1">
                  <c:v>BE</c:v>
                </c:pt>
                <c:pt idx="2">
                  <c:v>BG</c:v>
                </c:pt>
                <c:pt idx="3">
                  <c:v>HR</c:v>
                </c:pt>
                <c:pt idx="4">
                  <c:v>CY</c:v>
                </c:pt>
                <c:pt idx="5">
                  <c:v>CZ</c:v>
                </c:pt>
                <c:pt idx="6">
                  <c:v>DK</c:v>
                </c:pt>
                <c:pt idx="7">
                  <c:v>EE</c:v>
                </c:pt>
                <c:pt idx="8">
                  <c:v>FI</c:v>
                </c:pt>
                <c:pt idx="9">
                  <c:v>FR</c:v>
                </c:pt>
                <c:pt idx="10">
                  <c:v>DE</c:v>
                </c:pt>
                <c:pt idx="11">
                  <c:v>EL</c:v>
                </c:pt>
                <c:pt idx="12">
                  <c:v>HU</c:v>
                </c:pt>
                <c:pt idx="13">
                  <c:v>IE</c:v>
                </c:pt>
                <c:pt idx="14">
                  <c:v>IT</c:v>
                </c:pt>
                <c:pt idx="15">
                  <c:v>LV</c:v>
                </c:pt>
                <c:pt idx="16">
                  <c:v>LT</c:v>
                </c:pt>
                <c:pt idx="17">
                  <c:v>LU</c:v>
                </c:pt>
                <c:pt idx="18">
                  <c:v>MT</c:v>
                </c:pt>
                <c:pt idx="19">
                  <c:v>NL</c:v>
                </c:pt>
                <c:pt idx="20">
                  <c:v>PL</c:v>
                </c:pt>
                <c:pt idx="21">
                  <c:v>PT</c:v>
                </c:pt>
                <c:pt idx="22">
                  <c:v>RO</c:v>
                </c:pt>
                <c:pt idx="23">
                  <c:v>SK</c:v>
                </c:pt>
                <c:pt idx="24">
                  <c:v>SI</c:v>
                </c:pt>
                <c:pt idx="25">
                  <c:v>ES</c:v>
                </c:pt>
                <c:pt idx="26">
                  <c:v>SE</c:v>
                </c:pt>
                <c:pt idx="27">
                  <c:v>UK</c:v>
                </c:pt>
                <c:pt idx="28">
                  <c:v>EU</c:v>
                </c:pt>
              </c:strCache>
            </c:strRef>
          </c:cat>
          <c:val>
            <c:numRef>
              <c:f>'Fig 22'!$D$3:$D$31</c:f>
              <c:numCache>
                <c:formatCode>0%</c:formatCode>
                <c:ptCount val="29"/>
                <c:pt idx="0">
                  <c:v>0.25490196078431371</c:v>
                </c:pt>
                <c:pt idx="1">
                  <c:v>-0.14285714285714285</c:v>
                </c:pt>
                <c:pt idx="2">
                  <c:v>-0.2</c:v>
                </c:pt>
                <c:pt idx="3">
                  <c:v>0</c:v>
                </c:pt>
                <c:pt idx="4">
                  <c:v>0.36842105263157893</c:v>
                </c:pt>
                <c:pt idx="5">
                  <c:v>0.31343283582089554</c:v>
                </c:pt>
                <c:pt idx="6">
                  <c:v>0.14285714285714285</c:v>
                </c:pt>
                <c:pt idx="7">
                  <c:v>1</c:v>
                </c:pt>
                <c:pt idx="8">
                  <c:v>0</c:v>
                </c:pt>
                <c:pt idx="9">
                  <c:v>-0.48936170212765956</c:v>
                </c:pt>
                <c:pt idx="10">
                  <c:v>0.23076923076923078</c:v>
                </c:pt>
                <c:pt idx="11">
                  <c:v>0</c:v>
                </c:pt>
                <c:pt idx="12">
                  <c:v>0.7142857142857143</c:v>
                </c:pt>
                <c:pt idx="13">
                  <c:v>0.30348258706467662</c:v>
                </c:pt>
                <c:pt idx="14">
                  <c:v>0.17647058823529413</c:v>
                </c:pt>
                <c:pt idx="15">
                  <c:v>-1</c:v>
                </c:pt>
                <c:pt idx="16">
                  <c:v>1</c:v>
                </c:pt>
                <c:pt idx="17">
                  <c:v>0.5</c:v>
                </c:pt>
                <c:pt idx="18">
                  <c:v>0.45454545454545453</c:v>
                </c:pt>
                <c:pt idx="19">
                  <c:v>0.27810650887573962</c:v>
                </c:pt>
                <c:pt idx="20">
                  <c:v>1</c:v>
                </c:pt>
                <c:pt idx="21">
                  <c:v>1</c:v>
                </c:pt>
                <c:pt idx="22">
                  <c:v>0</c:v>
                </c:pt>
                <c:pt idx="23">
                  <c:v>0</c:v>
                </c:pt>
                <c:pt idx="24">
                  <c:v>0</c:v>
                </c:pt>
                <c:pt idx="25">
                  <c:v>-1.8181818181818181E-2</c:v>
                </c:pt>
                <c:pt idx="26">
                  <c:v>-2.4390243902439025E-2</c:v>
                </c:pt>
                <c:pt idx="27">
                  <c:v>0.18303030303030304</c:v>
                </c:pt>
                <c:pt idx="28">
                  <c:v>0.21962616822429906</c:v>
                </c:pt>
              </c:numCache>
            </c:numRef>
          </c:val>
          <c:extLst>
            <c:ext xmlns:c16="http://schemas.microsoft.com/office/drawing/2014/chart" uri="{C3380CC4-5D6E-409C-BE32-E72D297353CC}">
              <c16:uniqueId val="{00000001-DECE-424C-8E07-DB4C3ED20131}"/>
            </c:ext>
          </c:extLst>
        </c:ser>
        <c:dLbls>
          <c:showLegendKey val="0"/>
          <c:showVal val="0"/>
          <c:showCatName val="0"/>
          <c:showSerName val="0"/>
          <c:showPercent val="0"/>
          <c:showBubbleSize val="0"/>
        </c:dLbls>
        <c:gapWidth val="219"/>
        <c:axId val="137497600"/>
        <c:axId val="137503488"/>
      </c:barChart>
      <c:catAx>
        <c:axId val="137497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503488"/>
        <c:crosses val="autoZero"/>
        <c:auto val="1"/>
        <c:lblAlgn val="ctr"/>
        <c:lblOffset val="100"/>
        <c:noMultiLvlLbl val="0"/>
      </c:catAx>
      <c:valAx>
        <c:axId val="137503488"/>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9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23'!$C$2</c:f>
              <c:strCache>
                <c:ptCount val="1"/>
                <c:pt idx="0">
                  <c:v>Maksumaksja taotlus</c:v>
                </c:pt>
              </c:strCache>
            </c:strRef>
          </c:tx>
          <c:spPr>
            <a:solidFill>
              <a:schemeClr val="accent1"/>
            </a:solidFill>
            <a:ln>
              <a:noFill/>
            </a:ln>
            <a:effectLst>
              <a:outerShdw blurRad="50800" dist="38100" dir="2700000" algn="tl" rotWithShape="0">
                <a:prstClr val="black">
                  <a:alpha val="40000"/>
                </a:prstClr>
              </a:outerShdw>
            </a:effectLst>
          </c:spPr>
          <c:invertIfNegative val="0"/>
          <c:cat>
            <c:strRef>
              <c:f>'Fig 23'!$B$3:$B$30</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HR</c:v>
                </c:pt>
                <c:pt idx="13">
                  <c:v>HU</c:v>
                </c:pt>
                <c:pt idx="14">
                  <c:v>IE</c:v>
                </c:pt>
                <c:pt idx="15">
                  <c:v>IT</c:v>
                </c:pt>
                <c:pt idx="16">
                  <c:v>LT</c:v>
                </c:pt>
                <c:pt idx="17">
                  <c:v>LU</c:v>
                </c:pt>
                <c:pt idx="18">
                  <c:v>LV</c:v>
                </c:pt>
                <c:pt idx="19">
                  <c:v>MT</c:v>
                </c:pt>
                <c:pt idx="20">
                  <c:v>NL</c:v>
                </c:pt>
                <c:pt idx="21">
                  <c:v>PL</c:v>
                </c:pt>
                <c:pt idx="22">
                  <c:v>PT</c:v>
                </c:pt>
                <c:pt idx="23">
                  <c:v>RO</c:v>
                </c:pt>
                <c:pt idx="24">
                  <c:v>SE</c:v>
                </c:pt>
                <c:pt idx="25">
                  <c:v>SI</c:v>
                </c:pt>
                <c:pt idx="26">
                  <c:v>SK</c:v>
                </c:pt>
                <c:pt idx="27">
                  <c:v>UK</c:v>
                </c:pt>
              </c:strCache>
            </c:strRef>
          </c:cat>
          <c:val>
            <c:numRef>
              <c:f>'Fig 23'!$C$3:$C$30</c:f>
              <c:numCache>
                <c:formatCode>0%</c:formatCode>
                <c:ptCount val="28"/>
                <c:pt idx="0">
                  <c:v>4.744713221447798E-2</c:v>
                </c:pt>
                <c:pt idx="1">
                  <c:v>0.10737191830581318</c:v>
                </c:pt>
                <c:pt idx="2">
                  <c:v>2.7782144024518569E-2</c:v>
                </c:pt>
                <c:pt idx="3">
                  <c:v>4.2394589414713253E-2</c:v>
                </c:pt>
                <c:pt idx="4">
                  <c:v>7.0074622055780536E-2</c:v>
                </c:pt>
                <c:pt idx="5">
                  <c:v>0.16789326577382804</c:v>
                </c:pt>
                <c:pt idx="6">
                  <c:v>3.2599561563755937E-2</c:v>
                </c:pt>
                <c:pt idx="7">
                  <c:v>8.7799660482574704E-2</c:v>
                </c:pt>
                <c:pt idx="8">
                  <c:v>5.9943440977923743E-2</c:v>
                </c:pt>
                <c:pt idx="9">
                  <c:v>9.8820937495603431E-2</c:v>
                </c:pt>
                <c:pt idx="10">
                  <c:v>7.9327826149830166E-2</c:v>
                </c:pt>
                <c:pt idx="11">
                  <c:v>4.2216076024866496E-2</c:v>
                </c:pt>
                <c:pt idx="12">
                  <c:v>2.4193548387096774E-2</c:v>
                </c:pt>
                <c:pt idx="13">
                  <c:v>7.7887204111701538E-2</c:v>
                </c:pt>
                <c:pt idx="14">
                  <c:v>4.9977693361699611E-2</c:v>
                </c:pt>
                <c:pt idx="15">
                  <c:v>6.7771243056500924E-2</c:v>
                </c:pt>
                <c:pt idx="16">
                  <c:v>2.7327460687245196E-2</c:v>
                </c:pt>
                <c:pt idx="17">
                  <c:v>4.8551174750083456E-2</c:v>
                </c:pt>
                <c:pt idx="18">
                  <c:v>7.8665436714242129E-2</c:v>
                </c:pt>
                <c:pt idx="19">
                  <c:v>0.12410342462105792</c:v>
                </c:pt>
                <c:pt idx="20">
                  <c:v>0.12953322175942084</c:v>
                </c:pt>
                <c:pt idx="21">
                  <c:v>0.2162387768821224</c:v>
                </c:pt>
                <c:pt idx="22">
                  <c:v>0.15443140975660685</c:v>
                </c:pt>
                <c:pt idx="23">
                  <c:v>4.1786343232807027E-2</c:v>
                </c:pt>
                <c:pt idx="24">
                  <c:v>0.14887397673633351</c:v>
                </c:pt>
                <c:pt idx="25">
                  <c:v>9.7836192902606561E-2</c:v>
                </c:pt>
                <c:pt idx="26">
                  <c:v>0.38491223561660903</c:v>
                </c:pt>
                <c:pt idx="27">
                  <c:v>7.0076990690515456E-2</c:v>
                </c:pt>
              </c:numCache>
            </c:numRef>
          </c:val>
          <c:extLst>
            <c:ext xmlns:c16="http://schemas.microsoft.com/office/drawing/2014/chart" uri="{C3380CC4-5D6E-409C-BE32-E72D297353CC}">
              <c16:uniqueId val="{00000000-5ECD-4DD0-98B9-EFA22246014D}"/>
            </c:ext>
          </c:extLst>
        </c:ser>
        <c:ser>
          <c:idx val="1"/>
          <c:order val="1"/>
          <c:tx>
            <c:strRef>
              <c:f>'Fig 23'!$D$2</c:f>
              <c:strCache>
                <c:ptCount val="1"/>
                <c:pt idx="0">
                  <c:v>Ex officio</c:v>
                </c:pt>
              </c:strCache>
            </c:strRef>
          </c:tx>
          <c:spPr>
            <a:solidFill>
              <a:srgbClr val="9FD07A"/>
            </a:solidFill>
            <a:ln>
              <a:noFill/>
            </a:ln>
            <a:effectLst>
              <a:outerShdw blurRad="50800" dist="38100" dir="2700000" algn="tl" rotWithShape="0">
                <a:prstClr val="black">
                  <a:alpha val="40000"/>
                </a:prstClr>
              </a:outerShdw>
            </a:effectLst>
          </c:spPr>
          <c:invertIfNegative val="0"/>
          <c:cat>
            <c:strRef>
              <c:f>'Fig 23'!$B$3:$B$30</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HR</c:v>
                </c:pt>
                <c:pt idx="13">
                  <c:v>HU</c:v>
                </c:pt>
                <c:pt idx="14">
                  <c:v>IE</c:v>
                </c:pt>
                <c:pt idx="15">
                  <c:v>IT</c:v>
                </c:pt>
                <c:pt idx="16">
                  <c:v>LT</c:v>
                </c:pt>
                <c:pt idx="17">
                  <c:v>LU</c:v>
                </c:pt>
                <c:pt idx="18">
                  <c:v>LV</c:v>
                </c:pt>
                <c:pt idx="19">
                  <c:v>MT</c:v>
                </c:pt>
                <c:pt idx="20">
                  <c:v>NL</c:v>
                </c:pt>
                <c:pt idx="21">
                  <c:v>PL</c:v>
                </c:pt>
                <c:pt idx="22">
                  <c:v>PT</c:v>
                </c:pt>
                <c:pt idx="23">
                  <c:v>RO</c:v>
                </c:pt>
                <c:pt idx="24">
                  <c:v>SE</c:v>
                </c:pt>
                <c:pt idx="25">
                  <c:v>SI</c:v>
                </c:pt>
                <c:pt idx="26">
                  <c:v>SK</c:v>
                </c:pt>
                <c:pt idx="27">
                  <c:v>UK</c:v>
                </c:pt>
              </c:strCache>
            </c:strRef>
          </c:cat>
          <c:val>
            <c:numRef>
              <c:f>'Fig 23'!$D$3:$D$30</c:f>
              <c:numCache>
                <c:formatCode>0%</c:formatCode>
                <c:ptCount val="28"/>
                <c:pt idx="0">
                  <c:v>2.7626321974148063E-2</c:v>
                </c:pt>
                <c:pt idx="1">
                  <c:v>0.1</c:v>
                </c:pt>
                <c:pt idx="2">
                  <c:v>3.5714285714285712E-2</c:v>
                </c:pt>
                <c:pt idx="3">
                  <c:v>0.20882352941176471</c:v>
                </c:pt>
                <c:pt idx="4">
                  <c:v>0.10638297872340426</c:v>
                </c:pt>
                <c:pt idx="5">
                  <c:v>8.5933146539207139E-2</c:v>
                </c:pt>
                <c:pt idx="6">
                  <c:v>0</c:v>
                </c:pt>
                <c:pt idx="7">
                  <c:v>0</c:v>
                </c:pt>
                <c:pt idx="8">
                  <c:v>0</c:v>
                </c:pt>
                <c:pt idx="9">
                  <c:v>0.10134756210604376</c:v>
                </c:pt>
                <c:pt idx="10">
                  <c:v>0</c:v>
                </c:pt>
                <c:pt idx="11">
                  <c:v>0.1130050505050505</c:v>
                </c:pt>
                <c:pt idx="12">
                  <c:v>0</c:v>
                </c:pt>
                <c:pt idx="13">
                  <c:v>0</c:v>
                </c:pt>
                <c:pt idx="14">
                  <c:v>0.22413949275362319</c:v>
                </c:pt>
                <c:pt idx="15">
                  <c:v>0</c:v>
                </c:pt>
                <c:pt idx="16">
                  <c:v>0</c:v>
                </c:pt>
                <c:pt idx="17">
                  <c:v>1.3157894736842105E-2</c:v>
                </c:pt>
                <c:pt idx="18">
                  <c:v>0.25</c:v>
                </c:pt>
                <c:pt idx="19">
                  <c:v>1.1904761904761904E-2</c:v>
                </c:pt>
                <c:pt idx="20">
                  <c:v>2.5389547927006567E-2</c:v>
                </c:pt>
                <c:pt idx="21">
                  <c:v>0</c:v>
                </c:pt>
                <c:pt idx="22">
                  <c:v>0</c:v>
                </c:pt>
                <c:pt idx="23">
                  <c:v>0</c:v>
                </c:pt>
                <c:pt idx="24">
                  <c:v>0</c:v>
                </c:pt>
                <c:pt idx="25">
                  <c:v>0</c:v>
                </c:pt>
                <c:pt idx="26">
                  <c:v>0</c:v>
                </c:pt>
                <c:pt idx="27">
                  <c:v>0.20488002482393866</c:v>
                </c:pt>
              </c:numCache>
            </c:numRef>
          </c:val>
          <c:extLst>
            <c:ext xmlns:c16="http://schemas.microsoft.com/office/drawing/2014/chart" uri="{C3380CC4-5D6E-409C-BE32-E72D297353CC}">
              <c16:uniqueId val="{00000001-5ECD-4DD0-98B9-EFA22246014D}"/>
            </c:ext>
          </c:extLst>
        </c:ser>
        <c:dLbls>
          <c:showLegendKey val="0"/>
          <c:showVal val="0"/>
          <c:showCatName val="0"/>
          <c:showSerName val="0"/>
          <c:showPercent val="0"/>
          <c:showBubbleSize val="0"/>
        </c:dLbls>
        <c:gapWidth val="50"/>
        <c:overlap val="50"/>
        <c:axId val="138647040"/>
        <c:axId val="138648576"/>
      </c:barChart>
      <c:lineChart>
        <c:grouping val="standard"/>
        <c:varyColors val="0"/>
        <c:ser>
          <c:idx val="2"/>
          <c:order val="2"/>
          <c:tx>
            <c:strRef>
              <c:f>'Fig 23'!$E$2</c:f>
              <c:strCache>
                <c:ptCount val="1"/>
                <c:pt idx="0">
                  <c:v>ELi keskmine(maksumaksja taotlus)</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5ECD-4DD0-98B9-EFA22246014D}"/>
                </c:ext>
              </c:extLst>
            </c:dLbl>
            <c:dLbl>
              <c:idx val="1"/>
              <c:delete val="1"/>
              <c:extLst>
                <c:ext xmlns:c15="http://schemas.microsoft.com/office/drawing/2012/chart" uri="{CE6537A1-D6FC-4f65-9D91-7224C49458BB}"/>
                <c:ext xmlns:c16="http://schemas.microsoft.com/office/drawing/2014/chart" uri="{C3380CC4-5D6E-409C-BE32-E72D297353CC}">
                  <c16:uniqueId val="{00000003-5ECD-4DD0-98B9-EFA22246014D}"/>
                </c:ext>
              </c:extLst>
            </c:dLbl>
            <c:dLbl>
              <c:idx val="2"/>
              <c:delete val="1"/>
              <c:extLst>
                <c:ext xmlns:c15="http://schemas.microsoft.com/office/drawing/2012/chart" uri="{CE6537A1-D6FC-4f65-9D91-7224C49458BB}"/>
                <c:ext xmlns:c16="http://schemas.microsoft.com/office/drawing/2014/chart" uri="{C3380CC4-5D6E-409C-BE32-E72D297353CC}">
                  <c16:uniqueId val="{00000004-5ECD-4DD0-98B9-EFA22246014D}"/>
                </c:ext>
              </c:extLst>
            </c:dLbl>
            <c:dLbl>
              <c:idx val="3"/>
              <c:delete val="1"/>
              <c:extLst>
                <c:ext xmlns:c15="http://schemas.microsoft.com/office/drawing/2012/chart" uri="{CE6537A1-D6FC-4f65-9D91-7224C49458BB}"/>
                <c:ext xmlns:c16="http://schemas.microsoft.com/office/drawing/2014/chart" uri="{C3380CC4-5D6E-409C-BE32-E72D297353CC}">
                  <c16:uniqueId val="{00000005-5ECD-4DD0-98B9-EFA22246014D}"/>
                </c:ext>
              </c:extLst>
            </c:dLbl>
            <c:dLbl>
              <c:idx val="4"/>
              <c:delete val="1"/>
              <c:extLst>
                <c:ext xmlns:c15="http://schemas.microsoft.com/office/drawing/2012/chart" uri="{CE6537A1-D6FC-4f65-9D91-7224C49458BB}"/>
                <c:ext xmlns:c16="http://schemas.microsoft.com/office/drawing/2014/chart" uri="{C3380CC4-5D6E-409C-BE32-E72D297353CC}">
                  <c16:uniqueId val="{00000006-5ECD-4DD0-98B9-EFA22246014D}"/>
                </c:ext>
              </c:extLst>
            </c:dLbl>
            <c:dLbl>
              <c:idx val="5"/>
              <c:delete val="1"/>
              <c:extLst>
                <c:ext xmlns:c15="http://schemas.microsoft.com/office/drawing/2012/chart" uri="{CE6537A1-D6FC-4f65-9D91-7224C49458BB}"/>
                <c:ext xmlns:c16="http://schemas.microsoft.com/office/drawing/2014/chart" uri="{C3380CC4-5D6E-409C-BE32-E72D297353CC}">
                  <c16:uniqueId val="{00000007-5ECD-4DD0-98B9-EFA22246014D}"/>
                </c:ext>
              </c:extLst>
            </c:dLbl>
            <c:dLbl>
              <c:idx val="6"/>
              <c:delete val="1"/>
              <c:extLst>
                <c:ext xmlns:c15="http://schemas.microsoft.com/office/drawing/2012/chart" uri="{CE6537A1-D6FC-4f65-9D91-7224C49458BB}"/>
                <c:ext xmlns:c16="http://schemas.microsoft.com/office/drawing/2014/chart" uri="{C3380CC4-5D6E-409C-BE32-E72D297353CC}">
                  <c16:uniqueId val="{00000008-5ECD-4DD0-98B9-EFA22246014D}"/>
                </c:ext>
              </c:extLst>
            </c:dLbl>
            <c:dLbl>
              <c:idx val="7"/>
              <c:layout>
                <c:manualLayout>
                  <c:x val="-8.4490407394727837E-2"/>
                  <c:y val="-0.16128269455277081"/>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5ECD-4DD0-98B9-EFA22246014D}"/>
                </c:ext>
              </c:extLst>
            </c:dLbl>
            <c:dLbl>
              <c:idx val="8"/>
              <c:delete val="1"/>
              <c:extLst>
                <c:ext xmlns:c15="http://schemas.microsoft.com/office/drawing/2012/chart" uri="{CE6537A1-D6FC-4f65-9D91-7224C49458BB}"/>
                <c:ext xmlns:c16="http://schemas.microsoft.com/office/drawing/2014/chart" uri="{C3380CC4-5D6E-409C-BE32-E72D297353CC}">
                  <c16:uniqueId val="{0000000A-5ECD-4DD0-98B9-EFA22246014D}"/>
                </c:ext>
              </c:extLst>
            </c:dLbl>
            <c:dLbl>
              <c:idx val="9"/>
              <c:delete val="1"/>
              <c:extLst>
                <c:ext xmlns:c15="http://schemas.microsoft.com/office/drawing/2012/chart" uri="{CE6537A1-D6FC-4f65-9D91-7224C49458BB}"/>
                <c:ext xmlns:c16="http://schemas.microsoft.com/office/drawing/2014/chart" uri="{C3380CC4-5D6E-409C-BE32-E72D297353CC}">
                  <c16:uniqueId val="{0000000B-5ECD-4DD0-98B9-EFA22246014D}"/>
                </c:ext>
              </c:extLst>
            </c:dLbl>
            <c:dLbl>
              <c:idx val="10"/>
              <c:delete val="1"/>
              <c:extLst>
                <c:ext xmlns:c15="http://schemas.microsoft.com/office/drawing/2012/chart" uri="{CE6537A1-D6FC-4f65-9D91-7224C49458BB}"/>
                <c:ext xmlns:c16="http://schemas.microsoft.com/office/drawing/2014/chart" uri="{C3380CC4-5D6E-409C-BE32-E72D297353CC}">
                  <c16:uniqueId val="{0000000C-5ECD-4DD0-98B9-EFA22246014D}"/>
                </c:ext>
              </c:extLst>
            </c:dLbl>
            <c:dLbl>
              <c:idx val="11"/>
              <c:delete val="1"/>
              <c:extLst>
                <c:ext xmlns:c15="http://schemas.microsoft.com/office/drawing/2012/chart" uri="{CE6537A1-D6FC-4f65-9D91-7224C49458BB}"/>
                <c:ext xmlns:c16="http://schemas.microsoft.com/office/drawing/2014/chart" uri="{C3380CC4-5D6E-409C-BE32-E72D297353CC}">
                  <c16:uniqueId val="{0000000D-5ECD-4DD0-98B9-EFA22246014D}"/>
                </c:ext>
              </c:extLst>
            </c:dLbl>
            <c:dLbl>
              <c:idx val="12"/>
              <c:delete val="1"/>
              <c:extLst>
                <c:ext xmlns:c15="http://schemas.microsoft.com/office/drawing/2012/chart" uri="{CE6537A1-D6FC-4f65-9D91-7224C49458BB}"/>
                <c:ext xmlns:c16="http://schemas.microsoft.com/office/drawing/2014/chart" uri="{C3380CC4-5D6E-409C-BE32-E72D297353CC}">
                  <c16:uniqueId val="{0000000E-5ECD-4DD0-98B9-EFA22246014D}"/>
                </c:ext>
              </c:extLst>
            </c:dLbl>
            <c:dLbl>
              <c:idx val="13"/>
              <c:delete val="1"/>
              <c:extLst>
                <c:ext xmlns:c15="http://schemas.microsoft.com/office/drawing/2012/chart" uri="{CE6537A1-D6FC-4f65-9D91-7224C49458BB}"/>
                <c:ext xmlns:c16="http://schemas.microsoft.com/office/drawing/2014/chart" uri="{C3380CC4-5D6E-409C-BE32-E72D297353CC}">
                  <c16:uniqueId val="{0000000F-5ECD-4DD0-98B9-EFA22246014D}"/>
                </c:ext>
              </c:extLst>
            </c:dLbl>
            <c:dLbl>
              <c:idx val="14"/>
              <c:delete val="1"/>
              <c:extLst>
                <c:ext xmlns:c15="http://schemas.microsoft.com/office/drawing/2012/chart" uri="{CE6537A1-D6FC-4f65-9D91-7224C49458BB}"/>
                <c:ext xmlns:c16="http://schemas.microsoft.com/office/drawing/2014/chart" uri="{C3380CC4-5D6E-409C-BE32-E72D297353CC}">
                  <c16:uniqueId val="{00000010-5ECD-4DD0-98B9-EFA22246014D}"/>
                </c:ext>
              </c:extLst>
            </c:dLbl>
            <c:dLbl>
              <c:idx val="15"/>
              <c:delete val="1"/>
              <c:extLst>
                <c:ext xmlns:c15="http://schemas.microsoft.com/office/drawing/2012/chart" uri="{CE6537A1-D6FC-4f65-9D91-7224C49458BB}"/>
                <c:ext xmlns:c16="http://schemas.microsoft.com/office/drawing/2014/chart" uri="{C3380CC4-5D6E-409C-BE32-E72D297353CC}">
                  <c16:uniqueId val="{00000011-5ECD-4DD0-98B9-EFA22246014D}"/>
                </c:ext>
              </c:extLst>
            </c:dLbl>
            <c:dLbl>
              <c:idx val="16"/>
              <c:delete val="1"/>
              <c:extLst>
                <c:ext xmlns:c15="http://schemas.microsoft.com/office/drawing/2012/chart" uri="{CE6537A1-D6FC-4f65-9D91-7224C49458BB}"/>
                <c:ext xmlns:c16="http://schemas.microsoft.com/office/drawing/2014/chart" uri="{C3380CC4-5D6E-409C-BE32-E72D297353CC}">
                  <c16:uniqueId val="{00000012-5ECD-4DD0-98B9-EFA22246014D}"/>
                </c:ext>
              </c:extLst>
            </c:dLbl>
            <c:dLbl>
              <c:idx val="17"/>
              <c:delete val="1"/>
              <c:extLst>
                <c:ext xmlns:c15="http://schemas.microsoft.com/office/drawing/2012/chart" uri="{CE6537A1-D6FC-4f65-9D91-7224C49458BB}"/>
                <c:ext xmlns:c16="http://schemas.microsoft.com/office/drawing/2014/chart" uri="{C3380CC4-5D6E-409C-BE32-E72D297353CC}">
                  <c16:uniqueId val="{00000013-5ECD-4DD0-98B9-EFA22246014D}"/>
                </c:ext>
              </c:extLst>
            </c:dLbl>
            <c:dLbl>
              <c:idx val="18"/>
              <c:delete val="1"/>
              <c:extLst>
                <c:ext xmlns:c15="http://schemas.microsoft.com/office/drawing/2012/chart" uri="{CE6537A1-D6FC-4f65-9D91-7224C49458BB}"/>
                <c:ext xmlns:c16="http://schemas.microsoft.com/office/drawing/2014/chart" uri="{C3380CC4-5D6E-409C-BE32-E72D297353CC}">
                  <c16:uniqueId val="{00000014-5ECD-4DD0-98B9-EFA22246014D}"/>
                </c:ext>
              </c:extLst>
            </c:dLbl>
            <c:dLbl>
              <c:idx val="19"/>
              <c:delete val="1"/>
              <c:extLst>
                <c:ext xmlns:c15="http://schemas.microsoft.com/office/drawing/2012/chart" uri="{CE6537A1-D6FC-4f65-9D91-7224C49458BB}"/>
                <c:ext xmlns:c16="http://schemas.microsoft.com/office/drawing/2014/chart" uri="{C3380CC4-5D6E-409C-BE32-E72D297353CC}">
                  <c16:uniqueId val="{00000015-5ECD-4DD0-98B9-EFA22246014D}"/>
                </c:ext>
              </c:extLst>
            </c:dLbl>
            <c:dLbl>
              <c:idx val="20"/>
              <c:delete val="1"/>
              <c:extLst>
                <c:ext xmlns:c15="http://schemas.microsoft.com/office/drawing/2012/chart" uri="{CE6537A1-D6FC-4f65-9D91-7224C49458BB}"/>
                <c:ext xmlns:c16="http://schemas.microsoft.com/office/drawing/2014/chart" uri="{C3380CC4-5D6E-409C-BE32-E72D297353CC}">
                  <c16:uniqueId val="{00000016-5ECD-4DD0-98B9-EFA22246014D}"/>
                </c:ext>
              </c:extLst>
            </c:dLbl>
            <c:dLbl>
              <c:idx val="21"/>
              <c:delete val="1"/>
              <c:extLst>
                <c:ext xmlns:c15="http://schemas.microsoft.com/office/drawing/2012/chart" uri="{CE6537A1-D6FC-4f65-9D91-7224C49458BB}"/>
                <c:ext xmlns:c16="http://schemas.microsoft.com/office/drawing/2014/chart" uri="{C3380CC4-5D6E-409C-BE32-E72D297353CC}">
                  <c16:uniqueId val="{00000017-5ECD-4DD0-98B9-EFA22246014D}"/>
                </c:ext>
              </c:extLst>
            </c:dLbl>
            <c:dLbl>
              <c:idx val="22"/>
              <c:delete val="1"/>
              <c:extLst>
                <c:ext xmlns:c15="http://schemas.microsoft.com/office/drawing/2012/chart" uri="{CE6537A1-D6FC-4f65-9D91-7224C49458BB}"/>
                <c:ext xmlns:c16="http://schemas.microsoft.com/office/drawing/2014/chart" uri="{C3380CC4-5D6E-409C-BE32-E72D297353CC}">
                  <c16:uniqueId val="{00000018-5ECD-4DD0-98B9-EFA22246014D}"/>
                </c:ext>
              </c:extLst>
            </c:dLbl>
            <c:dLbl>
              <c:idx val="23"/>
              <c:delete val="1"/>
              <c:extLst>
                <c:ext xmlns:c15="http://schemas.microsoft.com/office/drawing/2012/chart" uri="{CE6537A1-D6FC-4f65-9D91-7224C49458BB}"/>
                <c:ext xmlns:c16="http://schemas.microsoft.com/office/drawing/2014/chart" uri="{C3380CC4-5D6E-409C-BE32-E72D297353CC}">
                  <c16:uniqueId val="{00000019-5ECD-4DD0-98B9-EFA22246014D}"/>
                </c:ext>
              </c:extLst>
            </c:dLbl>
            <c:dLbl>
              <c:idx val="24"/>
              <c:delete val="1"/>
              <c:extLst>
                <c:ext xmlns:c15="http://schemas.microsoft.com/office/drawing/2012/chart" uri="{CE6537A1-D6FC-4f65-9D91-7224C49458BB}"/>
                <c:ext xmlns:c16="http://schemas.microsoft.com/office/drawing/2014/chart" uri="{C3380CC4-5D6E-409C-BE32-E72D297353CC}">
                  <c16:uniqueId val="{0000001A-5ECD-4DD0-98B9-EFA22246014D}"/>
                </c:ext>
              </c:extLst>
            </c:dLbl>
            <c:dLbl>
              <c:idx val="25"/>
              <c:delete val="1"/>
              <c:extLst>
                <c:ext xmlns:c15="http://schemas.microsoft.com/office/drawing/2012/chart" uri="{CE6537A1-D6FC-4f65-9D91-7224C49458BB}"/>
                <c:ext xmlns:c16="http://schemas.microsoft.com/office/drawing/2014/chart" uri="{C3380CC4-5D6E-409C-BE32-E72D297353CC}">
                  <c16:uniqueId val="{0000001B-5ECD-4DD0-98B9-EFA22246014D}"/>
                </c:ext>
              </c:extLst>
            </c:dLbl>
            <c:dLbl>
              <c:idx val="26"/>
              <c:delete val="1"/>
              <c:extLst>
                <c:ext xmlns:c15="http://schemas.microsoft.com/office/drawing/2012/chart" uri="{CE6537A1-D6FC-4f65-9D91-7224C49458BB}"/>
                <c:ext xmlns:c16="http://schemas.microsoft.com/office/drawing/2014/chart" uri="{C3380CC4-5D6E-409C-BE32-E72D297353CC}">
                  <c16:uniqueId val="{0000001C-5ECD-4DD0-98B9-EFA22246014D}"/>
                </c:ext>
              </c:extLst>
            </c:dLbl>
            <c:dLbl>
              <c:idx val="27"/>
              <c:delete val="1"/>
              <c:extLst>
                <c:ext xmlns:c15="http://schemas.microsoft.com/office/drawing/2012/chart" uri="{CE6537A1-D6FC-4f65-9D91-7224C49458BB}"/>
                <c:ext xmlns:c16="http://schemas.microsoft.com/office/drawing/2014/chart" uri="{C3380CC4-5D6E-409C-BE32-E72D297353CC}">
                  <c16:uniqueId val="{0000001D-5ECD-4DD0-98B9-EFA22246014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19050" cap="flat" cmpd="sng" algn="ctr">
                      <a:solidFill>
                        <a:schemeClr val="accent1"/>
                      </a:solidFill>
                      <a:round/>
                    </a:ln>
                    <a:effectLst/>
                  </c:spPr>
                </c15:leaderLines>
              </c:ext>
            </c:extLst>
          </c:dLbls>
          <c:cat>
            <c:strRef>
              <c:f>'Fig 23'!$B$3:$B$30</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HR</c:v>
                </c:pt>
                <c:pt idx="13">
                  <c:v>HU</c:v>
                </c:pt>
                <c:pt idx="14">
                  <c:v>IE</c:v>
                </c:pt>
                <c:pt idx="15">
                  <c:v>IT</c:v>
                </c:pt>
                <c:pt idx="16">
                  <c:v>LT</c:v>
                </c:pt>
                <c:pt idx="17">
                  <c:v>LU</c:v>
                </c:pt>
                <c:pt idx="18">
                  <c:v>LV</c:v>
                </c:pt>
                <c:pt idx="19">
                  <c:v>MT</c:v>
                </c:pt>
                <c:pt idx="20">
                  <c:v>NL</c:v>
                </c:pt>
                <c:pt idx="21">
                  <c:v>PL</c:v>
                </c:pt>
                <c:pt idx="22">
                  <c:v>PT</c:v>
                </c:pt>
                <c:pt idx="23">
                  <c:v>RO</c:v>
                </c:pt>
                <c:pt idx="24">
                  <c:v>SE</c:v>
                </c:pt>
                <c:pt idx="25">
                  <c:v>SI</c:v>
                </c:pt>
                <c:pt idx="26">
                  <c:v>SK</c:v>
                </c:pt>
                <c:pt idx="27">
                  <c:v>UK</c:v>
                </c:pt>
              </c:strCache>
            </c:strRef>
          </c:cat>
          <c:val>
            <c:numRef>
              <c:f>'Fig 23'!$E$3:$E$30</c:f>
              <c:numCache>
                <c:formatCode>0%</c:formatCode>
                <c:ptCount val="28"/>
                <c:pt idx="0">
                  <c:v>0.111</c:v>
                </c:pt>
                <c:pt idx="1">
                  <c:v>0.111</c:v>
                </c:pt>
                <c:pt idx="2">
                  <c:v>0.111</c:v>
                </c:pt>
                <c:pt idx="3">
                  <c:v>0.111</c:v>
                </c:pt>
                <c:pt idx="4">
                  <c:v>0.111</c:v>
                </c:pt>
                <c:pt idx="5">
                  <c:v>0.111</c:v>
                </c:pt>
                <c:pt idx="6">
                  <c:v>0.111</c:v>
                </c:pt>
                <c:pt idx="7">
                  <c:v>0.111</c:v>
                </c:pt>
                <c:pt idx="8">
                  <c:v>0.111</c:v>
                </c:pt>
                <c:pt idx="9">
                  <c:v>0.111</c:v>
                </c:pt>
                <c:pt idx="10">
                  <c:v>0.111</c:v>
                </c:pt>
                <c:pt idx="11">
                  <c:v>0.111</c:v>
                </c:pt>
                <c:pt idx="12">
                  <c:v>0.111</c:v>
                </c:pt>
                <c:pt idx="13">
                  <c:v>0.111</c:v>
                </c:pt>
                <c:pt idx="14">
                  <c:v>0.111</c:v>
                </c:pt>
                <c:pt idx="15">
                  <c:v>0.111</c:v>
                </c:pt>
                <c:pt idx="16">
                  <c:v>0.111</c:v>
                </c:pt>
                <c:pt idx="17">
                  <c:v>0.111</c:v>
                </c:pt>
                <c:pt idx="18">
                  <c:v>0.111</c:v>
                </c:pt>
                <c:pt idx="19">
                  <c:v>0.111</c:v>
                </c:pt>
                <c:pt idx="20">
                  <c:v>0.111</c:v>
                </c:pt>
                <c:pt idx="21">
                  <c:v>0.111</c:v>
                </c:pt>
                <c:pt idx="22">
                  <c:v>0.111</c:v>
                </c:pt>
                <c:pt idx="23">
                  <c:v>0.111</c:v>
                </c:pt>
                <c:pt idx="24">
                  <c:v>0.111</c:v>
                </c:pt>
                <c:pt idx="25">
                  <c:v>0.111</c:v>
                </c:pt>
                <c:pt idx="26">
                  <c:v>0.111</c:v>
                </c:pt>
                <c:pt idx="27">
                  <c:v>0.111</c:v>
                </c:pt>
              </c:numCache>
            </c:numRef>
          </c:val>
          <c:smooth val="0"/>
          <c:extLst>
            <c:ext xmlns:c16="http://schemas.microsoft.com/office/drawing/2014/chart" uri="{C3380CC4-5D6E-409C-BE32-E72D297353CC}">
              <c16:uniqueId val="{0000001E-5ECD-4DD0-98B9-EFA22246014D}"/>
            </c:ext>
          </c:extLst>
        </c:ser>
        <c:ser>
          <c:idx val="3"/>
          <c:order val="3"/>
          <c:tx>
            <c:strRef>
              <c:f>'Fig 23'!$F$2</c:f>
              <c:strCache>
                <c:ptCount val="1"/>
                <c:pt idx="0">
                  <c:v>ELi keskmine (Ex officio)</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F-5ECD-4DD0-98B9-EFA22246014D}"/>
                </c:ext>
              </c:extLst>
            </c:dLbl>
            <c:dLbl>
              <c:idx val="1"/>
              <c:delete val="1"/>
              <c:extLst>
                <c:ext xmlns:c15="http://schemas.microsoft.com/office/drawing/2012/chart" uri="{CE6537A1-D6FC-4f65-9D91-7224C49458BB}"/>
                <c:ext xmlns:c16="http://schemas.microsoft.com/office/drawing/2014/chart" uri="{C3380CC4-5D6E-409C-BE32-E72D297353CC}">
                  <c16:uniqueId val="{00000020-5ECD-4DD0-98B9-EFA22246014D}"/>
                </c:ext>
              </c:extLst>
            </c:dLbl>
            <c:dLbl>
              <c:idx val="2"/>
              <c:delete val="1"/>
              <c:extLst>
                <c:ext xmlns:c15="http://schemas.microsoft.com/office/drawing/2012/chart" uri="{CE6537A1-D6FC-4f65-9D91-7224C49458BB}"/>
                <c:ext xmlns:c16="http://schemas.microsoft.com/office/drawing/2014/chart" uri="{C3380CC4-5D6E-409C-BE32-E72D297353CC}">
                  <c16:uniqueId val="{00000021-5ECD-4DD0-98B9-EFA22246014D}"/>
                </c:ext>
              </c:extLst>
            </c:dLbl>
            <c:dLbl>
              <c:idx val="3"/>
              <c:delete val="1"/>
              <c:extLst>
                <c:ext xmlns:c15="http://schemas.microsoft.com/office/drawing/2012/chart" uri="{CE6537A1-D6FC-4f65-9D91-7224C49458BB}"/>
                <c:ext xmlns:c16="http://schemas.microsoft.com/office/drawing/2014/chart" uri="{C3380CC4-5D6E-409C-BE32-E72D297353CC}">
                  <c16:uniqueId val="{00000022-5ECD-4DD0-98B9-EFA22246014D}"/>
                </c:ext>
              </c:extLst>
            </c:dLbl>
            <c:dLbl>
              <c:idx val="4"/>
              <c:delete val="1"/>
              <c:extLst>
                <c:ext xmlns:c15="http://schemas.microsoft.com/office/drawing/2012/chart" uri="{CE6537A1-D6FC-4f65-9D91-7224C49458BB}"/>
                <c:ext xmlns:c16="http://schemas.microsoft.com/office/drawing/2014/chart" uri="{C3380CC4-5D6E-409C-BE32-E72D297353CC}">
                  <c16:uniqueId val="{00000023-5ECD-4DD0-98B9-EFA22246014D}"/>
                </c:ext>
              </c:extLst>
            </c:dLbl>
            <c:dLbl>
              <c:idx val="5"/>
              <c:delete val="1"/>
              <c:extLst>
                <c:ext xmlns:c15="http://schemas.microsoft.com/office/drawing/2012/chart" uri="{CE6537A1-D6FC-4f65-9D91-7224C49458BB}"/>
                <c:ext xmlns:c16="http://schemas.microsoft.com/office/drawing/2014/chart" uri="{C3380CC4-5D6E-409C-BE32-E72D297353CC}">
                  <c16:uniqueId val="{00000024-5ECD-4DD0-98B9-EFA22246014D}"/>
                </c:ext>
              </c:extLst>
            </c:dLbl>
            <c:dLbl>
              <c:idx val="6"/>
              <c:delete val="1"/>
              <c:extLst>
                <c:ext xmlns:c15="http://schemas.microsoft.com/office/drawing/2012/chart" uri="{CE6537A1-D6FC-4f65-9D91-7224C49458BB}"/>
                <c:ext xmlns:c16="http://schemas.microsoft.com/office/drawing/2014/chart" uri="{C3380CC4-5D6E-409C-BE32-E72D297353CC}">
                  <c16:uniqueId val="{00000025-5ECD-4DD0-98B9-EFA22246014D}"/>
                </c:ext>
              </c:extLst>
            </c:dLbl>
            <c:dLbl>
              <c:idx val="7"/>
              <c:delete val="1"/>
              <c:extLst>
                <c:ext xmlns:c15="http://schemas.microsoft.com/office/drawing/2012/chart" uri="{CE6537A1-D6FC-4f65-9D91-7224C49458BB}"/>
                <c:ext xmlns:c16="http://schemas.microsoft.com/office/drawing/2014/chart" uri="{C3380CC4-5D6E-409C-BE32-E72D297353CC}">
                  <c16:uniqueId val="{00000026-5ECD-4DD0-98B9-EFA22246014D}"/>
                </c:ext>
              </c:extLst>
            </c:dLbl>
            <c:dLbl>
              <c:idx val="8"/>
              <c:delete val="1"/>
              <c:extLst>
                <c:ext xmlns:c15="http://schemas.microsoft.com/office/drawing/2012/chart" uri="{CE6537A1-D6FC-4f65-9D91-7224C49458BB}"/>
                <c:ext xmlns:c16="http://schemas.microsoft.com/office/drawing/2014/chart" uri="{C3380CC4-5D6E-409C-BE32-E72D297353CC}">
                  <c16:uniqueId val="{00000027-5ECD-4DD0-98B9-EFA22246014D}"/>
                </c:ext>
              </c:extLst>
            </c:dLbl>
            <c:dLbl>
              <c:idx val="9"/>
              <c:delete val="1"/>
              <c:extLst>
                <c:ext xmlns:c15="http://schemas.microsoft.com/office/drawing/2012/chart" uri="{CE6537A1-D6FC-4f65-9D91-7224C49458BB}"/>
                <c:ext xmlns:c16="http://schemas.microsoft.com/office/drawing/2014/chart" uri="{C3380CC4-5D6E-409C-BE32-E72D297353CC}">
                  <c16:uniqueId val="{00000028-5ECD-4DD0-98B9-EFA22246014D}"/>
                </c:ext>
              </c:extLst>
            </c:dLbl>
            <c:dLbl>
              <c:idx val="10"/>
              <c:delete val="1"/>
              <c:extLst>
                <c:ext xmlns:c15="http://schemas.microsoft.com/office/drawing/2012/chart" uri="{CE6537A1-D6FC-4f65-9D91-7224C49458BB}"/>
                <c:ext xmlns:c16="http://schemas.microsoft.com/office/drawing/2014/chart" uri="{C3380CC4-5D6E-409C-BE32-E72D297353CC}">
                  <c16:uniqueId val="{00000029-5ECD-4DD0-98B9-EFA22246014D}"/>
                </c:ext>
              </c:extLst>
            </c:dLbl>
            <c:dLbl>
              <c:idx val="11"/>
              <c:delete val="1"/>
              <c:extLst>
                <c:ext xmlns:c15="http://schemas.microsoft.com/office/drawing/2012/chart" uri="{CE6537A1-D6FC-4f65-9D91-7224C49458BB}"/>
                <c:ext xmlns:c16="http://schemas.microsoft.com/office/drawing/2014/chart" uri="{C3380CC4-5D6E-409C-BE32-E72D297353CC}">
                  <c16:uniqueId val="{0000002A-5ECD-4DD0-98B9-EFA22246014D}"/>
                </c:ext>
              </c:extLst>
            </c:dLbl>
            <c:dLbl>
              <c:idx val="12"/>
              <c:layout>
                <c:manualLayout>
                  <c:x val="-2.4834782608695653E-2"/>
                  <c:y val="-0.19000008279722133"/>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B-5ECD-4DD0-98B9-EFA22246014D}"/>
                </c:ext>
              </c:extLst>
            </c:dLbl>
            <c:dLbl>
              <c:idx val="13"/>
              <c:delete val="1"/>
              <c:extLst>
                <c:ext xmlns:c15="http://schemas.microsoft.com/office/drawing/2012/chart" uri="{CE6537A1-D6FC-4f65-9D91-7224C49458BB}"/>
                <c:ext xmlns:c16="http://schemas.microsoft.com/office/drawing/2014/chart" uri="{C3380CC4-5D6E-409C-BE32-E72D297353CC}">
                  <c16:uniqueId val="{0000002C-5ECD-4DD0-98B9-EFA22246014D}"/>
                </c:ext>
              </c:extLst>
            </c:dLbl>
            <c:dLbl>
              <c:idx val="14"/>
              <c:delete val="1"/>
              <c:extLst>
                <c:ext xmlns:c15="http://schemas.microsoft.com/office/drawing/2012/chart" uri="{CE6537A1-D6FC-4f65-9D91-7224C49458BB}"/>
                <c:ext xmlns:c16="http://schemas.microsoft.com/office/drawing/2014/chart" uri="{C3380CC4-5D6E-409C-BE32-E72D297353CC}">
                  <c16:uniqueId val="{0000002D-5ECD-4DD0-98B9-EFA22246014D}"/>
                </c:ext>
              </c:extLst>
            </c:dLbl>
            <c:dLbl>
              <c:idx val="15"/>
              <c:delete val="1"/>
              <c:extLst>
                <c:ext xmlns:c15="http://schemas.microsoft.com/office/drawing/2012/chart" uri="{CE6537A1-D6FC-4f65-9D91-7224C49458BB}"/>
                <c:ext xmlns:c16="http://schemas.microsoft.com/office/drawing/2014/chart" uri="{C3380CC4-5D6E-409C-BE32-E72D297353CC}">
                  <c16:uniqueId val="{0000002E-5ECD-4DD0-98B9-EFA22246014D}"/>
                </c:ext>
              </c:extLst>
            </c:dLbl>
            <c:dLbl>
              <c:idx val="16"/>
              <c:delete val="1"/>
              <c:extLst>
                <c:ext xmlns:c15="http://schemas.microsoft.com/office/drawing/2012/chart" uri="{CE6537A1-D6FC-4f65-9D91-7224C49458BB}"/>
                <c:ext xmlns:c16="http://schemas.microsoft.com/office/drawing/2014/chart" uri="{C3380CC4-5D6E-409C-BE32-E72D297353CC}">
                  <c16:uniqueId val="{0000002F-5ECD-4DD0-98B9-EFA22246014D}"/>
                </c:ext>
              </c:extLst>
            </c:dLbl>
            <c:dLbl>
              <c:idx val="17"/>
              <c:delete val="1"/>
              <c:extLst>
                <c:ext xmlns:c15="http://schemas.microsoft.com/office/drawing/2012/chart" uri="{CE6537A1-D6FC-4f65-9D91-7224C49458BB}"/>
                <c:ext xmlns:c16="http://schemas.microsoft.com/office/drawing/2014/chart" uri="{C3380CC4-5D6E-409C-BE32-E72D297353CC}">
                  <c16:uniqueId val="{00000030-5ECD-4DD0-98B9-EFA22246014D}"/>
                </c:ext>
              </c:extLst>
            </c:dLbl>
            <c:dLbl>
              <c:idx val="18"/>
              <c:delete val="1"/>
              <c:extLst>
                <c:ext xmlns:c15="http://schemas.microsoft.com/office/drawing/2012/chart" uri="{CE6537A1-D6FC-4f65-9D91-7224C49458BB}"/>
                <c:ext xmlns:c16="http://schemas.microsoft.com/office/drawing/2014/chart" uri="{C3380CC4-5D6E-409C-BE32-E72D297353CC}">
                  <c16:uniqueId val="{00000031-5ECD-4DD0-98B9-EFA22246014D}"/>
                </c:ext>
              </c:extLst>
            </c:dLbl>
            <c:dLbl>
              <c:idx val="19"/>
              <c:delete val="1"/>
              <c:extLst>
                <c:ext xmlns:c15="http://schemas.microsoft.com/office/drawing/2012/chart" uri="{CE6537A1-D6FC-4f65-9D91-7224C49458BB}"/>
                <c:ext xmlns:c16="http://schemas.microsoft.com/office/drawing/2014/chart" uri="{C3380CC4-5D6E-409C-BE32-E72D297353CC}">
                  <c16:uniqueId val="{00000032-5ECD-4DD0-98B9-EFA22246014D}"/>
                </c:ext>
              </c:extLst>
            </c:dLbl>
            <c:dLbl>
              <c:idx val="20"/>
              <c:delete val="1"/>
              <c:extLst>
                <c:ext xmlns:c15="http://schemas.microsoft.com/office/drawing/2012/chart" uri="{CE6537A1-D6FC-4f65-9D91-7224C49458BB}"/>
                <c:ext xmlns:c16="http://schemas.microsoft.com/office/drawing/2014/chart" uri="{C3380CC4-5D6E-409C-BE32-E72D297353CC}">
                  <c16:uniqueId val="{00000033-5ECD-4DD0-98B9-EFA22246014D}"/>
                </c:ext>
              </c:extLst>
            </c:dLbl>
            <c:dLbl>
              <c:idx val="21"/>
              <c:delete val="1"/>
              <c:extLst>
                <c:ext xmlns:c15="http://schemas.microsoft.com/office/drawing/2012/chart" uri="{CE6537A1-D6FC-4f65-9D91-7224C49458BB}"/>
                <c:ext xmlns:c16="http://schemas.microsoft.com/office/drawing/2014/chart" uri="{C3380CC4-5D6E-409C-BE32-E72D297353CC}">
                  <c16:uniqueId val="{00000034-5ECD-4DD0-98B9-EFA22246014D}"/>
                </c:ext>
              </c:extLst>
            </c:dLbl>
            <c:dLbl>
              <c:idx val="22"/>
              <c:delete val="1"/>
              <c:extLst>
                <c:ext xmlns:c15="http://schemas.microsoft.com/office/drawing/2012/chart" uri="{CE6537A1-D6FC-4f65-9D91-7224C49458BB}"/>
                <c:ext xmlns:c16="http://schemas.microsoft.com/office/drawing/2014/chart" uri="{C3380CC4-5D6E-409C-BE32-E72D297353CC}">
                  <c16:uniqueId val="{00000035-5ECD-4DD0-98B9-EFA22246014D}"/>
                </c:ext>
              </c:extLst>
            </c:dLbl>
            <c:dLbl>
              <c:idx val="23"/>
              <c:delete val="1"/>
              <c:extLst>
                <c:ext xmlns:c15="http://schemas.microsoft.com/office/drawing/2012/chart" uri="{CE6537A1-D6FC-4f65-9D91-7224C49458BB}"/>
                <c:ext xmlns:c16="http://schemas.microsoft.com/office/drawing/2014/chart" uri="{C3380CC4-5D6E-409C-BE32-E72D297353CC}">
                  <c16:uniqueId val="{00000036-5ECD-4DD0-98B9-EFA22246014D}"/>
                </c:ext>
              </c:extLst>
            </c:dLbl>
            <c:dLbl>
              <c:idx val="24"/>
              <c:delete val="1"/>
              <c:extLst>
                <c:ext xmlns:c15="http://schemas.microsoft.com/office/drawing/2012/chart" uri="{CE6537A1-D6FC-4f65-9D91-7224C49458BB}"/>
                <c:ext xmlns:c16="http://schemas.microsoft.com/office/drawing/2014/chart" uri="{C3380CC4-5D6E-409C-BE32-E72D297353CC}">
                  <c16:uniqueId val="{00000037-5ECD-4DD0-98B9-EFA22246014D}"/>
                </c:ext>
              </c:extLst>
            </c:dLbl>
            <c:dLbl>
              <c:idx val="25"/>
              <c:delete val="1"/>
              <c:extLst>
                <c:ext xmlns:c15="http://schemas.microsoft.com/office/drawing/2012/chart" uri="{CE6537A1-D6FC-4f65-9D91-7224C49458BB}"/>
                <c:ext xmlns:c16="http://schemas.microsoft.com/office/drawing/2014/chart" uri="{C3380CC4-5D6E-409C-BE32-E72D297353CC}">
                  <c16:uniqueId val="{00000038-5ECD-4DD0-98B9-EFA22246014D}"/>
                </c:ext>
              </c:extLst>
            </c:dLbl>
            <c:dLbl>
              <c:idx val="26"/>
              <c:delete val="1"/>
              <c:extLst>
                <c:ext xmlns:c15="http://schemas.microsoft.com/office/drawing/2012/chart" uri="{CE6537A1-D6FC-4f65-9D91-7224C49458BB}"/>
                <c:ext xmlns:c16="http://schemas.microsoft.com/office/drawing/2014/chart" uri="{C3380CC4-5D6E-409C-BE32-E72D297353CC}">
                  <c16:uniqueId val="{00000039-5ECD-4DD0-98B9-EFA22246014D}"/>
                </c:ext>
              </c:extLst>
            </c:dLbl>
            <c:dLbl>
              <c:idx val="27"/>
              <c:delete val="1"/>
              <c:extLst>
                <c:ext xmlns:c15="http://schemas.microsoft.com/office/drawing/2012/chart" uri="{CE6537A1-D6FC-4f65-9D91-7224C49458BB}"/>
                <c:ext xmlns:c16="http://schemas.microsoft.com/office/drawing/2014/chart" uri="{C3380CC4-5D6E-409C-BE32-E72D297353CC}">
                  <c16:uniqueId val="{0000003A-5ECD-4DD0-98B9-EFA2224601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19050" cap="flat" cmpd="sng" algn="ctr">
                      <a:solidFill>
                        <a:schemeClr val="accent3"/>
                      </a:solidFill>
                      <a:round/>
                    </a:ln>
                    <a:effectLst/>
                  </c:spPr>
                </c15:leaderLines>
              </c:ext>
            </c:extLst>
          </c:dLbls>
          <c:cat>
            <c:strRef>
              <c:f>'Fig 23'!$B$3:$B$30</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HR</c:v>
                </c:pt>
                <c:pt idx="13">
                  <c:v>HU</c:v>
                </c:pt>
                <c:pt idx="14">
                  <c:v>IE</c:v>
                </c:pt>
                <c:pt idx="15">
                  <c:v>IT</c:v>
                </c:pt>
                <c:pt idx="16">
                  <c:v>LT</c:v>
                </c:pt>
                <c:pt idx="17">
                  <c:v>LU</c:v>
                </c:pt>
                <c:pt idx="18">
                  <c:v>LV</c:v>
                </c:pt>
                <c:pt idx="19">
                  <c:v>MT</c:v>
                </c:pt>
                <c:pt idx="20">
                  <c:v>NL</c:v>
                </c:pt>
                <c:pt idx="21">
                  <c:v>PL</c:v>
                </c:pt>
                <c:pt idx="22">
                  <c:v>PT</c:v>
                </c:pt>
                <c:pt idx="23">
                  <c:v>RO</c:v>
                </c:pt>
                <c:pt idx="24">
                  <c:v>SE</c:v>
                </c:pt>
                <c:pt idx="25">
                  <c:v>SI</c:v>
                </c:pt>
                <c:pt idx="26">
                  <c:v>SK</c:v>
                </c:pt>
                <c:pt idx="27">
                  <c:v>UK</c:v>
                </c:pt>
              </c:strCache>
            </c:strRef>
          </c:cat>
          <c:val>
            <c:numRef>
              <c:f>'Fig 23'!$F$3:$F$30</c:f>
              <c:numCache>
                <c:formatCode>0%</c:formatCode>
                <c:ptCount val="28"/>
                <c:pt idx="0">
                  <c:v>8.2000000000000003E-2</c:v>
                </c:pt>
                <c:pt idx="1">
                  <c:v>8.2000000000000003E-2</c:v>
                </c:pt>
                <c:pt idx="2">
                  <c:v>8.2000000000000003E-2</c:v>
                </c:pt>
                <c:pt idx="3">
                  <c:v>8.2000000000000003E-2</c:v>
                </c:pt>
                <c:pt idx="4">
                  <c:v>8.2000000000000003E-2</c:v>
                </c:pt>
                <c:pt idx="5">
                  <c:v>8.2000000000000003E-2</c:v>
                </c:pt>
                <c:pt idx="6">
                  <c:v>8.2000000000000003E-2</c:v>
                </c:pt>
                <c:pt idx="7">
                  <c:v>8.2000000000000003E-2</c:v>
                </c:pt>
                <c:pt idx="8">
                  <c:v>8.2000000000000003E-2</c:v>
                </c:pt>
                <c:pt idx="9">
                  <c:v>8.2000000000000003E-2</c:v>
                </c:pt>
                <c:pt idx="10">
                  <c:v>8.2000000000000003E-2</c:v>
                </c:pt>
                <c:pt idx="11">
                  <c:v>8.2000000000000003E-2</c:v>
                </c:pt>
                <c:pt idx="12">
                  <c:v>8.2000000000000003E-2</c:v>
                </c:pt>
                <c:pt idx="13">
                  <c:v>8.2000000000000003E-2</c:v>
                </c:pt>
                <c:pt idx="14">
                  <c:v>8.2000000000000003E-2</c:v>
                </c:pt>
                <c:pt idx="15">
                  <c:v>8.2000000000000003E-2</c:v>
                </c:pt>
                <c:pt idx="16">
                  <c:v>8.2000000000000003E-2</c:v>
                </c:pt>
                <c:pt idx="17">
                  <c:v>8.2000000000000003E-2</c:v>
                </c:pt>
                <c:pt idx="18">
                  <c:v>8.2000000000000003E-2</c:v>
                </c:pt>
                <c:pt idx="19">
                  <c:v>8.2000000000000003E-2</c:v>
                </c:pt>
                <c:pt idx="20">
                  <c:v>8.2000000000000003E-2</c:v>
                </c:pt>
                <c:pt idx="21">
                  <c:v>8.2000000000000003E-2</c:v>
                </c:pt>
                <c:pt idx="22">
                  <c:v>8.2000000000000003E-2</c:v>
                </c:pt>
                <c:pt idx="23">
                  <c:v>8.2000000000000003E-2</c:v>
                </c:pt>
                <c:pt idx="24">
                  <c:v>8.2000000000000003E-2</c:v>
                </c:pt>
                <c:pt idx="25">
                  <c:v>8.2000000000000003E-2</c:v>
                </c:pt>
                <c:pt idx="26">
                  <c:v>8.2000000000000003E-2</c:v>
                </c:pt>
                <c:pt idx="27">
                  <c:v>8.2000000000000003E-2</c:v>
                </c:pt>
              </c:numCache>
            </c:numRef>
          </c:val>
          <c:smooth val="0"/>
          <c:extLst>
            <c:ext xmlns:c16="http://schemas.microsoft.com/office/drawing/2014/chart" uri="{C3380CC4-5D6E-409C-BE32-E72D297353CC}">
              <c16:uniqueId val="{0000003B-5ECD-4DD0-98B9-EFA22246014D}"/>
            </c:ext>
          </c:extLst>
        </c:ser>
        <c:dLbls>
          <c:showLegendKey val="0"/>
          <c:showVal val="0"/>
          <c:showCatName val="0"/>
          <c:showSerName val="0"/>
          <c:showPercent val="0"/>
          <c:showBubbleSize val="0"/>
        </c:dLbls>
        <c:marker val="1"/>
        <c:smooth val="0"/>
        <c:axId val="138647040"/>
        <c:axId val="138648576"/>
      </c:lineChart>
      <c:catAx>
        <c:axId val="13864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648576"/>
        <c:crosses val="autoZero"/>
        <c:auto val="1"/>
        <c:lblAlgn val="ctr"/>
        <c:lblOffset val="100"/>
        <c:noMultiLvlLbl val="0"/>
      </c:catAx>
      <c:valAx>
        <c:axId val="13864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647040"/>
        <c:crosses val="autoZero"/>
        <c:crossBetween val="between"/>
        <c:majorUnit val="0.1"/>
      </c:valAx>
      <c:spPr>
        <a:noFill/>
        <a:ln>
          <a:noFill/>
        </a:ln>
        <a:effectLst/>
      </c:spPr>
    </c:plotArea>
    <c:legend>
      <c:legendPos val="t"/>
      <c:layout>
        <c:manualLayout>
          <c:xMode val="edge"/>
          <c:yMode val="edge"/>
          <c:x val="0.28223024991441287"/>
          <c:y val="7.5709779179810727E-2"/>
          <c:w val="0.43553950017117421"/>
          <c:h val="0.1130394031976287"/>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83252586134655E-2"/>
          <c:y val="4.6108194808982206E-2"/>
          <c:w val="0.30909046893379555"/>
          <c:h val="0.90759550889472151"/>
        </c:manualLayout>
      </c:layout>
      <c:pieChart>
        <c:varyColors val="1"/>
        <c:ser>
          <c:idx val="0"/>
          <c:order val="0"/>
          <c:tx>
            <c:strRef>
              <c:f>'Fig 25'!$C$3</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196B-4A92-8065-81202676486F}"/>
              </c:ext>
            </c:extLst>
          </c:dPt>
          <c:dPt>
            <c:idx val="1"/>
            <c:bubble3D val="0"/>
            <c:spPr>
              <a:solidFill>
                <a:srgbClr val="9FD07A"/>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196B-4A92-8065-81202676486F}"/>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 25'!$B$4:$B$5</c:f>
              <c:strCache>
                <c:ptCount val="2"/>
                <c:pt idx="0">
                  <c:v>Jah(BE, BG, CY, CZ, DE, DK, EE, EL, ES, FI, FR, HR, HU, IE, IT, LT, LU, LV, MT, PL, PT, RO, SI, SK, UK)</c:v>
                </c:pt>
                <c:pt idx="1">
                  <c:v>Ei(AT, NL, SE)</c:v>
                </c:pt>
              </c:strCache>
            </c:strRef>
          </c:cat>
          <c:val>
            <c:numRef>
              <c:f>'Fig 25'!$C$4:$C$5</c:f>
              <c:numCache>
                <c:formatCode>General</c:formatCode>
                <c:ptCount val="2"/>
                <c:pt idx="0">
                  <c:v>21</c:v>
                </c:pt>
                <c:pt idx="1">
                  <c:v>7</c:v>
                </c:pt>
              </c:numCache>
            </c:numRef>
          </c:val>
          <c:extLst>
            <c:ext xmlns:c16="http://schemas.microsoft.com/office/drawing/2014/chart" uri="{C3380CC4-5D6E-409C-BE32-E72D297353CC}">
              <c16:uniqueId val="{00000004-196B-4A92-8065-81202676486F}"/>
            </c:ext>
          </c:extLst>
        </c:ser>
        <c:dLbls>
          <c:showLegendKey val="0"/>
          <c:showVal val="0"/>
          <c:showCatName val="0"/>
          <c:showSerName val="0"/>
          <c:showPercent val="1"/>
          <c:showBubbleSize val="0"/>
          <c:showLeaderLines val="1"/>
        </c:dLbls>
        <c:firstSliceAng val="90"/>
      </c:pieChart>
      <c:spPr>
        <a:noFill/>
        <a:ln>
          <a:noFill/>
        </a:ln>
        <a:effectLst/>
      </c:spPr>
    </c:plotArea>
    <c:legend>
      <c:legendPos val="r"/>
      <c:layout>
        <c:manualLayout>
          <c:xMode val="edge"/>
          <c:yMode val="edge"/>
          <c:x val="0.3734069938143818"/>
          <c:y val="0.16437540913086579"/>
          <c:w val="0.54618307319389581"/>
          <c:h val="0.621376924084014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21976396596833"/>
          <c:y val="5.0925925925925923E-2"/>
          <c:w val="0.77094917002777963"/>
          <c:h val="0.8255694079906678"/>
        </c:manualLayout>
      </c:layout>
      <c:barChart>
        <c:barDir val="bar"/>
        <c:grouping val="clustered"/>
        <c:varyColors val="0"/>
        <c:ser>
          <c:idx val="0"/>
          <c:order val="0"/>
          <c:tx>
            <c:strRef>
              <c:f>'Fig 25'!$C$16</c:f>
              <c:strCache>
                <c:ptCount val="1"/>
                <c:pt idx="0">
                  <c:v>Ei</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25'!$B$17:$B$18</c:f>
              <c:strCache>
                <c:ptCount val="2"/>
                <c:pt idx="0">
                  <c:v>Käibemaksulõhe (kahanemine protsendipunktides)</c:v>
                </c:pt>
                <c:pt idx="1">
                  <c:v>Käibemaksutulu (kasv, %)</c:v>
                </c:pt>
              </c:strCache>
            </c:strRef>
          </c:cat>
          <c:val>
            <c:numRef>
              <c:f>'Fig 25'!$C$17:$C$18</c:f>
              <c:numCache>
                <c:formatCode>0.0</c:formatCode>
                <c:ptCount val="2"/>
                <c:pt idx="0">
                  <c:v>-0.89999999999999991</c:v>
                </c:pt>
                <c:pt idx="1">
                  <c:v>4.5699999999999994</c:v>
                </c:pt>
              </c:numCache>
            </c:numRef>
          </c:val>
          <c:extLst>
            <c:ext xmlns:c16="http://schemas.microsoft.com/office/drawing/2014/chart" uri="{C3380CC4-5D6E-409C-BE32-E72D297353CC}">
              <c16:uniqueId val="{00000000-032E-43D3-92AF-304BA4F79857}"/>
            </c:ext>
          </c:extLst>
        </c:ser>
        <c:ser>
          <c:idx val="1"/>
          <c:order val="1"/>
          <c:tx>
            <c:strRef>
              <c:f>'Fig 25'!$D$16</c:f>
              <c:strCache>
                <c:ptCount val="1"/>
                <c:pt idx="0">
                  <c:v>Jah</c:v>
                </c:pt>
              </c:strCache>
            </c:strRef>
          </c:tx>
          <c:spPr>
            <a:solidFill>
              <a:srgbClr val="9FD07A"/>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25'!$B$17:$B$18</c:f>
              <c:strCache>
                <c:ptCount val="2"/>
                <c:pt idx="0">
                  <c:v>Käibemaksulõhe (kahanemine protsendipunktides)</c:v>
                </c:pt>
                <c:pt idx="1">
                  <c:v>Käibemaksutulu (kasv, %)</c:v>
                </c:pt>
              </c:strCache>
            </c:strRef>
          </c:cat>
          <c:val>
            <c:numRef>
              <c:f>'Fig 25'!$D$17:$D$18</c:f>
              <c:numCache>
                <c:formatCode>0.0</c:formatCode>
                <c:ptCount val="2"/>
                <c:pt idx="0">
                  <c:v>-3.49</c:v>
                </c:pt>
                <c:pt idx="1">
                  <c:v>6.2600000000000007</c:v>
                </c:pt>
              </c:numCache>
            </c:numRef>
          </c:val>
          <c:extLst>
            <c:ext xmlns:c16="http://schemas.microsoft.com/office/drawing/2014/chart" uri="{C3380CC4-5D6E-409C-BE32-E72D297353CC}">
              <c16:uniqueId val="{00000001-032E-43D3-92AF-304BA4F79857}"/>
            </c:ext>
          </c:extLst>
        </c:ser>
        <c:dLbls>
          <c:dLblPos val="outEnd"/>
          <c:showLegendKey val="0"/>
          <c:showVal val="1"/>
          <c:showCatName val="0"/>
          <c:showSerName val="0"/>
          <c:showPercent val="0"/>
          <c:showBubbleSize val="0"/>
        </c:dLbls>
        <c:gapWidth val="50"/>
        <c:axId val="138469376"/>
        <c:axId val="138470912"/>
      </c:barChart>
      <c:catAx>
        <c:axId val="1384693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470912"/>
        <c:crosses val="autoZero"/>
        <c:auto val="1"/>
        <c:lblAlgn val="ctr"/>
        <c:lblOffset val="100"/>
        <c:noMultiLvlLbl val="0"/>
      </c:catAx>
      <c:valAx>
        <c:axId val="138470912"/>
        <c:scaling>
          <c:orientation val="minMax"/>
          <c:max val="9"/>
          <c:min val="-6"/>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469376"/>
        <c:crosses val="autoZero"/>
        <c:crossBetween val="between"/>
        <c:majorUnit val="2"/>
      </c:valAx>
      <c:spPr>
        <a:noFill/>
        <a:ln>
          <a:noFill/>
        </a:ln>
        <a:effectLst/>
      </c:spPr>
    </c:plotArea>
    <c:legend>
      <c:legendPos val="b"/>
      <c:layout>
        <c:manualLayout>
          <c:xMode val="edge"/>
          <c:yMode val="edge"/>
          <c:x val="0.39619698090224909"/>
          <c:y val="9.321595217264507E-2"/>
          <c:w val="6.0802565425178215E-2"/>
          <c:h val="0.337339603382910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23704931620387E-2"/>
          <c:y val="4.5962379702537186E-2"/>
          <c:w val="0.31684431790634243"/>
          <c:h val="0.91877211000798809"/>
        </c:manualLayout>
      </c:layout>
      <c:doughnutChart>
        <c:varyColors val="1"/>
        <c:ser>
          <c:idx val="0"/>
          <c:order val="0"/>
          <c:tx>
            <c:strRef>
              <c:f>'Fig 27'!$E$4</c:f>
              <c:strCache>
                <c:ptCount val="1"/>
                <c:pt idx="0">
                  <c:v>Osakaal</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7C18-4B2E-B824-25481956D813}"/>
              </c:ext>
            </c:extLst>
          </c:dPt>
          <c:dPt>
            <c:idx val="1"/>
            <c:bubble3D val="0"/>
            <c:spPr>
              <a:solidFill>
                <a:srgbClr val="9FD07A"/>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7C18-4B2E-B824-25481956D813}"/>
              </c:ext>
            </c:extLst>
          </c:dPt>
          <c:dPt>
            <c:idx val="2"/>
            <c:bubble3D val="0"/>
            <c:spPr>
              <a:solidFill>
                <a:schemeClr val="accent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7C18-4B2E-B824-25481956D813}"/>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27'!$D$5:$D$7</c:f>
              <c:strCache>
                <c:ptCount val="3"/>
                <c:pt idx="0">
                  <c:v>Jah, kava kiidetakse heaks kõrgemal tasandil ja see on integreeritud iga-aastasesse tegevuskavasse(AT, BE, BG, CY, DK, EL, ES, FI, HR, IE, LT, MT, NL, RO, SE, SK, UK)</c:v>
                </c:pt>
                <c:pt idx="1">
                  <c:v>Jah(CZ, EE, FR, HU, IT, LV, PL, SI)</c:v>
                </c:pt>
                <c:pt idx="2">
                  <c:v>Ei(DE, LU, PT)</c:v>
                </c:pt>
              </c:strCache>
            </c:strRef>
          </c:cat>
          <c:val>
            <c:numRef>
              <c:f>'Fig 27'!$E$5:$E$7</c:f>
              <c:numCache>
                <c:formatCode>0</c:formatCode>
                <c:ptCount val="3"/>
                <c:pt idx="0">
                  <c:v>17</c:v>
                </c:pt>
                <c:pt idx="1">
                  <c:v>8</c:v>
                </c:pt>
                <c:pt idx="2">
                  <c:v>3</c:v>
                </c:pt>
              </c:numCache>
            </c:numRef>
          </c:val>
          <c:extLst>
            <c:ext xmlns:c16="http://schemas.microsoft.com/office/drawing/2014/chart" uri="{C3380CC4-5D6E-409C-BE32-E72D297353CC}">
              <c16:uniqueId val="{00000006-7C18-4B2E-B824-25481956D813}"/>
            </c:ext>
          </c:extLst>
        </c:ser>
        <c:dLbls>
          <c:showLegendKey val="0"/>
          <c:showVal val="1"/>
          <c:showCatName val="0"/>
          <c:showSerName val="0"/>
          <c:showPercent val="0"/>
          <c:showBubbleSize val="0"/>
          <c:showLeaderLines val="1"/>
        </c:dLbls>
        <c:firstSliceAng val="150"/>
        <c:holeSize val="50"/>
      </c:doughnutChart>
      <c:spPr>
        <a:noFill/>
        <a:ln>
          <a:noFill/>
        </a:ln>
        <a:effectLst/>
      </c:spPr>
    </c:plotArea>
    <c:legend>
      <c:legendPos val="b"/>
      <c:layout>
        <c:manualLayout>
          <c:xMode val="edge"/>
          <c:yMode val="edge"/>
          <c:x val="0.30695774402607257"/>
          <c:y val="5.4570866141732288E-2"/>
          <c:w val="0.67571170902215427"/>
          <c:h val="0.87149737532808391"/>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3'!$E$4</c:f>
              <c:strCache>
                <c:ptCount val="1"/>
                <c:pt idx="0">
                  <c:v>Osakaal</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6FE1-4CB5-BD20-645786FA1459}"/>
              </c:ext>
            </c:extLst>
          </c:dPt>
          <c:dPt>
            <c:idx val="1"/>
            <c:bubble3D val="0"/>
            <c:spPr>
              <a:solidFill>
                <a:srgbClr val="9FD07A"/>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6FE1-4CB5-BD20-645786FA1459}"/>
              </c:ext>
            </c:extLst>
          </c:dPt>
          <c:dPt>
            <c:idx val="2"/>
            <c:bubble3D val="0"/>
            <c:spPr>
              <a:solidFill>
                <a:schemeClr val="accent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6FE1-4CB5-BD20-645786FA1459}"/>
              </c:ext>
            </c:extLst>
          </c:dPt>
          <c:dPt>
            <c:idx val="3"/>
            <c:bubble3D val="0"/>
            <c:spPr>
              <a:solidFill>
                <a:schemeClr val="accent1">
                  <a:lumMod val="60000"/>
                </a:schemeClr>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6FE1-4CB5-BD20-645786FA1459}"/>
              </c:ext>
            </c:extLst>
          </c:dPt>
          <c:dLbls>
            <c:dLbl>
              <c:idx val="3"/>
              <c:layout>
                <c:manualLayout>
                  <c:x val="-7.0064173393533866E-2"/>
                  <c:y val="-0.13185545937683296"/>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7-6FE1-4CB5-BD20-645786FA1459}"/>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15:layout/>
              </c:ext>
            </c:extLst>
          </c:dLbls>
          <c:cat>
            <c:strRef>
              <c:f>'Fig 3'!$D$5:$D$8</c:f>
              <c:strCache>
                <c:ptCount val="4"/>
                <c:pt idx="0">
                  <c:v>Suurel määral(BG, EL, HU, IT, PL, UK)</c:v>
                </c:pt>
                <c:pt idx="1">
                  <c:v>Teataval määral(AT, BE, HR, CZ, DK, EE, IE, LV, LT, MT, RO, SK, ES)</c:v>
                </c:pt>
                <c:pt idx="2">
                  <c:v>Vähesel määral(CY, FI, DE, LU, NL, PT, SI, SE)</c:v>
                </c:pt>
                <c:pt idx="3">
                  <c:v>Üldse mitte(FR)</c:v>
                </c:pt>
              </c:strCache>
            </c:strRef>
          </c:cat>
          <c:val>
            <c:numRef>
              <c:f>'Fig 3'!$E$5:$E$8</c:f>
              <c:numCache>
                <c:formatCode>0%</c:formatCode>
                <c:ptCount val="4"/>
                <c:pt idx="0">
                  <c:v>0.21</c:v>
                </c:pt>
                <c:pt idx="1">
                  <c:v>0.46</c:v>
                </c:pt>
                <c:pt idx="2">
                  <c:v>0.28999999999999998</c:v>
                </c:pt>
                <c:pt idx="3">
                  <c:v>0.04</c:v>
                </c:pt>
              </c:numCache>
            </c:numRef>
          </c:val>
          <c:extLst>
            <c:ext xmlns:c16="http://schemas.microsoft.com/office/drawing/2014/chart" uri="{C3380CC4-5D6E-409C-BE32-E72D297353CC}">
              <c16:uniqueId val="{00000008-6FE1-4CB5-BD20-645786FA1459}"/>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2574139702402255"/>
          <c:y val="3.5488607402335573E-2"/>
          <c:w val="0.66276221354459086"/>
          <c:h val="0.9618353684050363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30'!$E$4</c:f>
              <c:strCache>
                <c:ptCount val="1"/>
                <c:pt idx="0">
                  <c:v>Osakaal</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FF64-44BC-AA75-CFE0431C3988}"/>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FF64-44BC-AA75-CFE0431C3988}"/>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30'!$D$5:$D$6</c:f>
              <c:strCache>
                <c:ptCount val="2"/>
                <c:pt idx="0">
                  <c:v>Jah (AT, BE, BG, CZ, DE, EE, EL, ES, FI, FR, IE, LV, MT, NL, PT, RO, UK)</c:v>
                </c:pt>
                <c:pt idx="1">
                  <c:v>Ei(CY, DK, HR, HU, IT, LT, LU, PL, SE, SI, SK)</c:v>
                </c:pt>
              </c:strCache>
            </c:strRef>
          </c:cat>
          <c:val>
            <c:numRef>
              <c:f>'Fig 30'!$E$5:$E$6</c:f>
              <c:numCache>
                <c:formatCode>0</c:formatCode>
                <c:ptCount val="2"/>
                <c:pt idx="0">
                  <c:v>17</c:v>
                </c:pt>
                <c:pt idx="1">
                  <c:v>11</c:v>
                </c:pt>
              </c:numCache>
            </c:numRef>
          </c:val>
          <c:extLst>
            <c:ext xmlns:c16="http://schemas.microsoft.com/office/drawing/2014/chart" uri="{C3380CC4-5D6E-409C-BE32-E72D297353CC}">
              <c16:uniqueId val="{00000004-FF64-44BC-AA75-CFE0431C3988}"/>
            </c:ext>
          </c:extLst>
        </c:ser>
        <c:dLbls>
          <c:showLegendKey val="0"/>
          <c:showVal val="1"/>
          <c:showCatName val="0"/>
          <c:showSerName val="0"/>
          <c:showPercent val="0"/>
          <c:showBubbleSize val="0"/>
          <c:showLeaderLines val="1"/>
        </c:dLbls>
        <c:firstSliceAng val="150"/>
        <c:holeSize val="50"/>
      </c:doughnutChart>
      <c:spPr>
        <a:noFill/>
        <a:ln>
          <a:noFill/>
        </a:ln>
        <a:effectLst/>
      </c:spPr>
    </c:plotArea>
    <c:legend>
      <c:legendPos val="b"/>
      <c:layout>
        <c:manualLayout>
          <c:xMode val="edge"/>
          <c:yMode val="edge"/>
          <c:x val="0.30695774402607257"/>
          <c:y val="0.24901531058617674"/>
          <c:w val="0.67571170902215427"/>
          <c:h val="0.49927515310586179"/>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34'!$E$4</c:f>
              <c:strCache>
                <c:ptCount val="1"/>
                <c:pt idx="0">
                  <c:v>Osakaal</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162B-4FDF-A9B7-AEAAF633E484}"/>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162B-4FDF-A9B7-AEAAF633E484}"/>
              </c:ext>
            </c:extLst>
          </c:dPt>
          <c:dPt>
            <c:idx val="2"/>
            <c:bubble3D val="0"/>
            <c:spPr>
              <a:solidFill>
                <a:schemeClr val="accent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162B-4FDF-A9B7-AEAAF633E484}"/>
              </c:ext>
            </c:extLst>
          </c:dPt>
          <c:dPt>
            <c:idx val="3"/>
            <c:bubble3D val="0"/>
            <c:spPr>
              <a:solidFill>
                <a:schemeClr val="accent1">
                  <a:lumMod val="60000"/>
                </a:schemeClr>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162B-4FDF-A9B7-AEAAF633E484}"/>
              </c:ext>
            </c:extLst>
          </c:dPt>
          <c:dLbls>
            <c:dLbl>
              <c:idx val="3"/>
              <c:delete val="1"/>
              <c:extLst>
                <c:ext xmlns:c15="http://schemas.microsoft.com/office/drawing/2012/chart" uri="{CE6537A1-D6FC-4f65-9D91-7224C49458BB}"/>
                <c:ext xmlns:c16="http://schemas.microsoft.com/office/drawing/2014/chart" uri="{C3380CC4-5D6E-409C-BE32-E72D297353CC}">
                  <c16:uniqueId val="{00000007-162B-4FDF-A9B7-AEAAF633E484}"/>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34'!$D$5:$D$8</c:f>
              <c:strCache>
                <c:ptCount val="4"/>
                <c:pt idx="0">
                  <c:v>… kohustuslik(kõik liikmesriigid, v.a BE, EE, EL, HR, MT, SE)</c:v>
                </c:pt>
                <c:pt idx="1">
                  <c:v>… mõnede maksumaksjate jaoks kohustuslik (BE, EE, EL, HR, MT)</c:v>
                </c:pt>
                <c:pt idx="2">
                  <c:v>… võimalik (vabatahtlik)(SE)</c:v>
                </c:pt>
                <c:pt idx="3">
                  <c:v>… võimatu(mitte ükski liikmesriik)</c:v>
                </c:pt>
              </c:strCache>
            </c:strRef>
          </c:cat>
          <c:val>
            <c:numRef>
              <c:f>'Fig 34'!$E$5:$E$8</c:f>
              <c:numCache>
                <c:formatCode>0</c:formatCode>
                <c:ptCount val="4"/>
                <c:pt idx="0">
                  <c:v>22</c:v>
                </c:pt>
                <c:pt idx="1">
                  <c:v>5</c:v>
                </c:pt>
                <c:pt idx="2">
                  <c:v>1</c:v>
                </c:pt>
                <c:pt idx="3">
                  <c:v>0</c:v>
                </c:pt>
              </c:numCache>
            </c:numRef>
          </c:val>
          <c:extLst>
            <c:ext xmlns:c16="http://schemas.microsoft.com/office/drawing/2014/chart" uri="{C3380CC4-5D6E-409C-BE32-E72D297353CC}">
              <c16:uniqueId val="{00000008-162B-4FDF-A9B7-AEAAF633E484}"/>
            </c:ext>
          </c:extLst>
        </c:ser>
        <c:dLbls>
          <c:showLegendKey val="0"/>
          <c:showVal val="1"/>
          <c:showCatName val="0"/>
          <c:showSerName val="0"/>
          <c:showPercent val="0"/>
          <c:showBubbleSize val="0"/>
          <c:showLeaderLines val="1"/>
        </c:dLbls>
        <c:firstSliceAng val="120"/>
        <c:holeSize val="50"/>
      </c:doughnutChart>
      <c:spPr>
        <a:noFill/>
        <a:ln>
          <a:noFill/>
        </a:ln>
        <a:effectLst/>
      </c:spPr>
    </c:plotArea>
    <c:legend>
      <c:legendPos val="b"/>
      <c:layout>
        <c:manualLayout>
          <c:xMode val="edge"/>
          <c:yMode val="edge"/>
          <c:x val="0.30695774402607257"/>
          <c:y val="6.5681977252843401E-2"/>
          <c:w val="0.58099981977390946"/>
          <c:h val="0.88816404199475063"/>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35a'!$E$4</c:f>
              <c:strCache>
                <c:ptCount val="1"/>
                <c:pt idx="0">
                  <c:v>Arv</c:v>
                </c:pt>
              </c:strCache>
            </c:strRef>
          </c:tx>
          <c:spPr>
            <a:solidFill>
              <a:srgbClr val="92D050"/>
            </a:solidFill>
            <a:effectLst>
              <a:outerShdw blurRad="50800" dist="38100" dir="2700000" algn="tl" rotWithShape="0">
                <a:prstClr val="black">
                  <a:alpha val="40000"/>
                </a:prstClr>
              </a:outerShdw>
            </a:effectLst>
          </c:spPr>
          <c:explosion val="5"/>
          <c:dPt>
            <c:idx val="0"/>
            <c:bubble3D val="0"/>
            <c:spPr>
              <a:solidFill>
                <a:srgbClr val="0070C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184-41E9-B74E-5086C828E7C7}"/>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2184-41E9-B74E-5086C828E7C7}"/>
              </c:ext>
            </c:extLst>
          </c:dPt>
          <c:dPt>
            <c:idx val="2"/>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2184-41E9-B74E-5086C828E7C7}"/>
              </c:ext>
            </c:extLst>
          </c:dPt>
          <c:dLbls>
            <c:dLbl>
              <c:idx val="2"/>
              <c:delete val="1"/>
              <c:extLst>
                <c:ext xmlns:c15="http://schemas.microsoft.com/office/drawing/2012/chart" uri="{CE6537A1-D6FC-4f65-9D91-7224C49458BB}"/>
                <c:ext xmlns:c16="http://schemas.microsoft.com/office/drawing/2014/chart" uri="{C3380CC4-5D6E-409C-BE32-E72D297353CC}">
                  <c16:uniqueId val="{00000005-2184-41E9-B74E-5086C828E7C7}"/>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35a'!$D$5:$D$7</c:f>
              <c:strCache>
                <c:ptCount val="3"/>
                <c:pt idx="0">
                  <c:v>… jälgitakse automaatselt (MT, LT, PL)</c:v>
                </c:pt>
                <c:pt idx="1">
                  <c:v>… jälgitakse manuaalselt (MT, LT, PL)</c:v>
                </c:pt>
                <c:pt idx="2">
                  <c:v>… ei jälgita(mitte ükski liikmesriik)</c:v>
                </c:pt>
              </c:strCache>
            </c:strRef>
          </c:cat>
          <c:val>
            <c:numRef>
              <c:f>'Fig 35a'!$E$5:$E$7</c:f>
              <c:numCache>
                <c:formatCode>0</c:formatCode>
                <c:ptCount val="3"/>
                <c:pt idx="0">
                  <c:v>25</c:v>
                </c:pt>
                <c:pt idx="1">
                  <c:v>3</c:v>
                </c:pt>
                <c:pt idx="2">
                  <c:v>0</c:v>
                </c:pt>
              </c:numCache>
            </c:numRef>
          </c:val>
          <c:extLst>
            <c:ext xmlns:c16="http://schemas.microsoft.com/office/drawing/2014/chart" uri="{C3380CC4-5D6E-409C-BE32-E72D297353CC}">
              <c16:uniqueId val="{00000006-2184-41E9-B74E-5086C828E7C7}"/>
            </c:ext>
          </c:extLst>
        </c:ser>
        <c:dLbls>
          <c:showLegendKey val="0"/>
          <c:showVal val="1"/>
          <c:showCatName val="0"/>
          <c:showSerName val="0"/>
          <c:showPercent val="0"/>
          <c:showBubbleSize val="0"/>
          <c:showLeaderLines val="1"/>
        </c:dLbls>
        <c:firstSliceAng val="120"/>
        <c:holeSize val="50"/>
      </c:doughnutChart>
      <c:spPr>
        <a:noFill/>
        <a:ln>
          <a:noFill/>
        </a:ln>
        <a:effectLst/>
      </c:spPr>
    </c:plotArea>
    <c:legend>
      <c:legendPos val="b"/>
      <c:layout>
        <c:manualLayout>
          <c:xMode val="edge"/>
          <c:yMode val="edge"/>
          <c:x val="0.30695774402607257"/>
          <c:y val="6.5681977252843401E-2"/>
          <c:w val="0.42630368717722439"/>
          <c:h val="0.88816404199475063"/>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35b'!$E$4</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DD9D-4A50-832B-056F250F56BF}"/>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DD9D-4A50-832B-056F250F56BF}"/>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35b'!$D$5:$D$6</c:f>
              <c:strCache>
                <c:ptCount val="2"/>
                <c:pt idx="0">
                  <c:v>Jah(BE, BG, CZ, DK, EE, EL, ES, FI, HR, HU, IE, LT, LV, PL, SE, SK)</c:v>
                </c:pt>
                <c:pt idx="1">
                  <c:v>Ei(AT, CY, DE, FR, IT, LU, MT, NL, PT, RO, SI, UK)</c:v>
                </c:pt>
              </c:strCache>
            </c:strRef>
          </c:cat>
          <c:val>
            <c:numRef>
              <c:f>'Fig 35b'!$E$5:$E$6</c:f>
              <c:numCache>
                <c:formatCode>0</c:formatCode>
                <c:ptCount val="2"/>
                <c:pt idx="0">
                  <c:v>16</c:v>
                </c:pt>
                <c:pt idx="1">
                  <c:v>12</c:v>
                </c:pt>
              </c:numCache>
            </c:numRef>
          </c:val>
          <c:extLst>
            <c:ext xmlns:c16="http://schemas.microsoft.com/office/drawing/2014/chart" uri="{C3380CC4-5D6E-409C-BE32-E72D297353CC}">
              <c16:uniqueId val="{00000004-DD9D-4A50-832B-056F250F56BF}"/>
            </c:ext>
          </c:extLst>
        </c:ser>
        <c:dLbls>
          <c:showLegendKey val="0"/>
          <c:showVal val="1"/>
          <c:showCatName val="0"/>
          <c:showSerName val="0"/>
          <c:showPercent val="0"/>
          <c:showBubbleSize val="0"/>
          <c:showLeaderLines val="1"/>
        </c:dLbls>
        <c:firstSliceAng val="120"/>
        <c:holeSize val="50"/>
      </c:doughnutChart>
      <c:spPr>
        <a:noFill/>
        <a:ln>
          <a:noFill/>
        </a:ln>
        <a:effectLst/>
      </c:spPr>
    </c:plotArea>
    <c:legend>
      <c:legendPos val="b"/>
      <c:layout>
        <c:manualLayout>
          <c:xMode val="edge"/>
          <c:yMode val="edge"/>
          <c:x val="0.30695774402607257"/>
          <c:y val="0.27679308836395455"/>
          <c:w val="0.63355784373107205"/>
          <c:h val="0.53816404199475065"/>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37'!$E$4</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5ECB-4BB8-AA4E-FF4C74A9B3F6}"/>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5ECB-4BB8-AA4E-FF4C74A9B3F6}"/>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37'!$D$5:$D$6</c:f>
              <c:strCache>
                <c:ptCount val="2"/>
                <c:pt idx="0">
                  <c:v>Jah(BG, CZ, DK, FR, HR, SI)</c:v>
                </c:pt>
                <c:pt idx="1">
                  <c:v>Ei(kõik liikmesriigid, v.a BG, CZ, DK, FR, HR, SI)</c:v>
                </c:pt>
              </c:strCache>
            </c:strRef>
          </c:cat>
          <c:val>
            <c:numRef>
              <c:f>'Fig 37'!$E$5:$E$6</c:f>
              <c:numCache>
                <c:formatCode>0</c:formatCode>
                <c:ptCount val="2"/>
                <c:pt idx="0">
                  <c:v>6</c:v>
                </c:pt>
                <c:pt idx="1">
                  <c:v>22</c:v>
                </c:pt>
              </c:numCache>
            </c:numRef>
          </c:val>
          <c:extLst>
            <c:ext xmlns:c16="http://schemas.microsoft.com/office/drawing/2014/chart" uri="{C3380CC4-5D6E-409C-BE32-E72D297353CC}">
              <c16:uniqueId val="{00000004-5ECB-4BB8-AA4E-FF4C74A9B3F6}"/>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0695774402607257"/>
          <c:y val="0.27679308836395455"/>
          <c:w val="0.47365964613539324"/>
          <c:h val="0.53816404199475065"/>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342504148307424E-3"/>
          <c:y val="2.3740157480314959E-2"/>
          <c:w val="0.32789402705877235"/>
          <c:h val="0.95210542432195999"/>
        </c:manualLayout>
      </c:layout>
      <c:pieChart>
        <c:varyColors val="1"/>
        <c:ser>
          <c:idx val="0"/>
          <c:order val="0"/>
          <c:tx>
            <c:strRef>
              <c:f>'Fig 38'!$E$4</c:f>
              <c:strCache>
                <c:ptCount val="1"/>
                <c:pt idx="0">
                  <c:v>Osakaal</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F806-4723-8E28-21F725024F06}"/>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F806-4723-8E28-21F725024F06}"/>
              </c:ext>
            </c:extLst>
          </c:dPt>
          <c:dPt>
            <c:idx val="2"/>
            <c:bubble3D val="0"/>
            <c:spPr>
              <a:solidFill>
                <a:schemeClr val="accent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F806-4723-8E28-21F725024F06}"/>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38'!$D$5:$D$7</c:f>
              <c:strCache>
                <c:ptCount val="3"/>
                <c:pt idx="0">
                  <c:v>… kohustuslik(BE, DE, FI, IE, IT, LT, LU, LV, NL, PL, SE, SI, UK)</c:v>
                </c:pt>
                <c:pt idx="1">
                  <c:v>… enamiku maksumaksjate jaoks kohustuslik(DK, EL, ES, FR)</c:v>
                </c:pt>
                <c:pt idx="2">
                  <c:v>... võimalik (vabatahtlik)(AT, BG, CY, CZ, EE, HR, HU, MT, PT, RO, SK)</c:v>
                </c:pt>
              </c:strCache>
            </c:strRef>
          </c:cat>
          <c:val>
            <c:numRef>
              <c:f>'Fig 38'!$E$5:$E$7</c:f>
              <c:numCache>
                <c:formatCode>0</c:formatCode>
                <c:ptCount val="3"/>
                <c:pt idx="0">
                  <c:v>13</c:v>
                </c:pt>
                <c:pt idx="1">
                  <c:v>4</c:v>
                </c:pt>
                <c:pt idx="2">
                  <c:v>11</c:v>
                </c:pt>
              </c:numCache>
            </c:numRef>
          </c:val>
          <c:extLst>
            <c:ext xmlns:c16="http://schemas.microsoft.com/office/drawing/2014/chart" uri="{C3380CC4-5D6E-409C-BE32-E72D297353CC}">
              <c16:uniqueId val="{00000006-F806-4723-8E28-21F725024F06}"/>
            </c:ext>
          </c:extLst>
        </c:ser>
        <c:dLbls>
          <c:showLegendKey val="0"/>
          <c:showVal val="1"/>
          <c:showCatName val="0"/>
          <c:showSerName val="0"/>
          <c:showPercent val="0"/>
          <c:showBubbleSize val="0"/>
          <c:showLeaderLines val="1"/>
        </c:dLbls>
        <c:firstSliceAng val="180"/>
      </c:pieChart>
      <c:spPr>
        <a:noFill/>
        <a:ln>
          <a:noFill/>
        </a:ln>
        <a:effectLst/>
      </c:spPr>
    </c:plotArea>
    <c:legend>
      <c:legendPos val="b"/>
      <c:layout>
        <c:manualLayout>
          <c:xMode val="edge"/>
          <c:yMode val="edge"/>
          <c:x val="0.32432157306303561"/>
          <c:y val="0.18790419947506562"/>
          <c:w val="0.52729642220136852"/>
          <c:h val="0.6307917760279965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39'!$E$4</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F437-4EE8-A820-ADF3F6FC50CB}"/>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F437-4EE8-A820-ADF3F6FC50CB}"/>
              </c:ext>
            </c:extLst>
          </c:dPt>
          <c:dPt>
            <c:idx val="2"/>
            <c:bubble3D val="0"/>
            <c:spPr>
              <a:solidFill>
                <a:schemeClr val="accent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F437-4EE8-A820-ADF3F6FC50CB}"/>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39'!$D$5:$D$7</c:f>
              <c:strCache>
                <c:ptCount val="3"/>
                <c:pt idx="0">
                  <c:v>Jah(AT, EE, RO)</c:v>
                </c:pt>
                <c:pt idx="1">
                  <c:v>Jah, aga ainult kuni teatava summani(CY, CZ, DK, EL, FR, MT, PT)</c:v>
                </c:pt>
                <c:pt idx="2">
                  <c:v>Ei(BE, BG, DE, ES, FI, HR, HU, IE, IT, LT, LU, LV, NL, PL, SE, SI, SK, UK)</c:v>
                </c:pt>
              </c:strCache>
            </c:strRef>
          </c:cat>
          <c:val>
            <c:numRef>
              <c:f>'Fig 39'!$E$5:$E$7</c:f>
              <c:numCache>
                <c:formatCode>0</c:formatCode>
                <c:ptCount val="3"/>
                <c:pt idx="0">
                  <c:v>3</c:v>
                </c:pt>
                <c:pt idx="1">
                  <c:v>7</c:v>
                </c:pt>
                <c:pt idx="2">
                  <c:v>18</c:v>
                </c:pt>
              </c:numCache>
            </c:numRef>
          </c:val>
          <c:extLst>
            <c:ext xmlns:c16="http://schemas.microsoft.com/office/drawing/2014/chart" uri="{C3380CC4-5D6E-409C-BE32-E72D297353CC}">
              <c16:uniqueId val="{00000006-F437-4EE8-A820-ADF3F6FC50CB}"/>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4642102057684776"/>
          <c:y val="0.16012642169728783"/>
          <c:w val="0.5131229452672007"/>
          <c:h val="0.66594181977252831"/>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a:outerShdw blurRad="50800" dist="38100" dir="2700000" algn="tl" rotWithShape="0">
                <a:prstClr val="black">
                  <a:alpha val="40000"/>
                </a:prst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44'!$B$3:$B$6</c:f>
              <c:numCache>
                <c:formatCode>General</c:formatCode>
                <c:ptCount val="4"/>
                <c:pt idx="0">
                  <c:v>2016</c:v>
                </c:pt>
                <c:pt idx="1">
                  <c:v>2017</c:v>
                </c:pt>
                <c:pt idx="2">
                  <c:v>2018</c:v>
                </c:pt>
                <c:pt idx="3">
                  <c:v>2019</c:v>
                </c:pt>
              </c:numCache>
            </c:numRef>
          </c:cat>
          <c:val>
            <c:numRef>
              <c:f>'Fig 44'!$C$3:$C$6</c:f>
              <c:numCache>
                <c:formatCode>0.0%</c:formatCode>
                <c:ptCount val="4"/>
                <c:pt idx="0">
                  <c:v>0.8306</c:v>
                </c:pt>
                <c:pt idx="1">
                  <c:v>0.83379999999999999</c:v>
                </c:pt>
                <c:pt idx="2">
                  <c:v>0.83299999999999996</c:v>
                </c:pt>
                <c:pt idx="3">
                  <c:v>0.8327</c:v>
                </c:pt>
              </c:numCache>
            </c:numRef>
          </c:val>
          <c:smooth val="0"/>
          <c:extLst>
            <c:ext xmlns:c16="http://schemas.microsoft.com/office/drawing/2014/chart" uri="{C3380CC4-5D6E-409C-BE32-E72D297353CC}">
              <c16:uniqueId val="{00000000-6D2B-4E2F-B746-09A02E44D885}"/>
            </c:ext>
          </c:extLst>
        </c:ser>
        <c:dLbls>
          <c:dLblPos val="t"/>
          <c:showLegendKey val="0"/>
          <c:showVal val="1"/>
          <c:showCatName val="0"/>
          <c:showSerName val="0"/>
          <c:showPercent val="0"/>
          <c:showBubbleSize val="0"/>
        </c:dLbls>
        <c:drop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dropLines>
        <c:smooth val="0"/>
        <c:axId val="731322688"/>
        <c:axId val="731314816"/>
      </c:lineChart>
      <c:catAx>
        <c:axId val="7313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1314816"/>
        <c:crosses val="autoZero"/>
        <c:auto val="1"/>
        <c:lblAlgn val="ctr"/>
        <c:lblOffset val="100"/>
        <c:noMultiLvlLbl val="0"/>
      </c:catAx>
      <c:valAx>
        <c:axId val="731314816"/>
        <c:scaling>
          <c:orientation val="minMax"/>
          <c:max val="0.83500000000000008"/>
          <c:min val="0.83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1322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46'!$E$4</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14D1-422A-A7D1-8CDE0BB6F3D5}"/>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14D1-422A-A7D1-8CDE0BB6F3D5}"/>
              </c:ext>
            </c:extLst>
          </c:dPt>
          <c:dPt>
            <c:idx val="2"/>
            <c:bubble3D val="0"/>
            <c:spPr>
              <a:solidFill>
                <a:schemeClr val="accent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14D1-422A-A7D1-8CDE0BB6F3D5}"/>
              </c:ext>
            </c:extLst>
          </c:dPt>
          <c:dPt>
            <c:idx val="3"/>
            <c:bubble3D val="0"/>
            <c:spPr>
              <a:solidFill>
                <a:schemeClr val="accent1">
                  <a:lumMod val="60000"/>
                </a:schemeClr>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14D1-422A-A7D1-8CDE0BB6F3D5}"/>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46'!$D$5:$D$8</c:f>
              <c:strCache>
                <c:ptCount val="4"/>
                <c:pt idx="0">
                  <c:v>Asutusesisene tarkvara</c:v>
                </c:pt>
                <c:pt idx="1">
                  <c:v>Sisetarkvara ja spetsiaalse audititarkavar kombinatsioon</c:v>
                </c:pt>
                <c:pt idx="2">
                  <c:v>Ainult spetsiaalne audititarkvara</c:v>
                </c:pt>
                <c:pt idx="3">
                  <c:v>Muu tarkvara (üldine)</c:v>
                </c:pt>
              </c:strCache>
            </c:strRef>
          </c:cat>
          <c:val>
            <c:numRef>
              <c:f>'Fig 46'!$E$5:$E$8</c:f>
              <c:numCache>
                <c:formatCode>0</c:formatCode>
                <c:ptCount val="4"/>
                <c:pt idx="0">
                  <c:v>3</c:v>
                </c:pt>
                <c:pt idx="1">
                  <c:v>14</c:v>
                </c:pt>
                <c:pt idx="2">
                  <c:v>8</c:v>
                </c:pt>
                <c:pt idx="3">
                  <c:v>3</c:v>
                </c:pt>
              </c:numCache>
            </c:numRef>
          </c:val>
          <c:extLst>
            <c:ext xmlns:c16="http://schemas.microsoft.com/office/drawing/2014/chart" uri="{C3380CC4-5D6E-409C-BE32-E72D297353CC}">
              <c16:uniqueId val="{00000008-14D1-422A-A7D1-8CDE0BB6F3D5}"/>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4642102057684776"/>
          <c:y val="0.16012642169728783"/>
          <c:w val="0.5131229452672007"/>
          <c:h val="0.66594181977252831"/>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74384462662577E-2"/>
          <c:y val="6.3400576368876083E-2"/>
          <c:w val="0.93250496346618761"/>
          <c:h val="0.81088384124895052"/>
        </c:manualLayout>
      </c:layout>
      <c:barChart>
        <c:barDir val="col"/>
        <c:grouping val="clustered"/>
        <c:varyColors val="0"/>
        <c:ser>
          <c:idx val="0"/>
          <c:order val="0"/>
          <c:tx>
            <c:strRef>
              <c:f>'Fig 47'!$C$3</c:f>
              <c:strCache>
                <c:ptCount val="1"/>
                <c:pt idx="0">
                  <c:v>5 parima tulemusega liikmesriiki</c:v>
                </c:pt>
              </c:strCache>
            </c:strRef>
          </c:tx>
          <c:spPr>
            <a:solidFill>
              <a:schemeClr val="accent1"/>
            </a:solidFill>
            <a:ln>
              <a:noFill/>
            </a:ln>
            <a:effectLst>
              <a:outerShdw blurRad="50800" dist="38100" dir="2700000" algn="tl" rotWithShape="0">
                <a:prstClr val="black">
                  <a:alpha val="40000"/>
                </a:prstClr>
              </a:outerShdw>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47'!$B$4:$B$7</c:f>
              <c:numCache>
                <c:formatCode>General</c:formatCode>
                <c:ptCount val="4"/>
                <c:pt idx="0">
                  <c:v>2016</c:v>
                </c:pt>
                <c:pt idx="1">
                  <c:v>2017</c:v>
                </c:pt>
                <c:pt idx="2">
                  <c:v>2018</c:v>
                </c:pt>
                <c:pt idx="3">
                  <c:v>2019</c:v>
                </c:pt>
              </c:numCache>
            </c:numRef>
          </c:cat>
          <c:val>
            <c:numRef>
              <c:f>'Fig 47'!$C$4:$C$7</c:f>
              <c:numCache>
                <c:formatCode>0.0%</c:formatCode>
                <c:ptCount val="4"/>
                <c:pt idx="0">
                  <c:v>0.15409999999999999</c:v>
                </c:pt>
                <c:pt idx="1">
                  <c:v>8.9399999999999993E-2</c:v>
                </c:pt>
                <c:pt idx="2">
                  <c:v>6.88E-2</c:v>
                </c:pt>
                <c:pt idx="3">
                  <c:v>5.5399999999999998E-2</c:v>
                </c:pt>
              </c:numCache>
            </c:numRef>
          </c:val>
          <c:extLst>
            <c:ext xmlns:c16="http://schemas.microsoft.com/office/drawing/2014/chart" uri="{C3380CC4-5D6E-409C-BE32-E72D297353CC}">
              <c16:uniqueId val="{00000000-83EB-418A-A8E3-A2F78C4B08C5}"/>
            </c:ext>
          </c:extLst>
        </c:ser>
        <c:ser>
          <c:idx val="1"/>
          <c:order val="1"/>
          <c:tx>
            <c:strRef>
              <c:f>'Fig 47'!$D$3</c:f>
              <c:strCache>
                <c:ptCount val="1"/>
                <c:pt idx="0">
                  <c:v>ELi keskmine</c:v>
                </c:pt>
              </c:strCache>
            </c:strRef>
          </c:tx>
          <c:spPr>
            <a:solidFill>
              <a:srgbClr val="92D050"/>
            </a:solidFill>
            <a:ln>
              <a:noFill/>
            </a:ln>
            <a:effectLst>
              <a:outerShdw blurRad="50800" dist="38100" dir="2700000" algn="tl" rotWithShape="0">
                <a:prstClr val="black">
                  <a:alpha val="4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47'!$B$4:$B$7</c:f>
              <c:numCache>
                <c:formatCode>General</c:formatCode>
                <c:ptCount val="4"/>
                <c:pt idx="0">
                  <c:v>2016</c:v>
                </c:pt>
                <c:pt idx="1">
                  <c:v>2017</c:v>
                </c:pt>
                <c:pt idx="2">
                  <c:v>2018</c:v>
                </c:pt>
                <c:pt idx="3">
                  <c:v>2019</c:v>
                </c:pt>
              </c:numCache>
            </c:numRef>
          </c:cat>
          <c:val>
            <c:numRef>
              <c:f>'Fig 47'!$D$4:$D$7</c:f>
              <c:numCache>
                <c:formatCode>0.0%</c:formatCode>
                <c:ptCount val="4"/>
                <c:pt idx="0">
                  <c:v>5.7000000000000002E-2</c:v>
                </c:pt>
                <c:pt idx="1">
                  <c:v>4.02E-2</c:v>
                </c:pt>
                <c:pt idx="2">
                  <c:v>3.1399999999999997E-2</c:v>
                </c:pt>
                <c:pt idx="3">
                  <c:v>2.7300000000000001E-2</c:v>
                </c:pt>
              </c:numCache>
            </c:numRef>
          </c:val>
          <c:extLst>
            <c:ext xmlns:c16="http://schemas.microsoft.com/office/drawing/2014/chart" uri="{C3380CC4-5D6E-409C-BE32-E72D297353CC}">
              <c16:uniqueId val="{00000001-83EB-418A-A8E3-A2F78C4B08C5}"/>
            </c:ext>
          </c:extLst>
        </c:ser>
        <c:dLbls>
          <c:showLegendKey val="0"/>
          <c:showVal val="1"/>
          <c:showCatName val="0"/>
          <c:showSerName val="0"/>
          <c:showPercent val="0"/>
          <c:showBubbleSize val="0"/>
        </c:dLbls>
        <c:gapWidth val="150"/>
        <c:axId val="124976128"/>
        <c:axId val="124990208"/>
      </c:barChart>
      <c:catAx>
        <c:axId val="12497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4990208"/>
        <c:crosses val="autoZero"/>
        <c:auto val="1"/>
        <c:lblAlgn val="ctr"/>
        <c:lblOffset val="100"/>
        <c:noMultiLvlLbl val="0"/>
      </c:catAx>
      <c:valAx>
        <c:axId val="12499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4976128"/>
        <c:crosses val="autoZero"/>
        <c:crossBetween val="between"/>
        <c:majorUnit val="5.000000000000001E-2"/>
      </c:valAx>
      <c:spPr>
        <a:noFill/>
        <a:ln>
          <a:noFill/>
        </a:ln>
        <a:effectLst/>
      </c:spPr>
    </c:plotArea>
    <c:legend>
      <c:legendPos val="r"/>
      <c:layout>
        <c:manualLayout>
          <c:xMode val="edge"/>
          <c:yMode val="edge"/>
          <c:x val="0.63344984535595139"/>
          <c:y val="0.10884521999591548"/>
          <c:w val="0.2104609608190057"/>
          <c:h val="0.28663232657877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957708224448003E-2"/>
          <c:y val="2.5220680958385876E-2"/>
          <c:w val="0.40945015186281886"/>
          <c:h val="0.9341111050773826"/>
        </c:manualLayout>
      </c:layout>
      <c:pieChart>
        <c:varyColors val="1"/>
        <c:ser>
          <c:idx val="0"/>
          <c:order val="0"/>
          <c:tx>
            <c:strRef>
              <c:f>'Fig 5'!$D$2</c:f>
              <c:strCache>
                <c:ptCount val="1"/>
                <c:pt idx="0">
                  <c:v>Osakaal</c:v>
                </c:pt>
              </c:strCache>
            </c:strRef>
          </c:tx>
          <c:spPr>
            <a:effectLst>
              <a:outerShdw blurRad="50800" dist="38100" dir="2700000" algn="tl" rotWithShape="0">
                <a:prstClr val="black">
                  <a:alpha val="40000"/>
                </a:prstClr>
              </a:outerShdw>
            </a:effectLst>
          </c:spPr>
          <c:explosion val="5"/>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outerShdw blurRad="50800" dist="38100" dir="2700000" algn="tl" rotWithShape="0">
                  <a:prstClr val="black">
                    <a:alpha val="40000"/>
                  </a:prstClr>
                </a:outerShdw>
              </a:effectLst>
            </c:spPr>
            <c:extLst>
              <c:ext xmlns:c16="http://schemas.microsoft.com/office/drawing/2014/chart" uri="{C3380CC4-5D6E-409C-BE32-E72D297353CC}">
                <c16:uniqueId val="{00000001-EF09-4DC9-ADA1-FABF5DBE40CF}"/>
              </c:ext>
            </c:extLst>
          </c:dPt>
          <c:dPt>
            <c:idx val="1"/>
            <c:bubble3D val="0"/>
            <c:spPr>
              <a:solidFill>
                <a:srgbClr val="9FD07A"/>
              </a:solidFill>
              <a:ln w="9525" cap="flat" cmpd="sng" algn="ctr">
                <a:solidFill>
                  <a:schemeClr val="accent3">
                    <a:shade val="95000"/>
                  </a:schemeClr>
                </a:solidFill>
                <a:round/>
              </a:ln>
              <a:effectLst>
                <a:outerShdw blurRad="50800" dist="38100" dir="2700000" algn="tl" rotWithShape="0">
                  <a:prstClr val="black">
                    <a:alpha val="40000"/>
                  </a:prstClr>
                </a:outerShdw>
              </a:effectLst>
            </c:spPr>
            <c:extLst>
              <c:ext xmlns:c16="http://schemas.microsoft.com/office/drawing/2014/chart" uri="{C3380CC4-5D6E-409C-BE32-E72D297353CC}">
                <c16:uniqueId val="{00000003-EF09-4DC9-ADA1-FABF5DBE40CF}"/>
              </c:ext>
            </c:extLst>
          </c:dPt>
          <c:dLbls>
            <c:dLbl>
              <c:idx val="1"/>
              <c:layout>
                <c:manualLayout>
                  <c:x val="6.0385337000339108E-2"/>
                  <c:y val="0.19893707230949648"/>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F09-4DC9-ADA1-FABF5DBE40CF}"/>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a:solidFill>
                    <a:schemeClr val="bg2">
                      <a:lumMod val="50000"/>
                    </a:schemeClr>
                  </a:solidFill>
                </a:ln>
                <a:effectLst/>
              </c:spPr>
            </c:leaderLines>
            <c:extLst>
              <c:ext xmlns:c15="http://schemas.microsoft.com/office/drawing/2012/chart" uri="{CE6537A1-D6FC-4f65-9D91-7224C49458BB}">
                <c15:layout/>
              </c:ext>
            </c:extLst>
          </c:dLbls>
          <c:cat>
            <c:strRef>
              <c:f>'Fig 5'!$C$3:$C$4</c:f>
              <c:strCache>
                <c:ptCount val="2"/>
                <c:pt idx="0">
                  <c:v>Jah (27 liikmesriiki)</c:v>
                </c:pt>
                <c:pt idx="1">
                  <c:v>Ei (RO)</c:v>
                </c:pt>
              </c:strCache>
            </c:strRef>
          </c:cat>
          <c:val>
            <c:numRef>
              <c:f>'Fig 5'!$D$3:$D$4</c:f>
              <c:numCache>
                <c:formatCode>0%</c:formatCode>
                <c:ptCount val="2"/>
                <c:pt idx="0">
                  <c:v>0.9642857142857143</c:v>
                </c:pt>
                <c:pt idx="1">
                  <c:v>3.5714285714285712E-2</c:v>
                </c:pt>
              </c:numCache>
            </c:numRef>
          </c:val>
          <c:extLst>
            <c:ext xmlns:c16="http://schemas.microsoft.com/office/drawing/2014/chart" uri="{C3380CC4-5D6E-409C-BE32-E72D297353CC}">
              <c16:uniqueId val="{00000004-EF09-4DC9-ADA1-FABF5DBE40C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1524514938025087"/>
          <c:y val="0.33037875175586684"/>
          <c:w val="0.22175051802735185"/>
          <c:h val="0.358511798136525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76235264856235"/>
          <c:y val="1.3794367721773138E-2"/>
          <c:w val="0.58136317262667747"/>
          <c:h val="0.96034629868590826"/>
        </c:manualLayout>
      </c:layout>
      <c:barChart>
        <c:barDir val="bar"/>
        <c:grouping val="clustered"/>
        <c:varyColors val="0"/>
        <c:ser>
          <c:idx val="0"/>
          <c:order val="0"/>
          <c:tx>
            <c:strRef>
              <c:f>'Fig 49'!$C$4</c:f>
              <c:strCache>
                <c:ptCount val="1"/>
                <c:pt idx="0">
                  <c:v>… hindab ebatäpse aruandluse põhustatud käibemaksukahju suurust, lähtudes juhuvalikul põhineva auditiprogrammi tulemustest (DK, FI, HR, IE, IT, NL, SE, UK)</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49'!$B$5</c:f>
              <c:strCache>
                <c:ptCount val="1"/>
                <c:pt idx="0">
                  <c:v>vastus</c:v>
                </c:pt>
              </c:strCache>
            </c:strRef>
          </c:cat>
          <c:val>
            <c:numRef>
              <c:f>'Fig 49'!$C$5</c:f>
              <c:numCache>
                <c:formatCode>General</c:formatCode>
                <c:ptCount val="1"/>
                <c:pt idx="0">
                  <c:v>8</c:v>
                </c:pt>
              </c:numCache>
            </c:numRef>
          </c:val>
          <c:extLst>
            <c:ext xmlns:c16="http://schemas.microsoft.com/office/drawing/2014/chart" uri="{C3380CC4-5D6E-409C-BE32-E72D297353CC}">
              <c16:uniqueId val="{00000000-9FAF-449A-B21F-1B24CF74B70C}"/>
            </c:ext>
          </c:extLst>
        </c:ser>
        <c:ser>
          <c:idx val="1"/>
          <c:order val="1"/>
          <c:tx>
            <c:strRef>
              <c:f>'Fig 49'!$D$4</c:f>
              <c:strCache>
                <c:ptCount val="1"/>
                <c:pt idx="0">
                  <c:v>… teeb suurte andmekogumite täiustatud analüüsi (nt pronoosimudeldamine).(BE, BG, CZ, DK, EE, EL, ES, FI, FR, HR, HU, IE, LT, LV, PL, SE, SI, SK, UK)</c:v>
                </c:pt>
              </c:strCache>
            </c:strRef>
          </c:tx>
          <c:spPr>
            <a:solidFill>
              <a:srgbClr val="92D050"/>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49'!$B$5</c:f>
              <c:strCache>
                <c:ptCount val="1"/>
                <c:pt idx="0">
                  <c:v>vastus</c:v>
                </c:pt>
              </c:strCache>
            </c:strRef>
          </c:cat>
          <c:val>
            <c:numRef>
              <c:f>'Fig 49'!$D$5</c:f>
              <c:numCache>
                <c:formatCode>General</c:formatCode>
                <c:ptCount val="1"/>
                <c:pt idx="0">
                  <c:v>19</c:v>
                </c:pt>
              </c:numCache>
            </c:numRef>
          </c:val>
          <c:extLst>
            <c:ext xmlns:c16="http://schemas.microsoft.com/office/drawing/2014/chart" uri="{C3380CC4-5D6E-409C-BE32-E72D297353CC}">
              <c16:uniqueId val="{00000001-9FAF-449A-B21F-1B24CF74B70C}"/>
            </c:ext>
          </c:extLst>
        </c:ser>
        <c:ser>
          <c:idx val="2"/>
          <c:order val="2"/>
          <c:tx>
            <c:strRef>
              <c:f>'Fig 49'!$E$4</c:f>
              <c:strCache>
                <c:ptCount val="1"/>
                <c:pt idx="0">
                  <c:v>…kasutab maksuotsuseid konkreetsete tehingute maksukäsitluse kohta(BE, BG, CY, CZ, DE, DK, EE, ES, FI, HR, HU, IE, IT, LT, LV, MT, NL, PL, PT, RO, SE, SI, UK)</c:v>
                </c:pt>
              </c:strCache>
            </c:strRef>
          </c:tx>
          <c:spPr>
            <a:solidFill>
              <a:schemeClr val="accent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49'!$B$5</c:f>
              <c:strCache>
                <c:ptCount val="1"/>
                <c:pt idx="0">
                  <c:v>vastus</c:v>
                </c:pt>
              </c:strCache>
            </c:strRef>
          </c:cat>
          <c:val>
            <c:numRef>
              <c:f>'Fig 49'!$E$5</c:f>
              <c:numCache>
                <c:formatCode>General</c:formatCode>
                <c:ptCount val="1"/>
                <c:pt idx="0">
                  <c:v>23</c:v>
                </c:pt>
              </c:numCache>
            </c:numRef>
          </c:val>
          <c:extLst>
            <c:ext xmlns:c16="http://schemas.microsoft.com/office/drawing/2014/chart" uri="{C3380CC4-5D6E-409C-BE32-E72D297353CC}">
              <c16:uniqueId val="{00000002-9FAF-449A-B21F-1B24CF74B70C}"/>
            </c:ext>
          </c:extLst>
        </c:ser>
        <c:ser>
          <c:idx val="3"/>
          <c:order val="3"/>
          <c:tx>
            <c:strRef>
              <c:f>'Fig 49'!$F$4</c:f>
              <c:strCache>
                <c:ptCount val="1"/>
                <c:pt idx="0">
                  <c:v>… kasutab koostööl põhinevaid meetodeid ebatäpse aruandlusega kaasnevate riskide juhtimiseks(AT, BE, BG, CY, CZ, DK, EE, ES, EL, FI, FR, HR, HU, IE, IT, LT, LU, LV, NL, PL, PT, SE, UK)</c:v>
                </c:pt>
              </c:strCache>
            </c:strRef>
          </c:tx>
          <c:spPr>
            <a:solidFill>
              <a:schemeClr val="accent1">
                <a:lumMod val="6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49'!$B$5</c:f>
              <c:strCache>
                <c:ptCount val="1"/>
                <c:pt idx="0">
                  <c:v>vastus</c:v>
                </c:pt>
              </c:strCache>
            </c:strRef>
          </c:cat>
          <c:val>
            <c:numRef>
              <c:f>'Fig 49'!$F$5</c:f>
              <c:numCache>
                <c:formatCode>General</c:formatCode>
                <c:ptCount val="1"/>
                <c:pt idx="0">
                  <c:v>23</c:v>
                </c:pt>
              </c:numCache>
            </c:numRef>
          </c:val>
          <c:extLst>
            <c:ext xmlns:c16="http://schemas.microsoft.com/office/drawing/2014/chart" uri="{C3380CC4-5D6E-409C-BE32-E72D297353CC}">
              <c16:uniqueId val="{00000003-9FAF-449A-B21F-1B24CF74B70C}"/>
            </c:ext>
          </c:extLst>
        </c:ser>
        <c:dLbls>
          <c:dLblPos val="outEnd"/>
          <c:showLegendKey val="0"/>
          <c:showVal val="1"/>
          <c:showCatName val="0"/>
          <c:showSerName val="0"/>
          <c:showPercent val="0"/>
          <c:showBubbleSize val="0"/>
        </c:dLbls>
        <c:gapWidth val="1"/>
        <c:overlap val="-50"/>
        <c:axId val="125682048"/>
        <c:axId val="125683584"/>
      </c:barChart>
      <c:catAx>
        <c:axId val="125682048"/>
        <c:scaling>
          <c:orientation val="minMax"/>
        </c:scaling>
        <c:delete val="1"/>
        <c:axPos val="l"/>
        <c:numFmt formatCode="General" sourceLinked="1"/>
        <c:majorTickMark val="none"/>
        <c:minorTickMark val="none"/>
        <c:tickLblPos val="nextTo"/>
        <c:crossAx val="125683584"/>
        <c:crosses val="autoZero"/>
        <c:auto val="1"/>
        <c:lblAlgn val="ctr"/>
        <c:lblOffset val="100"/>
        <c:noMultiLvlLbl val="0"/>
      </c:catAx>
      <c:valAx>
        <c:axId val="125683584"/>
        <c:scaling>
          <c:orientation val="minMax"/>
          <c:max val="28"/>
          <c:min val="0"/>
        </c:scaling>
        <c:delete val="1"/>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out"/>
        <c:minorTickMark val="none"/>
        <c:tickLblPos val="nextTo"/>
        <c:crossAx val="125682048"/>
        <c:crosses val="autoZero"/>
        <c:crossBetween val="between"/>
      </c:valAx>
      <c:spPr>
        <a:noFill/>
        <a:ln>
          <a:noFill/>
        </a:ln>
        <a:effectLst/>
      </c:spPr>
    </c:plotArea>
    <c:legend>
      <c:legendPos val="l"/>
      <c:layout>
        <c:manualLayout>
          <c:xMode val="edge"/>
          <c:yMode val="edge"/>
          <c:x val="0"/>
          <c:y val="8.4959058609913197E-3"/>
          <c:w val="0.37748162293666782"/>
          <c:h val="0.991504086278314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76235264856235"/>
          <c:y val="1.3794367721773138E-2"/>
          <c:w val="0.58135213148231779"/>
          <c:h val="0.95137773281133153"/>
        </c:manualLayout>
      </c:layout>
      <c:barChart>
        <c:barDir val="bar"/>
        <c:grouping val="clustered"/>
        <c:varyColors val="0"/>
        <c:ser>
          <c:idx val="0"/>
          <c:order val="0"/>
          <c:tx>
            <c:strRef>
              <c:f>'Fig 50'!$C$4</c:f>
              <c:strCache>
                <c:ptCount val="1"/>
                <c:pt idx="0">
                  <c:v>… on kehtestatud menetlused maksumaksjate registri korrapäraseks ja süstemaatiliseks läbivaatamiseks, et parandada arvestusvigu ja väljajätteid(DE, EL, ES, HR, HU, IE, IT, LT, LV, MT, PT, SK, UK)</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50'!$B$5</c:f>
              <c:strCache>
                <c:ptCount val="1"/>
                <c:pt idx="0">
                  <c:v>vastuseid</c:v>
                </c:pt>
              </c:strCache>
            </c:strRef>
          </c:cat>
          <c:val>
            <c:numRef>
              <c:f>'Fig 50'!$C$5</c:f>
              <c:numCache>
                <c:formatCode>General</c:formatCode>
                <c:ptCount val="1"/>
                <c:pt idx="0">
                  <c:v>13</c:v>
                </c:pt>
              </c:numCache>
            </c:numRef>
          </c:val>
          <c:extLst>
            <c:ext xmlns:c16="http://schemas.microsoft.com/office/drawing/2014/chart" uri="{C3380CC4-5D6E-409C-BE32-E72D297353CC}">
              <c16:uniqueId val="{00000000-B87E-4C83-BFD3-F8DEB16989DC}"/>
            </c:ext>
          </c:extLst>
        </c:ser>
        <c:ser>
          <c:idx val="1"/>
          <c:order val="1"/>
          <c:tx>
            <c:strRef>
              <c:f>'Fig 50'!$D$4</c:f>
              <c:strCache>
                <c:ptCount val="1"/>
                <c:pt idx="0">
                  <c:v>… on arvestussüsteem, mis on liidestatud muude maksuhalduri arvestussüsteemidega(AT; BE, BG, DE, DK, EE, EL, ES, FI, FR, HR, HU, IE, LT, LU, LV, MT, PL, PT, SE, UK)</c:v>
                </c:pt>
              </c:strCache>
            </c:strRef>
          </c:tx>
          <c:spPr>
            <a:solidFill>
              <a:srgbClr val="92D050"/>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50'!$B$5</c:f>
              <c:strCache>
                <c:ptCount val="1"/>
                <c:pt idx="0">
                  <c:v>vastuseid</c:v>
                </c:pt>
              </c:strCache>
            </c:strRef>
          </c:cat>
          <c:val>
            <c:numRef>
              <c:f>'Fig 50'!$D$5</c:f>
              <c:numCache>
                <c:formatCode>General</c:formatCode>
                <c:ptCount val="1"/>
                <c:pt idx="0">
                  <c:v>21</c:v>
                </c:pt>
              </c:numCache>
            </c:numRef>
          </c:val>
          <c:extLst>
            <c:ext xmlns:c16="http://schemas.microsoft.com/office/drawing/2014/chart" uri="{C3380CC4-5D6E-409C-BE32-E72D297353CC}">
              <c16:uniqueId val="{00000001-B87E-4C83-BFD3-F8DEB16989DC}"/>
            </c:ext>
          </c:extLst>
        </c:ser>
        <c:ser>
          <c:idx val="2"/>
          <c:order val="2"/>
          <c:tx>
            <c:strRef>
              <c:f>'Fig 50'!$E$4</c:f>
              <c:strCache>
                <c:ptCount val="1"/>
                <c:pt idx="0">
                  <c:v>… on automaatne süsteem käibemaksukohustuste arvestamiseks(kõik liikmesriigid)</c:v>
                </c:pt>
              </c:strCache>
            </c:strRef>
          </c:tx>
          <c:spPr>
            <a:solidFill>
              <a:schemeClr val="accent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50'!$B$5</c:f>
              <c:strCache>
                <c:ptCount val="1"/>
                <c:pt idx="0">
                  <c:v>vastuseid</c:v>
                </c:pt>
              </c:strCache>
            </c:strRef>
          </c:cat>
          <c:val>
            <c:numRef>
              <c:f>'Fig 50'!$E$5</c:f>
              <c:numCache>
                <c:formatCode>General</c:formatCode>
                <c:ptCount val="1"/>
                <c:pt idx="0">
                  <c:v>28</c:v>
                </c:pt>
              </c:numCache>
            </c:numRef>
          </c:val>
          <c:extLst>
            <c:ext xmlns:c16="http://schemas.microsoft.com/office/drawing/2014/chart" uri="{C3380CC4-5D6E-409C-BE32-E72D297353CC}">
              <c16:uniqueId val="{00000002-B87E-4C83-BFD3-F8DEB16989DC}"/>
            </c:ext>
          </c:extLst>
        </c:ser>
        <c:dLbls>
          <c:dLblPos val="outEnd"/>
          <c:showLegendKey val="0"/>
          <c:showVal val="1"/>
          <c:showCatName val="0"/>
          <c:showSerName val="0"/>
          <c:showPercent val="0"/>
          <c:showBubbleSize val="0"/>
        </c:dLbls>
        <c:gapWidth val="1"/>
        <c:overlap val="-50"/>
        <c:axId val="125794560"/>
        <c:axId val="125812736"/>
      </c:barChart>
      <c:catAx>
        <c:axId val="125794560"/>
        <c:scaling>
          <c:orientation val="minMax"/>
        </c:scaling>
        <c:delete val="1"/>
        <c:axPos val="l"/>
        <c:numFmt formatCode="General" sourceLinked="1"/>
        <c:majorTickMark val="none"/>
        <c:minorTickMark val="none"/>
        <c:tickLblPos val="nextTo"/>
        <c:crossAx val="125812736"/>
        <c:crosses val="autoZero"/>
        <c:auto val="1"/>
        <c:lblAlgn val="ctr"/>
        <c:lblOffset val="100"/>
        <c:noMultiLvlLbl val="0"/>
      </c:catAx>
      <c:valAx>
        <c:axId val="125812736"/>
        <c:scaling>
          <c:orientation val="minMax"/>
          <c:max val="28"/>
          <c:min val="0"/>
        </c:scaling>
        <c:delete val="1"/>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out"/>
        <c:minorTickMark val="none"/>
        <c:tickLblPos val="nextTo"/>
        <c:crossAx val="125794560"/>
        <c:crosses val="autoZero"/>
        <c:crossBetween val="between"/>
      </c:valAx>
      <c:spPr>
        <a:noFill/>
        <a:ln>
          <a:noFill/>
        </a:ln>
        <a:effectLst/>
      </c:spPr>
    </c:plotArea>
    <c:legend>
      <c:legendPos val="l"/>
      <c:layout>
        <c:manualLayout>
          <c:xMode val="edge"/>
          <c:yMode val="edge"/>
          <c:x val="0"/>
          <c:y val="8.4959058609913197E-3"/>
          <c:w val="0.38502065047355372"/>
          <c:h val="0.9691576122817050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51'!$E$4</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B9B-4755-A123-71E662BAB649}"/>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B9B-4755-A123-71E662BAB649}"/>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51'!$D$5:$D$6</c:f>
              <c:strCache>
                <c:ptCount val="2"/>
                <c:pt idx="0">
                  <c:v>Jah(BE, BG, DE, DK, EE, ES, FR, HR, HU, IE LT, LV, NL, PL, PT, RO, UK)</c:v>
                </c:pt>
                <c:pt idx="1">
                  <c:v>Ei(AT, CY, CZ, EL, FI, IT, LU, MT, SE, SI, SK)</c:v>
                </c:pt>
              </c:strCache>
            </c:strRef>
          </c:cat>
          <c:val>
            <c:numRef>
              <c:f>'Fig 51'!$E$5:$E$6</c:f>
              <c:numCache>
                <c:formatCode>0</c:formatCode>
                <c:ptCount val="2"/>
                <c:pt idx="0">
                  <c:v>17</c:v>
                </c:pt>
                <c:pt idx="1">
                  <c:v>11</c:v>
                </c:pt>
              </c:numCache>
            </c:numRef>
          </c:val>
          <c:extLst>
            <c:ext xmlns:c16="http://schemas.microsoft.com/office/drawing/2014/chart" uri="{C3380CC4-5D6E-409C-BE32-E72D297353CC}">
              <c16:uniqueId val="{00000004-CB9B-4755-A123-71E662BAB649}"/>
            </c:ext>
          </c:extLst>
        </c:ser>
        <c:dLbls>
          <c:showLegendKey val="0"/>
          <c:showVal val="1"/>
          <c:showCatName val="0"/>
          <c:showSerName val="0"/>
          <c:showPercent val="0"/>
          <c:showBubbleSize val="0"/>
          <c:showLeaderLines val="1"/>
        </c:dLbls>
        <c:firstSliceAng val="90"/>
        <c:holeSize val="50"/>
      </c:doughnutChart>
      <c:spPr>
        <a:noFill/>
        <a:ln>
          <a:noFill/>
        </a:ln>
        <a:effectLst/>
      </c:spPr>
    </c:plotArea>
    <c:legend>
      <c:legendPos val="b"/>
      <c:layout>
        <c:manualLayout>
          <c:xMode val="edge"/>
          <c:yMode val="edge"/>
          <c:x val="0.34642102057684776"/>
          <c:y val="0.16012642169728783"/>
          <c:w val="0.5131229452672007"/>
          <c:h val="0.66594181977252831"/>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51'!$E$18</c:f>
              <c:strCache>
                <c:ptCount val="1"/>
                <c:pt idx="0">
                  <c:v>Arv</c:v>
                </c:pt>
              </c:strCache>
            </c:strRef>
          </c:tx>
          <c:spPr>
            <a:solidFill>
              <a:srgbClr val="92D050"/>
            </a:solidFill>
          </c:spPr>
          <c:explosion val="5"/>
          <c:dPt>
            <c:idx val="0"/>
            <c:bubble3D val="0"/>
            <c:spPr>
              <a:solidFill>
                <a:srgbClr val="0070C0"/>
              </a:solidFill>
              <a:ln>
                <a:noFill/>
              </a:ln>
              <a:effectLst/>
            </c:spPr>
            <c:extLst>
              <c:ext xmlns:c16="http://schemas.microsoft.com/office/drawing/2014/chart" uri="{C3380CC4-5D6E-409C-BE32-E72D297353CC}">
                <c16:uniqueId val="{00000001-F5E2-4250-BC28-7FB0EEB83C7A}"/>
              </c:ext>
            </c:extLst>
          </c:dPt>
          <c:dPt>
            <c:idx val="1"/>
            <c:bubble3D val="0"/>
            <c:spPr>
              <a:solidFill>
                <a:srgbClr val="92D050"/>
              </a:solidFill>
              <a:ln>
                <a:noFill/>
              </a:ln>
              <a:effectLst/>
            </c:spPr>
            <c:extLst>
              <c:ext xmlns:c16="http://schemas.microsoft.com/office/drawing/2014/chart" uri="{C3380CC4-5D6E-409C-BE32-E72D297353CC}">
                <c16:uniqueId val="{00000003-F5E2-4250-BC28-7FB0EEB83C7A}"/>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51'!$D$19:$D$20</c:f>
              <c:strCache>
                <c:ptCount val="2"/>
                <c:pt idx="0">
                  <c:v>Jah(27 liikmesriiki)</c:v>
                </c:pt>
                <c:pt idx="1">
                  <c:v>Ei(LU)</c:v>
                </c:pt>
              </c:strCache>
            </c:strRef>
          </c:cat>
          <c:val>
            <c:numRef>
              <c:f>'Fig 51'!$E$19:$E$20</c:f>
              <c:numCache>
                <c:formatCode>0</c:formatCode>
                <c:ptCount val="2"/>
                <c:pt idx="0">
                  <c:v>27</c:v>
                </c:pt>
                <c:pt idx="1">
                  <c:v>1</c:v>
                </c:pt>
              </c:numCache>
            </c:numRef>
          </c:val>
          <c:extLst>
            <c:ext xmlns:c16="http://schemas.microsoft.com/office/drawing/2014/chart" uri="{C3380CC4-5D6E-409C-BE32-E72D297353CC}">
              <c16:uniqueId val="{00000004-F5E2-4250-BC28-7FB0EEB83C7A}"/>
            </c:ext>
          </c:extLst>
        </c:ser>
        <c:dLbls>
          <c:showLegendKey val="0"/>
          <c:showVal val="1"/>
          <c:showCatName val="0"/>
          <c:showSerName val="0"/>
          <c:showPercent val="0"/>
          <c:showBubbleSize val="0"/>
          <c:showLeaderLines val="1"/>
        </c:dLbls>
        <c:firstSliceAng val="90"/>
        <c:holeSize val="50"/>
      </c:doughnutChart>
      <c:spPr>
        <a:noFill/>
        <a:ln>
          <a:noFill/>
        </a:ln>
        <a:effectLst/>
      </c:spPr>
    </c:plotArea>
    <c:legend>
      <c:legendPos val="b"/>
      <c:layout>
        <c:manualLayout>
          <c:xMode val="edge"/>
          <c:yMode val="edge"/>
          <c:x val="0.36261532085817211"/>
          <c:y val="0.16568197725284339"/>
          <c:w val="0.20172654531543882"/>
          <c:h val="0.5492751531058617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52'!$E$4</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5B08-43EE-9A55-45220647648F}"/>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5B08-43EE-9A55-45220647648F}"/>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52'!$D$5:$D$6</c:f>
              <c:strCache>
                <c:ptCount val="2"/>
                <c:pt idx="0">
                  <c:v>Jah(AT, BE, BG, CY, CZ, DE, DK, EE, EL, ES, FR, HR, HU, IE, IT,LT, LU, LV, MT, NL, PL, PT, RO, SK, UK)</c:v>
                </c:pt>
                <c:pt idx="1">
                  <c:v>Ei(FI, SE, SI)</c:v>
                </c:pt>
              </c:strCache>
            </c:strRef>
          </c:cat>
          <c:val>
            <c:numRef>
              <c:f>'Fig 52'!$E$5:$E$6</c:f>
              <c:numCache>
                <c:formatCode>0</c:formatCode>
                <c:ptCount val="2"/>
                <c:pt idx="0">
                  <c:v>25</c:v>
                </c:pt>
                <c:pt idx="1">
                  <c:v>3</c:v>
                </c:pt>
              </c:numCache>
            </c:numRef>
          </c:val>
          <c:extLst>
            <c:ext xmlns:c16="http://schemas.microsoft.com/office/drawing/2014/chart" uri="{C3380CC4-5D6E-409C-BE32-E72D297353CC}">
              <c16:uniqueId val="{00000004-5B08-43EE-9A55-45220647648F}"/>
            </c:ext>
          </c:extLst>
        </c:ser>
        <c:dLbls>
          <c:showLegendKey val="0"/>
          <c:showVal val="1"/>
          <c:showCatName val="0"/>
          <c:showSerName val="0"/>
          <c:showPercent val="0"/>
          <c:showBubbleSize val="0"/>
          <c:showLeaderLines val="1"/>
        </c:dLbls>
        <c:firstSliceAng val="90"/>
        <c:holeSize val="50"/>
      </c:doughnutChart>
      <c:spPr>
        <a:noFill/>
        <a:ln>
          <a:noFill/>
        </a:ln>
        <a:effectLst/>
      </c:spPr>
    </c:plotArea>
    <c:legend>
      <c:legendPos val="b"/>
      <c:layout>
        <c:manualLayout>
          <c:xMode val="edge"/>
          <c:yMode val="edge"/>
          <c:x val="0.34642102057684776"/>
          <c:y val="0.16012642169728783"/>
          <c:w val="0.5131229452672007"/>
          <c:h val="0.66594181977252831"/>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9065061596373E-3"/>
          <c:y val="5.7073300620031193E-2"/>
          <c:w val="0.31684431790634243"/>
          <c:h val="0.91877211000798809"/>
        </c:manualLayout>
      </c:layout>
      <c:doughnutChart>
        <c:varyColors val="1"/>
        <c:ser>
          <c:idx val="0"/>
          <c:order val="0"/>
          <c:tx>
            <c:strRef>
              <c:f>'Fig 53'!$E$4</c:f>
              <c:strCache>
                <c:ptCount val="1"/>
                <c:pt idx="0">
                  <c:v>Arv</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856-49E8-AC26-8D42D8BB7F40}"/>
              </c:ext>
            </c:extLst>
          </c:dPt>
          <c:dPt>
            <c:idx val="1"/>
            <c:bubble3D val="0"/>
            <c:spPr>
              <a:solidFill>
                <a:srgbClr val="92D05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2856-49E8-AC26-8D42D8BB7F40}"/>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'Fig 53'!$D$5:$D$6</c:f>
              <c:strCache>
                <c:ptCount val="2"/>
                <c:pt idx="0">
                  <c:v>Jah(AT, BE, BG, CY, CZ, DK, EL, ES, FI, FR, HR, HU, IE, LT, LV, PL, PT, RO, SE, SI, SK, UK)</c:v>
                </c:pt>
                <c:pt idx="1">
                  <c:v>Ei(DE, EE, IT, LU, MT, NL)</c:v>
                </c:pt>
              </c:strCache>
            </c:strRef>
          </c:cat>
          <c:val>
            <c:numRef>
              <c:f>'Fig 53'!$E$5:$E$6</c:f>
              <c:numCache>
                <c:formatCode>0</c:formatCode>
                <c:ptCount val="2"/>
                <c:pt idx="0">
                  <c:v>22</c:v>
                </c:pt>
                <c:pt idx="1">
                  <c:v>6</c:v>
                </c:pt>
              </c:numCache>
            </c:numRef>
          </c:val>
          <c:extLst>
            <c:ext xmlns:c16="http://schemas.microsoft.com/office/drawing/2014/chart" uri="{C3380CC4-5D6E-409C-BE32-E72D297353CC}">
              <c16:uniqueId val="{00000004-2856-49E8-AC26-8D42D8BB7F40}"/>
            </c:ext>
          </c:extLst>
        </c:ser>
        <c:dLbls>
          <c:showLegendKey val="0"/>
          <c:showVal val="1"/>
          <c:showCatName val="0"/>
          <c:showSerName val="0"/>
          <c:showPercent val="0"/>
          <c:showBubbleSize val="0"/>
          <c:showLeaderLines val="1"/>
        </c:dLbls>
        <c:firstSliceAng val="90"/>
        <c:holeSize val="50"/>
      </c:doughnutChart>
      <c:spPr>
        <a:noFill/>
        <a:ln>
          <a:noFill/>
        </a:ln>
        <a:effectLst/>
      </c:spPr>
    </c:plotArea>
    <c:legend>
      <c:legendPos val="b"/>
      <c:layout>
        <c:manualLayout>
          <c:xMode val="edge"/>
          <c:yMode val="edge"/>
          <c:x val="0.34642102057684776"/>
          <c:y val="0.16012642169728783"/>
          <c:w val="0.5131229452672007"/>
          <c:h val="0.66594181977252831"/>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134373806194623"/>
          <c:y val="5.0925925925925923E-2"/>
          <c:w val="0.50933925769876975"/>
          <c:h val="0.90417486876640418"/>
        </c:manualLayout>
      </c:layout>
      <c:barChart>
        <c:barDir val="bar"/>
        <c:grouping val="clustered"/>
        <c:varyColors val="0"/>
        <c:ser>
          <c:idx val="0"/>
          <c:order val="0"/>
          <c:tx>
            <c:strRef>
              <c:f>'Fig 6'!$D$2</c:f>
              <c:strCache>
                <c:ptCount val="1"/>
                <c:pt idx="0">
                  <c:v>ei ole võimalik(BE, CY, FR, PL, RO)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'Fig 6'!$C$3</c:f>
              <c:numCache>
                <c:formatCode>General</c:formatCode>
                <c:ptCount val="1"/>
              </c:numCache>
            </c:numRef>
          </c:cat>
          <c:val>
            <c:numRef>
              <c:f>'Fig 6'!$D$3</c:f>
              <c:numCache>
                <c:formatCode>General</c:formatCode>
                <c:ptCount val="1"/>
                <c:pt idx="0">
                  <c:v>5</c:v>
                </c:pt>
              </c:numCache>
            </c:numRef>
          </c:val>
          <c:extLst>
            <c:ext xmlns:c16="http://schemas.microsoft.com/office/drawing/2014/chart" uri="{C3380CC4-5D6E-409C-BE32-E72D297353CC}">
              <c16:uniqueId val="{00000000-9752-44F2-9596-80E176ACD46A}"/>
            </c:ext>
          </c:extLst>
        </c:ser>
        <c:ser>
          <c:idx val="1"/>
          <c:order val="1"/>
          <c:tx>
            <c:strRef>
              <c:f>'Fig 6'!$E$2</c:f>
              <c:strCache>
                <c:ptCount val="1"/>
                <c:pt idx="0">
                  <c:v>on kohustuslik(CZ, DK, HU, IE, LT, MT, NL, SK, SI)</c:v>
                </c:pt>
              </c:strCache>
            </c:strRef>
          </c:tx>
          <c:spPr>
            <a:solidFill>
              <a:srgbClr val="9FD07A"/>
            </a:solidFill>
            <a:ln w="9525" cap="flat" cmpd="sng" algn="ctr">
              <a:solidFill>
                <a:schemeClr val="accent3">
                  <a:shade val="95000"/>
                </a:schemeClr>
              </a:solidFill>
              <a:round/>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'Fig 6'!$C$3</c:f>
              <c:numCache>
                <c:formatCode>General</c:formatCode>
                <c:ptCount val="1"/>
              </c:numCache>
            </c:numRef>
          </c:cat>
          <c:val>
            <c:numRef>
              <c:f>'Fig 6'!$E$3</c:f>
              <c:numCache>
                <c:formatCode>General</c:formatCode>
                <c:ptCount val="1"/>
                <c:pt idx="0">
                  <c:v>9</c:v>
                </c:pt>
              </c:numCache>
            </c:numRef>
          </c:val>
          <c:extLst>
            <c:ext xmlns:c16="http://schemas.microsoft.com/office/drawing/2014/chart" uri="{C3380CC4-5D6E-409C-BE32-E72D297353CC}">
              <c16:uniqueId val="{00000001-9752-44F2-9596-80E176ACD46A}"/>
            </c:ext>
          </c:extLst>
        </c:ser>
        <c:ser>
          <c:idx val="2"/>
          <c:order val="2"/>
          <c:tx>
            <c:strRef>
              <c:f>'Fig 6'!$F$2</c:f>
              <c:strCache>
                <c:ptCount val="1"/>
                <c:pt idx="0">
                  <c:v>ei ole kohustuslik, kuid on võimalik(AT, BG, HR, EE, FI, DE, EL, IT, LV, LU, PT, ES, SE, UK)</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'Fig 6'!$C$3</c:f>
              <c:numCache>
                <c:formatCode>General</c:formatCode>
                <c:ptCount val="1"/>
              </c:numCache>
            </c:numRef>
          </c:cat>
          <c:val>
            <c:numRef>
              <c:f>'Fig 6'!$F$3</c:f>
              <c:numCache>
                <c:formatCode>General</c:formatCode>
                <c:ptCount val="1"/>
                <c:pt idx="0">
                  <c:v>14</c:v>
                </c:pt>
              </c:numCache>
            </c:numRef>
          </c:val>
          <c:extLst>
            <c:ext xmlns:c16="http://schemas.microsoft.com/office/drawing/2014/chart" uri="{C3380CC4-5D6E-409C-BE32-E72D297353CC}">
              <c16:uniqueId val="{00000002-9752-44F2-9596-80E176ACD46A}"/>
            </c:ext>
          </c:extLst>
        </c:ser>
        <c:dLbls>
          <c:dLblPos val="outEnd"/>
          <c:showLegendKey val="0"/>
          <c:showVal val="1"/>
          <c:showCatName val="0"/>
          <c:showSerName val="0"/>
          <c:showPercent val="0"/>
          <c:showBubbleSize val="0"/>
        </c:dLbls>
        <c:gapWidth val="0"/>
        <c:overlap val="-30"/>
        <c:axId val="123533568"/>
        <c:axId val="124592128"/>
      </c:barChart>
      <c:catAx>
        <c:axId val="123533568"/>
        <c:scaling>
          <c:orientation val="minMax"/>
        </c:scaling>
        <c:delete val="1"/>
        <c:axPos val="l"/>
        <c:numFmt formatCode="General" sourceLinked="1"/>
        <c:majorTickMark val="none"/>
        <c:minorTickMark val="none"/>
        <c:tickLblPos val="nextTo"/>
        <c:crossAx val="124592128"/>
        <c:crosses val="autoZero"/>
        <c:auto val="1"/>
        <c:lblAlgn val="ctr"/>
        <c:lblOffset val="100"/>
        <c:noMultiLvlLbl val="0"/>
      </c:catAx>
      <c:valAx>
        <c:axId val="124592128"/>
        <c:scaling>
          <c:orientation val="minMax"/>
          <c:max val="28"/>
          <c:min val="0"/>
        </c:scaling>
        <c:delete val="1"/>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out"/>
        <c:minorTickMark val="none"/>
        <c:tickLblPos val="nextTo"/>
        <c:crossAx val="123533568"/>
        <c:crosses val="autoZero"/>
        <c:crossBetween val="between"/>
        <c:majorUnit val="5"/>
      </c:valAx>
      <c:spPr>
        <a:noFill/>
        <a:ln>
          <a:noFill/>
        </a:ln>
        <a:effectLst/>
      </c:spPr>
    </c:plotArea>
    <c:legend>
      <c:legendPos val="l"/>
      <c:layout>
        <c:manualLayout>
          <c:xMode val="edge"/>
          <c:yMode val="edge"/>
          <c:x val="1.1304757418747056E-2"/>
          <c:y val="6.0472076407115785E-2"/>
          <c:w val="0.44129767340081077"/>
          <c:h val="0.939527969160104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75409069658717E-3"/>
          <c:y val="1.6203703703703703E-2"/>
          <c:w val="0.38335670874240302"/>
          <c:h val="0.94907407407407407"/>
        </c:manualLayout>
      </c:layout>
      <c:doughnutChart>
        <c:varyColors val="1"/>
        <c:ser>
          <c:idx val="0"/>
          <c:order val="0"/>
          <c:tx>
            <c:strRef>
              <c:f>'Fig 7'!$B$5</c:f>
              <c:strCache>
                <c:ptCount val="1"/>
                <c:pt idx="0">
                  <c:v>vastuseid</c:v>
                </c:pt>
              </c:strCache>
            </c:strRef>
          </c:tx>
          <c:spPr>
            <a:effectLst>
              <a:outerShdw blurRad="50800" dist="38100" dir="2700000" algn="tl" rotWithShape="0">
                <a:prstClr val="black">
                  <a:alpha val="40000"/>
                </a:prstClr>
              </a:outerShdw>
            </a:effectLst>
          </c:spPr>
          <c:explosion val="5"/>
          <c:dPt>
            <c:idx val="0"/>
            <c:bubble3D val="0"/>
            <c:spPr>
              <a:solidFill>
                <a:schemeClr val="accent1"/>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3764-40D4-AFB1-3DBB3E51E556}"/>
              </c:ext>
            </c:extLst>
          </c:dPt>
          <c:dPt>
            <c:idx val="1"/>
            <c:bubble3D val="0"/>
            <c:spPr>
              <a:solidFill>
                <a:srgbClr val="9FD07A"/>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3764-40D4-AFB1-3DBB3E51E556}"/>
              </c:ext>
            </c:extLst>
          </c:dPt>
          <c:dPt>
            <c:idx val="2"/>
            <c:bubble3D val="0"/>
            <c:spPr>
              <a:solidFill>
                <a:schemeClr val="accent5"/>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3764-40D4-AFB1-3DBB3E51E5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'Fig 7'!$C$4:$E$4</c:f>
              <c:strCache>
                <c:ptCount val="3"/>
                <c:pt idx="0">
                  <c:v>Ei(CZ, MT, UK)</c:v>
                </c:pt>
                <c:pt idx="1">
                  <c:v>Jah, mõne asutusega(AT, HR, CY, HU, SK, ES)</c:v>
                </c:pt>
                <c:pt idx="2">
                  <c:v>Jah, kõigi asutustega(BG, DE, EE, FI, FR, DE, EL, IE, IT, LV, LT, LU, NL, PL, PT, RO, SI, SE)</c:v>
                </c:pt>
              </c:strCache>
            </c:strRef>
          </c:cat>
          <c:val>
            <c:numRef>
              <c:f>'Fig 7'!$C$5:$E$5</c:f>
              <c:numCache>
                <c:formatCode>0%</c:formatCode>
                <c:ptCount val="3"/>
                <c:pt idx="0">
                  <c:v>0.10714285714285714</c:v>
                </c:pt>
                <c:pt idx="1">
                  <c:v>0.21428571428571427</c:v>
                </c:pt>
                <c:pt idx="2">
                  <c:v>0.6785714285714286</c:v>
                </c:pt>
              </c:numCache>
            </c:numRef>
          </c:val>
          <c:extLst>
            <c:ext xmlns:c16="http://schemas.microsoft.com/office/drawing/2014/chart" uri="{C3380CC4-5D6E-409C-BE32-E72D297353CC}">
              <c16:uniqueId val="{00000006-3764-40D4-AFB1-3DBB3E51E556}"/>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40860215053763443"/>
          <c:y val="0.25743474773986585"/>
          <c:w val="0.57643758765778397"/>
          <c:h val="0.494389763779527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53041362530414"/>
          <c:y val="7.3089700996677748E-2"/>
          <c:w val="0.61962692619626925"/>
          <c:h val="0.85382059800664456"/>
        </c:manualLayout>
      </c:layout>
      <c:barChart>
        <c:barDir val="bar"/>
        <c:grouping val="clustered"/>
        <c:varyColors val="0"/>
        <c:ser>
          <c:idx val="0"/>
          <c:order val="0"/>
          <c:tx>
            <c:strRef>
              <c:f>'Fig 9'!$C$4</c:f>
              <c:strCache>
                <c:ptCount val="1"/>
                <c:pt idx="0">
                  <c:v>Muud eelkontrollid(AT, BE, BG, HR, CZ, DK, HU, IE, LV, NL, PL, RO, ES, SE)</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9'!$B$5</c:f>
              <c:strCache>
                <c:ptCount val="1"/>
                <c:pt idx="0">
                  <c:v>vastuseid</c:v>
                </c:pt>
              </c:strCache>
            </c:strRef>
          </c:cat>
          <c:val>
            <c:numRef>
              <c:f>'Fig 9'!$C$5</c:f>
              <c:numCache>
                <c:formatCode>General</c:formatCode>
                <c:ptCount val="1"/>
                <c:pt idx="0">
                  <c:v>14</c:v>
                </c:pt>
              </c:numCache>
            </c:numRef>
          </c:val>
          <c:extLst>
            <c:ext xmlns:c16="http://schemas.microsoft.com/office/drawing/2014/chart" uri="{C3380CC4-5D6E-409C-BE32-E72D297353CC}">
              <c16:uniqueId val="{00000000-73BC-4362-8C40-AF49BBEA42C4}"/>
            </c:ext>
          </c:extLst>
        </c:ser>
        <c:ser>
          <c:idx val="1"/>
          <c:order val="1"/>
          <c:tx>
            <c:strRef>
              <c:f>'Fig 9'!$D$4</c:f>
              <c:strCache>
                <c:ptCount val="1"/>
                <c:pt idx="0">
                  <c:v>Õiguslik kontroll(AT, BE, HR, CY, DK, EE, FI, FR, DE, EL, HU, IE, IT, LV, LT, LU, PL, PT, SK, SI)</c:v>
                </c:pt>
              </c:strCache>
            </c:strRef>
          </c:tx>
          <c:spPr>
            <a:solidFill>
              <a:srgbClr val="9FD07A"/>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9'!$B$5</c:f>
              <c:strCache>
                <c:ptCount val="1"/>
                <c:pt idx="0">
                  <c:v>vastuseid</c:v>
                </c:pt>
              </c:strCache>
            </c:strRef>
          </c:cat>
          <c:val>
            <c:numRef>
              <c:f>'Fig 9'!$D$5</c:f>
              <c:numCache>
                <c:formatCode>General</c:formatCode>
                <c:ptCount val="1"/>
                <c:pt idx="0">
                  <c:v>20</c:v>
                </c:pt>
              </c:numCache>
            </c:numRef>
          </c:val>
          <c:extLst>
            <c:ext xmlns:c16="http://schemas.microsoft.com/office/drawing/2014/chart" uri="{C3380CC4-5D6E-409C-BE32-E72D297353CC}">
              <c16:uniqueId val="{00000001-73BC-4362-8C40-AF49BBEA42C4}"/>
            </c:ext>
          </c:extLst>
        </c:ser>
        <c:ser>
          <c:idx val="2"/>
          <c:order val="2"/>
          <c:tx>
            <c:strRef>
              <c:f>'Fig 9'!$E$4</c:f>
              <c:strCache>
                <c:ptCount val="1"/>
                <c:pt idx="0">
                  <c:v>Taotleja identifitseerimisandmete kontroll(kõik liikmesriigid, v.a CZ ja ES)</c:v>
                </c:pt>
              </c:strCache>
            </c:strRef>
          </c:tx>
          <c:spPr>
            <a:solidFill>
              <a:schemeClr val="accent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9'!$B$5</c:f>
              <c:strCache>
                <c:ptCount val="1"/>
                <c:pt idx="0">
                  <c:v>vastuseid</c:v>
                </c:pt>
              </c:strCache>
            </c:strRef>
          </c:cat>
          <c:val>
            <c:numRef>
              <c:f>'Fig 9'!$E$5</c:f>
              <c:numCache>
                <c:formatCode>General</c:formatCode>
                <c:ptCount val="1"/>
                <c:pt idx="0">
                  <c:v>26</c:v>
                </c:pt>
              </c:numCache>
            </c:numRef>
          </c:val>
          <c:extLst>
            <c:ext xmlns:c16="http://schemas.microsoft.com/office/drawing/2014/chart" uri="{C3380CC4-5D6E-409C-BE32-E72D297353CC}">
              <c16:uniqueId val="{00000002-73BC-4362-8C40-AF49BBEA42C4}"/>
            </c:ext>
          </c:extLst>
        </c:ser>
        <c:dLbls>
          <c:showLegendKey val="0"/>
          <c:showVal val="0"/>
          <c:showCatName val="0"/>
          <c:showSerName val="0"/>
          <c:showPercent val="0"/>
          <c:showBubbleSize val="0"/>
        </c:dLbls>
        <c:gapWidth val="0"/>
        <c:overlap val="-30"/>
        <c:axId val="126845696"/>
        <c:axId val="126847232"/>
      </c:barChart>
      <c:catAx>
        <c:axId val="126845696"/>
        <c:scaling>
          <c:orientation val="minMax"/>
        </c:scaling>
        <c:delete val="1"/>
        <c:axPos val="l"/>
        <c:numFmt formatCode="General" sourceLinked="1"/>
        <c:majorTickMark val="none"/>
        <c:minorTickMark val="none"/>
        <c:tickLblPos val="nextTo"/>
        <c:crossAx val="126847232"/>
        <c:crosses val="autoZero"/>
        <c:auto val="1"/>
        <c:lblAlgn val="ctr"/>
        <c:lblOffset val="100"/>
        <c:noMultiLvlLbl val="0"/>
      </c:catAx>
      <c:valAx>
        <c:axId val="126847232"/>
        <c:scaling>
          <c:orientation val="minMax"/>
          <c:max val="28"/>
          <c:min val="0"/>
        </c:scaling>
        <c:delete val="1"/>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out"/>
        <c:minorTickMark val="none"/>
        <c:tickLblPos val="nextTo"/>
        <c:crossAx val="126845696"/>
        <c:crosses val="autoZero"/>
        <c:crossBetween val="between"/>
      </c:valAx>
      <c:spPr>
        <a:noFill/>
        <a:ln>
          <a:noFill/>
        </a:ln>
        <a:effectLst/>
      </c:spPr>
    </c:plotArea>
    <c:legend>
      <c:legendPos val="l"/>
      <c:layout>
        <c:manualLayout>
          <c:xMode val="edge"/>
          <c:yMode val="edge"/>
          <c:x val="9.7323600973236012E-3"/>
          <c:y val="3.0582895888013998E-2"/>
          <c:w val="0.35155532565728553"/>
          <c:h val="0.9515232688937139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939997508637815"/>
          <c:y val="9.3617021276595741E-2"/>
          <c:w val="0.58301467936824303"/>
          <c:h val="0.84512112581671972"/>
        </c:manualLayout>
      </c:layout>
      <c:barChart>
        <c:barDir val="bar"/>
        <c:grouping val="clustered"/>
        <c:varyColors val="0"/>
        <c:ser>
          <c:idx val="0"/>
          <c:order val="0"/>
          <c:tx>
            <c:strRef>
              <c:f>'Fig 10'!$C$4</c:f>
              <c:strCache>
                <c:ptCount val="1"/>
                <c:pt idx="0">
                  <c:v>Ei, seadus ei luba seda(HR, SE)</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10'!$C$5</c:f>
              <c:numCache>
                <c:formatCode>General</c:formatCode>
                <c:ptCount val="1"/>
                <c:pt idx="0">
                  <c:v>2</c:v>
                </c:pt>
              </c:numCache>
            </c:numRef>
          </c:val>
          <c:extLst>
            <c:ext xmlns:c16="http://schemas.microsoft.com/office/drawing/2014/chart" uri="{C3380CC4-5D6E-409C-BE32-E72D297353CC}">
              <c16:uniqueId val="{00000000-FAD9-43E2-BD91-5139D0D234DB}"/>
            </c:ext>
          </c:extLst>
        </c:ser>
        <c:ser>
          <c:idx val="1"/>
          <c:order val="1"/>
          <c:tx>
            <c:strRef>
              <c:f>'Fig 10'!$D$4</c:f>
              <c:strCache>
                <c:ptCount val="1"/>
                <c:pt idx="0">
                  <c:v>Ei(CZ, EE, EL, FI, IT, PT, RO)</c:v>
                </c:pt>
              </c:strCache>
            </c:strRef>
          </c:tx>
          <c:spPr>
            <a:solidFill>
              <a:srgbClr val="9FD07A"/>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10'!$D$5</c:f>
              <c:numCache>
                <c:formatCode>General</c:formatCode>
                <c:ptCount val="1"/>
                <c:pt idx="0">
                  <c:v>7</c:v>
                </c:pt>
              </c:numCache>
            </c:numRef>
          </c:val>
          <c:extLst>
            <c:ext xmlns:c16="http://schemas.microsoft.com/office/drawing/2014/chart" uri="{C3380CC4-5D6E-409C-BE32-E72D297353CC}">
              <c16:uniqueId val="{00000001-FAD9-43E2-BD91-5139D0D234DB}"/>
            </c:ext>
          </c:extLst>
        </c:ser>
        <c:ser>
          <c:idx val="2"/>
          <c:order val="2"/>
          <c:tx>
            <c:strRef>
              <c:f>'Fig 10'!$E$4</c:f>
              <c:strCache>
                <c:ptCount val="1"/>
                <c:pt idx="0">
                  <c:v>Jah(AT, BE, BG; CZ, DE, DK, ES, FR, HU, IE, LT, LU, LV, MT, NL, PL, SI, SK, UK)</c:v>
                </c:pt>
              </c:strCache>
            </c:strRef>
          </c:tx>
          <c:spPr>
            <a:solidFill>
              <a:schemeClr val="accent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10'!$E$5</c:f>
              <c:numCache>
                <c:formatCode>General</c:formatCode>
                <c:ptCount val="1"/>
                <c:pt idx="0">
                  <c:v>19</c:v>
                </c:pt>
              </c:numCache>
            </c:numRef>
          </c:val>
          <c:extLst>
            <c:ext xmlns:c16="http://schemas.microsoft.com/office/drawing/2014/chart" uri="{C3380CC4-5D6E-409C-BE32-E72D297353CC}">
              <c16:uniqueId val="{00000002-FAD9-43E2-BD91-5139D0D234DB}"/>
            </c:ext>
          </c:extLst>
        </c:ser>
        <c:dLbls>
          <c:dLblPos val="outEnd"/>
          <c:showLegendKey val="0"/>
          <c:showVal val="1"/>
          <c:showCatName val="0"/>
          <c:showSerName val="0"/>
          <c:showPercent val="0"/>
          <c:showBubbleSize val="0"/>
        </c:dLbls>
        <c:gapWidth val="0"/>
        <c:overlap val="-50"/>
        <c:axId val="126658816"/>
        <c:axId val="126668800"/>
      </c:barChart>
      <c:catAx>
        <c:axId val="126658816"/>
        <c:scaling>
          <c:orientation val="minMax"/>
        </c:scaling>
        <c:delete val="1"/>
        <c:axPos val="l"/>
        <c:numFmt formatCode="General" sourceLinked="1"/>
        <c:majorTickMark val="none"/>
        <c:minorTickMark val="none"/>
        <c:tickLblPos val="nextTo"/>
        <c:crossAx val="126668800"/>
        <c:crosses val="autoZero"/>
        <c:auto val="1"/>
        <c:lblAlgn val="ctr"/>
        <c:lblOffset val="100"/>
        <c:noMultiLvlLbl val="0"/>
      </c:catAx>
      <c:valAx>
        <c:axId val="126668800"/>
        <c:scaling>
          <c:orientation val="minMax"/>
          <c:max val="28"/>
          <c:min val="0"/>
        </c:scaling>
        <c:delete val="1"/>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out"/>
        <c:minorTickMark val="none"/>
        <c:tickLblPos val="nextTo"/>
        <c:crossAx val="126658816"/>
        <c:crosses val="autoZero"/>
        <c:crossBetween val="between"/>
      </c:valAx>
      <c:spPr>
        <a:noFill/>
        <a:ln>
          <a:noFill/>
        </a:ln>
        <a:effectLst/>
      </c:spPr>
    </c:plotArea>
    <c:legend>
      <c:legendPos val="l"/>
      <c:layout>
        <c:manualLayout>
          <c:xMode val="edge"/>
          <c:yMode val="edge"/>
          <c:x val="3.9344262295081967E-3"/>
          <c:y val="3.5103367398224165E-2"/>
          <c:w val="0.39375284375880992"/>
          <c:h val="0.946814541799296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939997508637815"/>
          <c:y val="9.3617021276595741E-2"/>
          <c:w val="0.58301467936824303"/>
          <c:h val="0.84512112581671972"/>
        </c:manualLayout>
      </c:layout>
      <c:barChart>
        <c:barDir val="bar"/>
        <c:grouping val="clustered"/>
        <c:varyColors val="0"/>
        <c:ser>
          <c:idx val="0"/>
          <c:order val="0"/>
          <c:tx>
            <c:strRef>
              <c:f>'Fig 11'!$C$4</c:f>
              <c:strCache>
                <c:ptCount val="1"/>
                <c:pt idx="0">
                  <c:v>Ei(FI, HU)</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11'!$C$5</c:f>
              <c:numCache>
                <c:formatCode>General</c:formatCode>
                <c:ptCount val="1"/>
                <c:pt idx="0">
                  <c:v>2</c:v>
                </c:pt>
              </c:numCache>
            </c:numRef>
          </c:val>
          <c:extLst>
            <c:ext xmlns:c16="http://schemas.microsoft.com/office/drawing/2014/chart" uri="{C3380CC4-5D6E-409C-BE32-E72D297353CC}">
              <c16:uniqueId val="{00000000-E478-4D19-85B2-3A1A98AFCA11}"/>
            </c:ext>
          </c:extLst>
        </c:ser>
        <c:ser>
          <c:idx val="1"/>
          <c:order val="1"/>
          <c:tx>
            <c:strRef>
              <c:f>'Fig 11'!$D$4</c:f>
              <c:strCache>
                <c:ptCount val="1"/>
                <c:pt idx="0">
                  <c:v>Jah, vahetevahel(CY, CZ, DE, IT, MT, PL)</c:v>
                </c:pt>
              </c:strCache>
            </c:strRef>
          </c:tx>
          <c:spPr>
            <a:solidFill>
              <a:srgbClr val="9FD07A"/>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11'!$D$5</c:f>
              <c:numCache>
                <c:formatCode>General</c:formatCode>
                <c:ptCount val="1"/>
                <c:pt idx="0">
                  <c:v>6</c:v>
                </c:pt>
              </c:numCache>
            </c:numRef>
          </c:val>
          <c:extLst>
            <c:ext xmlns:c16="http://schemas.microsoft.com/office/drawing/2014/chart" uri="{C3380CC4-5D6E-409C-BE32-E72D297353CC}">
              <c16:uniqueId val="{00000001-E478-4D19-85B2-3A1A98AFCA11}"/>
            </c:ext>
          </c:extLst>
        </c:ser>
        <c:ser>
          <c:idx val="2"/>
          <c:order val="2"/>
          <c:tx>
            <c:strRef>
              <c:f>'Fig 11'!$E$4</c:f>
              <c:strCache>
                <c:ptCount val="1"/>
                <c:pt idx="0">
                  <c:v>Jah, regulaarselt(BE, BG, NL, PT, SK, SI, ES)</c:v>
                </c:pt>
              </c:strCache>
            </c:strRef>
          </c:tx>
          <c:spPr>
            <a:solidFill>
              <a:schemeClr val="accent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11'!$E$5</c:f>
              <c:numCache>
                <c:formatCode>General</c:formatCode>
                <c:ptCount val="1"/>
                <c:pt idx="0">
                  <c:v>8</c:v>
                </c:pt>
              </c:numCache>
            </c:numRef>
          </c:val>
          <c:extLst>
            <c:ext xmlns:c16="http://schemas.microsoft.com/office/drawing/2014/chart" uri="{C3380CC4-5D6E-409C-BE32-E72D297353CC}">
              <c16:uniqueId val="{00000002-E478-4D19-85B2-3A1A98AFCA11}"/>
            </c:ext>
          </c:extLst>
        </c:ser>
        <c:ser>
          <c:idx val="3"/>
          <c:order val="3"/>
          <c:tx>
            <c:strRef>
              <c:f>'Fig 11'!$F$4</c:f>
              <c:strCache>
                <c:ptCount val="1"/>
                <c:pt idx="0">
                  <c:v>Jah, andmeid võrreldakse suures mahus, sh automaatsete protsesside abil(HR, DK, EE, FR, EL, IE, LV, LT, LU, RO, SE)</c:v>
                </c:pt>
              </c:strCache>
            </c:strRef>
          </c:tx>
          <c:spPr>
            <a:solidFill>
              <a:schemeClr val="accent1">
                <a:lumMod val="6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11'!$F$5</c:f>
              <c:numCache>
                <c:formatCode>General</c:formatCode>
                <c:ptCount val="1"/>
                <c:pt idx="0">
                  <c:v>10</c:v>
                </c:pt>
              </c:numCache>
            </c:numRef>
          </c:val>
          <c:extLst>
            <c:ext xmlns:c16="http://schemas.microsoft.com/office/drawing/2014/chart" uri="{C3380CC4-5D6E-409C-BE32-E72D297353CC}">
              <c16:uniqueId val="{00000003-E478-4D19-85B2-3A1A98AFCA11}"/>
            </c:ext>
          </c:extLst>
        </c:ser>
        <c:dLbls>
          <c:dLblPos val="outEnd"/>
          <c:showLegendKey val="0"/>
          <c:showVal val="1"/>
          <c:showCatName val="0"/>
          <c:showSerName val="0"/>
          <c:showPercent val="0"/>
          <c:showBubbleSize val="0"/>
        </c:dLbls>
        <c:gapWidth val="0"/>
        <c:overlap val="-50"/>
        <c:axId val="131347968"/>
        <c:axId val="131349504"/>
      </c:barChart>
      <c:catAx>
        <c:axId val="131347968"/>
        <c:scaling>
          <c:orientation val="minMax"/>
        </c:scaling>
        <c:delete val="1"/>
        <c:axPos val="l"/>
        <c:numFmt formatCode="General" sourceLinked="1"/>
        <c:majorTickMark val="none"/>
        <c:minorTickMark val="none"/>
        <c:tickLblPos val="nextTo"/>
        <c:crossAx val="131349504"/>
        <c:crosses val="autoZero"/>
        <c:auto val="1"/>
        <c:lblAlgn val="ctr"/>
        <c:lblOffset val="100"/>
        <c:noMultiLvlLbl val="0"/>
      </c:catAx>
      <c:valAx>
        <c:axId val="131349504"/>
        <c:scaling>
          <c:orientation val="minMax"/>
          <c:max val="28"/>
          <c:min val="0"/>
        </c:scaling>
        <c:delete val="1"/>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out"/>
        <c:minorTickMark val="none"/>
        <c:tickLblPos val="nextTo"/>
        <c:crossAx val="131347968"/>
        <c:crosses val="autoZero"/>
        <c:crossBetween val="between"/>
      </c:valAx>
      <c:spPr>
        <a:noFill/>
        <a:ln>
          <a:noFill/>
        </a:ln>
        <a:effectLst/>
      </c:spPr>
    </c:plotArea>
    <c:legend>
      <c:legendPos val="l"/>
      <c:layout>
        <c:manualLayout>
          <c:xMode val="edge"/>
          <c:yMode val="edge"/>
          <c:x val="0"/>
          <c:y val="3.5103448275862072E-2"/>
          <c:w val="0.39007913353045692"/>
          <c:h val="0.947107792560412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939997508637815"/>
          <c:y val="2.6390193872824715E-2"/>
          <c:w val="0.58301467936824303"/>
          <c:h val="0.89554125587242783"/>
        </c:manualLayout>
      </c:layout>
      <c:barChart>
        <c:barDir val="bar"/>
        <c:grouping val="clustered"/>
        <c:varyColors val="0"/>
        <c:ser>
          <c:idx val="0"/>
          <c:order val="0"/>
          <c:tx>
            <c:strRef>
              <c:f>'Fig 12'!$C$4</c:f>
              <c:strCache>
                <c:ptCount val="1"/>
                <c:pt idx="0">
                  <c:v>Muud algatused(AT, BE, BG, CZ, DK, EE, ES,  FR, IE, LV, NL, PL, PT, SE, SI, SK)</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12'!$C$5</c:f>
              <c:numCache>
                <c:formatCode>General</c:formatCode>
                <c:ptCount val="1"/>
                <c:pt idx="0">
                  <c:v>16</c:v>
                </c:pt>
              </c:numCache>
            </c:numRef>
          </c:val>
          <c:extLst>
            <c:ext xmlns:c16="http://schemas.microsoft.com/office/drawing/2014/chart" uri="{C3380CC4-5D6E-409C-BE32-E72D297353CC}">
              <c16:uniqueId val="{00000000-B61D-41B1-9228-AFC8C6B59240}"/>
            </c:ext>
          </c:extLst>
        </c:ser>
        <c:ser>
          <c:idx val="1"/>
          <c:order val="1"/>
          <c:tx>
            <c:strRef>
              <c:f>'Fig 12'!$D$4</c:f>
              <c:strCache>
                <c:ptCount val="1"/>
                <c:pt idx="0">
                  <c:v>Ettevõtete inspekteerimiste kava, sh etteteatamata kontrollkäigud kaubanduspiirkondadesse, et avastada registreerimata ettevõtteid (AT, BE, BG, CY, DE, EL, ES, FI, FR, HR, HU, IE, IT, LT, MT, PT, RO, SE, SK, UK)</c:v>
                </c:pt>
              </c:strCache>
            </c:strRef>
          </c:tx>
          <c:spPr>
            <a:solidFill>
              <a:srgbClr val="9FD07A"/>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12'!$D$5</c:f>
              <c:numCache>
                <c:formatCode>General</c:formatCode>
                <c:ptCount val="1"/>
                <c:pt idx="0">
                  <c:v>20</c:v>
                </c:pt>
              </c:numCache>
            </c:numRef>
          </c:val>
          <c:extLst>
            <c:ext xmlns:c16="http://schemas.microsoft.com/office/drawing/2014/chart" uri="{C3380CC4-5D6E-409C-BE32-E72D297353CC}">
              <c16:uniqueId val="{00000001-B61D-41B1-9228-AFC8C6B59240}"/>
            </c:ext>
          </c:extLst>
        </c:ser>
        <c:ser>
          <c:idx val="2"/>
          <c:order val="2"/>
          <c:tx>
            <c:strRef>
              <c:f>'Fig 12'!$E$4</c:f>
              <c:strCache>
                <c:ptCount val="1"/>
                <c:pt idx="0">
                  <c:v>Kolmandate isikute teave(AT, BE, BG, CY, FI, FR, DE, EL, ES, HR, HU, IE, IT, LT, LU, LV, PT, SE, SK, UK)</c:v>
                </c:pt>
              </c:strCache>
            </c:strRef>
          </c:tx>
          <c:spPr>
            <a:solidFill>
              <a:schemeClr val="accent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 12'!$E$5</c:f>
              <c:numCache>
                <c:formatCode>General</c:formatCode>
                <c:ptCount val="1"/>
                <c:pt idx="0">
                  <c:v>20</c:v>
                </c:pt>
              </c:numCache>
            </c:numRef>
          </c:val>
          <c:extLst>
            <c:ext xmlns:c16="http://schemas.microsoft.com/office/drawing/2014/chart" uri="{C3380CC4-5D6E-409C-BE32-E72D297353CC}">
              <c16:uniqueId val="{00000002-B61D-41B1-9228-AFC8C6B59240}"/>
            </c:ext>
          </c:extLst>
        </c:ser>
        <c:dLbls>
          <c:dLblPos val="outEnd"/>
          <c:showLegendKey val="0"/>
          <c:showVal val="1"/>
          <c:showCatName val="0"/>
          <c:showSerName val="0"/>
          <c:showPercent val="0"/>
          <c:showBubbleSize val="0"/>
        </c:dLbls>
        <c:gapWidth val="0"/>
        <c:overlap val="-50"/>
        <c:axId val="131415040"/>
        <c:axId val="131433216"/>
      </c:barChart>
      <c:catAx>
        <c:axId val="131415040"/>
        <c:scaling>
          <c:orientation val="minMax"/>
        </c:scaling>
        <c:delete val="1"/>
        <c:axPos val="l"/>
        <c:numFmt formatCode="General" sourceLinked="1"/>
        <c:majorTickMark val="none"/>
        <c:minorTickMark val="none"/>
        <c:tickLblPos val="nextTo"/>
        <c:crossAx val="131433216"/>
        <c:crosses val="autoZero"/>
        <c:auto val="1"/>
        <c:lblAlgn val="ctr"/>
        <c:lblOffset val="100"/>
        <c:noMultiLvlLbl val="0"/>
      </c:catAx>
      <c:valAx>
        <c:axId val="131433216"/>
        <c:scaling>
          <c:orientation val="minMax"/>
          <c:max val="28"/>
          <c:min val="0"/>
        </c:scaling>
        <c:delete val="1"/>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out"/>
        <c:minorTickMark val="none"/>
        <c:tickLblPos val="nextTo"/>
        <c:crossAx val="131415040"/>
        <c:crosses val="autoZero"/>
        <c:crossBetween val="between"/>
      </c:valAx>
      <c:spPr>
        <a:noFill/>
        <a:ln>
          <a:noFill/>
        </a:ln>
        <a:effectLst/>
      </c:spPr>
    </c:plotArea>
    <c:legend>
      <c:legendPos val="l"/>
      <c:layout>
        <c:manualLayout>
          <c:xMode val="edge"/>
          <c:yMode val="edge"/>
          <c:x val="0"/>
          <c:y val="3.5103448275862072E-2"/>
          <c:w val="0.39007913353045692"/>
          <c:h val="0.9639145106861641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F199ED-096C-4D32-BE22-4B8277C13DC0}" type="doc">
      <dgm:prSet loTypeId="urn:microsoft.com/office/officeart/2005/8/layout/venn3" loCatId="relationship" qsTypeId="urn:microsoft.com/office/officeart/2005/8/quickstyle/3d3" qsCatId="3D" csTypeId="urn:microsoft.com/office/officeart/2005/8/colors/accent5_2" csCatId="accent5" phldr="1"/>
      <dgm:spPr/>
      <dgm:t>
        <a:bodyPr/>
        <a:lstStyle/>
        <a:p>
          <a:endParaRPr lang="en-GB"/>
        </a:p>
      </dgm:t>
    </dgm:pt>
    <dgm:pt modelId="{50052699-7510-4CA8-B3A4-0684CAC42C71}">
      <dgm:prSet phldrT="[Text]" custT="1"/>
      <dgm:spPr/>
      <dgm:t>
        <a:bodyPr lIns="0" rIns="0"/>
        <a:lstStyle/>
        <a:p>
          <a:r>
            <a:rPr lang="et-EE" sz="1000" b="0">
              <a:latin typeface="Times New Roman" panose="02020603050405020304" pitchFamily="18" charset="0"/>
              <a:ea typeface="Verdana" panose="020B0604030504040204" pitchFamily="34" charset="0"/>
              <a:cs typeface="Times New Roman" panose="02020603050405020304" pitchFamily="18" charset="0"/>
            </a:rPr>
            <a:t>Käibemaksukohustuslasena registreerimine ja riskianalüüs</a:t>
          </a:r>
        </a:p>
      </dgm:t>
    </dgm:pt>
    <dgm:pt modelId="{086BC9D6-459F-46F1-9857-48640E7DA8D3}" type="parTrans" cxnId="{238D64E0-6BC2-47AC-A62E-EADFDBA1EFA9}">
      <dgm:prSet/>
      <dgm:spPr/>
      <dgm:t>
        <a:bodyPr/>
        <a:lstStyle/>
        <a:p>
          <a:endParaRPr lang="en-GB" sz="1000">
            <a:latin typeface="Times New Roman" panose="02020603050405020304" pitchFamily="18" charset="0"/>
            <a:cs typeface="Times New Roman" panose="02020603050405020304" pitchFamily="18" charset="0"/>
          </a:endParaRPr>
        </a:p>
      </dgm:t>
    </dgm:pt>
    <dgm:pt modelId="{356897F2-083C-43E0-89BB-326577BE95D7}" type="sibTrans" cxnId="{238D64E0-6BC2-47AC-A62E-EADFDBA1EFA9}">
      <dgm:prSet/>
      <dgm:spPr/>
      <dgm:t>
        <a:bodyPr/>
        <a:lstStyle/>
        <a:p>
          <a:endParaRPr lang="en-GB" sz="1000">
            <a:latin typeface="Times New Roman" panose="02020603050405020304" pitchFamily="18" charset="0"/>
            <a:cs typeface="Times New Roman" panose="02020603050405020304" pitchFamily="18" charset="0"/>
          </a:endParaRPr>
        </a:p>
      </dgm:t>
    </dgm:pt>
    <dgm:pt modelId="{EC71C70E-E7CD-4AA1-B01A-1142AA44A657}">
      <dgm:prSet phldrT="[Text]" custT="1"/>
      <dgm:spPr/>
      <dgm:t>
        <a:bodyPr/>
        <a:lstStyle/>
        <a:p>
          <a:r>
            <a:rPr lang="et-EE" sz="1000" b="0">
              <a:latin typeface="Times New Roman" panose="02020603050405020304" pitchFamily="18" charset="0"/>
              <a:ea typeface="Verdana" panose="020B0604030504040204" pitchFamily="34" charset="0"/>
              <a:cs typeface="Times New Roman" panose="02020603050405020304" pitchFamily="18" charset="0"/>
            </a:rPr>
            <a:t>Käibemaksudeklaratsioonide esitamine ja käibemaksu tasumine</a:t>
          </a:r>
        </a:p>
      </dgm:t>
    </dgm:pt>
    <dgm:pt modelId="{E5E483E6-DB87-48C4-B88D-B144358C622C}" type="parTrans" cxnId="{E54D198D-B075-4178-BDFC-063E146A75E4}">
      <dgm:prSet/>
      <dgm:spPr/>
      <dgm:t>
        <a:bodyPr/>
        <a:lstStyle/>
        <a:p>
          <a:endParaRPr lang="en-GB" sz="1000">
            <a:latin typeface="Times New Roman" panose="02020603050405020304" pitchFamily="18" charset="0"/>
            <a:cs typeface="Times New Roman" panose="02020603050405020304" pitchFamily="18" charset="0"/>
          </a:endParaRPr>
        </a:p>
      </dgm:t>
    </dgm:pt>
    <dgm:pt modelId="{D05F1CB6-4F56-4798-8660-0D59315993E0}" type="sibTrans" cxnId="{E54D198D-B075-4178-BDFC-063E146A75E4}">
      <dgm:prSet/>
      <dgm:spPr/>
      <dgm:t>
        <a:bodyPr/>
        <a:lstStyle/>
        <a:p>
          <a:endParaRPr lang="en-GB" sz="1000">
            <a:latin typeface="Times New Roman" panose="02020603050405020304" pitchFamily="18" charset="0"/>
            <a:cs typeface="Times New Roman" panose="02020603050405020304" pitchFamily="18" charset="0"/>
          </a:endParaRPr>
        </a:p>
      </dgm:t>
    </dgm:pt>
    <dgm:pt modelId="{E7F2201A-858E-41F9-8540-90E53FA80F4A}">
      <dgm:prSet phldrT="[Text]" custT="1"/>
      <dgm:spPr/>
      <dgm:t>
        <a:bodyPr/>
        <a:lstStyle/>
        <a:p>
          <a:r>
            <a:rPr lang="et-EE" sz="1000" b="0">
              <a:latin typeface="Times New Roman" panose="02020603050405020304" pitchFamily="18" charset="0"/>
              <a:ea typeface="Verdana" panose="020B0604030504040204" pitchFamily="34" charset="0"/>
              <a:cs typeface="Times New Roman" panose="02020603050405020304" pitchFamily="18" charset="0"/>
            </a:rPr>
            <a:t>Käibemaksu kogumine, sissenõudmine ja maksutagastus</a:t>
          </a:r>
        </a:p>
      </dgm:t>
    </dgm:pt>
    <dgm:pt modelId="{02B00B23-97EA-4367-828F-05B62578FBB1}" type="parTrans" cxnId="{24577EA4-8F1C-4202-8507-6F89FCA1D4EB}">
      <dgm:prSet/>
      <dgm:spPr/>
      <dgm:t>
        <a:bodyPr/>
        <a:lstStyle/>
        <a:p>
          <a:endParaRPr lang="en-GB" sz="1000">
            <a:latin typeface="Times New Roman" panose="02020603050405020304" pitchFamily="18" charset="0"/>
            <a:cs typeface="Times New Roman" panose="02020603050405020304" pitchFamily="18" charset="0"/>
          </a:endParaRPr>
        </a:p>
      </dgm:t>
    </dgm:pt>
    <dgm:pt modelId="{86084318-D414-4106-B3E4-000069C52A20}" type="sibTrans" cxnId="{24577EA4-8F1C-4202-8507-6F89FCA1D4EB}">
      <dgm:prSet/>
      <dgm:spPr/>
      <dgm:t>
        <a:bodyPr/>
        <a:lstStyle/>
        <a:p>
          <a:endParaRPr lang="en-GB" sz="1000">
            <a:latin typeface="Times New Roman" panose="02020603050405020304" pitchFamily="18" charset="0"/>
            <a:cs typeface="Times New Roman" panose="02020603050405020304" pitchFamily="18" charset="0"/>
          </a:endParaRPr>
        </a:p>
      </dgm:t>
    </dgm:pt>
    <dgm:pt modelId="{3A1BB454-A47C-47F1-9F87-6F615E591504}">
      <dgm:prSet custT="1"/>
      <dgm:spPr/>
      <dgm:t>
        <a:bodyPr lIns="0" rIns="0"/>
        <a:lstStyle/>
        <a:p>
          <a:r>
            <a:rPr lang="et-EE" sz="1000" b="0" i="0">
              <a:latin typeface="Times New Roman" panose="02020603050405020304" pitchFamily="18" charset="0"/>
              <a:ea typeface="Verdana" panose="020B0604030504040204" pitchFamily="34" charset="0"/>
              <a:cs typeface="Times New Roman" panose="02020603050405020304" pitchFamily="18" charset="0"/>
            </a:rPr>
            <a:t>Maksumaksjatele pakutavad teenused ja maksukuulekuse haldamine</a:t>
          </a:r>
        </a:p>
      </dgm:t>
    </dgm:pt>
    <dgm:pt modelId="{E3778563-709E-4818-B4C3-44D9184FE162}" type="parTrans" cxnId="{1D77B3C6-03C7-46E6-BB0E-CBEE8CF3067D}">
      <dgm:prSet/>
      <dgm:spPr/>
      <dgm:t>
        <a:bodyPr/>
        <a:lstStyle/>
        <a:p>
          <a:endParaRPr lang="en-GB" sz="1000">
            <a:latin typeface="Times New Roman" panose="02020603050405020304" pitchFamily="18" charset="0"/>
            <a:cs typeface="Times New Roman" panose="02020603050405020304" pitchFamily="18" charset="0"/>
          </a:endParaRPr>
        </a:p>
      </dgm:t>
    </dgm:pt>
    <dgm:pt modelId="{7A452F44-2F92-4C21-8C4F-03E04C9724C7}" type="sibTrans" cxnId="{1D77B3C6-03C7-46E6-BB0E-CBEE8CF3067D}">
      <dgm:prSet/>
      <dgm:spPr/>
      <dgm:t>
        <a:bodyPr/>
        <a:lstStyle/>
        <a:p>
          <a:endParaRPr lang="en-GB" sz="1000">
            <a:latin typeface="Times New Roman" panose="02020603050405020304" pitchFamily="18" charset="0"/>
            <a:cs typeface="Times New Roman" panose="02020603050405020304" pitchFamily="18" charset="0"/>
          </a:endParaRPr>
        </a:p>
      </dgm:t>
    </dgm:pt>
    <dgm:pt modelId="{9E1F8FE7-2CAD-4176-84F9-FF6036AE10FD}" type="pres">
      <dgm:prSet presAssocID="{55F199ED-096C-4D32-BE22-4B8277C13DC0}" presName="Name0" presStyleCnt="0">
        <dgm:presLayoutVars>
          <dgm:dir/>
          <dgm:resizeHandles val="exact"/>
        </dgm:presLayoutVars>
      </dgm:prSet>
      <dgm:spPr/>
      <dgm:t>
        <a:bodyPr/>
        <a:lstStyle/>
        <a:p>
          <a:endParaRPr lang="en-US"/>
        </a:p>
      </dgm:t>
    </dgm:pt>
    <dgm:pt modelId="{7E4BCFA7-477A-41FD-BC89-CAFEC684E98F}" type="pres">
      <dgm:prSet presAssocID="{50052699-7510-4CA8-B3A4-0684CAC42C71}" presName="Name5" presStyleLbl="vennNode1" presStyleIdx="0" presStyleCnt="4" custLinFactNeighborX="-83915" custLinFactNeighborY="-36">
        <dgm:presLayoutVars>
          <dgm:bulletEnabled val="1"/>
        </dgm:presLayoutVars>
      </dgm:prSet>
      <dgm:spPr/>
      <dgm:t>
        <a:bodyPr/>
        <a:lstStyle/>
        <a:p>
          <a:endParaRPr lang="en-US"/>
        </a:p>
      </dgm:t>
    </dgm:pt>
    <dgm:pt modelId="{1B3E72AF-FEFD-4CE9-B7BC-1512258BEC37}" type="pres">
      <dgm:prSet presAssocID="{356897F2-083C-43E0-89BB-326577BE95D7}" presName="space" presStyleCnt="0"/>
      <dgm:spPr/>
    </dgm:pt>
    <dgm:pt modelId="{3215551F-5D4B-4A8B-8FD3-EE9C0095A8A1}" type="pres">
      <dgm:prSet presAssocID="{3A1BB454-A47C-47F1-9F87-6F615E591504}" presName="Name5" presStyleLbl="vennNode1" presStyleIdx="1" presStyleCnt="4" custLinFactNeighborX="-43956" custLinFactNeighborY="37">
        <dgm:presLayoutVars>
          <dgm:bulletEnabled val="1"/>
        </dgm:presLayoutVars>
      </dgm:prSet>
      <dgm:spPr/>
      <dgm:t>
        <a:bodyPr/>
        <a:lstStyle/>
        <a:p>
          <a:endParaRPr lang="en-US"/>
        </a:p>
      </dgm:t>
    </dgm:pt>
    <dgm:pt modelId="{48B52884-6B8E-49EA-8AB2-BF41AA57BD8C}" type="pres">
      <dgm:prSet presAssocID="{7A452F44-2F92-4C21-8C4F-03E04C9724C7}" presName="space" presStyleCnt="0"/>
      <dgm:spPr/>
    </dgm:pt>
    <dgm:pt modelId="{AD2F0B1B-77E9-49DF-8E36-0941E10DBDCD}" type="pres">
      <dgm:prSet presAssocID="{EC71C70E-E7CD-4AA1-B01A-1142AA44A657}" presName="Name5" presStyleLbl="vennNode1" presStyleIdx="2" presStyleCnt="4" custLinFactNeighborX="3996" custLinFactNeighborY="-36">
        <dgm:presLayoutVars>
          <dgm:bulletEnabled val="1"/>
        </dgm:presLayoutVars>
      </dgm:prSet>
      <dgm:spPr/>
      <dgm:t>
        <a:bodyPr/>
        <a:lstStyle/>
        <a:p>
          <a:endParaRPr lang="en-US"/>
        </a:p>
      </dgm:t>
    </dgm:pt>
    <dgm:pt modelId="{C8D5E38F-0289-4022-877C-652B182CB6E5}" type="pres">
      <dgm:prSet presAssocID="{D05F1CB6-4F56-4798-8660-0D59315993E0}" presName="space" presStyleCnt="0"/>
      <dgm:spPr/>
    </dgm:pt>
    <dgm:pt modelId="{1591C9C3-2E14-4C8B-9759-C1BAF481E994}" type="pres">
      <dgm:prSet presAssocID="{E7F2201A-858E-41F9-8540-90E53FA80F4A}" presName="Name5" presStyleLbl="vennNode1" presStyleIdx="3" presStyleCnt="4" custLinFactNeighborX="35964" custLinFactNeighborY="37">
        <dgm:presLayoutVars>
          <dgm:bulletEnabled val="1"/>
        </dgm:presLayoutVars>
      </dgm:prSet>
      <dgm:spPr/>
      <dgm:t>
        <a:bodyPr/>
        <a:lstStyle/>
        <a:p>
          <a:endParaRPr lang="en-US"/>
        </a:p>
      </dgm:t>
    </dgm:pt>
  </dgm:ptLst>
  <dgm:cxnLst>
    <dgm:cxn modelId="{F2E68209-2E3C-E140-822D-D45A9CF9C975}" type="presOf" srcId="{3A1BB454-A47C-47F1-9F87-6F615E591504}" destId="{3215551F-5D4B-4A8B-8FD3-EE9C0095A8A1}" srcOrd="0" destOrd="0" presId="urn:microsoft.com/office/officeart/2005/8/layout/venn3"/>
    <dgm:cxn modelId="{88B98D5D-1853-4581-86BF-DB1229D33346}" type="presOf" srcId="{55F199ED-096C-4D32-BE22-4B8277C13DC0}" destId="{9E1F8FE7-2CAD-4176-84F9-FF6036AE10FD}" srcOrd="0" destOrd="0" presId="urn:microsoft.com/office/officeart/2005/8/layout/venn3"/>
    <dgm:cxn modelId="{238D64E0-6BC2-47AC-A62E-EADFDBA1EFA9}" srcId="{55F199ED-096C-4D32-BE22-4B8277C13DC0}" destId="{50052699-7510-4CA8-B3A4-0684CAC42C71}" srcOrd="0" destOrd="0" parTransId="{086BC9D6-459F-46F1-9857-48640E7DA8D3}" sibTransId="{356897F2-083C-43E0-89BB-326577BE95D7}"/>
    <dgm:cxn modelId="{BEF0163E-A770-664D-92D0-24AF4AAAC60A}" type="presOf" srcId="{EC71C70E-E7CD-4AA1-B01A-1142AA44A657}" destId="{AD2F0B1B-77E9-49DF-8E36-0941E10DBDCD}" srcOrd="0" destOrd="0" presId="urn:microsoft.com/office/officeart/2005/8/layout/venn3"/>
    <dgm:cxn modelId="{6F3C712B-D4C3-EB4D-85B1-E9DD14B9F575}" type="presOf" srcId="{E7F2201A-858E-41F9-8540-90E53FA80F4A}" destId="{1591C9C3-2E14-4C8B-9759-C1BAF481E994}" srcOrd="0" destOrd="0" presId="urn:microsoft.com/office/officeart/2005/8/layout/venn3"/>
    <dgm:cxn modelId="{1D77B3C6-03C7-46E6-BB0E-CBEE8CF3067D}" srcId="{55F199ED-096C-4D32-BE22-4B8277C13DC0}" destId="{3A1BB454-A47C-47F1-9F87-6F615E591504}" srcOrd="1" destOrd="0" parTransId="{E3778563-709E-4818-B4C3-44D9184FE162}" sibTransId="{7A452F44-2F92-4C21-8C4F-03E04C9724C7}"/>
    <dgm:cxn modelId="{24577EA4-8F1C-4202-8507-6F89FCA1D4EB}" srcId="{55F199ED-096C-4D32-BE22-4B8277C13DC0}" destId="{E7F2201A-858E-41F9-8540-90E53FA80F4A}" srcOrd="3" destOrd="0" parTransId="{02B00B23-97EA-4367-828F-05B62578FBB1}" sibTransId="{86084318-D414-4106-B3E4-000069C52A20}"/>
    <dgm:cxn modelId="{8DC9DF6C-AC43-F447-BBDE-FD7807E14769}" type="presOf" srcId="{50052699-7510-4CA8-B3A4-0684CAC42C71}" destId="{7E4BCFA7-477A-41FD-BC89-CAFEC684E98F}" srcOrd="0" destOrd="0" presId="urn:microsoft.com/office/officeart/2005/8/layout/venn3"/>
    <dgm:cxn modelId="{E54D198D-B075-4178-BDFC-063E146A75E4}" srcId="{55F199ED-096C-4D32-BE22-4B8277C13DC0}" destId="{EC71C70E-E7CD-4AA1-B01A-1142AA44A657}" srcOrd="2" destOrd="0" parTransId="{E5E483E6-DB87-48C4-B88D-B144358C622C}" sibTransId="{D05F1CB6-4F56-4798-8660-0D59315993E0}"/>
    <dgm:cxn modelId="{65DE75C7-069B-6B47-9F82-125146314E6D}" type="presParOf" srcId="{9E1F8FE7-2CAD-4176-84F9-FF6036AE10FD}" destId="{7E4BCFA7-477A-41FD-BC89-CAFEC684E98F}" srcOrd="0" destOrd="0" presId="urn:microsoft.com/office/officeart/2005/8/layout/venn3"/>
    <dgm:cxn modelId="{A40C25A3-4B46-C047-95F5-9D2AC763C489}" type="presParOf" srcId="{9E1F8FE7-2CAD-4176-84F9-FF6036AE10FD}" destId="{1B3E72AF-FEFD-4CE9-B7BC-1512258BEC37}" srcOrd="1" destOrd="0" presId="urn:microsoft.com/office/officeart/2005/8/layout/venn3"/>
    <dgm:cxn modelId="{55C68822-A3C8-604C-84A6-E3673E45AE7B}" type="presParOf" srcId="{9E1F8FE7-2CAD-4176-84F9-FF6036AE10FD}" destId="{3215551F-5D4B-4A8B-8FD3-EE9C0095A8A1}" srcOrd="2" destOrd="0" presId="urn:microsoft.com/office/officeart/2005/8/layout/venn3"/>
    <dgm:cxn modelId="{DFE2C546-45E3-AA41-920A-3DFA130057B8}" type="presParOf" srcId="{9E1F8FE7-2CAD-4176-84F9-FF6036AE10FD}" destId="{48B52884-6B8E-49EA-8AB2-BF41AA57BD8C}" srcOrd="3" destOrd="0" presId="urn:microsoft.com/office/officeart/2005/8/layout/venn3"/>
    <dgm:cxn modelId="{7AFE8FE8-757D-964C-8985-612091C32F67}" type="presParOf" srcId="{9E1F8FE7-2CAD-4176-84F9-FF6036AE10FD}" destId="{AD2F0B1B-77E9-49DF-8E36-0941E10DBDCD}" srcOrd="4" destOrd="0" presId="urn:microsoft.com/office/officeart/2005/8/layout/venn3"/>
    <dgm:cxn modelId="{FEE2B6B6-7F88-3448-8EDC-234F3CF1E720}" type="presParOf" srcId="{9E1F8FE7-2CAD-4176-84F9-FF6036AE10FD}" destId="{C8D5E38F-0289-4022-877C-652B182CB6E5}" srcOrd="5" destOrd="0" presId="urn:microsoft.com/office/officeart/2005/8/layout/venn3"/>
    <dgm:cxn modelId="{65FCB52C-A971-EF41-9C8C-FB5C13B52624}" type="presParOf" srcId="{9E1F8FE7-2CAD-4176-84F9-FF6036AE10FD}" destId="{1591C9C3-2E14-4C8B-9759-C1BAF481E994}" srcOrd="6" destOrd="0" presId="urn:microsoft.com/office/officeart/2005/8/layout/venn3"/>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BCFA7-477A-41FD-BC89-CAFEC684E98F}">
      <dsp:nvSpPr>
        <dsp:cNvPr id="0" name=""/>
        <dsp:cNvSpPr/>
      </dsp:nvSpPr>
      <dsp:spPr>
        <a:xfrm>
          <a:off x="652243" y="5"/>
          <a:ext cx="1191826" cy="1191826"/>
        </a:xfrm>
        <a:prstGeom prst="ellipse">
          <a:avLst/>
        </a:prstGeom>
        <a:solidFill>
          <a:schemeClr val="accent5">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t-EE" sz="1000" b="0" kern="1200">
              <a:latin typeface="Times New Roman" panose="02020603050405020304" pitchFamily="18" charset="0"/>
              <a:ea typeface="Verdana" panose="020B0604030504040204" pitchFamily="34" charset="0"/>
              <a:cs typeface="Times New Roman" panose="02020603050405020304" pitchFamily="18" charset="0"/>
            </a:rPr>
            <a:t>Käibemaksukohustuslasena registreerimine ja riskianalüüs</a:t>
          </a:r>
        </a:p>
      </dsp:txBody>
      <dsp:txXfrm>
        <a:off x="826782" y="174544"/>
        <a:ext cx="842748" cy="842748"/>
      </dsp:txXfrm>
    </dsp:sp>
    <dsp:sp modelId="{3215551F-5D4B-4A8B-8FD3-EE9C0095A8A1}">
      <dsp:nvSpPr>
        <dsp:cNvPr id="0" name=""/>
        <dsp:cNvSpPr/>
      </dsp:nvSpPr>
      <dsp:spPr>
        <a:xfrm>
          <a:off x="1700953" y="868"/>
          <a:ext cx="1191826" cy="1191826"/>
        </a:xfrm>
        <a:prstGeom prst="ellipse">
          <a:avLst/>
        </a:prstGeom>
        <a:solidFill>
          <a:schemeClr val="accent5">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t-EE" sz="1000" b="0" i="0" kern="1200">
              <a:latin typeface="Times New Roman" panose="02020603050405020304" pitchFamily="18" charset="0"/>
              <a:ea typeface="Verdana" panose="020B0604030504040204" pitchFamily="34" charset="0"/>
              <a:cs typeface="Times New Roman" panose="02020603050405020304" pitchFamily="18" charset="0"/>
            </a:rPr>
            <a:t>Maksumaksjatele pakutavad teenused ja maksukuulekuse haldamine</a:t>
          </a:r>
        </a:p>
      </dsp:txBody>
      <dsp:txXfrm>
        <a:off x="1875492" y="175407"/>
        <a:ext cx="842748" cy="842748"/>
      </dsp:txXfrm>
    </dsp:sp>
    <dsp:sp modelId="{AD2F0B1B-77E9-49DF-8E36-0941E10DBDCD}">
      <dsp:nvSpPr>
        <dsp:cNvPr id="0" name=""/>
        <dsp:cNvSpPr/>
      </dsp:nvSpPr>
      <dsp:spPr>
        <a:xfrm>
          <a:off x="2768714" y="5"/>
          <a:ext cx="1191826" cy="1191826"/>
        </a:xfrm>
        <a:prstGeom prst="ellipse">
          <a:avLst/>
        </a:prstGeom>
        <a:solidFill>
          <a:schemeClr val="accent5">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65590" tIns="12700" rIns="65590" bIns="12700" numCol="1" spcCol="1270" anchor="ctr" anchorCtr="0">
          <a:noAutofit/>
        </a:bodyPr>
        <a:lstStyle/>
        <a:p>
          <a:pPr lvl="0" algn="ctr" defTabSz="444500">
            <a:lnSpc>
              <a:spcPct val="90000"/>
            </a:lnSpc>
            <a:spcBef>
              <a:spcPct val="0"/>
            </a:spcBef>
            <a:spcAft>
              <a:spcPct val="35000"/>
            </a:spcAft>
          </a:pPr>
          <a:r>
            <a:rPr lang="et-EE" sz="1000" b="0" kern="1200">
              <a:latin typeface="Times New Roman" panose="02020603050405020304" pitchFamily="18" charset="0"/>
              <a:ea typeface="Verdana" panose="020B0604030504040204" pitchFamily="34" charset="0"/>
              <a:cs typeface="Times New Roman" panose="02020603050405020304" pitchFamily="18" charset="0"/>
            </a:rPr>
            <a:t>Käibemaksudeklaratsioonide esitamine ja käibemaksu tasumine</a:t>
          </a:r>
        </a:p>
      </dsp:txBody>
      <dsp:txXfrm>
        <a:off x="2943253" y="174544"/>
        <a:ext cx="842748" cy="842748"/>
      </dsp:txXfrm>
    </dsp:sp>
    <dsp:sp modelId="{1591C9C3-2E14-4C8B-9759-C1BAF481E994}">
      <dsp:nvSpPr>
        <dsp:cNvPr id="0" name=""/>
        <dsp:cNvSpPr/>
      </dsp:nvSpPr>
      <dsp:spPr>
        <a:xfrm>
          <a:off x="3798376" y="868"/>
          <a:ext cx="1191826" cy="1191826"/>
        </a:xfrm>
        <a:prstGeom prst="ellipse">
          <a:avLst/>
        </a:prstGeom>
        <a:solidFill>
          <a:schemeClr val="accent5">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65590" tIns="12700" rIns="65590" bIns="12700" numCol="1" spcCol="1270" anchor="ctr" anchorCtr="0">
          <a:noAutofit/>
        </a:bodyPr>
        <a:lstStyle/>
        <a:p>
          <a:pPr lvl="0" algn="ctr" defTabSz="444500">
            <a:lnSpc>
              <a:spcPct val="90000"/>
            </a:lnSpc>
            <a:spcBef>
              <a:spcPct val="0"/>
            </a:spcBef>
            <a:spcAft>
              <a:spcPct val="35000"/>
            </a:spcAft>
          </a:pPr>
          <a:r>
            <a:rPr lang="et-EE" sz="1000" b="0" kern="1200">
              <a:latin typeface="Times New Roman" panose="02020603050405020304" pitchFamily="18" charset="0"/>
              <a:ea typeface="Verdana" panose="020B0604030504040204" pitchFamily="34" charset="0"/>
              <a:cs typeface="Times New Roman" panose="02020603050405020304" pitchFamily="18" charset="0"/>
            </a:rPr>
            <a:t>Käibemaksu kogumine, sissenõudmine ja maksutagastus</a:t>
          </a:r>
        </a:p>
      </dsp:txBody>
      <dsp:txXfrm>
        <a:off x="3972915" y="175407"/>
        <a:ext cx="842748" cy="842748"/>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8322858357ED4DB8ACEC003F271AA8" ma:contentTypeVersion="4" ma:contentTypeDescription="Create a new document." ma:contentTypeScope="" ma:versionID="1a6a3cc58084c1ab6754aa50462a8c92">
  <xsd:schema xmlns:xsd="http://www.w3.org/2001/XMLSchema" xmlns:xs="http://www.w3.org/2001/XMLSchema" xmlns:p="http://schemas.microsoft.com/office/2006/metadata/properties" xmlns:ns2="bf5373a9-3ae6-4627-894d-852f27c3d4f0" targetNamespace="http://schemas.microsoft.com/office/2006/metadata/properties" ma:root="true" ma:fieldsID="9f61bb3dc0fe538cbd87f26019a2e2ec" ns2:_="">
    <xsd:import namespace="bf5373a9-3ae6-4627-894d-852f27c3d4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373a9-3ae6-4627-894d-852f27c3d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05AD68E-9F4B-4468-A387-2258D943FE80}">
  <ds:schemaRefs>
    <ds:schemaRef ds:uri="http://schemas.openxmlformats.org/package/2006/metadata/core-properties"/>
    <ds:schemaRef ds:uri="bf5373a9-3ae6-4627-894d-852f27c3d4f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59914642-35D9-48C9-AD7C-6F277475E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373a9-3ae6-4627-894d-852f27c3d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26E066-D2E8-42E2-A4F2-D724F1883DA0}">
  <ds:schemaRefs>
    <ds:schemaRef ds:uri="http://schemas.microsoft.com/sharepoint/v3/contenttype/forms"/>
  </ds:schemaRefs>
</ds:datastoreItem>
</file>

<file path=customXml/itemProps4.xml><?xml version="1.0" encoding="utf-8"?>
<ds:datastoreItem xmlns:ds="http://schemas.openxmlformats.org/officeDocument/2006/customXml" ds:itemID="{A183D715-6A98-47EE-8E87-EAA37B78E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28</Pages>
  <Words>15664</Words>
  <Characters>126879</Characters>
  <Application>Microsoft Office Word</Application>
  <DocSecurity>0</DocSecurity>
  <Lines>2393</Lines>
  <Paragraphs>1469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85</cp:revision>
  <dcterms:created xsi:type="dcterms:W3CDTF">2022-02-15T09:26:00Z</dcterms:created>
  <dcterms:modified xsi:type="dcterms:W3CDTF">2022-03-29T07:53:00Z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8.0, Build 20220128</vt:lpwstr>
  </property>
  <property fmtid="{D5CDD505-2E9C-101B-9397-08002B2CF9AE}" pid="8" name="Created using">
    <vt:lpwstr>LW 7.0.1, Build 20200226</vt:lpwstr>
  </property>
  <property fmtid="{D5CDD505-2E9C-101B-9397-08002B2CF9AE}" pid="9" name="_LW_INVALIDATED__LW_INVALIDATED__LW_INVALIDATED__LW_INVALIDATED__LW_INVALIDATED_ContentTypeId">
    <vt:lpwstr>0x010100E98322858357ED4DB8ACEC003F271AA8</vt:lpwstr>
  </property>
  <property fmtid="{D5CDD505-2E9C-101B-9397-08002B2CF9AE}" pid="10" name="_LW_INVALIDATED__LW_INVALIDATED__LW_INVALIDATED__LW_INVALIDATED_ContentTypeId">
    <vt:lpwstr>0x010100E98322858357ED4DB8ACEC003F271AA8</vt:lpwstr>
  </property>
</Properties>
</file>