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FD" w:rsidRPr="008431A9" w:rsidRDefault="00F10E8E" w:rsidP="0000707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91DAA2A-B670-4AAA-A9E4-FAA9BD6D9651" style="width:455.45pt;height:441.2pt">
            <v:imagedata r:id="rId11" o:title=""/>
          </v:shape>
        </w:pict>
      </w:r>
    </w:p>
    <w:p w:rsidR="00B70EFD" w:rsidRPr="008431A9" w:rsidRDefault="00B70EFD" w:rsidP="00B70EFD">
      <w:pPr>
        <w:rPr>
          <w:noProof/>
        </w:rPr>
        <w:sectPr w:rsidR="00B70EFD" w:rsidRPr="008431A9" w:rsidSect="00F10E8E">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B70EFD" w:rsidRPr="008431A9" w:rsidRDefault="00AF1030" w:rsidP="00AF1030">
      <w:pPr>
        <w:pStyle w:val="Exposdesmotifstitre"/>
        <w:rPr>
          <w:noProof/>
        </w:rPr>
      </w:pPr>
      <w:r w:rsidRPr="008431A9">
        <w:rPr>
          <w:noProof/>
        </w:rPr>
        <w:lastRenderedPageBreak/>
        <w:t>EXPLANATORY MEMORANDUM</w:t>
      </w:r>
    </w:p>
    <w:p w:rsidR="00B70EFD" w:rsidRPr="008431A9" w:rsidRDefault="00B70EFD" w:rsidP="000818F4">
      <w:pPr>
        <w:pStyle w:val="ManualHeading1"/>
        <w:rPr>
          <w:noProof/>
        </w:rPr>
      </w:pPr>
      <w:r w:rsidRPr="008431A9">
        <w:rPr>
          <w:noProof/>
        </w:rPr>
        <w:t>1.</w:t>
      </w:r>
      <w:r w:rsidRPr="008431A9">
        <w:rPr>
          <w:noProof/>
        </w:rPr>
        <w:tab/>
        <w:t>CONTEXT OF THE PROPOSAL</w:t>
      </w:r>
    </w:p>
    <w:p w:rsidR="00B70EFD" w:rsidRPr="008431A9" w:rsidRDefault="00B70EFD" w:rsidP="000818F4">
      <w:pPr>
        <w:pStyle w:val="ManualHeading2"/>
        <w:rPr>
          <w:rFonts w:eastAsia="Arial Unicode MS"/>
          <w:noProof/>
        </w:rPr>
      </w:pPr>
      <w:r w:rsidRPr="008431A9">
        <w:rPr>
          <w:rFonts w:eastAsia="Arial Unicode MS"/>
          <w:noProof/>
          <w:color w:val="000000"/>
          <w:u w:color="000000"/>
          <w:bdr w:val="nil"/>
          <w:lang w:val="en-US" w:eastAsia="en-GB"/>
        </w:rPr>
        <w:t>•</w:t>
      </w:r>
      <w:r w:rsidRPr="008431A9">
        <w:rPr>
          <w:rFonts w:eastAsia="Arial Unicode MS"/>
          <w:noProof/>
          <w:color w:val="000000"/>
          <w:u w:color="000000"/>
          <w:bdr w:val="nil"/>
          <w:lang w:val="en-US" w:eastAsia="en-GB"/>
        </w:rPr>
        <w:tab/>
      </w:r>
      <w:r w:rsidRPr="008431A9">
        <w:rPr>
          <w:rFonts w:eastAsia="Arial Unicode MS"/>
          <w:noProof/>
        </w:rPr>
        <w:t>Reasons for and objectives of the proposal</w:t>
      </w:r>
    </w:p>
    <w:p w:rsidR="00B70EFD" w:rsidRPr="008431A9" w:rsidRDefault="00B70EFD" w:rsidP="625047C4">
      <w:pPr>
        <w:rPr>
          <w:noProof/>
        </w:rPr>
      </w:pPr>
      <w:r w:rsidRPr="008431A9">
        <w:rPr>
          <w:rFonts w:eastAsia="Times New Roman"/>
          <w:noProof/>
          <w:lang w:val="en-US"/>
        </w:rPr>
        <w:t xml:space="preserve">Union law protects geographical indications (GIs) for agricultural products and foodstuffs, wines and spirit drinks. However, there is currently no EU-wide mechanism to protect </w:t>
      </w:r>
      <w:r w:rsidR="541F7F9A" w:rsidRPr="008431A9">
        <w:rPr>
          <w:rFonts w:eastAsia="Times New Roman"/>
          <w:noProof/>
          <w:lang w:val="en-US"/>
        </w:rPr>
        <w:t>the names of products such as Murano glass, Solingen cutlery, Donegal tweed, Halas lace or Gablonz jewellery.</w:t>
      </w:r>
      <w:r w:rsidRPr="008431A9">
        <w:rPr>
          <w:rFonts w:eastAsia="Times New Roman"/>
          <w:noProof/>
          <w:lang w:val="en-US"/>
        </w:rPr>
        <w:t xml:space="preserve"> While over half Member States have established national specific (</w:t>
      </w:r>
      <w:r w:rsidRPr="008431A9">
        <w:rPr>
          <w:rFonts w:eastAsia="Times New Roman"/>
          <w:i/>
          <w:iCs/>
          <w:noProof/>
          <w:lang w:val="en-US"/>
        </w:rPr>
        <w:t>sui generis)</w:t>
      </w:r>
      <w:r w:rsidRPr="008431A9">
        <w:rPr>
          <w:rFonts w:eastAsia="Times New Roman"/>
          <w:noProof/>
          <w:lang w:val="en-US"/>
        </w:rPr>
        <w:t xml:space="preserve"> protection systems </w:t>
      </w:r>
      <w:r w:rsidR="00445669" w:rsidRPr="008431A9">
        <w:rPr>
          <w:rFonts w:eastAsia="Times New Roman"/>
          <w:noProof/>
          <w:lang w:val="en-US"/>
        </w:rPr>
        <w:t xml:space="preserve">for craft and industrial </w:t>
      </w:r>
      <w:r w:rsidR="00D75FA8" w:rsidRPr="008431A9">
        <w:rPr>
          <w:rFonts w:eastAsia="Times New Roman"/>
          <w:noProof/>
          <w:lang w:val="en-US"/>
        </w:rPr>
        <w:t xml:space="preserve">(CI) </w:t>
      </w:r>
      <w:r w:rsidR="00445669" w:rsidRPr="008431A9">
        <w:rPr>
          <w:rFonts w:eastAsia="Times New Roman"/>
          <w:noProof/>
          <w:lang w:val="en-US"/>
        </w:rPr>
        <w:t xml:space="preserve">products </w:t>
      </w:r>
      <w:r w:rsidRPr="008431A9">
        <w:rPr>
          <w:rFonts w:eastAsia="Times New Roman"/>
          <w:noProof/>
          <w:lang w:val="en-US"/>
        </w:rPr>
        <w:t xml:space="preserve">with different characteristics, the others use only trade marks and/or rules on unfair competition to protect their intangible assets. </w:t>
      </w:r>
      <w:r w:rsidR="625047C4" w:rsidRPr="008431A9">
        <w:rPr>
          <w:rFonts w:eastAsia="Times New Roman"/>
          <w:noProof/>
          <w:szCs w:val="24"/>
          <w:lang w:val="en-US"/>
        </w:rPr>
        <w:t>In addition, w</w:t>
      </w:r>
      <w:r w:rsidRPr="008431A9">
        <w:rPr>
          <w:rFonts w:eastAsia="Times New Roman"/>
          <w:noProof/>
          <w:lang w:val="en-US"/>
        </w:rPr>
        <w:t>ithin the internal market, there is no cross-border system mutually recognising national protection systems. At Union level, producers can register individual trade marks, collective trade marks and certification trade marks. However, using trade mark</w:t>
      </w:r>
      <w:r w:rsidR="0A2EED25" w:rsidRPr="008431A9">
        <w:rPr>
          <w:rFonts w:eastAsia="Times New Roman"/>
          <w:noProof/>
          <w:lang w:val="en-US"/>
        </w:rPr>
        <w:t xml:space="preserve"> protection</w:t>
      </w:r>
      <w:r w:rsidRPr="008431A9">
        <w:rPr>
          <w:rFonts w:eastAsia="Times New Roman"/>
          <w:noProof/>
          <w:lang w:val="en-US"/>
        </w:rPr>
        <w:t xml:space="preserve"> do</w:t>
      </w:r>
      <w:r w:rsidR="14BBA8DC" w:rsidRPr="008431A9">
        <w:rPr>
          <w:rFonts w:eastAsia="Times New Roman"/>
          <w:noProof/>
          <w:lang w:val="en-US"/>
        </w:rPr>
        <w:t>es</w:t>
      </w:r>
      <w:r w:rsidRPr="008431A9">
        <w:rPr>
          <w:rFonts w:eastAsia="Times New Roman"/>
          <w:noProof/>
          <w:lang w:val="en-US"/>
        </w:rPr>
        <w:t xml:space="preserve"> not enable producers of industrial and handicraft products to certify </w:t>
      </w:r>
      <w:r w:rsidR="00A81863" w:rsidRPr="008431A9">
        <w:rPr>
          <w:rFonts w:eastAsia="Times New Roman"/>
          <w:noProof/>
          <w:lang w:val="en-US"/>
        </w:rPr>
        <w:t xml:space="preserve">at Union level </w:t>
      </w:r>
      <w:r w:rsidRPr="008431A9">
        <w:rPr>
          <w:rFonts w:eastAsia="Times New Roman"/>
          <w:noProof/>
          <w:lang w:val="en-US"/>
        </w:rPr>
        <w:t>the link between quality and geographical origin</w:t>
      </w:r>
      <w:r w:rsidR="2B60ACAE" w:rsidRPr="008431A9">
        <w:rPr>
          <w:rFonts w:eastAsia="Times New Roman"/>
          <w:noProof/>
          <w:lang w:val="en-US"/>
        </w:rPr>
        <w:t xml:space="preserve"> that signals qualities attributed to specific local skills and traditions.</w:t>
      </w:r>
    </w:p>
    <w:p w:rsidR="00B70EFD" w:rsidRPr="008431A9" w:rsidRDefault="00B70EFD" w:rsidP="00B70EFD">
      <w:pPr>
        <w:rPr>
          <w:noProof/>
        </w:rPr>
      </w:pPr>
      <w:r w:rsidRPr="008431A9">
        <w:rPr>
          <w:rFonts w:eastAsia="Times New Roman"/>
          <w:noProof/>
          <w:lang w:val="en-US"/>
        </w:rPr>
        <w:t xml:space="preserve">Due to legal uncertainty resulting from the fragmentation, producers face challenges protecting geographically-linked CI products. They have less of an incentive to invest in such products, to cooperate to create niche markets, and to retain unique </w:t>
      </w:r>
      <w:r w:rsidR="003E09FA" w:rsidRPr="008431A9">
        <w:rPr>
          <w:rFonts w:eastAsia="Times New Roman"/>
          <w:noProof/>
          <w:lang w:val="en-US"/>
        </w:rPr>
        <w:t>local</w:t>
      </w:r>
      <w:r w:rsidR="00E9506B" w:rsidRPr="008431A9">
        <w:rPr>
          <w:rFonts w:eastAsia="Times New Roman"/>
          <w:noProof/>
          <w:lang w:val="en-US"/>
        </w:rPr>
        <w:t xml:space="preserve"> </w:t>
      </w:r>
      <w:r w:rsidRPr="008431A9">
        <w:rPr>
          <w:rFonts w:eastAsia="Times New Roman"/>
          <w:noProof/>
          <w:lang w:val="en-US"/>
        </w:rPr>
        <w:t>skills</w:t>
      </w:r>
      <w:r w:rsidR="003E09FA" w:rsidRPr="008431A9">
        <w:rPr>
          <w:rFonts w:eastAsia="Times New Roman"/>
          <w:noProof/>
          <w:lang w:val="en-US"/>
        </w:rPr>
        <w:t xml:space="preserve"> and traditions</w:t>
      </w:r>
      <w:r w:rsidRPr="008431A9">
        <w:rPr>
          <w:rFonts w:eastAsia="Times New Roman"/>
          <w:noProof/>
          <w:lang w:val="en-US"/>
        </w:rPr>
        <w:t>. In particular, small producers (SMEs and micro-businesses) may lose market opportunities.</w:t>
      </w:r>
    </w:p>
    <w:p w:rsidR="00B70EFD" w:rsidRPr="008431A9" w:rsidRDefault="00B70EFD" w:rsidP="00B70EFD">
      <w:pPr>
        <w:rPr>
          <w:noProof/>
        </w:rPr>
      </w:pPr>
      <w:r w:rsidRPr="008431A9">
        <w:rPr>
          <w:rFonts w:eastAsia="Times New Roman"/>
          <w:noProof/>
          <w:lang w:val="en-US"/>
        </w:rPr>
        <w:t xml:space="preserve">The proposal aims therefore at establishing a directly applicable GI protection for CI products at Union level. It aims at improving the position of producers to protect their CI products throughout the Union against counterfeiting and to give them incentives to invest into these products. The proposal also aims to improve the visibility of authentic CI products on the markets and therefore benefit consumers. The regions, in which producers operate, should benefit from the protection of typical products and be able to develop the potential for tourism, to keep and attract qualified work force as well as to </w:t>
      </w:r>
      <w:r w:rsidR="00734B12" w:rsidRPr="008431A9">
        <w:rPr>
          <w:rFonts w:eastAsia="Times New Roman"/>
          <w:noProof/>
          <w:lang w:val="en-US"/>
        </w:rPr>
        <w:t xml:space="preserve">safeguard </w:t>
      </w:r>
      <w:r w:rsidRPr="008431A9">
        <w:rPr>
          <w:rFonts w:eastAsia="Times New Roman"/>
          <w:noProof/>
          <w:lang w:val="en-US"/>
        </w:rPr>
        <w:t xml:space="preserve">their cultural heritage. The proposal is based on the specific GI protection, which implies that producers as well as public authorities collaborate on developing product specifications. This approach aims to help in particular </w:t>
      </w:r>
      <w:r w:rsidR="00555916" w:rsidRPr="008431A9">
        <w:rPr>
          <w:noProof/>
        </w:rPr>
        <w:t xml:space="preserve">micro, small or medium-sized enterprises (MSMEs) </w:t>
      </w:r>
      <w:r w:rsidRPr="008431A9">
        <w:rPr>
          <w:rFonts w:eastAsia="Times New Roman"/>
          <w:noProof/>
          <w:lang w:val="en-US"/>
        </w:rPr>
        <w:t>that lack resources</w:t>
      </w:r>
      <w:r w:rsidR="6DEBD3A4" w:rsidRPr="008431A9">
        <w:rPr>
          <w:rFonts w:eastAsia="Times New Roman"/>
          <w:noProof/>
          <w:lang w:val="en-US"/>
        </w:rPr>
        <w:t xml:space="preserve"> for devising new product specifications</w:t>
      </w:r>
    </w:p>
    <w:p w:rsidR="00B70EFD" w:rsidRPr="008431A9" w:rsidRDefault="00B70EFD" w:rsidP="625047C4">
      <w:pPr>
        <w:rPr>
          <w:rFonts w:eastAsia="Times New Roman"/>
          <w:noProof/>
          <w:lang w:val="en-US"/>
        </w:rPr>
      </w:pPr>
      <w:r w:rsidRPr="008431A9">
        <w:rPr>
          <w:rFonts w:eastAsia="Times New Roman"/>
          <w:noProof/>
          <w:lang w:val="en-US"/>
        </w:rPr>
        <w:t xml:space="preserve">The proposal aims to ensure that producers can fully benefit from the </w:t>
      </w:r>
      <w:r w:rsidRPr="008431A9">
        <w:rPr>
          <w:rFonts w:eastAsia="Times New Roman"/>
          <w:noProof/>
          <w:lang w:val="en-IE"/>
        </w:rPr>
        <w:t xml:space="preserve">international framework for the registration and protection of GIs (‘Lisbon system’). In November 2019, the EU acceded to the Geneva Act of the Lisbon Agreement on Appellations of Origins and Geographical Indications, a treaty administered by the World Intellectual Property Organization (WIPO). </w:t>
      </w:r>
      <w:r w:rsidRPr="008431A9">
        <w:rPr>
          <w:rFonts w:eastAsia="Times New Roman"/>
          <w:noProof/>
          <w:lang w:val="en-US"/>
        </w:rPr>
        <w:t xml:space="preserve">EU producers of CI products cannot currently claim protection under the Geneva Act </w:t>
      </w:r>
      <w:r w:rsidR="003E09FA" w:rsidRPr="008431A9">
        <w:rPr>
          <w:rFonts w:eastAsia="Times New Roman"/>
          <w:noProof/>
          <w:lang w:val="en-US"/>
        </w:rPr>
        <w:t xml:space="preserve">and </w:t>
      </w:r>
      <w:r w:rsidRPr="008431A9">
        <w:rPr>
          <w:rFonts w:eastAsia="Times New Roman"/>
          <w:noProof/>
          <w:lang w:val="en-US"/>
        </w:rPr>
        <w:t xml:space="preserve">the EU has to reject requests for such protection from members of the Geneva Act. In the same vein, EU producers cannot benefit from the protection granted by EU trade agreements that currently only cover agricultural GI products. </w:t>
      </w:r>
      <w:r w:rsidR="00E9506B" w:rsidRPr="008431A9">
        <w:rPr>
          <w:rFonts w:eastAsia="Times New Roman"/>
          <w:noProof/>
          <w:lang w:val="en-US"/>
        </w:rPr>
        <w:t xml:space="preserve">The proposal aims to close this gap. </w:t>
      </w:r>
    </w:p>
    <w:p w:rsidR="00B70EFD" w:rsidRPr="008431A9" w:rsidRDefault="00B70EFD" w:rsidP="000818F4">
      <w:pPr>
        <w:pStyle w:val="ManualHeading2"/>
        <w:rPr>
          <w:rFonts w:eastAsia="Arial Unicode MS"/>
          <w:noProof/>
          <w:color w:val="000000"/>
          <w:u w:color="000000"/>
          <w:bdr w:val="nil"/>
          <w:lang w:val="en-US" w:eastAsia="en-GB"/>
        </w:rPr>
      </w:pPr>
      <w:r w:rsidRPr="008431A9">
        <w:rPr>
          <w:rFonts w:eastAsia="Arial Unicode MS"/>
          <w:noProof/>
          <w:color w:val="000000"/>
          <w:u w:color="000000"/>
          <w:bdr w:val="nil"/>
          <w:lang w:val="en-US" w:eastAsia="en-GB"/>
        </w:rPr>
        <w:t>•</w:t>
      </w:r>
      <w:r w:rsidRPr="008431A9">
        <w:rPr>
          <w:rFonts w:eastAsia="Arial Unicode MS"/>
          <w:noProof/>
          <w:color w:val="000000"/>
          <w:u w:color="000000"/>
          <w:bdr w:val="nil"/>
          <w:lang w:val="en-US" w:eastAsia="en-GB"/>
        </w:rPr>
        <w:tab/>
      </w:r>
      <w:r w:rsidRPr="008431A9">
        <w:rPr>
          <w:rFonts w:eastAsia="Arial Unicode MS"/>
          <w:noProof/>
        </w:rPr>
        <w:t>Consistency with existing policy provisions in the policy area</w:t>
      </w:r>
    </w:p>
    <w:p w:rsidR="00B70EFD" w:rsidRPr="008431A9" w:rsidRDefault="00B70EFD" w:rsidP="625047C4">
      <w:pPr>
        <w:rPr>
          <w:rFonts w:eastAsia="Times New Roman"/>
          <w:noProof/>
        </w:rPr>
      </w:pPr>
      <w:r w:rsidRPr="008431A9">
        <w:rPr>
          <w:rFonts w:eastAsia="Times New Roman"/>
          <w:noProof/>
          <w:lang w:val="en-US"/>
        </w:rPr>
        <w:t>The proposal complements existing EU protection system for GIs</w:t>
      </w:r>
      <w:r w:rsidR="6DEBD3A4" w:rsidRPr="008431A9">
        <w:rPr>
          <w:rFonts w:eastAsia="Times New Roman"/>
          <w:noProof/>
          <w:lang w:val="en-US"/>
        </w:rPr>
        <w:t xml:space="preserve"> in the agricultural domain.</w:t>
      </w:r>
      <w:r w:rsidRPr="008431A9">
        <w:rPr>
          <w:rFonts w:eastAsia="Times New Roman"/>
          <w:noProof/>
          <w:lang w:val="en-US"/>
        </w:rPr>
        <w:t xml:space="preserve"> Given the different nature of CI products, it follows similar approaches taken on the eligibility conditions and the protection of GIs for agricultural products and foodstuffs, wines and spirits as set out in:</w:t>
      </w:r>
    </w:p>
    <w:p w:rsidR="00B70EFD" w:rsidRPr="008431A9" w:rsidRDefault="00B70EFD" w:rsidP="00BD56A0">
      <w:pPr>
        <w:pStyle w:val="Tiret1"/>
        <w:numPr>
          <w:ilvl w:val="0"/>
          <w:numId w:val="110"/>
        </w:numPr>
        <w:rPr>
          <w:noProof/>
        </w:rPr>
      </w:pPr>
      <w:r w:rsidRPr="008431A9">
        <w:rPr>
          <w:noProof/>
          <w:lang w:val="en-US"/>
        </w:rPr>
        <w:t>Regulation (EU) No 1151/2012 of the European Parliament and of the Council on quality schemes for agricultural products and foodstu</w:t>
      </w:r>
      <w:r w:rsidR="001644D3" w:rsidRPr="008431A9">
        <w:rPr>
          <w:noProof/>
          <w:lang w:val="en-US"/>
        </w:rPr>
        <w:t>ffs,</w:t>
      </w:r>
    </w:p>
    <w:p w:rsidR="00B70EFD" w:rsidRPr="008431A9" w:rsidRDefault="00B70EFD" w:rsidP="00554194">
      <w:pPr>
        <w:pStyle w:val="Tiret1"/>
        <w:rPr>
          <w:noProof/>
        </w:rPr>
      </w:pPr>
      <w:r w:rsidRPr="008431A9">
        <w:rPr>
          <w:noProof/>
          <w:lang w:val="en-US"/>
        </w:rPr>
        <w:lastRenderedPageBreak/>
        <w:t>Regulation (EU) 2019/787 of the European Parliament and of the Council on the definition, description, presentation and labelling of spirit drinks,</w:t>
      </w:r>
    </w:p>
    <w:p w:rsidR="00B70EFD" w:rsidRPr="008431A9" w:rsidRDefault="00B70EFD" w:rsidP="00554194">
      <w:pPr>
        <w:pStyle w:val="Tiret1"/>
        <w:rPr>
          <w:noProof/>
        </w:rPr>
      </w:pPr>
      <w:r w:rsidRPr="008431A9">
        <w:rPr>
          <w:noProof/>
          <w:lang w:val="en-US"/>
        </w:rPr>
        <w:t>and</w:t>
      </w:r>
      <w:r w:rsidRPr="008431A9">
        <w:rPr>
          <w:noProof/>
        </w:rPr>
        <w:t xml:space="preserve"> </w:t>
      </w:r>
      <w:r w:rsidRPr="008431A9">
        <w:rPr>
          <w:noProof/>
          <w:lang w:val="en-US"/>
        </w:rPr>
        <w:t>Regulation (EU) No 1308/2013 of the European Parliament establishing a common organisation of the markets in agricultural products.</w:t>
      </w:r>
    </w:p>
    <w:p w:rsidR="00B70EFD" w:rsidRPr="008431A9" w:rsidRDefault="00B70EFD" w:rsidP="625047C4">
      <w:pPr>
        <w:rPr>
          <w:rFonts w:eastAsia="Times New Roman"/>
          <w:noProof/>
        </w:rPr>
      </w:pPr>
      <w:r w:rsidRPr="008431A9">
        <w:rPr>
          <w:rFonts w:eastAsia="Times New Roman"/>
          <w:noProof/>
          <w:lang w:val="en-US"/>
        </w:rPr>
        <w:t xml:space="preserve">The proposal </w:t>
      </w:r>
      <w:r w:rsidR="00E9506B" w:rsidRPr="008431A9">
        <w:rPr>
          <w:rFonts w:eastAsia="Times New Roman"/>
          <w:noProof/>
          <w:lang w:val="en-US"/>
        </w:rPr>
        <w:t xml:space="preserve">follows </w:t>
      </w:r>
      <w:r w:rsidR="10F845F5" w:rsidRPr="008431A9">
        <w:rPr>
          <w:rFonts w:eastAsia="Times New Roman"/>
          <w:noProof/>
          <w:lang w:val="en-US"/>
        </w:rPr>
        <w:t>a similar</w:t>
      </w:r>
      <w:r w:rsidR="00E9506B" w:rsidRPr="008431A9">
        <w:rPr>
          <w:rFonts w:eastAsia="Times New Roman"/>
          <w:noProof/>
          <w:lang w:val="en-US"/>
        </w:rPr>
        <w:t xml:space="preserve"> approach </w:t>
      </w:r>
      <w:r w:rsidR="003E09FA" w:rsidRPr="008431A9">
        <w:rPr>
          <w:rFonts w:eastAsia="Times New Roman"/>
          <w:noProof/>
          <w:lang w:val="en-US"/>
        </w:rPr>
        <w:t>as</w:t>
      </w:r>
      <w:r w:rsidRPr="008431A9">
        <w:rPr>
          <w:rFonts w:eastAsia="Times New Roman"/>
          <w:noProof/>
          <w:lang w:val="en-US"/>
        </w:rPr>
        <w:t xml:space="preserve"> the ongoing reform of the current GI regime. The reform </w:t>
      </w:r>
      <w:r w:rsidRPr="008431A9">
        <w:rPr>
          <w:rFonts w:eastAsia="Times New Roman"/>
          <w:noProof/>
        </w:rPr>
        <w:t>will repeal the first Regulation and amend the other two Regulations listed above.</w:t>
      </w:r>
    </w:p>
    <w:p w:rsidR="00B70EFD" w:rsidRPr="008431A9" w:rsidRDefault="00B70EFD" w:rsidP="00B70EFD">
      <w:pPr>
        <w:rPr>
          <w:noProof/>
        </w:rPr>
      </w:pPr>
      <w:r w:rsidRPr="008431A9">
        <w:rPr>
          <w:rFonts w:eastAsia="Times New Roman"/>
          <w:noProof/>
          <w:lang w:val="en-US"/>
        </w:rPr>
        <w:t xml:space="preserve">The proposal </w:t>
      </w:r>
      <w:r w:rsidR="003E09FA" w:rsidRPr="008431A9">
        <w:rPr>
          <w:rFonts w:eastAsia="Times New Roman"/>
          <w:noProof/>
          <w:lang w:val="en-US"/>
        </w:rPr>
        <w:t>amends</w:t>
      </w:r>
      <w:r w:rsidRPr="008431A9">
        <w:rPr>
          <w:rFonts w:eastAsia="Times New Roman"/>
          <w:noProof/>
          <w:lang w:val="en-US"/>
        </w:rPr>
        <w:t xml:space="preserve"> Regulation (EU) 2017/1001 of the European Parliament and of the Council on the European Union trade mark, concerning the provisions governing possible conflicts between GIs and trade marks as well as the additional tasks set out for the European Union Intellectual Property Office (‘EUIPO’ or ‘the Office’).</w:t>
      </w:r>
      <w:r w:rsidR="003328F2" w:rsidRPr="008431A9">
        <w:rPr>
          <w:rFonts w:eastAsia="Times New Roman"/>
          <w:noProof/>
          <w:lang w:val="en-US"/>
        </w:rPr>
        <w:t xml:space="preserve"> </w:t>
      </w:r>
    </w:p>
    <w:p w:rsidR="00B70EFD" w:rsidRPr="008431A9" w:rsidRDefault="00B70EFD" w:rsidP="625047C4">
      <w:pPr>
        <w:rPr>
          <w:noProof/>
        </w:rPr>
      </w:pPr>
      <w:r w:rsidRPr="008431A9">
        <w:rPr>
          <w:rFonts w:eastAsia="Times New Roman"/>
          <w:noProof/>
          <w:lang w:val="en-US"/>
        </w:rPr>
        <w:t>The proposal is also consistent with Directive 2004/48/EC of the European Parliament and of the Council on the enforcement of intellectual property rights, which, under its Article 2(1), is applicable to all intellectual property rights protected under Union law and under Member States’</w:t>
      </w:r>
      <w:r w:rsidR="625047C4" w:rsidRPr="008431A9">
        <w:rPr>
          <w:rFonts w:eastAsia="Times New Roman"/>
          <w:noProof/>
          <w:lang w:val="en-US"/>
        </w:rPr>
        <w:t xml:space="preserve"> </w:t>
      </w:r>
      <w:r w:rsidRPr="008431A9">
        <w:rPr>
          <w:rFonts w:eastAsia="Times New Roman"/>
          <w:noProof/>
          <w:lang w:val="en-US"/>
        </w:rPr>
        <w:t>national laws.</w:t>
      </w:r>
    </w:p>
    <w:p w:rsidR="00B70EFD" w:rsidRPr="008431A9" w:rsidRDefault="00B70EFD" w:rsidP="625047C4">
      <w:pPr>
        <w:rPr>
          <w:noProof/>
          <w:lang w:val="en-US"/>
        </w:rPr>
      </w:pPr>
      <w:r w:rsidRPr="008431A9">
        <w:rPr>
          <w:rFonts w:eastAsia="Times New Roman"/>
          <w:noProof/>
          <w:lang w:val="en-US"/>
        </w:rPr>
        <w:t>The proposal establishes the connection between the EU GI protection system for CI products and the Lisbon system. It does this by proposing an amendment to Council Decision (EU) 2019/1754 on the accession of the European Union to the Geneva Act of the Lisbon Agreement on Appellations of Origin and Geographical Indication</w:t>
      </w:r>
      <w:r w:rsidR="00984198" w:rsidRPr="008431A9">
        <w:rPr>
          <w:rFonts w:eastAsia="Times New Roman"/>
          <w:noProof/>
          <w:lang w:val="en-US"/>
        </w:rPr>
        <w:t>s</w:t>
      </w:r>
      <w:r w:rsidRPr="008431A9">
        <w:rPr>
          <w:rFonts w:eastAsia="Times New Roman"/>
          <w:noProof/>
          <w:lang w:val="en-US"/>
        </w:rPr>
        <w:t>.</w:t>
      </w:r>
    </w:p>
    <w:p w:rsidR="00B70EFD" w:rsidRPr="008431A9" w:rsidRDefault="00B70EFD" w:rsidP="000818F4">
      <w:pPr>
        <w:pStyle w:val="ManualHeading2"/>
        <w:rPr>
          <w:rFonts w:eastAsia="Arial Unicode MS"/>
          <w:noProof/>
        </w:rPr>
      </w:pPr>
      <w:r w:rsidRPr="008431A9">
        <w:rPr>
          <w:rFonts w:eastAsia="Arial Unicode MS"/>
          <w:noProof/>
          <w:color w:val="000000"/>
          <w:u w:color="000000"/>
          <w:bdr w:val="nil"/>
          <w:lang w:val="en-US" w:eastAsia="en-GB"/>
        </w:rPr>
        <w:t>•</w:t>
      </w:r>
      <w:r w:rsidRPr="008431A9">
        <w:rPr>
          <w:rFonts w:eastAsia="Arial Unicode MS"/>
          <w:noProof/>
          <w:color w:val="000000"/>
          <w:u w:color="000000"/>
          <w:bdr w:val="nil"/>
          <w:lang w:val="en-US" w:eastAsia="en-GB"/>
        </w:rPr>
        <w:tab/>
      </w:r>
      <w:r w:rsidRPr="008431A9">
        <w:rPr>
          <w:rFonts w:eastAsia="Arial Unicode MS"/>
          <w:noProof/>
        </w:rPr>
        <w:t>Consistency with other Union policies</w:t>
      </w:r>
    </w:p>
    <w:p w:rsidR="00B70EFD" w:rsidRPr="008431A9" w:rsidRDefault="00B70EFD" w:rsidP="00B70EFD">
      <w:pPr>
        <w:pBdr>
          <w:top w:val="nil"/>
          <w:left w:val="nil"/>
          <w:bottom w:val="nil"/>
          <w:right w:val="nil"/>
          <w:between w:val="nil"/>
          <w:bar w:val="nil"/>
        </w:pBdr>
        <w:spacing w:before="0" w:after="240"/>
        <w:rPr>
          <w:noProof/>
        </w:rPr>
      </w:pPr>
      <w:r w:rsidRPr="008431A9">
        <w:rPr>
          <w:rFonts w:eastAsia="Times New Roman"/>
          <w:noProof/>
          <w:lang w:val="en-US"/>
        </w:rPr>
        <w:t>The proposal is consistent with the EU industrial policy as set out in the Commission Communication “Updating the 2020 new industrial strategy: Building a stronger single market for Europe’s recovery”</w:t>
      </w:r>
      <w:r w:rsidRPr="008431A9">
        <w:rPr>
          <w:rStyle w:val="FootnoteReference"/>
          <w:rFonts w:eastAsia="Times New Roman"/>
          <w:noProof/>
          <w:lang w:val="en-US"/>
        </w:rPr>
        <w:footnoteReference w:id="2"/>
      </w:r>
      <w:r w:rsidRPr="008431A9">
        <w:rPr>
          <w:rFonts w:eastAsia="Times New Roman"/>
          <w:noProof/>
          <w:lang w:val="en-US"/>
        </w:rPr>
        <w:t xml:space="preserve">. The updated industrial strategy highlights that the tourism sector has been strongly hit by the COVID-19 pandemic and that, in the wake of the pandemic, smaller businesses continue to be more vulnerable, with some 60% reporting a drop in turnover in the second half of 2020. </w:t>
      </w:r>
      <w:r w:rsidR="003328F2" w:rsidRPr="008431A9">
        <w:rPr>
          <w:rFonts w:eastAsia="Times New Roman"/>
          <w:noProof/>
          <w:lang w:val="en-US"/>
        </w:rPr>
        <w:t>For these reasons</w:t>
      </w:r>
      <w:r w:rsidRPr="008431A9">
        <w:rPr>
          <w:rFonts w:eastAsia="Times New Roman"/>
          <w:noProof/>
          <w:lang w:val="en-US"/>
        </w:rPr>
        <w:t xml:space="preserve">, the proposal aims to boost the tourism sector, particularly in poorer regions and help </w:t>
      </w:r>
      <w:r w:rsidR="00555916" w:rsidRPr="008431A9">
        <w:rPr>
          <w:rFonts w:eastAsia="Times New Roman"/>
          <w:noProof/>
          <w:lang w:val="en-US"/>
        </w:rPr>
        <w:t>MSMEs</w:t>
      </w:r>
      <w:r w:rsidRPr="008431A9">
        <w:rPr>
          <w:rFonts w:eastAsia="Times New Roman"/>
          <w:noProof/>
          <w:lang w:val="en-US"/>
        </w:rPr>
        <w:t xml:space="preserve"> developing new geographically-linked products.</w:t>
      </w:r>
    </w:p>
    <w:p w:rsidR="00B70EFD" w:rsidRPr="008431A9" w:rsidRDefault="00B70EFD" w:rsidP="00B70EFD">
      <w:pPr>
        <w:pBdr>
          <w:top w:val="nil"/>
          <w:left w:val="nil"/>
          <w:bottom w:val="nil"/>
          <w:right w:val="nil"/>
          <w:between w:val="nil"/>
          <w:bar w:val="nil"/>
        </w:pBdr>
        <w:spacing w:before="0" w:after="240"/>
        <w:rPr>
          <w:noProof/>
        </w:rPr>
      </w:pPr>
      <w:r w:rsidRPr="008431A9">
        <w:rPr>
          <w:rFonts w:eastAsia="Times New Roman"/>
          <w:noProof/>
          <w:lang w:val="en-US"/>
        </w:rPr>
        <w:t xml:space="preserve">The proposal also shares specific objectives with the Commission’s forthcoming EU strategy on sustainable textiles, which aims to create a better business and regulatory environment for sustainable and circular textiles within the Union. </w:t>
      </w:r>
      <w:r w:rsidR="00555916" w:rsidRPr="008431A9">
        <w:rPr>
          <w:rFonts w:eastAsia="Times New Roman"/>
          <w:noProof/>
          <w:lang w:val="en-US"/>
        </w:rPr>
        <w:t>MSMEs</w:t>
      </w:r>
      <w:r w:rsidRPr="008431A9">
        <w:rPr>
          <w:rFonts w:eastAsia="Times New Roman"/>
          <w:noProof/>
          <w:lang w:val="en-US"/>
        </w:rPr>
        <w:t xml:space="preserve"> in the textiles ecosystem find it hard to develop intellectual property strategies to protect their research &amp; development investments and raise growth capital. The establishment of an Union wide GI protection for CI products </w:t>
      </w:r>
      <w:r w:rsidR="6DEBD3A4" w:rsidRPr="008431A9">
        <w:rPr>
          <w:rFonts w:eastAsia="Times New Roman"/>
          <w:noProof/>
          <w:lang w:val="en-US"/>
        </w:rPr>
        <w:t>should</w:t>
      </w:r>
      <w:r w:rsidRPr="008431A9">
        <w:rPr>
          <w:rFonts w:eastAsia="Times New Roman"/>
          <w:noProof/>
          <w:lang w:val="en-US"/>
        </w:rPr>
        <w:t xml:space="preserve"> therefore help </w:t>
      </w:r>
      <w:r w:rsidR="00555916" w:rsidRPr="008431A9">
        <w:rPr>
          <w:rFonts w:eastAsia="Times New Roman"/>
          <w:noProof/>
          <w:lang w:val="en-US"/>
        </w:rPr>
        <w:t>MSMEs</w:t>
      </w:r>
      <w:r w:rsidRPr="008431A9">
        <w:rPr>
          <w:rFonts w:eastAsia="Times New Roman"/>
          <w:noProof/>
          <w:lang w:val="en-US"/>
        </w:rPr>
        <w:t xml:space="preserve"> in this context.</w:t>
      </w:r>
    </w:p>
    <w:p w:rsidR="00B70EFD" w:rsidRPr="008431A9" w:rsidRDefault="00B70EFD" w:rsidP="000818F4">
      <w:pPr>
        <w:pStyle w:val="ManualHeading1"/>
        <w:rPr>
          <w:noProof/>
        </w:rPr>
      </w:pPr>
      <w:r w:rsidRPr="008431A9">
        <w:rPr>
          <w:noProof/>
        </w:rPr>
        <w:t>2.</w:t>
      </w:r>
      <w:r w:rsidRPr="008431A9">
        <w:rPr>
          <w:noProof/>
        </w:rPr>
        <w:tab/>
        <w:t>LEGAL BASIS, SUBSIDIARITY AND PROPORTIONALITY</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Legal basis</w:t>
      </w:r>
    </w:p>
    <w:p w:rsidR="00B70EFD" w:rsidRPr="008431A9" w:rsidRDefault="00B70EFD" w:rsidP="625047C4">
      <w:pPr>
        <w:rPr>
          <w:rFonts w:eastAsia="Calibri"/>
          <w:noProof/>
          <w:lang w:val="en-US"/>
        </w:rPr>
      </w:pPr>
      <w:r w:rsidRPr="008431A9">
        <w:rPr>
          <w:rFonts w:eastAsia="Times New Roman"/>
          <w:noProof/>
          <w:lang w:val="en-US"/>
        </w:rPr>
        <w:t xml:space="preserve">The proposal is based on Article 118(1) </w:t>
      </w:r>
      <w:r w:rsidR="76172725" w:rsidRPr="008431A9">
        <w:rPr>
          <w:rFonts w:eastAsia="Times New Roman"/>
          <w:noProof/>
          <w:lang w:val="en-US"/>
        </w:rPr>
        <w:t xml:space="preserve">on intellectual property </w:t>
      </w:r>
      <w:r w:rsidRPr="008431A9">
        <w:rPr>
          <w:rFonts w:eastAsia="Times New Roman"/>
          <w:noProof/>
          <w:lang w:val="en-US"/>
        </w:rPr>
        <w:t xml:space="preserve">and </w:t>
      </w:r>
      <w:r w:rsidR="307EF535" w:rsidRPr="008431A9">
        <w:rPr>
          <w:rFonts w:eastAsia="Times New Roman"/>
          <w:noProof/>
          <w:lang w:val="en-US"/>
        </w:rPr>
        <w:t xml:space="preserve">Article </w:t>
      </w:r>
      <w:r w:rsidRPr="008431A9">
        <w:rPr>
          <w:rFonts w:eastAsia="Times New Roman"/>
          <w:noProof/>
          <w:lang w:val="en-US"/>
        </w:rPr>
        <w:t>207(2) of the TFEU</w:t>
      </w:r>
      <w:r w:rsidR="0C41399A" w:rsidRPr="008431A9">
        <w:rPr>
          <w:rFonts w:eastAsia="Times New Roman"/>
          <w:noProof/>
          <w:lang w:val="en-US"/>
        </w:rPr>
        <w:t xml:space="preserve"> on the common commercial policy</w:t>
      </w:r>
      <w:r w:rsidRPr="008431A9">
        <w:rPr>
          <w:rFonts w:eastAsia="Times New Roman"/>
          <w:noProof/>
          <w:lang w:val="en-US"/>
        </w:rPr>
        <w:t xml:space="preserve">. It aims </w:t>
      </w:r>
      <w:r w:rsidRPr="008431A9">
        <w:rPr>
          <w:rFonts w:eastAsia="Times New Roman"/>
          <w:noProof/>
          <w:lang w:val="en-IE"/>
        </w:rPr>
        <w:t>to create</w:t>
      </w:r>
      <w:r w:rsidR="006E555F" w:rsidRPr="008431A9">
        <w:rPr>
          <w:rFonts w:eastAsia="Times New Roman"/>
          <w:noProof/>
          <w:lang w:val="en-IE"/>
        </w:rPr>
        <w:t xml:space="preserve"> for craft and industrial products</w:t>
      </w:r>
      <w:r w:rsidRPr="008431A9">
        <w:rPr>
          <w:rFonts w:eastAsia="Times New Roman"/>
          <w:noProof/>
          <w:lang w:val="en-IE"/>
        </w:rPr>
        <w:t xml:space="preserve"> a </w:t>
      </w:r>
      <w:r w:rsidR="006E555F" w:rsidRPr="008431A9">
        <w:rPr>
          <w:rFonts w:eastAsia="Times New Roman"/>
          <w:noProof/>
          <w:lang w:val="en-IE"/>
        </w:rPr>
        <w:t xml:space="preserve">unitary </w:t>
      </w:r>
      <w:r w:rsidRPr="008431A9">
        <w:rPr>
          <w:rFonts w:eastAsia="Times New Roman"/>
          <w:noProof/>
          <w:lang w:val="en-IE"/>
        </w:rPr>
        <w:t>European intellectual property right to provide the same protection across the Union</w:t>
      </w:r>
      <w:r w:rsidR="006E555F" w:rsidRPr="008431A9">
        <w:rPr>
          <w:rFonts w:eastAsia="Times New Roman"/>
          <w:noProof/>
          <w:lang w:val="en-IE"/>
        </w:rPr>
        <w:t>,</w:t>
      </w:r>
      <w:r w:rsidRPr="008431A9">
        <w:rPr>
          <w:rFonts w:eastAsia="Times New Roman"/>
          <w:noProof/>
          <w:lang w:val="en-IE"/>
        </w:rPr>
        <w:t xml:space="preserve"> and set up centralised Union-wide authorisation, coordination and supervision arrangements. </w:t>
      </w:r>
      <w:r w:rsidRPr="008431A9">
        <w:rPr>
          <w:rFonts w:eastAsia="Times New Roman"/>
          <w:noProof/>
          <w:lang w:val="en-US"/>
        </w:rPr>
        <w:t>In addition, the proposal aims to establish a link between an EU protection system for craft and industrial products and the Lisbon system</w:t>
      </w:r>
      <w:r w:rsidR="3E9C1A84" w:rsidRPr="008431A9">
        <w:rPr>
          <w:rFonts w:eastAsia="Times New Roman"/>
          <w:noProof/>
          <w:lang w:val="en-US"/>
        </w:rPr>
        <w:t xml:space="preserve">, giving effect to </w:t>
      </w:r>
      <w:r w:rsidR="019DA1CC" w:rsidRPr="008431A9">
        <w:rPr>
          <w:rFonts w:eastAsia="Times New Roman"/>
          <w:noProof/>
          <w:lang w:val="en-US"/>
        </w:rPr>
        <w:t xml:space="preserve">an </w:t>
      </w:r>
      <w:r w:rsidR="3E9C1A84" w:rsidRPr="008431A9">
        <w:rPr>
          <w:rFonts w:eastAsia="Times New Roman"/>
          <w:noProof/>
          <w:lang w:val="en-US"/>
        </w:rPr>
        <w:t xml:space="preserve">international </w:t>
      </w:r>
      <w:r w:rsidR="16A6C6DC" w:rsidRPr="008431A9">
        <w:rPr>
          <w:rFonts w:eastAsia="Times New Roman"/>
          <w:noProof/>
          <w:lang w:val="en-US"/>
        </w:rPr>
        <w:t>agreement</w:t>
      </w:r>
      <w:r w:rsidR="464ADF03" w:rsidRPr="008431A9">
        <w:rPr>
          <w:rFonts w:eastAsia="Times New Roman"/>
          <w:noProof/>
          <w:lang w:val="en-US"/>
        </w:rPr>
        <w:t xml:space="preserve"> administered by WIPO</w:t>
      </w:r>
      <w:r w:rsidRPr="008431A9">
        <w:rPr>
          <w:rFonts w:eastAsia="Times New Roman"/>
          <w:noProof/>
          <w:lang w:val="en-US"/>
        </w:rPr>
        <w:t>.</w:t>
      </w:r>
      <w:r w:rsidR="2268A97D" w:rsidRPr="008431A9">
        <w:rPr>
          <w:rFonts w:eastAsia="Times New Roman"/>
          <w:noProof/>
          <w:lang w:val="en-IE"/>
        </w:rPr>
        <w:t xml:space="preserve"> </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lastRenderedPageBreak/>
        <w:t>•</w:t>
      </w:r>
      <w:r w:rsidRPr="008431A9">
        <w:rPr>
          <w:rFonts w:eastAsia="Arial Unicode MS"/>
          <w:noProof/>
          <w:u w:color="000000"/>
          <w:bdr w:val="nil"/>
          <w:lang w:val="en-US" w:eastAsia="en-GB"/>
        </w:rPr>
        <w:tab/>
        <w:t xml:space="preserve">Subsidiarity (for non-exclusive competence) </w:t>
      </w:r>
    </w:p>
    <w:p w:rsidR="00B70EFD" w:rsidRPr="008431A9" w:rsidRDefault="0ABED223" w:rsidP="7F3112AC">
      <w:pPr>
        <w:pBdr>
          <w:top w:val="nil"/>
          <w:left w:val="nil"/>
          <w:bottom w:val="nil"/>
          <w:right w:val="nil"/>
          <w:between w:val="nil"/>
          <w:bar w:val="nil"/>
        </w:pBdr>
        <w:spacing w:before="0" w:after="240"/>
        <w:rPr>
          <w:rFonts w:eastAsia="Arial Unicode MS"/>
          <w:noProof/>
        </w:rPr>
      </w:pPr>
      <w:r w:rsidRPr="008431A9">
        <w:rPr>
          <w:noProof/>
        </w:rPr>
        <w:t xml:space="preserve">Apart from its objective to </w:t>
      </w:r>
      <w:r w:rsidRPr="008431A9">
        <w:rPr>
          <w:noProof/>
          <w:lang w:val="en-US"/>
        </w:rPr>
        <w:t xml:space="preserve">meet the obligation under the EU accession to the Geneva Act of the Lisbon Agreement, which falls under </w:t>
      </w:r>
      <w:r w:rsidRPr="008431A9">
        <w:rPr>
          <w:noProof/>
        </w:rPr>
        <w:t>the common commercial policy and is an exclusive competence of the Union, this proposal aims to create a well-functioning internal market for CI geographically-linked products. In this regard, it provides for a common legal framework for CI GIs, whose protection falls under the shared competence of the EU and its Member States. Member States alone</w:t>
      </w:r>
      <w:r w:rsidR="7F3112AC" w:rsidRPr="008431A9">
        <w:rPr>
          <w:noProof/>
        </w:rPr>
        <w:t xml:space="preserve"> </w:t>
      </w:r>
      <w:r w:rsidRPr="008431A9">
        <w:rPr>
          <w:noProof/>
        </w:rPr>
        <w:t>cannot</w:t>
      </w:r>
      <w:r w:rsidR="7F3112AC" w:rsidRPr="008431A9">
        <w:rPr>
          <w:noProof/>
        </w:rPr>
        <w:t xml:space="preserve"> </w:t>
      </w:r>
      <w:r w:rsidRPr="008431A9">
        <w:rPr>
          <w:noProof/>
        </w:rPr>
        <w:t>achieve</w:t>
      </w:r>
      <w:r w:rsidR="7F3112AC" w:rsidRPr="008431A9">
        <w:rPr>
          <w:noProof/>
        </w:rPr>
        <w:t xml:space="preserve"> t</w:t>
      </w:r>
      <w:r w:rsidRPr="008431A9">
        <w:rPr>
          <w:noProof/>
        </w:rPr>
        <w:t xml:space="preserve">his objective due to a patchwork of divergent rules, which have been developed at national level and are not mutually recognised. Addressing this issues at national level will only result in legal uncertainty for producers seeking protection, </w:t>
      </w:r>
      <w:r w:rsidR="57447C24" w:rsidRPr="008431A9">
        <w:rPr>
          <w:noProof/>
        </w:rPr>
        <w:t>prevent market transparency fo</w:t>
      </w:r>
      <w:r w:rsidR="0075666C" w:rsidRPr="008431A9">
        <w:rPr>
          <w:noProof/>
        </w:rPr>
        <w:t>r</w:t>
      </w:r>
      <w:r w:rsidRPr="008431A9">
        <w:rPr>
          <w:noProof/>
        </w:rPr>
        <w:t xml:space="preserve"> consumers, affect intra-Union trade, and pave the way for uneven competition in marketing GI protected CI products. A solid European legal framework could provide equal protection conditions in all Member States, therefore creating legal certainty</w:t>
      </w:r>
      <w:r w:rsidR="57447C24" w:rsidRPr="008431A9">
        <w:rPr>
          <w:noProof/>
        </w:rPr>
        <w:t xml:space="preserve">, </w:t>
      </w:r>
      <w:r w:rsidRPr="008431A9">
        <w:rPr>
          <w:noProof/>
        </w:rPr>
        <w:t xml:space="preserve">incentives for investment in </w:t>
      </w:r>
      <w:r w:rsidR="57447C24" w:rsidRPr="008431A9">
        <w:rPr>
          <w:noProof/>
        </w:rPr>
        <w:t xml:space="preserve">greater market opportunities for </w:t>
      </w:r>
      <w:r w:rsidRPr="008431A9">
        <w:rPr>
          <w:noProof/>
        </w:rPr>
        <w:t>geographically-rooted CI products. This objective can therefore be better achieved at Union level.</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Proportionality</w:t>
      </w:r>
    </w:p>
    <w:p w:rsidR="00B70EFD" w:rsidRPr="008431A9" w:rsidRDefault="0ABED223" w:rsidP="000818F4">
      <w:pPr>
        <w:pBdr>
          <w:top w:val="nil"/>
          <w:left w:val="nil"/>
          <w:bottom w:val="nil"/>
          <w:right w:val="nil"/>
          <w:between w:val="nil"/>
          <w:bar w:val="nil"/>
        </w:pBdr>
        <w:spacing w:before="0" w:after="240"/>
        <w:rPr>
          <w:rFonts w:eastAsia="Arial Unicode MS"/>
          <w:noProof/>
        </w:rPr>
      </w:pPr>
      <w:r w:rsidRPr="008431A9">
        <w:rPr>
          <w:noProof/>
        </w:rPr>
        <w:t xml:space="preserve">The proposal has been designed to minimise the administrative burden and compliance costs for producers and public authorities, while ensuring equal treatment across the Union. As highlighted in the impact assessment report, the scope of the chosen policy option which is the adoption of a self-standing EU Regulation establishing </w:t>
      </w:r>
      <w:r w:rsidRPr="008431A9">
        <w:rPr>
          <w:rFonts w:eastAsia="Times New Roman"/>
          <w:noProof/>
          <w:lang w:val="en-IE"/>
        </w:rPr>
        <w:t>a specific system based on an EU title to protect GIs for CI products</w:t>
      </w:r>
      <w:r w:rsidRPr="008431A9">
        <w:rPr>
          <w:noProof/>
        </w:rPr>
        <w:t>, does not go beyond what is necessary to achieve the identified objectives. It is limited to the aspects that Member States cannot achieve satisfactory on their own and where the Union can act more effectively, efficient and generate greater added value.</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Choice of the instrument</w:t>
      </w:r>
    </w:p>
    <w:p w:rsidR="00B70EFD" w:rsidRPr="008431A9" w:rsidRDefault="0ABED223" w:rsidP="7F3112AC">
      <w:pPr>
        <w:pBdr>
          <w:top w:val="nil"/>
          <w:left w:val="nil"/>
          <w:bottom w:val="nil"/>
          <w:right w:val="nil"/>
          <w:between w:val="nil"/>
          <w:bar w:val="nil"/>
        </w:pBdr>
        <w:spacing w:before="0" w:after="240" w:line="257" w:lineRule="auto"/>
        <w:rPr>
          <w:rFonts w:eastAsia="Calibri"/>
          <w:noProof/>
        </w:rPr>
      </w:pPr>
      <w:r w:rsidRPr="008431A9">
        <w:rPr>
          <w:rFonts w:eastAsia="Calibri"/>
          <w:noProof/>
        </w:rPr>
        <w:t xml:space="preserve">The instrument choice is a self-standing EU </w:t>
      </w:r>
      <w:r w:rsidR="57447C24" w:rsidRPr="008431A9">
        <w:rPr>
          <w:rFonts w:eastAsia="Calibri"/>
          <w:noProof/>
        </w:rPr>
        <w:t>r</w:t>
      </w:r>
      <w:r w:rsidRPr="008431A9">
        <w:rPr>
          <w:rFonts w:eastAsia="Calibri"/>
          <w:noProof/>
        </w:rPr>
        <w:t xml:space="preserve">egulation </w:t>
      </w:r>
      <w:r w:rsidRPr="008431A9">
        <w:rPr>
          <w:noProof/>
        </w:rPr>
        <w:t xml:space="preserve">establishing </w:t>
      </w:r>
      <w:r w:rsidRPr="008431A9">
        <w:rPr>
          <w:rFonts w:eastAsia="Times New Roman"/>
          <w:noProof/>
          <w:lang w:val="en-IE"/>
        </w:rPr>
        <w:t>a specific system based on an EU title to protect GIs for CI products</w:t>
      </w:r>
      <w:r w:rsidRPr="008431A9">
        <w:rPr>
          <w:rFonts w:eastAsia="Calibri"/>
          <w:noProof/>
        </w:rPr>
        <w:t xml:space="preserve">. This choice favours a legal regime that is simple and coherent with </w:t>
      </w:r>
      <w:r w:rsidR="30BDEB2E" w:rsidRPr="008431A9">
        <w:rPr>
          <w:rFonts w:eastAsia="Calibri"/>
          <w:noProof/>
        </w:rPr>
        <w:t>the</w:t>
      </w:r>
      <w:r w:rsidRPr="008431A9">
        <w:rPr>
          <w:rFonts w:eastAsia="Calibri"/>
          <w:noProof/>
        </w:rPr>
        <w:t xml:space="preserve"> </w:t>
      </w:r>
      <w:r w:rsidR="5E60A7CD" w:rsidRPr="008431A9">
        <w:rPr>
          <w:rFonts w:eastAsia="Calibri"/>
          <w:noProof/>
        </w:rPr>
        <w:t>objective</w:t>
      </w:r>
      <w:r w:rsidRPr="008431A9">
        <w:rPr>
          <w:rFonts w:eastAsia="Calibri"/>
          <w:noProof/>
        </w:rPr>
        <w:t xml:space="preserve"> to enable the effective fulfilment of international obligations by establishing a system at Union level that allows for the protection of CI GIs</w:t>
      </w:r>
      <w:r w:rsidR="30BDEB2E" w:rsidRPr="008431A9">
        <w:rPr>
          <w:rFonts w:eastAsia="Calibri"/>
          <w:noProof/>
        </w:rPr>
        <w:t xml:space="preserve"> of third country members</w:t>
      </w:r>
      <w:r w:rsidR="44664E64" w:rsidRPr="008431A9">
        <w:rPr>
          <w:rFonts w:eastAsia="Calibri"/>
          <w:noProof/>
        </w:rPr>
        <w:t xml:space="preserve"> of the Geneva Act</w:t>
      </w:r>
      <w:r w:rsidRPr="008431A9">
        <w:rPr>
          <w:rFonts w:eastAsia="Calibri"/>
          <w:noProof/>
        </w:rPr>
        <w:t xml:space="preserve"> within the Union and the protection of EU CI GIs of the Lisbon system’ contracting states.</w:t>
      </w:r>
      <w:r w:rsidR="30BDEB2E" w:rsidRPr="008431A9">
        <w:rPr>
          <w:rFonts w:eastAsia="Calibri"/>
          <w:noProof/>
        </w:rPr>
        <w:t xml:space="preserve"> </w:t>
      </w:r>
    </w:p>
    <w:p w:rsidR="00B70EFD" w:rsidRPr="008431A9" w:rsidRDefault="0ABED223" w:rsidP="7F3112AC">
      <w:pPr>
        <w:pBdr>
          <w:top w:val="nil"/>
          <w:left w:val="nil"/>
          <w:bottom w:val="nil"/>
          <w:right w:val="nil"/>
          <w:between w:val="nil"/>
          <w:bar w:val="nil"/>
        </w:pBdr>
        <w:spacing w:before="0" w:after="240" w:line="257" w:lineRule="auto"/>
        <w:rPr>
          <w:rFonts w:eastAsia="Calibri"/>
          <w:noProof/>
        </w:rPr>
      </w:pPr>
      <w:r w:rsidRPr="008431A9">
        <w:rPr>
          <w:rFonts w:eastAsia="Calibri"/>
          <w:noProof/>
        </w:rPr>
        <w:t>Alternative regulatory methods such as extending the existing protection schemes for agricultural products to CI products and reforming the trade mark system are not considered appropriate.</w:t>
      </w:r>
    </w:p>
    <w:p w:rsidR="00B70EFD" w:rsidRPr="008431A9" w:rsidRDefault="0ABED223" w:rsidP="7F3112AC">
      <w:pPr>
        <w:pBdr>
          <w:top w:val="nil"/>
          <w:left w:val="nil"/>
          <w:bottom w:val="nil"/>
          <w:right w:val="nil"/>
          <w:between w:val="nil"/>
          <w:bar w:val="nil"/>
        </w:pBdr>
        <w:spacing w:before="0" w:after="240" w:line="257" w:lineRule="auto"/>
        <w:rPr>
          <w:rFonts w:eastAsia="Calibri"/>
          <w:noProof/>
        </w:rPr>
      </w:pPr>
      <w:r w:rsidRPr="008431A9">
        <w:rPr>
          <w:rFonts w:eastAsia="Calibri"/>
          <w:noProof/>
        </w:rPr>
        <w:t xml:space="preserve">First, agricultural and foodstuff products have specific characteristics governed by harmonised EU health and safety rules under the common agricultural policy and common fisheries policy that are not necessarily relevant for craft and industrial products. </w:t>
      </w:r>
    </w:p>
    <w:p w:rsidR="00B70EFD" w:rsidRPr="008431A9" w:rsidRDefault="0ABED223" w:rsidP="7F3112AC">
      <w:pPr>
        <w:pBdr>
          <w:top w:val="nil"/>
          <w:left w:val="nil"/>
          <w:bottom w:val="nil"/>
          <w:right w:val="nil"/>
          <w:between w:val="nil"/>
          <w:bar w:val="nil"/>
        </w:pBdr>
        <w:spacing w:before="0" w:after="240" w:line="257" w:lineRule="auto"/>
        <w:rPr>
          <w:rFonts w:eastAsia="Calibri"/>
          <w:noProof/>
        </w:rPr>
      </w:pPr>
      <w:r w:rsidRPr="008431A9">
        <w:rPr>
          <w:rFonts w:eastAsia="Calibri"/>
          <w:noProof/>
        </w:rPr>
        <w:t>Second, incorporation into existing agricultural products scheme bears the risk for CI products and their producers, to be marginalised among schemes focused on agricultural products and producers</w:t>
      </w:r>
      <w:r w:rsidR="00AB47BF" w:rsidRPr="008431A9">
        <w:rPr>
          <w:rFonts w:eastAsia="Calibri"/>
          <w:noProof/>
        </w:rPr>
        <w:t xml:space="preserve"> </w:t>
      </w:r>
      <w:r w:rsidRPr="008431A9">
        <w:rPr>
          <w:rFonts w:eastAsia="Calibri"/>
          <w:noProof/>
        </w:rPr>
        <w:t xml:space="preserve">under the common agricultural policy. This would prevent the possibility of introducing a flexible and cost-effective GI regime tailored-made for CI products and their producers. </w:t>
      </w:r>
    </w:p>
    <w:p w:rsidR="00B70EFD" w:rsidRPr="008431A9" w:rsidRDefault="0ABED223" w:rsidP="00B70EFD">
      <w:pPr>
        <w:spacing w:before="0" w:after="240" w:line="257" w:lineRule="auto"/>
        <w:rPr>
          <w:rFonts w:eastAsia="Calibri"/>
          <w:noProof/>
        </w:rPr>
      </w:pPr>
      <w:r w:rsidRPr="008431A9">
        <w:rPr>
          <w:rFonts w:eastAsia="Calibri"/>
          <w:noProof/>
        </w:rPr>
        <w:lastRenderedPageBreak/>
        <w:t xml:space="preserve">Furthermore, given that protected trade marks can become generic and be revoked, a reform of the trade mark rules risks failing to meet the international requirements under the Geneva Act. Modifying these trade mark properties to protect GIs would in turn affect the overall coherence of the trade mark system. Moreover, two different protection systems would be in place: one for agricultural GIs (specific protection) and the other (a trade mark based) for CI GIs. This could create confusion and appear inconsistent at international level, particularly taking into account the EU’s traditional role in supporting GIs in WIPO and </w:t>
      </w:r>
      <w:r w:rsidR="29437808" w:rsidRPr="008431A9">
        <w:rPr>
          <w:rFonts w:eastAsia="Calibri"/>
          <w:noProof/>
        </w:rPr>
        <w:t xml:space="preserve">its stance on GIs </w:t>
      </w:r>
      <w:r w:rsidRPr="008431A9">
        <w:rPr>
          <w:rFonts w:eastAsia="Calibri"/>
          <w:noProof/>
        </w:rPr>
        <w:t xml:space="preserve">in the context of bilateral trade negotiations with third countries. </w:t>
      </w:r>
    </w:p>
    <w:p w:rsidR="00B70EFD" w:rsidRPr="008431A9" w:rsidRDefault="00B70EFD" w:rsidP="00B70EFD">
      <w:pPr>
        <w:pBdr>
          <w:top w:val="nil"/>
          <w:left w:val="nil"/>
          <w:bottom w:val="nil"/>
          <w:right w:val="nil"/>
          <w:between w:val="nil"/>
          <w:bar w:val="nil"/>
        </w:pBdr>
        <w:spacing w:before="0" w:after="240"/>
        <w:rPr>
          <w:rFonts w:eastAsia="Arial Unicode MS"/>
          <w:noProof/>
        </w:rPr>
      </w:pPr>
      <w:r w:rsidRPr="008431A9">
        <w:rPr>
          <w:rFonts w:eastAsia="Calibri"/>
          <w:noProof/>
        </w:rPr>
        <w:t>Other instruments like the adoption of recommendations or an EU Directive aiming at the approximation of national laws would not satisfactorily address the fragmented national regulatory framework for CI GIs and the necessity of having a single EU title due to international obligations.</w:t>
      </w:r>
    </w:p>
    <w:p w:rsidR="00B70EFD" w:rsidRPr="008431A9" w:rsidRDefault="00B70EFD" w:rsidP="000818F4">
      <w:pPr>
        <w:pStyle w:val="ManualHeading1"/>
        <w:rPr>
          <w:noProof/>
        </w:rPr>
      </w:pPr>
      <w:r w:rsidRPr="008431A9">
        <w:rPr>
          <w:noProof/>
        </w:rPr>
        <w:t>3.</w:t>
      </w:r>
      <w:r w:rsidRPr="008431A9">
        <w:rPr>
          <w:noProof/>
        </w:rPr>
        <w:tab/>
        <w:t>RESULTS OF EX-POST EVALUATIONS, STAKEHOLDER CONSULTATIONS AND IMPACT ASSESSMENTS</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Ex-post evaluations/fitness checks of existing legislation</w:t>
      </w:r>
    </w:p>
    <w:p w:rsidR="00B70EFD" w:rsidRPr="008431A9" w:rsidRDefault="00B70EFD" w:rsidP="00A67B94">
      <w:pPr>
        <w:pStyle w:val="Normal2"/>
        <w:shd w:val="clear" w:color="auto" w:fill="FFFFFF" w:themeFill="background1"/>
        <w:spacing w:before="0" w:beforeAutospacing="0" w:after="0" w:afterAutospacing="0"/>
        <w:jc w:val="both"/>
        <w:rPr>
          <w:rFonts w:eastAsia="Arial Unicode MS"/>
          <w:noProof/>
        </w:rPr>
      </w:pPr>
      <w:r w:rsidRPr="008431A9">
        <w:rPr>
          <w:rFonts w:eastAsia="Arial Unicode MS"/>
          <w:noProof/>
        </w:rPr>
        <w:t xml:space="preserve">No European Union legislation has until now focused on GIs protection for CI products. </w:t>
      </w:r>
      <w:r w:rsidR="06B0DAD5" w:rsidRPr="008431A9">
        <w:rPr>
          <w:noProof/>
        </w:rPr>
        <w:t xml:space="preserve">However, </w:t>
      </w:r>
      <w:r w:rsidR="475AB979" w:rsidRPr="008431A9">
        <w:rPr>
          <w:noProof/>
        </w:rPr>
        <w:t>t</w:t>
      </w:r>
      <w:r w:rsidRPr="008431A9">
        <w:rPr>
          <w:noProof/>
        </w:rPr>
        <w:t>his</w:t>
      </w:r>
      <w:r w:rsidRPr="008431A9" w:rsidDel="00B70EFD">
        <w:rPr>
          <w:noProof/>
        </w:rPr>
        <w:t xml:space="preserve"> proposal is linked to the ongoing reform of the system of GIs for agricultural products</w:t>
      </w:r>
      <w:r w:rsidRPr="008431A9" w:rsidDel="00CA289D">
        <w:rPr>
          <w:noProof/>
        </w:rPr>
        <w:t xml:space="preserve"> </w:t>
      </w:r>
      <w:r w:rsidRPr="008431A9" w:rsidDel="00B70EFD">
        <w:rPr>
          <w:noProof/>
        </w:rPr>
        <w:t>and builds on the results of the evaluation</w:t>
      </w:r>
      <w:r w:rsidRPr="008431A9" w:rsidDel="00B70EFD">
        <w:rPr>
          <w:noProof/>
          <w:lang w:val="en-US"/>
        </w:rPr>
        <w:t xml:space="preserve"> report of the EU GIs protection schemes for agricultural products.</w:t>
      </w:r>
      <w:r w:rsidRPr="008431A9" w:rsidDel="00B70EFD">
        <w:rPr>
          <w:noProof/>
        </w:rPr>
        <w:t xml:space="preserve"> It also aims at achieving the greatest possible synergies with the ongoing reform of the existing GI schemes which is looking at ways to strengthen, modernise, streamline and better enforce GI</w:t>
      </w:r>
      <w:r w:rsidR="00984198" w:rsidRPr="008431A9">
        <w:rPr>
          <w:noProof/>
        </w:rPr>
        <w:t xml:space="preserve"> right</w:t>
      </w:r>
      <w:r w:rsidRPr="008431A9" w:rsidDel="00B70EFD">
        <w:rPr>
          <w:noProof/>
        </w:rPr>
        <w:t xml:space="preserve">s for agricultural products, foodstuffs, wines and spirits. </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Stakeholder consultations</w:t>
      </w:r>
    </w:p>
    <w:p w:rsidR="00B70EFD" w:rsidRPr="008431A9" w:rsidRDefault="0ABED223" w:rsidP="00BD56A0">
      <w:pPr>
        <w:pStyle w:val="Tiret0"/>
        <w:numPr>
          <w:ilvl w:val="0"/>
          <w:numId w:val="111"/>
        </w:numPr>
        <w:rPr>
          <w:rFonts w:eastAsiaTheme="minorEastAsia"/>
          <w:noProof/>
        </w:rPr>
      </w:pPr>
      <w:r w:rsidRPr="008431A9">
        <w:rPr>
          <w:noProof/>
        </w:rPr>
        <w:t>The Commission has put in place a broad</w:t>
      </w:r>
      <w:r w:rsidRPr="008431A9">
        <w:rPr>
          <w:b/>
          <w:bCs/>
          <w:noProof/>
        </w:rPr>
        <w:t xml:space="preserve"> consultation strategy gathering the views of all relevant stakeholders</w:t>
      </w:r>
      <w:r w:rsidRPr="008431A9">
        <w:rPr>
          <w:noProof/>
        </w:rPr>
        <w:t xml:space="preserve">. Consultations started in 2013 and have intensified in 2020 and 2021. </w:t>
      </w:r>
    </w:p>
    <w:p w:rsidR="00B70EFD" w:rsidRPr="008431A9" w:rsidRDefault="00B70EFD" w:rsidP="00AC19C8">
      <w:pPr>
        <w:pStyle w:val="Tiret0"/>
        <w:numPr>
          <w:ilvl w:val="0"/>
          <w:numId w:val="14"/>
        </w:numPr>
        <w:rPr>
          <w:rFonts w:eastAsiaTheme="minorEastAsia"/>
          <w:noProof/>
        </w:rPr>
      </w:pPr>
      <w:r w:rsidRPr="008431A9">
        <w:rPr>
          <w:rFonts w:eastAsia="Times New Roman"/>
          <w:noProof/>
          <w:szCs w:val="24"/>
        </w:rPr>
        <w:t xml:space="preserve">From a </w:t>
      </w:r>
      <w:r w:rsidRPr="008431A9">
        <w:rPr>
          <w:rFonts w:eastAsia="Times New Roman"/>
          <w:noProof/>
        </w:rPr>
        <w:t>geographical</w:t>
      </w:r>
      <w:r w:rsidRPr="008431A9">
        <w:rPr>
          <w:rFonts w:eastAsia="Times New Roman"/>
          <w:noProof/>
          <w:szCs w:val="24"/>
        </w:rPr>
        <w:t xml:space="preserve"> point of view, the consultation strategy covered the EU-28 and after BREXIT, the EU-27. </w:t>
      </w:r>
    </w:p>
    <w:p w:rsidR="00B70EFD" w:rsidRPr="008431A9" w:rsidRDefault="00B70EFD" w:rsidP="00B70EFD">
      <w:pPr>
        <w:tabs>
          <w:tab w:val="left" w:pos="720"/>
        </w:tabs>
        <w:rPr>
          <w:rFonts w:eastAsia="Times New Roman"/>
          <w:noProof/>
          <w:szCs w:val="24"/>
        </w:rPr>
      </w:pPr>
      <w:r w:rsidRPr="008431A9">
        <w:rPr>
          <w:rFonts w:eastAsia="Times New Roman"/>
          <w:noProof/>
          <w:szCs w:val="24"/>
        </w:rPr>
        <w:t xml:space="preserve">The consultation included a </w:t>
      </w:r>
      <w:r w:rsidRPr="008431A9">
        <w:rPr>
          <w:rFonts w:eastAsia="Times New Roman"/>
          <w:b/>
          <w:bCs/>
          <w:noProof/>
          <w:szCs w:val="24"/>
          <w:u w:val="single"/>
        </w:rPr>
        <w:t>series of broad and targeted consultations</w:t>
      </w:r>
      <w:r w:rsidRPr="008431A9">
        <w:rPr>
          <w:rFonts w:eastAsia="Times New Roman"/>
          <w:noProof/>
          <w:szCs w:val="24"/>
        </w:rPr>
        <w:t>, in particular:</w:t>
      </w:r>
    </w:p>
    <w:p w:rsidR="00B70EFD" w:rsidRPr="008431A9" w:rsidRDefault="0ABED223" w:rsidP="00AC19C8">
      <w:pPr>
        <w:pStyle w:val="Bullet0"/>
        <w:numPr>
          <w:ilvl w:val="0"/>
          <w:numId w:val="13"/>
        </w:numPr>
        <w:rPr>
          <w:rFonts w:eastAsiaTheme="minorEastAsia"/>
          <w:b/>
          <w:bCs/>
          <w:noProof/>
        </w:rPr>
      </w:pPr>
      <w:r w:rsidRPr="008431A9">
        <w:rPr>
          <w:b/>
          <w:bCs/>
          <w:noProof/>
        </w:rPr>
        <w:t>Public consultations</w:t>
      </w:r>
      <w:r w:rsidRPr="008431A9">
        <w:rPr>
          <w:noProof/>
        </w:rPr>
        <w:t xml:space="preserve">: in the context of an </w:t>
      </w:r>
      <w:hyperlink r:id="rId18">
        <w:r w:rsidRPr="008431A9">
          <w:rPr>
            <w:rStyle w:val="Hyperlink"/>
            <w:rFonts w:eastAsia="Times New Roman"/>
            <w:noProof/>
          </w:rPr>
          <w:t>external study run in 2013</w:t>
        </w:r>
      </w:hyperlink>
      <w:r w:rsidRPr="008431A9">
        <w:rPr>
          <w:noProof/>
        </w:rPr>
        <w:t>, a survey</w:t>
      </w:r>
      <w:r w:rsidRPr="008431A9">
        <w:rPr>
          <w:b/>
          <w:bCs/>
          <w:noProof/>
        </w:rPr>
        <w:t xml:space="preserve"> </w:t>
      </w:r>
      <w:r w:rsidRPr="008431A9">
        <w:rPr>
          <w:noProof/>
        </w:rPr>
        <w:t xml:space="preserve">was conducted on stakeholders' needs and expectations for a possible legal protection of indications of authentic geographically-rooted products at the Union level. </w:t>
      </w:r>
      <w:r w:rsidR="5490E3AD" w:rsidRPr="008431A9">
        <w:rPr>
          <w:noProof/>
          <w:lang w:val="en-IE"/>
        </w:rPr>
        <w:t>Results of t</w:t>
      </w:r>
      <w:r w:rsidRPr="008431A9">
        <w:rPr>
          <w:noProof/>
          <w:lang w:val="en-IE"/>
        </w:rPr>
        <w:t xml:space="preserve">he </w:t>
      </w:r>
      <w:hyperlink r:id="rId19">
        <w:r w:rsidRPr="008431A9">
          <w:rPr>
            <w:rStyle w:val="Hyperlink"/>
            <w:rFonts w:eastAsia="Times New Roman"/>
            <w:noProof/>
            <w:lang w:val="en-IE"/>
          </w:rPr>
          <w:t>public consultation organised in 2014</w:t>
        </w:r>
      </w:hyperlink>
      <w:r w:rsidRPr="008431A9">
        <w:rPr>
          <w:noProof/>
          <w:lang w:val="en-IE"/>
        </w:rPr>
        <w:t xml:space="preserve"> </w:t>
      </w:r>
      <w:r w:rsidRPr="008431A9">
        <w:rPr>
          <w:noProof/>
        </w:rPr>
        <w:t>were presented at a public conference</w:t>
      </w:r>
      <w:r w:rsidRPr="008431A9">
        <w:rPr>
          <w:b/>
          <w:bCs/>
          <w:noProof/>
        </w:rPr>
        <w:t xml:space="preserve"> </w:t>
      </w:r>
      <w:r w:rsidRPr="008431A9">
        <w:rPr>
          <w:noProof/>
        </w:rPr>
        <w:t xml:space="preserve">on 19 January 2015 and </w:t>
      </w:r>
      <w:hyperlink r:id="rId20">
        <w:r w:rsidRPr="008431A9">
          <w:rPr>
            <w:rStyle w:val="Hyperlink"/>
            <w:rFonts w:eastAsia="Times New Roman"/>
            <w:noProof/>
          </w:rPr>
          <w:t>published</w:t>
        </w:r>
      </w:hyperlink>
      <w:r w:rsidRPr="008431A9">
        <w:rPr>
          <w:b/>
          <w:bCs/>
          <w:noProof/>
        </w:rPr>
        <w:t xml:space="preserve"> </w:t>
      </w:r>
      <w:r w:rsidRPr="008431A9">
        <w:rPr>
          <w:noProof/>
        </w:rPr>
        <w:t xml:space="preserve">in June 2015. </w:t>
      </w:r>
      <w:r w:rsidRPr="008431A9">
        <w:rPr>
          <w:noProof/>
          <w:lang w:val="en-IE"/>
        </w:rPr>
        <w:t>During the Roadmap consultation</w:t>
      </w:r>
      <w:r w:rsidR="48D663DC" w:rsidRPr="008431A9">
        <w:rPr>
          <w:rFonts w:eastAsia="Times New Roman"/>
          <w:noProof/>
          <w:lang w:val="en-IE"/>
        </w:rPr>
        <w:t xml:space="preserve"> (30 November 2020 – 18 January 2021)</w:t>
      </w:r>
      <w:r w:rsidRPr="008431A9">
        <w:rPr>
          <w:noProof/>
          <w:lang w:val="en-IE"/>
        </w:rPr>
        <w:t xml:space="preserve">, stakeholders provided feedback about the Commission’s plan to assess the impact of an EU-wide initiative on GIs for CI products. </w:t>
      </w:r>
      <w:r w:rsidRPr="008431A9">
        <w:rPr>
          <w:noProof/>
        </w:rPr>
        <w:t>The public consultation on 'EU-wide protection of geographical indications for non-agricultural products’ was open for 12 weeks between 29 April</w:t>
      </w:r>
      <w:r w:rsidR="091FAB3B" w:rsidRPr="008431A9">
        <w:rPr>
          <w:noProof/>
        </w:rPr>
        <w:t xml:space="preserve"> </w:t>
      </w:r>
      <w:r w:rsidRPr="008431A9">
        <w:rPr>
          <w:noProof/>
        </w:rPr>
        <w:t>2021 and 22 July 2021</w:t>
      </w:r>
      <w:r w:rsidR="7AE1F53A" w:rsidRPr="008431A9">
        <w:rPr>
          <w:noProof/>
        </w:rPr>
        <w:t>.</w:t>
      </w:r>
    </w:p>
    <w:p w:rsidR="00B70EFD" w:rsidRPr="008431A9" w:rsidRDefault="0ABED223" w:rsidP="00F82332">
      <w:pPr>
        <w:pStyle w:val="Bullet0"/>
        <w:numPr>
          <w:ilvl w:val="0"/>
          <w:numId w:val="2"/>
        </w:numPr>
        <w:rPr>
          <w:rFonts w:eastAsiaTheme="minorEastAsia"/>
          <w:b/>
          <w:bCs/>
          <w:noProof/>
          <w:szCs w:val="24"/>
        </w:rPr>
      </w:pPr>
      <w:r w:rsidRPr="008431A9">
        <w:rPr>
          <w:b/>
          <w:bCs/>
          <w:noProof/>
        </w:rPr>
        <w:t>Face-to-face</w:t>
      </w:r>
      <w:r w:rsidRPr="008431A9">
        <w:rPr>
          <w:noProof/>
        </w:rPr>
        <w:t xml:space="preserve"> </w:t>
      </w:r>
      <w:r w:rsidRPr="008431A9">
        <w:rPr>
          <w:b/>
          <w:bCs/>
          <w:noProof/>
        </w:rPr>
        <w:t>interviews:</w:t>
      </w:r>
      <w:r w:rsidRPr="008431A9">
        <w:rPr>
          <w:noProof/>
        </w:rPr>
        <w:t xml:space="preserve"> in the context of the study on controlling and enforcement rules for GIs for non-agricultural products face-to-face interviews were carried out</w:t>
      </w:r>
      <w:r w:rsidR="7F3112AC" w:rsidRPr="008431A9">
        <w:rPr>
          <w:noProof/>
        </w:rPr>
        <w:t xml:space="preserve"> </w:t>
      </w:r>
      <w:r w:rsidRPr="008431A9">
        <w:rPr>
          <w:noProof/>
        </w:rPr>
        <w:t>with selected stakeholders.</w:t>
      </w:r>
    </w:p>
    <w:p w:rsidR="00B70EFD" w:rsidRPr="008431A9" w:rsidRDefault="0ABED223" w:rsidP="7F3112AC">
      <w:pPr>
        <w:pStyle w:val="Bullet0"/>
        <w:rPr>
          <w:rFonts w:eastAsiaTheme="minorEastAsia"/>
          <w:b/>
          <w:bCs/>
          <w:noProof/>
          <w:szCs w:val="24"/>
        </w:rPr>
      </w:pPr>
      <w:r w:rsidRPr="008431A9">
        <w:rPr>
          <w:b/>
          <w:bCs/>
          <w:noProof/>
        </w:rPr>
        <w:t>Workshops</w:t>
      </w:r>
      <w:r w:rsidRPr="008431A9">
        <w:rPr>
          <w:noProof/>
        </w:rPr>
        <w:t>: in October 2016, a workshop on the '</w:t>
      </w:r>
      <w:hyperlink r:id="rId21" w:history="1">
        <w:r w:rsidRPr="008431A9">
          <w:rPr>
            <w:rFonts w:eastAsia="Times New Roman"/>
            <w:noProof/>
          </w:rPr>
          <w:t>contribution of non-agricultural geographically rooted products to regional inclusive economic development’</w:t>
        </w:r>
      </w:hyperlink>
      <w:r w:rsidRPr="008431A9">
        <w:rPr>
          <w:noProof/>
        </w:rPr>
        <w:t xml:space="preserve">" was organised in the context of the European week of regions and cities 2016. On 18 </w:t>
      </w:r>
      <w:r w:rsidRPr="008431A9">
        <w:rPr>
          <w:noProof/>
        </w:rPr>
        <w:lastRenderedPageBreak/>
        <w:t>November 2019, the results of the 'Study on economic aspects of geographical indication protection for non-agricultural products at EU level’ were presented</w:t>
      </w:r>
      <w:r w:rsidR="373D4A85" w:rsidRPr="008431A9">
        <w:rPr>
          <w:noProof/>
        </w:rPr>
        <w:t xml:space="preserve"> and discussed in </w:t>
      </w:r>
      <w:r w:rsidRPr="008431A9">
        <w:rPr>
          <w:noProof/>
        </w:rPr>
        <w:t>a workshop</w:t>
      </w:r>
      <w:r w:rsidR="7C9194E0" w:rsidRPr="008431A9">
        <w:rPr>
          <w:noProof/>
        </w:rPr>
        <w:t>.</w:t>
      </w:r>
      <w:r w:rsidRPr="008431A9">
        <w:rPr>
          <w:noProof/>
        </w:rPr>
        <w:t xml:space="preserve"> On 13 July 2021, the preliminary findings of the 'Study on control and enforcement rules for geographical indication (GI) protection for non-agricultural products in the EU’ were also presented and discussed in a workshop.</w:t>
      </w:r>
      <w:r w:rsidRPr="008431A9">
        <w:rPr>
          <w:b/>
          <w:bCs/>
          <w:noProof/>
        </w:rPr>
        <w:t xml:space="preserve"> </w:t>
      </w:r>
    </w:p>
    <w:p w:rsidR="00B70EFD" w:rsidRPr="008431A9" w:rsidRDefault="0ABED223" w:rsidP="7F3112AC">
      <w:pPr>
        <w:pStyle w:val="Bullet0"/>
        <w:rPr>
          <w:rFonts w:eastAsiaTheme="minorEastAsia"/>
          <w:noProof/>
        </w:rPr>
      </w:pPr>
      <w:r w:rsidRPr="008431A9">
        <w:rPr>
          <w:b/>
          <w:bCs/>
          <w:noProof/>
        </w:rPr>
        <w:t>Targeted meetings with Member States’</w:t>
      </w:r>
      <w:r w:rsidRPr="008431A9">
        <w:rPr>
          <w:noProof/>
        </w:rPr>
        <w:t xml:space="preserve"> </w:t>
      </w:r>
      <w:r w:rsidRPr="008431A9">
        <w:rPr>
          <w:b/>
          <w:bCs/>
          <w:noProof/>
        </w:rPr>
        <w:t>representatives</w:t>
      </w:r>
      <w:r w:rsidRPr="008431A9">
        <w:rPr>
          <w:noProof/>
        </w:rPr>
        <w:t xml:space="preserve"> (‘</w:t>
      </w:r>
      <w:r w:rsidRPr="008431A9">
        <w:rPr>
          <w:b/>
          <w:bCs/>
          <w:noProof/>
        </w:rPr>
        <w:t>GIPP expert group</w:t>
      </w:r>
      <w:r w:rsidRPr="008431A9">
        <w:rPr>
          <w:noProof/>
        </w:rPr>
        <w:t xml:space="preserve">): in April 2021 and January 2022, followed by a </w:t>
      </w:r>
      <w:r w:rsidRPr="008431A9">
        <w:rPr>
          <w:b/>
          <w:bCs/>
          <w:noProof/>
        </w:rPr>
        <w:t>targeted written consultation</w:t>
      </w:r>
      <w:r w:rsidRPr="008431A9">
        <w:rPr>
          <w:noProof/>
        </w:rPr>
        <w:t xml:space="preserve"> </w:t>
      </w:r>
      <w:r w:rsidRPr="008431A9">
        <w:rPr>
          <w:b/>
          <w:bCs/>
          <w:noProof/>
        </w:rPr>
        <w:t>with intellectual property offices</w:t>
      </w:r>
      <w:r w:rsidRPr="008431A9">
        <w:rPr>
          <w:noProof/>
        </w:rPr>
        <w:t xml:space="preserve"> of Member States in June 2021 based on two targeted questionnaires.</w:t>
      </w:r>
    </w:p>
    <w:p w:rsidR="00B70EFD" w:rsidRPr="008431A9" w:rsidRDefault="0ABED223" w:rsidP="00B70EFD">
      <w:pPr>
        <w:rPr>
          <w:rFonts w:eastAsia="Times New Roman"/>
          <w:noProof/>
        </w:rPr>
      </w:pPr>
      <w:r w:rsidRPr="008431A9">
        <w:rPr>
          <w:rFonts w:eastAsia="Times New Roman"/>
          <w:b/>
          <w:bCs/>
          <w:noProof/>
        </w:rPr>
        <w:t>Overall</w:t>
      </w:r>
      <w:r w:rsidRPr="008431A9">
        <w:rPr>
          <w:rFonts w:eastAsia="Times New Roman"/>
          <w:noProof/>
        </w:rPr>
        <w:t xml:space="preserve">, </w:t>
      </w:r>
      <w:r w:rsidRPr="008431A9">
        <w:rPr>
          <w:rFonts w:eastAsia="Times New Roman"/>
          <w:b/>
          <w:bCs/>
          <w:noProof/>
        </w:rPr>
        <w:t xml:space="preserve">the </w:t>
      </w:r>
      <w:r w:rsidRPr="008431A9">
        <w:rPr>
          <w:rFonts w:eastAsia="Times New Roman"/>
          <w:noProof/>
        </w:rPr>
        <w:t xml:space="preserve">responses have shown that producers of CI GIs, the European Parliament, the European Committee of the Regions, the European Economic and Social Committee, nine Member States and academia </w:t>
      </w:r>
      <w:r w:rsidRPr="008431A9">
        <w:rPr>
          <w:rFonts w:eastAsia="Times New Roman"/>
          <w:b/>
          <w:bCs/>
          <w:noProof/>
        </w:rPr>
        <w:t>strongly support the establishment of a specific GI scheme</w:t>
      </w:r>
      <w:r w:rsidRPr="008431A9">
        <w:rPr>
          <w:rFonts w:eastAsia="Times New Roman"/>
          <w:noProof/>
        </w:rPr>
        <w:t xml:space="preserve">. These responses form the basis for the Commission’s proposal as submitted. </w:t>
      </w:r>
      <w:r w:rsidRPr="008431A9">
        <w:rPr>
          <w:rFonts w:eastAsia="Times New Roman"/>
          <w:b/>
          <w:bCs/>
          <w:noProof/>
        </w:rPr>
        <w:t xml:space="preserve">Four Member States support the baseline option of maintaining the status quo </w:t>
      </w:r>
      <w:r w:rsidRPr="008431A9">
        <w:rPr>
          <w:rFonts w:eastAsia="Times New Roman"/>
          <w:noProof/>
        </w:rPr>
        <w:t xml:space="preserve">and consider that trade mark protection is sufficient. The impact assessment, however, points to both the shortcomings of the existing trade mark protection alternatives to sufficiently protect CI product names and the issues implied by taking the trade mark reform route, including the lack of coherence with </w:t>
      </w:r>
      <w:r w:rsidR="57447C24" w:rsidRPr="008431A9">
        <w:rPr>
          <w:rFonts w:eastAsia="Times New Roman"/>
          <w:noProof/>
        </w:rPr>
        <w:t>specific GI system for agricultural produc</w:t>
      </w:r>
      <w:r w:rsidR="006C2B5B" w:rsidRPr="008431A9">
        <w:rPr>
          <w:rFonts w:eastAsia="Times New Roman"/>
          <w:noProof/>
        </w:rPr>
        <w:t>ts</w:t>
      </w:r>
      <w:r w:rsidR="57447C24" w:rsidRPr="008431A9">
        <w:rPr>
          <w:rFonts w:eastAsia="Times New Roman"/>
          <w:noProof/>
        </w:rPr>
        <w:t xml:space="preserve">. </w:t>
      </w:r>
    </w:p>
    <w:p w:rsidR="00B70EFD" w:rsidRPr="008431A9" w:rsidRDefault="0ABED223" w:rsidP="5C4B0EEF">
      <w:pPr>
        <w:rPr>
          <w:rFonts w:eastAsia="Times New Roman"/>
          <w:noProof/>
          <w:lang w:val="en-IE"/>
        </w:rPr>
      </w:pPr>
      <w:r w:rsidRPr="008431A9">
        <w:rPr>
          <w:rFonts w:eastAsia="Times New Roman"/>
          <w:noProof/>
        </w:rPr>
        <w:t xml:space="preserve">On the more detailed </w:t>
      </w:r>
      <w:r w:rsidRPr="008431A9">
        <w:rPr>
          <w:rFonts w:eastAsia="Times New Roman"/>
          <w:b/>
          <w:bCs/>
          <w:noProof/>
        </w:rPr>
        <w:t>feedback received from the 2021 Public consultation,</w:t>
      </w:r>
      <w:r w:rsidRPr="008431A9">
        <w:rPr>
          <w:rFonts w:eastAsia="Times New Roman"/>
          <w:noProof/>
        </w:rPr>
        <w:t xml:space="preserve"> t</w:t>
      </w:r>
      <w:r w:rsidRPr="008431A9">
        <w:rPr>
          <w:rFonts w:eastAsia="Times New Roman"/>
          <w:noProof/>
          <w:lang w:val="en-IE"/>
        </w:rPr>
        <w:t>he most preferred policy option (rated 5) in the opinion of most respondents is a specific system establishing an EU title to protect GIs for CI products. The least preferred policy option (rated 1) in the opinion of most respondents is the baseline scenario of no action taken at Union level. More than 80% of respondents on this option are decisively against maintaining the current situation.</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Collection and use of expertise</w:t>
      </w:r>
    </w:p>
    <w:p w:rsidR="00B70EFD" w:rsidRPr="008431A9" w:rsidRDefault="00B70EFD" w:rsidP="00B70EFD">
      <w:pPr>
        <w:rPr>
          <w:rFonts w:eastAsia="Times New Roman"/>
          <w:noProof/>
          <w:szCs w:val="24"/>
        </w:rPr>
      </w:pPr>
      <w:r w:rsidRPr="008431A9">
        <w:rPr>
          <w:rFonts w:eastAsia="Times New Roman"/>
          <w:noProof/>
          <w:szCs w:val="24"/>
        </w:rPr>
        <w:t xml:space="preserve">The Commission has relied on </w:t>
      </w:r>
      <w:r w:rsidRPr="008431A9">
        <w:rPr>
          <w:rFonts w:eastAsia="Times New Roman"/>
          <w:b/>
          <w:bCs/>
          <w:noProof/>
          <w:szCs w:val="24"/>
        </w:rPr>
        <w:t>two major sources</w:t>
      </w:r>
      <w:r w:rsidRPr="008431A9">
        <w:rPr>
          <w:rFonts w:eastAsia="Times New Roman"/>
          <w:noProof/>
          <w:szCs w:val="24"/>
        </w:rPr>
        <w:t xml:space="preserve"> of external expertise:</w:t>
      </w:r>
    </w:p>
    <w:p w:rsidR="00B70EFD" w:rsidRPr="008431A9" w:rsidRDefault="00B34B72" w:rsidP="00B34B72">
      <w:pPr>
        <w:pStyle w:val="ManualNumPar1"/>
        <w:rPr>
          <w:rFonts w:eastAsiaTheme="minorEastAsia"/>
          <w:noProof/>
        </w:rPr>
      </w:pPr>
      <w:r w:rsidRPr="00B34B72">
        <w:t>1.</w:t>
      </w:r>
      <w:r w:rsidRPr="00B34B72">
        <w:tab/>
      </w:r>
      <w:r w:rsidR="00B70EFD" w:rsidRPr="008431A9">
        <w:rPr>
          <w:noProof/>
        </w:rPr>
        <w:t>Studies prepared by external contractors as commissioned, namely:</w:t>
      </w:r>
    </w:p>
    <w:p w:rsidR="00B70EFD" w:rsidRPr="008431A9" w:rsidRDefault="00F10E8E" w:rsidP="00AC19C8">
      <w:pPr>
        <w:pStyle w:val="Bullet1"/>
        <w:numPr>
          <w:ilvl w:val="0"/>
          <w:numId w:val="12"/>
        </w:numPr>
        <w:rPr>
          <w:noProof/>
        </w:rPr>
      </w:pPr>
      <w:hyperlink r:id="rId22">
        <w:r w:rsidR="00B70EFD" w:rsidRPr="008431A9">
          <w:rPr>
            <w:rStyle w:val="Hyperlink"/>
            <w:rFonts w:eastAsia="Times New Roman"/>
            <w:noProof/>
            <w:szCs w:val="24"/>
          </w:rPr>
          <w:t>Study on GI protection for non-agricultural products in the Internal Market</w:t>
        </w:r>
      </w:hyperlink>
      <w:r w:rsidR="00B70EFD" w:rsidRPr="008431A9">
        <w:rPr>
          <w:noProof/>
        </w:rPr>
        <w:t xml:space="preserve"> (Insight Consulting/REDD/OriGIn, 2013)</w:t>
      </w:r>
    </w:p>
    <w:p w:rsidR="00B70EFD" w:rsidRPr="008431A9" w:rsidRDefault="00F10E8E" w:rsidP="00ED7DFA">
      <w:pPr>
        <w:pStyle w:val="Bullet1"/>
        <w:rPr>
          <w:noProof/>
        </w:rPr>
      </w:pPr>
      <w:hyperlink r:id="rId23">
        <w:r w:rsidR="00B70EFD" w:rsidRPr="008431A9">
          <w:rPr>
            <w:rStyle w:val="Hyperlink"/>
            <w:rFonts w:eastAsia="Times New Roman"/>
            <w:noProof/>
            <w:szCs w:val="24"/>
          </w:rPr>
          <w:t>Study on the economic aspects of GI protection at EU level for non-agricultural products</w:t>
        </w:r>
      </w:hyperlink>
      <w:r w:rsidR="00B70EFD" w:rsidRPr="008431A9">
        <w:rPr>
          <w:noProof/>
        </w:rPr>
        <w:t xml:space="preserve"> (VVA/ECORYS/ConPolicy, 2019)</w:t>
      </w:r>
    </w:p>
    <w:p w:rsidR="00B70EFD" w:rsidRPr="008431A9" w:rsidRDefault="00F10E8E" w:rsidP="00ED7DFA">
      <w:pPr>
        <w:pStyle w:val="Bullet1"/>
        <w:rPr>
          <w:noProof/>
        </w:rPr>
      </w:pPr>
      <w:hyperlink r:id="rId24">
        <w:r w:rsidR="00B70EFD" w:rsidRPr="008431A9">
          <w:rPr>
            <w:rStyle w:val="Hyperlink"/>
            <w:rFonts w:eastAsia="Times New Roman"/>
            <w:noProof/>
            <w:szCs w:val="24"/>
          </w:rPr>
          <w:t>Study on control and enforcement rules for GI protection for non-agricultural products in the EU</w:t>
        </w:r>
      </w:hyperlink>
      <w:r w:rsidR="00B70EFD" w:rsidRPr="008431A9">
        <w:rPr>
          <w:noProof/>
        </w:rPr>
        <w:t xml:space="preserve"> (VVA/AND International, 2021)</w:t>
      </w:r>
    </w:p>
    <w:p w:rsidR="00B70EFD" w:rsidRPr="008431A9" w:rsidRDefault="00B34B72" w:rsidP="00B34B72">
      <w:pPr>
        <w:pStyle w:val="ManualNumPar1"/>
        <w:rPr>
          <w:rFonts w:eastAsia="Arial Unicode MS"/>
          <w:noProof/>
        </w:rPr>
      </w:pPr>
      <w:r w:rsidRPr="00B34B72">
        <w:t>2.</w:t>
      </w:r>
      <w:r w:rsidRPr="00B34B72">
        <w:tab/>
      </w:r>
      <w:r w:rsidR="0ABED223" w:rsidRPr="008431A9">
        <w:rPr>
          <w:b/>
          <w:bCs/>
          <w:noProof/>
        </w:rPr>
        <w:t>Technical cooperation with EUIPO</w:t>
      </w:r>
      <w:r w:rsidR="0ABED223" w:rsidRPr="008431A9">
        <w:rPr>
          <w:noProof/>
        </w:rPr>
        <w:t xml:space="preserve"> focusing on various process models to enable a sound assessment of sub-options on the EU entity in charge of registering CI GIs and of handling international applications under the Geneva Act of the Lisbon Agreement, as well as concerning the role of national authorities in the registration procedure. The outcome of such cooperation, based on the EUIPO’s contribution, is in Annex 9 of the impact assessment</w:t>
      </w:r>
      <w:r w:rsidR="00F10E8E">
        <w:rPr>
          <w:noProof/>
        </w:rPr>
        <w:t>.</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Impact assessment</w:t>
      </w:r>
    </w:p>
    <w:p w:rsidR="005F7D45" w:rsidRPr="008431A9" w:rsidRDefault="5D503A6A" w:rsidP="7F3112AC">
      <w:pPr>
        <w:rPr>
          <w:rFonts w:eastAsia="Times New Roman"/>
          <w:noProof/>
        </w:rPr>
      </w:pPr>
      <w:r w:rsidRPr="008431A9">
        <w:rPr>
          <w:rFonts w:eastAsia="Times New Roman"/>
          <w:noProof/>
        </w:rPr>
        <w:t xml:space="preserve">The following </w:t>
      </w:r>
      <w:r w:rsidRPr="008431A9">
        <w:rPr>
          <w:rFonts w:eastAsia="Times New Roman"/>
          <w:b/>
          <w:bCs/>
          <w:noProof/>
          <w:u w:val="single"/>
        </w:rPr>
        <w:t>policy options</w:t>
      </w:r>
      <w:r w:rsidRPr="008431A9">
        <w:rPr>
          <w:rFonts w:eastAsia="Times New Roman"/>
          <w:noProof/>
        </w:rPr>
        <w:t xml:space="preserve"> were examined in the impact assessment:</w:t>
      </w:r>
    </w:p>
    <w:p w:rsidR="005F7D45" w:rsidRPr="008431A9" w:rsidRDefault="5D503A6A" w:rsidP="7F3112AC">
      <w:pPr>
        <w:pStyle w:val="Bullet0"/>
        <w:rPr>
          <w:rFonts w:eastAsiaTheme="minorEastAsia"/>
          <w:b/>
          <w:bCs/>
          <w:noProof/>
          <w:szCs w:val="24"/>
        </w:rPr>
      </w:pPr>
      <w:r w:rsidRPr="008431A9">
        <w:rPr>
          <w:b/>
          <w:bCs/>
          <w:noProof/>
        </w:rPr>
        <w:t>Policy option 1 – Extending the GI protection system for agricultural products to GIs for CI products:</w:t>
      </w:r>
      <w:r w:rsidRPr="008431A9">
        <w:rPr>
          <w:noProof/>
        </w:rPr>
        <w:t xml:space="preserve"> under this option, a GI protection system for CI products would be integrated into the existing GI protection schemes that cover agricultural products and foodstuffs. Under the</w:t>
      </w:r>
      <w:r w:rsidR="00B70EFD" w:rsidRPr="008431A9">
        <w:rPr>
          <w:rFonts w:eastAsia="Times New Roman"/>
          <w:noProof/>
          <w:lang w:val="en-US"/>
        </w:rPr>
        <w:t xml:space="preserve"> ongoing </w:t>
      </w:r>
      <w:r w:rsidR="00B70EFD" w:rsidRPr="008431A9">
        <w:rPr>
          <w:noProof/>
        </w:rPr>
        <w:t xml:space="preserve">reform of the system of GIs for </w:t>
      </w:r>
      <w:r w:rsidR="00B70EFD" w:rsidRPr="008431A9">
        <w:rPr>
          <w:noProof/>
        </w:rPr>
        <w:lastRenderedPageBreak/>
        <w:t>agricultural products</w:t>
      </w:r>
      <w:r w:rsidRPr="008431A9">
        <w:rPr>
          <w:noProof/>
        </w:rPr>
        <w:t xml:space="preserve">, Member States should continue to apply a preliminary </w:t>
      </w:r>
      <w:r w:rsidR="002A468A" w:rsidRPr="008431A9">
        <w:rPr>
          <w:noProof/>
        </w:rPr>
        <w:t xml:space="preserve">examination </w:t>
      </w:r>
      <w:r w:rsidRPr="008431A9">
        <w:rPr>
          <w:noProof/>
        </w:rPr>
        <w:t xml:space="preserve">procedure at the national level. At the Union level, the proposal for a revision of the GI system for agricultural products should give powers to the Commission to outsource the </w:t>
      </w:r>
      <w:r w:rsidR="002A468A" w:rsidRPr="008431A9">
        <w:rPr>
          <w:noProof/>
        </w:rPr>
        <w:t xml:space="preserve">examination </w:t>
      </w:r>
      <w:r w:rsidRPr="008431A9">
        <w:rPr>
          <w:noProof/>
        </w:rPr>
        <w:t>of applications and oppositions to an agency (most likely EUIPO). Under this option, the ongoing proposal for a revision in the agri-food sector would harmonise the current monitoring and enforcement system and extend it to cover also CI GIs.</w:t>
      </w:r>
    </w:p>
    <w:p w:rsidR="005F7D45" w:rsidRPr="008431A9" w:rsidRDefault="5D503A6A" w:rsidP="00ED7DFA">
      <w:pPr>
        <w:pStyle w:val="Bullet0"/>
        <w:rPr>
          <w:noProof/>
        </w:rPr>
      </w:pPr>
      <w:r w:rsidRPr="008431A9">
        <w:rPr>
          <w:b/>
          <w:bCs/>
          <w:noProof/>
        </w:rPr>
        <w:t>Policy option 2 – Self-standing EU regulation creating specific GI protection:</w:t>
      </w:r>
      <w:r w:rsidRPr="008431A9">
        <w:rPr>
          <w:noProof/>
        </w:rPr>
        <w:t xml:space="preserve"> this option would consist of adopting an EU regulation to establish a specific GI protection scheme for CI products. It would build on the existing GI regime for agricultural products but adapt it further to CI products. CI GIs would be protected by an EU</w:t>
      </w:r>
      <w:r w:rsidR="566C2762" w:rsidRPr="008431A9">
        <w:rPr>
          <w:noProof/>
        </w:rPr>
        <w:t xml:space="preserve"> title in all Member States.</w:t>
      </w:r>
      <w:r w:rsidRPr="008431A9">
        <w:rPr>
          <w:b/>
          <w:bCs/>
          <w:noProof/>
        </w:rPr>
        <w:t xml:space="preserve"> </w:t>
      </w:r>
      <w:r w:rsidRPr="008431A9">
        <w:rPr>
          <w:noProof/>
        </w:rPr>
        <w:t xml:space="preserve">Under this </w:t>
      </w:r>
      <w:r w:rsidRPr="008431A9">
        <w:rPr>
          <w:b/>
          <w:bCs/>
          <w:noProof/>
        </w:rPr>
        <w:t>policy option 2</w:t>
      </w:r>
      <w:r w:rsidRPr="008431A9">
        <w:rPr>
          <w:noProof/>
        </w:rPr>
        <w:t xml:space="preserve">, the following </w:t>
      </w:r>
      <w:r w:rsidRPr="008431A9">
        <w:rPr>
          <w:b/>
          <w:bCs/>
          <w:noProof/>
        </w:rPr>
        <w:t>sub-options</w:t>
      </w:r>
      <w:r w:rsidRPr="008431A9">
        <w:rPr>
          <w:noProof/>
        </w:rPr>
        <w:t xml:space="preserve"> would be possible:</w:t>
      </w:r>
    </w:p>
    <w:p w:rsidR="005F7D45" w:rsidRPr="008431A9" w:rsidRDefault="005F7D45" w:rsidP="00AC19C8">
      <w:pPr>
        <w:pStyle w:val="Tiret1"/>
        <w:numPr>
          <w:ilvl w:val="0"/>
          <w:numId w:val="15"/>
        </w:numPr>
        <w:rPr>
          <w:noProof/>
        </w:rPr>
      </w:pPr>
      <w:r w:rsidRPr="008431A9">
        <w:rPr>
          <w:b/>
          <w:noProof/>
        </w:rPr>
        <w:t>2.1.</w:t>
      </w:r>
      <w:r w:rsidRPr="008431A9">
        <w:rPr>
          <w:noProof/>
        </w:rPr>
        <w:t xml:space="preserve"> Territorial link: </w:t>
      </w:r>
    </w:p>
    <w:p w:rsidR="005F7D45" w:rsidRPr="008431A9" w:rsidRDefault="005F7D45" w:rsidP="00AC19C8">
      <w:pPr>
        <w:pStyle w:val="Tiret2"/>
        <w:numPr>
          <w:ilvl w:val="0"/>
          <w:numId w:val="16"/>
        </w:numPr>
        <w:rPr>
          <w:noProof/>
        </w:rPr>
      </w:pPr>
      <w:r w:rsidRPr="008431A9">
        <w:rPr>
          <w:b/>
          <w:bCs/>
          <w:noProof/>
        </w:rPr>
        <w:t>2.1.A.</w:t>
      </w:r>
      <w:r w:rsidRPr="008431A9">
        <w:rPr>
          <w:noProof/>
        </w:rPr>
        <w:t xml:space="preserve"> Protected designations of origins (PDO): under PDO protection, the quality or characteristics of a product are essentially or exclusively linked to the particular geographical environment of the place of origin; and all stages of production, processing or preparation must take place in the defined geographical area. </w:t>
      </w:r>
    </w:p>
    <w:p w:rsidR="005F7D45" w:rsidRPr="008431A9" w:rsidRDefault="005F7D45" w:rsidP="00C87013">
      <w:pPr>
        <w:pStyle w:val="Tiret2"/>
        <w:rPr>
          <w:noProof/>
        </w:rPr>
      </w:pPr>
      <w:r w:rsidRPr="008431A9">
        <w:rPr>
          <w:b/>
          <w:bCs/>
          <w:noProof/>
        </w:rPr>
        <w:t>2.1.B</w:t>
      </w:r>
      <w:r w:rsidRPr="008431A9">
        <w:rPr>
          <w:noProof/>
        </w:rPr>
        <w:t>. Protected geographical indications (PGI): under PGI protection, a particular quality, reputation or other characteristic of a product is essentially attributable to its geographical origin; at least one of the stages of production, processing or preparation takes place in the defined geographical area.</w:t>
      </w:r>
    </w:p>
    <w:p w:rsidR="005F7D45" w:rsidRPr="008431A9" w:rsidRDefault="005F7D45" w:rsidP="00C87013">
      <w:pPr>
        <w:pStyle w:val="Tiret1"/>
        <w:rPr>
          <w:noProof/>
        </w:rPr>
      </w:pPr>
      <w:r w:rsidRPr="008431A9">
        <w:rPr>
          <w:b/>
          <w:noProof/>
        </w:rPr>
        <w:t>2.2.</w:t>
      </w:r>
      <w:r w:rsidRPr="008431A9">
        <w:rPr>
          <w:noProof/>
        </w:rPr>
        <w:t xml:space="preserve"> Involvement of national authorities in the registration procedure: </w:t>
      </w:r>
    </w:p>
    <w:p w:rsidR="005F7D45" w:rsidRPr="008431A9" w:rsidRDefault="005F7D45" w:rsidP="001C4E21">
      <w:pPr>
        <w:pStyle w:val="Tiret2"/>
        <w:rPr>
          <w:noProof/>
        </w:rPr>
      </w:pPr>
      <w:r w:rsidRPr="008431A9">
        <w:rPr>
          <w:b/>
          <w:bCs/>
          <w:noProof/>
        </w:rPr>
        <w:t>2.2.A</w:t>
      </w:r>
      <w:r w:rsidRPr="008431A9">
        <w:rPr>
          <w:noProof/>
        </w:rPr>
        <w:t xml:space="preserve">. Two-stage system: the first stage would be at the level of Member States, where national or local authorities would play a first examination role over local producers’ agreed product specifications and GI applications. The second stage would be at Union level, with an EU entity taking a decision on registration, where no fees would be charged. </w:t>
      </w:r>
    </w:p>
    <w:p w:rsidR="005F7D45" w:rsidRPr="008431A9" w:rsidRDefault="005F7D45" w:rsidP="001C4E21">
      <w:pPr>
        <w:pStyle w:val="Tiret2"/>
        <w:rPr>
          <w:noProof/>
        </w:rPr>
      </w:pPr>
      <w:r w:rsidRPr="008431A9">
        <w:rPr>
          <w:b/>
          <w:bCs/>
          <w:noProof/>
        </w:rPr>
        <w:t xml:space="preserve">2.2.B. </w:t>
      </w:r>
      <w:r w:rsidRPr="008431A9">
        <w:rPr>
          <w:noProof/>
        </w:rPr>
        <w:t xml:space="preserve">One-stage system: National authorities would not participate in the examination and registration, and local producers would go directly to the EU level to have their GIs registered. </w:t>
      </w:r>
    </w:p>
    <w:p w:rsidR="005F7D45" w:rsidRPr="008431A9" w:rsidRDefault="005F7D45" w:rsidP="001C4E21">
      <w:pPr>
        <w:pStyle w:val="Tiret1"/>
        <w:rPr>
          <w:noProof/>
        </w:rPr>
      </w:pPr>
      <w:r w:rsidRPr="008431A9">
        <w:rPr>
          <w:b/>
          <w:noProof/>
        </w:rPr>
        <w:t>2.3</w:t>
      </w:r>
      <w:r w:rsidRPr="008431A9">
        <w:rPr>
          <w:noProof/>
        </w:rPr>
        <w:t xml:space="preserve">. EU entity in charge of registration at Union level and at international level: </w:t>
      </w:r>
    </w:p>
    <w:p w:rsidR="005F7D45" w:rsidRPr="008431A9" w:rsidRDefault="005F7D45" w:rsidP="001C4E21">
      <w:pPr>
        <w:pStyle w:val="Tiret2"/>
        <w:rPr>
          <w:noProof/>
        </w:rPr>
      </w:pPr>
      <w:r w:rsidRPr="008431A9">
        <w:rPr>
          <w:b/>
          <w:bCs/>
          <w:noProof/>
        </w:rPr>
        <w:t>2.3.A</w:t>
      </w:r>
      <w:r w:rsidRPr="008431A9">
        <w:rPr>
          <w:noProof/>
        </w:rPr>
        <w:t xml:space="preserve">. The Commission would be in charge of the Union level stage of registration and act also as the competent authority under the Geneva Act of WIPO’s Lisbon Agreement. </w:t>
      </w:r>
    </w:p>
    <w:p w:rsidR="005F7D45" w:rsidRPr="008431A9" w:rsidRDefault="005F7D45" w:rsidP="001C4E21">
      <w:pPr>
        <w:pStyle w:val="Tiret2"/>
        <w:rPr>
          <w:noProof/>
        </w:rPr>
      </w:pPr>
      <w:r w:rsidRPr="008431A9">
        <w:rPr>
          <w:b/>
          <w:bCs/>
          <w:noProof/>
        </w:rPr>
        <w:t>2.3.B.</w:t>
      </w:r>
      <w:r w:rsidRPr="008431A9">
        <w:rPr>
          <w:noProof/>
        </w:rPr>
        <w:t xml:space="preserve"> The specialised intellectual property agency, EUIPO would be in charge of the Union level stage registration and would also act as competent authority under the Geneva Act. </w:t>
      </w:r>
    </w:p>
    <w:p w:rsidR="005F7D45" w:rsidRPr="008431A9" w:rsidRDefault="005F7D45" w:rsidP="001C4E21">
      <w:pPr>
        <w:pStyle w:val="Tiret1"/>
        <w:rPr>
          <w:noProof/>
        </w:rPr>
      </w:pPr>
      <w:r w:rsidRPr="008431A9">
        <w:rPr>
          <w:b/>
          <w:noProof/>
        </w:rPr>
        <w:t>2.4</w:t>
      </w:r>
      <w:r w:rsidRPr="008431A9">
        <w:rPr>
          <w:noProof/>
        </w:rPr>
        <w:t xml:space="preserve">. Control and enforcement: </w:t>
      </w:r>
    </w:p>
    <w:p w:rsidR="001C4E21" w:rsidRPr="008431A9" w:rsidRDefault="005F7D45" w:rsidP="001C4E21">
      <w:pPr>
        <w:pStyle w:val="Tiret2"/>
        <w:rPr>
          <w:noProof/>
        </w:rPr>
      </w:pPr>
      <w:r w:rsidRPr="008431A9">
        <w:rPr>
          <w:b/>
          <w:bCs/>
          <w:noProof/>
        </w:rPr>
        <w:t>2.4.A</w:t>
      </w:r>
      <w:r w:rsidRPr="008431A9">
        <w:rPr>
          <w:noProof/>
        </w:rPr>
        <w:t xml:space="preserve">. Replicating the control and enforcement model of the GI agricultural schemes. </w:t>
      </w:r>
    </w:p>
    <w:p w:rsidR="005F7D45" w:rsidRPr="008431A9" w:rsidRDefault="005F7D45" w:rsidP="001C4E21">
      <w:pPr>
        <w:pStyle w:val="Tiret2"/>
        <w:rPr>
          <w:noProof/>
        </w:rPr>
      </w:pPr>
      <w:r w:rsidRPr="008431A9">
        <w:rPr>
          <w:b/>
          <w:bCs/>
          <w:noProof/>
        </w:rPr>
        <w:t>2.4.B.</w:t>
      </w:r>
      <w:r w:rsidRPr="008431A9">
        <w:rPr>
          <w:noProof/>
        </w:rPr>
        <w:t xml:space="preserve"> Streamlining control through a robust enforcement model: this sub-option would introduce self-certification; random inspections by </w:t>
      </w:r>
      <w:r w:rsidRPr="008431A9">
        <w:rPr>
          <w:noProof/>
        </w:rPr>
        <w:lastRenderedPageBreak/>
        <w:t xml:space="preserve">national authorities (or delegated certification bodies), coupled with a deterrent system of fines; streamline reporting obligations by national authorities; and introduce the enforcement scheme under the currently revised agricultural GI system, with a domain names’ alert system to fight online GI abuses. </w:t>
      </w:r>
    </w:p>
    <w:p w:rsidR="005F7D45" w:rsidRPr="008431A9" w:rsidRDefault="005F7D45" w:rsidP="001C4E21">
      <w:pPr>
        <w:pStyle w:val="Tiret1"/>
        <w:rPr>
          <w:noProof/>
        </w:rPr>
      </w:pPr>
      <w:r w:rsidRPr="008431A9">
        <w:rPr>
          <w:b/>
          <w:noProof/>
        </w:rPr>
        <w:t>2.5</w:t>
      </w:r>
      <w:r w:rsidRPr="008431A9">
        <w:rPr>
          <w:noProof/>
        </w:rPr>
        <w:t xml:space="preserve"> Co-existence of EU and national titles and regimes: </w:t>
      </w:r>
    </w:p>
    <w:p w:rsidR="005F7D45" w:rsidRPr="008431A9" w:rsidRDefault="005F7D45" w:rsidP="001C4E21">
      <w:pPr>
        <w:pStyle w:val="Tiret2"/>
        <w:rPr>
          <w:noProof/>
        </w:rPr>
      </w:pPr>
      <w:r w:rsidRPr="008431A9">
        <w:rPr>
          <w:b/>
          <w:bCs/>
          <w:noProof/>
        </w:rPr>
        <w:t>2.5.A</w:t>
      </w:r>
      <w:r w:rsidRPr="008431A9">
        <w:rPr>
          <w:noProof/>
        </w:rPr>
        <w:t xml:space="preserve">. CI GIs would be protected by an EU title that replaces the existing national GI regimes and absorbs national GI titles. </w:t>
      </w:r>
    </w:p>
    <w:p w:rsidR="005F7D45" w:rsidRPr="008431A9" w:rsidRDefault="005F7D45" w:rsidP="001C4E21">
      <w:pPr>
        <w:pStyle w:val="Tiret2"/>
        <w:rPr>
          <w:noProof/>
        </w:rPr>
      </w:pPr>
      <w:r w:rsidRPr="008431A9">
        <w:rPr>
          <w:b/>
          <w:bCs/>
          <w:noProof/>
        </w:rPr>
        <w:t>2.5.B</w:t>
      </w:r>
      <w:r w:rsidRPr="008431A9">
        <w:rPr>
          <w:noProof/>
        </w:rPr>
        <w:t>. Introducing an EU GI title for CI products while keeping a parallel system for national GI applications.</w:t>
      </w:r>
    </w:p>
    <w:p w:rsidR="005F7D45" w:rsidRPr="008431A9" w:rsidRDefault="5D503A6A" w:rsidP="00ED7DFA">
      <w:pPr>
        <w:pStyle w:val="Bullet0"/>
        <w:rPr>
          <w:rFonts w:eastAsiaTheme="minorEastAsia"/>
          <w:noProof/>
          <w:szCs w:val="24"/>
        </w:rPr>
      </w:pPr>
      <w:r w:rsidRPr="008431A9">
        <w:rPr>
          <w:b/>
          <w:bCs/>
          <w:noProof/>
        </w:rPr>
        <w:t>Policy option 3 – Trade mark reform:</w:t>
      </w:r>
      <w:r w:rsidRPr="008431A9">
        <w:rPr>
          <w:noProof/>
        </w:rPr>
        <w:t xml:space="preserve"> this option would consist of reforming the EU trade mark system, in particular the EU trade mark Regulation (EUTMR), so that producers of CI products could apply to register at Union level a name guaranteeing a specific product quality linked to a geographical region. This option could be based on the reform of either the EU collective mark or the EU certification mark. On the EU certification, this would require removing the current ban on certifying geographical origin. For the EU collective mark, this would require introducing the function of certifying the 'quality-geographical origin' link to the collective mark. In addition, both the EU collective mark and the EU certification mark would have to be adapted to comply the scope of protection</w:t>
      </w:r>
      <w:r w:rsidR="2D747A30" w:rsidRPr="008431A9">
        <w:rPr>
          <w:noProof/>
        </w:rPr>
        <w:t xml:space="preserve"> </w:t>
      </w:r>
      <w:r w:rsidRPr="008431A9">
        <w:rPr>
          <w:noProof/>
        </w:rPr>
        <w:t>under the Geneva Act.</w:t>
      </w:r>
    </w:p>
    <w:p w:rsidR="00A67B94" w:rsidRPr="008431A9" w:rsidRDefault="00A67B94" w:rsidP="00603925">
      <w:pPr>
        <w:rPr>
          <w:noProof/>
        </w:rPr>
      </w:pPr>
      <w:r w:rsidRPr="008431A9">
        <w:rPr>
          <w:noProof/>
        </w:rPr>
        <w:t xml:space="preserve">The following options were also identified and discarded at an early stage: </w:t>
      </w:r>
    </w:p>
    <w:p w:rsidR="00A67B94" w:rsidRPr="008431A9" w:rsidRDefault="091FAB3B" w:rsidP="00603925">
      <w:pPr>
        <w:pStyle w:val="Bullet0"/>
        <w:rPr>
          <w:noProof/>
        </w:rPr>
      </w:pPr>
      <w:r w:rsidRPr="008431A9">
        <w:rPr>
          <w:b/>
          <w:bCs/>
          <w:noProof/>
        </w:rPr>
        <w:t>Baseline – no change:</w:t>
      </w:r>
      <w:r w:rsidRPr="008431A9">
        <w:rPr>
          <w:noProof/>
        </w:rPr>
        <w:t xml:space="preserve"> keeping the fragmented regulatory framework in the Union and the lack of recognised protection of CI GI products at international level. </w:t>
      </w:r>
    </w:p>
    <w:p w:rsidR="00A67B94" w:rsidRPr="008431A9" w:rsidRDefault="091FAB3B" w:rsidP="00603925">
      <w:pPr>
        <w:pStyle w:val="Bullet0"/>
        <w:rPr>
          <w:rFonts w:eastAsiaTheme="minorEastAsia"/>
          <w:b/>
          <w:bCs/>
          <w:noProof/>
        </w:rPr>
      </w:pPr>
      <w:r w:rsidRPr="008431A9">
        <w:rPr>
          <w:b/>
          <w:bCs/>
          <w:noProof/>
        </w:rPr>
        <w:t>Recommendation:</w:t>
      </w:r>
      <w:r w:rsidRPr="008431A9">
        <w:rPr>
          <w:noProof/>
        </w:rPr>
        <w:t xml:space="preserve"> this option would consist of adopting a recommendation at Union level, encouraging Member States to establish national protection systems to certify the link between specific product qualities and the origin of CI products.</w:t>
      </w:r>
    </w:p>
    <w:p w:rsidR="00A67B94" w:rsidRPr="008431A9" w:rsidRDefault="091FAB3B" w:rsidP="00603925">
      <w:pPr>
        <w:pStyle w:val="Bullet0"/>
        <w:rPr>
          <w:rFonts w:eastAsiaTheme="minorEastAsia"/>
          <w:b/>
          <w:bCs/>
          <w:noProof/>
        </w:rPr>
      </w:pPr>
      <w:r w:rsidRPr="008431A9">
        <w:rPr>
          <w:b/>
          <w:bCs/>
          <w:noProof/>
        </w:rPr>
        <w:t>Approximation of national laws</w:t>
      </w:r>
      <w:r w:rsidRPr="008431A9">
        <w:rPr>
          <w:noProof/>
        </w:rPr>
        <w:t>: this option would consist of adopting an EU directive in order to approximate national laws on the protection of GIs for CI products. Through a directive, the EU would create obligations to achieve specific objectives to protect GIs. For example on the term and scope of protection, the territorial link, and procedural aspects. Producers could obtain national GI titles registered at national level. No EU GI title would be created.</w:t>
      </w:r>
    </w:p>
    <w:p w:rsidR="005F7D45" w:rsidRPr="008431A9" w:rsidRDefault="005F7D45" w:rsidP="2D747A30">
      <w:pPr>
        <w:rPr>
          <w:rFonts w:eastAsia="Times New Roman"/>
          <w:noProof/>
        </w:rPr>
      </w:pPr>
      <w:r w:rsidRPr="008431A9">
        <w:rPr>
          <w:rFonts w:eastAsia="Times New Roman"/>
          <w:b/>
          <w:bCs/>
          <w:noProof/>
        </w:rPr>
        <w:t>The preferred policy option is option 2: self-standing EU Regulation. The overall preferred option package is a combination of sub-options 2.1.B</w:t>
      </w:r>
      <w:r w:rsidR="0075666C" w:rsidRPr="008431A9">
        <w:rPr>
          <w:rFonts w:eastAsia="Times New Roman"/>
          <w:b/>
          <w:bCs/>
          <w:noProof/>
        </w:rPr>
        <w:t xml:space="preserve"> </w:t>
      </w:r>
      <w:r w:rsidR="0075666C" w:rsidRPr="008431A9">
        <w:rPr>
          <w:rFonts w:eastAsia="Times New Roman"/>
          <w:bCs/>
          <w:noProof/>
        </w:rPr>
        <w:t>(</w:t>
      </w:r>
      <w:r w:rsidR="0075666C" w:rsidRPr="008431A9">
        <w:rPr>
          <w:noProof/>
        </w:rPr>
        <w:t>Protected geographical indications (PGI))</w:t>
      </w:r>
      <w:r w:rsidRPr="008431A9">
        <w:rPr>
          <w:rFonts w:eastAsia="Times New Roman"/>
          <w:b/>
          <w:bCs/>
          <w:noProof/>
        </w:rPr>
        <w:t>, 2.2.A</w:t>
      </w:r>
      <w:r w:rsidR="0075666C" w:rsidRPr="008431A9">
        <w:rPr>
          <w:rFonts w:eastAsia="Times New Roman"/>
          <w:b/>
          <w:bCs/>
          <w:noProof/>
        </w:rPr>
        <w:t xml:space="preserve"> </w:t>
      </w:r>
      <w:r w:rsidR="0075666C" w:rsidRPr="008431A9">
        <w:rPr>
          <w:rFonts w:eastAsia="Times New Roman"/>
          <w:bCs/>
          <w:noProof/>
        </w:rPr>
        <w:t>(t</w:t>
      </w:r>
      <w:r w:rsidR="0075666C" w:rsidRPr="008431A9">
        <w:rPr>
          <w:noProof/>
        </w:rPr>
        <w:t>wo-stage system)</w:t>
      </w:r>
      <w:r w:rsidRPr="008431A9">
        <w:rPr>
          <w:rFonts w:eastAsia="Times New Roman"/>
          <w:b/>
          <w:bCs/>
          <w:noProof/>
        </w:rPr>
        <w:t>, 2.3.B</w:t>
      </w:r>
      <w:r w:rsidR="0075666C" w:rsidRPr="008431A9">
        <w:rPr>
          <w:rFonts w:eastAsia="Times New Roman"/>
          <w:b/>
          <w:bCs/>
          <w:noProof/>
        </w:rPr>
        <w:t xml:space="preserve"> </w:t>
      </w:r>
      <w:r w:rsidR="0075666C" w:rsidRPr="008431A9">
        <w:rPr>
          <w:rFonts w:eastAsia="Times New Roman"/>
          <w:bCs/>
          <w:noProof/>
        </w:rPr>
        <w:t>(</w:t>
      </w:r>
      <w:r w:rsidR="0075666C" w:rsidRPr="008431A9">
        <w:rPr>
          <w:noProof/>
        </w:rPr>
        <w:t>EUIPO responsible for registration at Union and international level)</w:t>
      </w:r>
      <w:r w:rsidRPr="008431A9">
        <w:rPr>
          <w:rFonts w:eastAsia="Times New Roman"/>
          <w:b/>
          <w:bCs/>
          <w:noProof/>
        </w:rPr>
        <w:t xml:space="preserve">, 2.4.B </w:t>
      </w:r>
      <w:r w:rsidR="0075666C" w:rsidRPr="008431A9">
        <w:rPr>
          <w:rFonts w:eastAsia="Times New Roman"/>
          <w:bCs/>
          <w:noProof/>
        </w:rPr>
        <w:t>(s</w:t>
      </w:r>
      <w:r w:rsidR="0075666C" w:rsidRPr="008431A9">
        <w:rPr>
          <w:noProof/>
        </w:rPr>
        <w:t xml:space="preserve">treamlining control through robust enforcement) </w:t>
      </w:r>
      <w:r w:rsidRPr="008431A9">
        <w:rPr>
          <w:rFonts w:eastAsia="Times New Roman"/>
          <w:b/>
          <w:bCs/>
          <w:noProof/>
        </w:rPr>
        <w:t>and 2.5.A</w:t>
      </w:r>
      <w:r w:rsidR="0075666C" w:rsidRPr="008431A9">
        <w:rPr>
          <w:rFonts w:eastAsia="Times New Roman"/>
          <w:b/>
          <w:bCs/>
          <w:noProof/>
        </w:rPr>
        <w:t xml:space="preserve"> (</w:t>
      </w:r>
      <w:r w:rsidR="0075666C" w:rsidRPr="008431A9">
        <w:rPr>
          <w:rFonts w:eastAsia="Times New Roman"/>
          <w:bCs/>
          <w:noProof/>
        </w:rPr>
        <w:t>EU</w:t>
      </w:r>
      <w:r w:rsidR="0075666C" w:rsidRPr="008431A9">
        <w:rPr>
          <w:rFonts w:eastAsia="Times New Roman"/>
          <w:b/>
          <w:bCs/>
          <w:noProof/>
        </w:rPr>
        <w:t xml:space="preserve"> </w:t>
      </w:r>
      <w:r w:rsidR="0075666C" w:rsidRPr="008431A9">
        <w:rPr>
          <w:rFonts w:eastAsia="Times New Roman"/>
          <w:bCs/>
          <w:noProof/>
        </w:rPr>
        <w:t xml:space="preserve">scheme </w:t>
      </w:r>
      <w:r w:rsidR="0075666C" w:rsidRPr="008431A9">
        <w:rPr>
          <w:noProof/>
        </w:rPr>
        <w:t>replaces national GI regimes and titles)</w:t>
      </w:r>
      <w:r w:rsidRPr="008431A9">
        <w:rPr>
          <w:rFonts w:eastAsia="Times New Roman"/>
          <w:b/>
          <w:bCs/>
          <w:noProof/>
        </w:rPr>
        <w:t>.</w:t>
      </w:r>
      <w:r w:rsidRPr="008431A9">
        <w:rPr>
          <w:rFonts w:eastAsia="Times New Roman"/>
          <w:noProof/>
        </w:rPr>
        <w:t xml:space="preserve"> </w:t>
      </w:r>
    </w:p>
    <w:p w:rsidR="005F7D45" w:rsidRPr="008431A9" w:rsidRDefault="005F7D45" w:rsidP="5C4B0EEF">
      <w:pPr>
        <w:rPr>
          <w:rFonts w:eastAsia="Times New Roman"/>
          <w:noProof/>
        </w:rPr>
      </w:pPr>
      <w:r w:rsidRPr="008431A9">
        <w:rPr>
          <w:rFonts w:eastAsia="Times New Roman"/>
          <w:noProof/>
        </w:rPr>
        <w:t xml:space="preserve">When </w:t>
      </w:r>
      <w:r w:rsidRPr="008431A9">
        <w:rPr>
          <w:rFonts w:eastAsia="Times New Roman"/>
          <w:b/>
          <w:bCs/>
          <w:noProof/>
        </w:rPr>
        <w:t>comparing options 1, 2 and 3</w:t>
      </w:r>
      <w:r w:rsidR="00A67B94" w:rsidRPr="008431A9">
        <w:rPr>
          <w:rFonts w:eastAsia="Times New Roman"/>
          <w:b/>
          <w:bCs/>
          <w:noProof/>
        </w:rPr>
        <w:t>,</w:t>
      </w:r>
      <w:r w:rsidRPr="008431A9">
        <w:rPr>
          <w:rFonts w:eastAsia="Times New Roman"/>
          <w:noProof/>
        </w:rPr>
        <w:t xml:space="preserve"> they all provide a single registration point at the Union level and uniform protection that will enable producers to protect and signal quality of their products due to geographical origin in the internal market.</w:t>
      </w:r>
    </w:p>
    <w:p w:rsidR="005F7D45" w:rsidRPr="008431A9" w:rsidRDefault="005F7D45" w:rsidP="2D747A30">
      <w:pPr>
        <w:rPr>
          <w:rFonts w:eastAsia="Times New Roman"/>
          <w:noProof/>
          <w:lang w:val="en-US"/>
        </w:rPr>
      </w:pPr>
      <w:r w:rsidRPr="008431A9">
        <w:rPr>
          <w:rFonts w:eastAsia="Times New Roman"/>
          <w:noProof/>
          <w:lang w:val="en-US"/>
        </w:rPr>
        <w:t>However, by developing product specifications, policy option 1 (</w:t>
      </w:r>
      <w:r w:rsidRPr="008431A9">
        <w:rPr>
          <w:rFonts w:eastAsia="Times New Roman"/>
          <w:b/>
          <w:bCs/>
          <w:noProof/>
          <w:lang w:val="en-US"/>
        </w:rPr>
        <w:t>PO1) and policy option 2 (PO2)</w:t>
      </w:r>
      <w:r w:rsidRPr="008431A9">
        <w:rPr>
          <w:rFonts w:eastAsia="Times New Roman"/>
          <w:noProof/>
          <w:lang w:val="en-US"/>
        </w:rPr>
        <w:t xml:space="preserve"> would rank particularly high in helping artisans and producers to work together in niche markets, enabling cooperation, and </w:t>
      </w:r>
      <w:r w:rsidRPr="008431A9">
        <w:rPr>
          <w:rFonts w:eastAsia="Times New Roman"/>
          <w:b/>
          <w:bCs/>
          <w:noProof/>
          <w:lang w:val="en-US"/>
        </w:rPr>
        <w:t>promoting and protecting traditional know-how,</w:t>
      </w:r>
      <w:r w:rsidRPr="008431A9">
        <w:rPr>
          <w:rFonts w:eastAsia="Times New Roman"/>
          <w:noProof/>
          <w:lang w:val="en-US"/>
        </w:rPr>
        <w:t xml:space="preserve"> </w:t>
      </w:r>
      <w:r w:rsidRPr="008431A9">
        <w:rPr>
          <w:rFonts w:eastAsia="Times New Roman"/>
          <w:b/>
          <w:bCs/>
          <w:noProof/>
          <w:lang w:val="en-US"/>
        </w:rPr>
        <w:t>at Union level,</w:t>
      </w:r>
      <w:r w:rsidRPr="008431A9">
        <w:rPr>
          <w:rFonts w:eastAsia="Times New Roman"/>
          <w:noProof/>
          <w:lang w:val="en-US"/>
        </w:rPr>
        <w:t xml:space="preserve"> in compliance with </w:t>
      </w:r>
      <w:r w:rsidRPr="008431A9">
        <w:rPr>
          <w:rFonts w:eastAsia="Times New Roman"/>
          <w:b/>
          <w:bCs/>
          <w:noProof/>
          <w:lang w:val="en-US"/>
        </w:rPr>
        <w:t xml:space="preserve">EU competition rules. </w:t>
      </w:r>
      <w:r w:rsidRPr="008431A9">
        <w:rPr>
          <w:rFonts w:eastAsia="Times New Roman"/>
          <w:noProof/>
          <w:lang w:val="en-US"/>
        </w:rPr>
        <w:t>These two options also</w:t>
      </w:r>
      <w:r w:rsidRPr="008431A9">
        <w:rPr>
          <w:rFonts w:eastAsia="Times New Roman"/>
          <w:noProof/>
        </w:rPr>
        <w:t xml:space="preserve"> benefit not only producers, but also related </w:t>
      </w:r>
      <w:r w:rsidR="00046B07" w:rsidRPr="008431A9">
        <w:rPr>
          <w:rFonts w:eastAsia="Times New Roman"/>
          <w:b/>
          <w:bCs/>
          <w:noProof/>
        </w:rPr>
        <w:t>sectors</w:t>
      </w:r>
      <w:r w:rsidRPr="008431A9">
        <w:rPr>
          <w:rFonts w:eastAsia="Times New Roman"/>
          <w:noProof/>
        </w:rPr>
        <w:t xml:space="preserve">, such as </w:t>
      </w:r>
      <w:r w:rsidRPr="008431A9">
        <w:rPr>
          <w:rFonts w:eastAsia="Times New Roman"/>
          <w:b/>
          <w:bCs/>
          <w:noProof/>
        </w:rPr>
        <w:t>tourism</w:t>
      </w:r>
      <w:r w:rsidRPr="008431A9">
        <w:rPr>
          <w:rFonts w:eastAsia="Times New Roman"/>
          <w:noProof/>
        </w:rPr>
        <w:t xml:space="preserve">, as </w:t>
      </w:r>
      <w:r w:rsidRPr="008431A9">
        <w:rPr>
          <w:rFonts w:eastAsia="Times New Roman"/>
          <w:b/>
          <w:bCs/>
          <w:noProof/>
        </w:rPr>
        <w:t>GIs raise the visibility of the product and the region</w:t>
      </w:r>
      <w:r w:rsidRPr="008431A9">
        <w:rPr>
          <w:rFonts w:eastAsia="Times New Roman"/>
          <w:noProof/>
        </w:rPr>
        <w:t xml:space="preserve">. </w:t>
      </w:r>
      <w:r w:rsidRPr="008431A9">
        <w:rPr>
          <w:rFonts w:eastAsia="Times New Roman"/>
          <w:noProof/>
          <w:lang w:val="en-US"/>
        </w:rPr>
        <w:t xml:space="preserve">With tourism being a sector particularly hard-hit by the COVID-19 </w:t>
      </w:r>
      <w:r w:rsidRPr="008431A9">
        <w:rPr>
          <w:rFonts w:eastAsia="Times New Roman"/>
          <w:noProof/>
          <w:lang w:val="en-US"/>
        </w:rPr>
        <w:lastRenderedPageBreak/>
        <w:t xml:space="preserve">pandemic, PO1 and PO2 can prove to be a major step in putting these regions, often underdeveloped, back on track towards </w:t>
      </w:r>
      <w:r w:rsidRPr="008431A9">
        <w:rPr>
          <w:rFonts w:eastAsia="Times New Roman"/>
          <w:b/>
          <w:bCs/>
          <w:noProof/>
          <w:lang w:val="en-US"/>
        </w:rPr>
        <w:t>economic recovery</w:t>
      </w:r>
      <w:r w:rsidRPr="008431A9">
        <w:rPr>
          <w:rFonts w:eastAsia="Times New Roman"/>
          <w:noProof/>
          <w:lang w:val="en-US"/>
        </w:rPr>
        <w:t xml:space="preserve"> and help improve </w:t>
      </w:r>
      <w:r w:rsidRPr="008431A9">
        <w:rPr>
          <w:rFonts w:eastAsia="Times New Roman"/>
          <w:b/>
          <w:bCs/>
          <w:noProof/>
          <w:lang w:val="en-US"/>
        </w:rPr>
        <w:t>attractiveness of EU regions</w:t>
      </w:r>
      <w:r w:rsidRPr="008431A9">
        <w:rPr>
          <w:rFonts w:eastAsia="Times New Roman"/>
          <w:noProof/>
          <w:lang w:val="en-US"/>
        </w:rPr>
        <w:t xml:space="preserve"> for tourism. PO1 and PO2 can therefore play a vital role in enabling recovery in the EU’s hard-hit regions. </w:t>
      </w:r>
    </w:p>
    <w:p w:rsidR="005F7D45" w:rsidRPr="008431A9" w:rsidRDefault="005F7D45" w:rsidP="2D747A30">
      <w:pPr>
        <w:rPr>
          <w:rFonts w:eastAsia="Times New Roman"/>
          <w:noProof/>
        </w:rPr>
      </w:pPr>
      <w:r w:rsidRPr="008431A9">
        <w:rPr>
          <w:rFonts w:eastAsia="Times New Roman"/>
          <w:noProof/>
        </w:rPr>
        <w:t xml:space="preserve">PO1 and 2 comply with the </w:t>
      </w:r>
      <w:r w:rsidRPr="008431A9">
        <w:rPr>
          <w:rFonts w:eastAsia="Times New Roman"/>
          <w:noProof/>
          <w:lang w:val="en-US"/>
        </w:rPr>
        <w:t xml:space="preserve">Geneva Act of the Lisbon Agreement, whereas PO3 ranks lower also in relation to the EU Trade Mark policy. Moreover, </w:t>
      </w:r>
      <w:r w:rsidRPr="008431A9">
        <w:rPr>
          <w:rFonts w:eastAsia="Times New Roman"/>
          <w:b/>
          <w:bCs/>
          <w:noProof/>
          <w:lang w:val="en-US"/>
        </w:rPr>
        <w:t>PO3</w:t>
      </w:r>
      <w:r w:rsidRPr="008431A9">
        <w:rPr>
          <w:rFonts w:eastAsia="Times New Roman"/>
          <w:noProof/>
          <w:lang w:val="en-US"/>
        </w:rPr>
        <w:t xml:space="preserve"> also ranks low on coherence with the </w:t>
      </w:r>
      <w:r w:rsidRPr="008431A9">
        <w:rPr>
          <w:rFonts w:eastAsia="Times New Roman"/>
          <w:b/>
          <w:bCs/>
          <w:noProof/>
          <w:lang w:val="en-US"/>
        </w:rPr>
        <w:t>EU international GI protection</w:t>
      </w:r>
      <w:r w:rsidRPr="008431A9">
        <w:rPr>
          <w:rFonts w:eastAsia="Times New Roman"/>
          <w:noProof/>
          <w:lang w:val="en-US"/>
        </w:rPr>
        <w:t xml:space="preserve"> policy.</w:t>
      </w:r>
    </w:p>
    <w:p w:rsidR="005F7D45" w:rsidRPr="008431A9" w:rsidRDefault="005F7D45" w:rsidP="2D747A30">
      <w:pPr>
        <w:rPr>
          <w:rFonts w:eastAsia="Times New Roman"/>
          <w:noProof/>
        </w:rPr>
      </w:pPr>
      <w:r w:rsidRPr="008431A9">
        <w:rPr>
          <w:rFonts w:eastAsia="Times New Roman"/>
          <w:noProof/>
        </w:rPr>
        <w:t xml:space="preserve">On the </w:t>
      </w:r>
      <w:r w:rsidRPr="008431A9">
        <w:rPr>
          <w:rFonts w:eastAsia="Times New Roman"/>
          <w:b/>
          <w:bCs/>
          <w:noProof/>
        </w:rPr>
        <w:t>impact on competition</w:t>
      </w:r>
      <w:r w:rsidRPr="008431A9">
        <w:rPr>
          <w:rFonts w:eastAsia="Times New Roman"/>
          <w:noProof/>
        </w:rPr>
        <w:t>, the</w:t>
      </w:r>
      <w:r w:rsidR="00927B06" w:rsidRPr="008431A9">
        <w:rPr>
          <w:rFonts w:eastAsia="Times New Roman"/>
          <w:noProof/>
        </w:rPr>
        <w:t xml:space="preserve"> initiative is</w:t>
      </w:r>
      <w:r w:rsidRPr="008431A9">
        <w:rPr>
          <w:rFonts w:eastAsia="Times New Roman"/>
          <w:noProof/>
        </w:rPr>
        <w:t xml:space="preserve"> </w:t>
      </w:r>
      <w:r w:rsidR="00927B06" w:rsidRPr="008431A9">
        <w:rPr>
          <w:rFonts w:eastAsia="Times New Roman"/>
          <w:noProof/>
        </w:rPr>
        <w:t>un</w:t>
      </w:r>
      <w:r w:rsidRPr="008431A9">
        <w:rPr>
          <w:rFonts w:eastAsia="Times New Roman"/>
          <w:noProof/>
        </w:rPr>
        <w:t>likely</w:t>
      </w:r>
      <w:r w:rsidR="00927B06" w:rsidRPr="008431A9">
        <w:rPr>
          <w:rFonts w:eastAsia="Times New Roman"/>
          <w:noProof/>
        </w:rPr>
        <w:t xml:space="preserve"> to have any negative effects</w:t>
      </w:r>
      <w:r w:rsidRPr="008431A9">
        <w:rPr>
          <w:rFonts w:eastAsia="Times New Roman"/>
          <w:noProof/>
        </w:rPr>
        <w:t>.</w:t>
      </w:r>
    </w:p>
    <w:p w:rsidR="005F7D45" w:rsidRPr="008431A9" w:rsidRDefault="5D503A6A" w:rsidP="00ED7DFA">
      <w:pPr>
        <w:pStyle w:val="Bullet0"/>
        <w:rPr>
          <w:rFonts w:eastAsiaTheme="minorEastAsia"/>
          <w:noProof/>
        </w:rPr>
      </w:pPr>
      <w:r w:rsidRPr="008431A9">
        <w:rPr>
          <w:noProof/>
        </w:rPr>
        <w:t xml:space="preserve">GIs certify the quality due to geographical origin. Furthermore, there are very few eligible CI GI products (between 300 and 800 in the Union), with close non-GI covered functional substitutes being abundant. Competing producers are able to enter and produce GI covered substitutes, if only they fulfil the relevant criteria. For these reasons, </w:t>
      </w:r>
      <w:r w:rsidRPr="008431A9">
        <w:rPr>
          <w:b/>
          <w:bCs/>
          <w:noProof/>
        </w:rPr>
        <w:t>market power is very unlikely to be created or enhanced by the</w:t>
      </w:r>
      <w:r w:rsidR="005F7D45" w:rsidRPr="008431A9" w:rsidDel="5D503A6A">
        <w:rPr>
          <w:b/>
          <w:bCs/>
          <w:noProof/>
        </w:rPr>
        <w:t xml:space="preserve"> </w:t>
      </w:r>
      <w:r w:rsidRPr="008431A9">
        <w:rPr>
          <w:b/>
          <w:bCs/>
          <w:noProof/>
        </w:rPr>
        <w:t>proposal.</w:t>
      </w:r>
    </w:p>
    <w:p w:rsidR="00AB47BF" w:rsidRPr="008431A9" w:rsidRDefault="63AAD501" w:rsidP="00D62A5E">
      <w:pPr>
        <w:pStyle w:val="Bullet0"/>
        <w:rPr>
          <w:noProof/>
          <w:szCs w:val="24"/>
        </w:rPr>
      </w:pPr>
      <w:r w:rsidRPr="008431A9">
        <w:rPr>
          <w:noProof/>
          <w:lang w:val="en-IE"/>
        </w:rPr>
        <w:t xml:space="preserve">CI GIs are credence upmarket products. They are based on tradition, convey information about their geographical origin, and address specific demand of consumers who attach value to such specific qualities (e.g., manual manufacturing techniques). Even if market rivalry would be muted if a previously non-GI product turns GI, the resulting </w:t>
      </w:r>
      <w:r w:rsidRPr="008431A9">
        <w:rPr>
          <w:noProof/>
        </w:rPr>
        <w:t xml:space="preserve">quality signalling effects of the CI GI title </w:t>
      </w:r>
      <w:r w:rsidR="6F97E13D" w:rsidRPr="008431A9">
        <w:rPr>
          <w:noProof/>
        </w:rPr>
        <w:t xml:space="preserve">would </w:t>
      </w:r>
      <w:r w:rsidR="7D909D3E" w:rsidRPr="008431A9">
        <w:rPr>
          <w:noProof/>
        </w:rPr>
        <w:t>result in a</w:t>
      </w:r>
      <w:r w:rsidR="6F97E13D" w:rsidRPr="008431A9">
        <w:rPr>
          <w:noProof/>
        </w:rPr>
        <w:t xml:space="preserve"> possibly </w:t>
      </w:r>
      <w:r w:rsidR="7D909D3E" w:rsidRPr="008431A9">
        <w:rPr>
          <w:noProof/>
        </w:rPr>
        <w:t>increase of consumers’ willingness</w:t>
      </w:r>
      <w:r w:rsidR="6F97E13D" w:rsidRPr="008431A9">
        <w:rPr>
          <w:noProof/>
        </w:rPr>
        <w:t xml:space="preserve"> </w:t>
      </w:r>
      <w:r w:rsidR="7D909D3E" w:rsidRPr="008431A9">
        <w:rPr>
          <w:noProof/>
        </w:rPr>
        <w:t>to pay</w:t>
      </w:r>
      <w:r w:rsidRPr="008431A9">
        <w:rPr>
          <w:noProof/>
        </w:rPr>
        <w:t xml:space="preserve">. Therefore </w:t>
      </w:r>
      <w:r w:rsidRPr="008431A9">
        <w:rPr>
          <w:b/>
          <w:bCs/>
          <w:noProof/>
        </w:rPr>
        <w:t>consumer surplus is unlikely to be affected</w:t>
      </w:r>
      <w:r w:rsidRPr="008431A9">
        <w:rPr>
          <w:noProof/>
        </w:rPr>
        <w:t>.</w:t>
      </w:r>
      <w:r w:rsidR="00AB47BF" w:rsidRPr="008431A9">
        <w:rPr>
          <w:noProof/>
        </w:rPr>
        <w:t xml:space="preserve"> </w:t>
      </w:r>
    </w:p>
    <w:p w:rsidR="005F7D45" w:rsidRPr="008431A9" w:rsidRDefault="63AAD501" w:rsidP="2D747A30">
      <w:pPr>
        <w:rPr>
          <w:rFonts w:eastAsia="Times New Roman"/>
          <w:noProof/>
        </w:rPr>
      </w:pPr>
      <w:r w:rsidRPr="008431A9">
        <w:rPr>
          <w:rFonts w:eastAsia="Times New Roman"/>
          <w:noProof/>
        </w:rPr>
        <w:t xml:space="preserve">On the </w:t>
      </w:r>
      <w:r w:rsidRPr="008431A9">
        <w:rPr>
          <w:rFonts w:eastAsia="Times New Roman"/>
          <w:b/>
          <w:bCs/>
          <w:noProof/>
        </w:rPr>
        <w:t>impact on innovation</w:t>
      </w:r>
      <w:r w:rsidRPr="008431A9">
        <w:rPr>
          <w:rFonts w:eastAsia="Times New Roman"/>
          <w:noProof/>
        </w:rPr>
        <w:t xml:space="preserve">, CI GIs are not rooted in ‘hard core’ product or process innovation such as patents. In that sense, following Oslo Innovation Manual they constitute marketing and/or organisational innovation. </w:t>
      </w:r>
      <w:r w:rsidRPr="008431A9">
        <w:rPr>
          <w:rFonts w:eastAsia="Times New Roman"/>
          <w:b/>
          <w:bCs/>
          <w:noProof/>
        </w:rPr>
        <w:t xml:space="preserve">The specific system would, at the margin, incentivise investment in craftsmanship </w:t>
      </w:r>
      <w:r w:rsidRPr="008431A9">
        <w:rPr>
          <w:rFonts w:eastAsia="Times New Roman"/>
          <w:noProof/>
        </w:rPr>
        <w:t xml:space="preserve">and could improve excellence in the production of niche products. Also, to the extent that the CI GI system would allow for higher wages and job creation, younger workers would remain in their regions rather than be drawn to urban areas. </w:t>
      </w:r>
    </w:p>
    <w:p w:rsidR="005F7D45" w:rsidRPr="008431A9" w:rsidRDefault="63AAD501" w:rsidP="21B8C7C5">
      <w:pPr>
        <w:rPr>
          <w:rFonts w:eastAsia="Times New Roman"/>
          <w:noProof/>
        </w:rPr>
      </w:pPr>
      <w:r w:rsidRPr="008431A9">
        <w:rPr>
          <w:rFonts w:eastAsia="Times New Roman"/>
          <w:noProof/>
        </w:rPr>
        <w:t xml:space="preserve">On the </w:t>
      </w:r>
      <w:r w:rsidRPr="008431A9">
        <w:rPr>
          <w:rFonts w:eastAsia="Times New Roman"/>
          <w:b/>
          <w:bCs/>
          <w:noProof/>
        </w:rPr>
        <w:t>impact on the environment</w:t>
      </w:r>
      <w:r w:rsidRPr="008431A9">
        <w:rPr>
          <w:rFonts w:eastAsia="Times New Roman"/>
          <w:noProof/>
        </w:rPr>
        <w:t xml:space="preserve">, the scale of production generated by the handful of CI GI products is likely de minims or limited. Also, CI GIs generate more durable good compared to cheaper non-CI GI mass production alternatives and is more likely to be produced in the Union where environmental standards are more stringent. Consumers who express a preference for such credence goods are likely to be the environmentally aware and therefore expect CI GI producers to join them in </w:t>
      </w:r>
      <w:r w:rsidR="7D909D3E" w:rsidRPr="008431A9">
        <w:rPr>
          <w:rFonts w:eastAsia="Times New Roman"/>
          <w:noProof/>
        </w:rPr>
        <w:t xml:space="preserve">meaningful applying </w:t>
      </w:r>
      <w:r w:rsidRPr="008431A9">
        <w:rPr>
          <w:rFonts w:eastAsia="Times New Roman"/>
          <w:noProof/>
        </w:rPr>
        <w:t>environmental</w:t>
      </w:r>
      <w:r w:rsidR="7D909D3E" w:rsidRPr="008431A9">
        <w:rPr>
          <w:rFonts w:eastAsia="Times New Roman"/>
          <w:noProof/>
        </w:rPr>
        <w:t xml:space="preserve"> values</w:t>
      </w:r>
      <w:r w:rsidRPr="008431A9">
        <w:rPr>
          <w:rFonts w:eastAsia="Times New Roman"/>
          <w:noProof/>
        </w:rPr>
        <w:t xml:space="preserve">. For all those reasons, </w:t>
      </w:r>
      <w:r w:rsidRPr="008431A9">
        <w:rPr>
          <w:rFonts w:eastAsia="Times New Roman"/>
          <w:b/>
          <w:bCs/>
          <w:noProof/>
        </w:rPr>
        <w:t>the environmental effect – however small – is likely to be positive</w:t>
      </w:r>
      <w:r w:rsidRPr="008431A9">
        <w:rPr>
          <w:rFonts w:eastAsia="Times New Roman"/>
          <w:noProof/>
        </w:rPr>
        <w:t xml:space="preserve">. </w:t>
      </w:r>
    </w:p>
    <w:p w:rsidR="005F7D45" w:rsidRPr="008431A9" w:rsidRDefault="005F7D45" w:rsidP="2D747A30">
      <w:pPr>
        <w:rPr>
          <w:rFonts w:eastAsia="Times New Roman"/>
          <w:noProof/>
        </w:rPr>
      </w:pPr>
      <w:r w:rsidRPr="008431A9">
        <w:rPr>
          <w:rFonts w:eastAsia="Times New Roman"/>
          <w:noProof/>
        </w:rPr>
        <w:t xml:space="preserve">On the </w:t>
      </w:r>
      <w:r w:rsidRPr="008431A9">
        <w:rPr>
          <w:rFonts w:eastAsia="Times New Roman"/>
          <w:b/>
          <w:bCs/>
          <w:noProof/>
        </w:rPr>
        <w:t>costs of the preferred option</w:t>
      </w:r>
      <w:r w:rsidRPr="008431A9">
        <w:rPr>
          <w:rFonts w:eastAsia="Times New Roman"/>
          <w:noProof/>
        </w:rPr>
        <w:t xml:space="preserve">, an EU entity will have to manage the GI registration system for CI products and obtain the operational experience and specialised skills that it is currently missing in the field. Member States will also have to create a framework. Even if experience shows that in agriculture this burden can be light, an entirely private-public system of control and enforcement is by definition less costly for public authorities. The possibility for producers to self-declare compliance over time, for example, once the GI title is granted can also lower the costs. </w:t>
      </w:r>
    </w:p>
    <w:p w:rsidR="005F7D45" w:rsidRPr="008431A9" w:rsidRDefault="005F7D45" w:rsidP="2D747A30">
      <w:pPr>
        <w:rPr>
          <w:rFonts w:eastAsia="Times New Roman"/>
          <w:noProof/>
        </w:rPr>
      </w:pPr>
      <w:r w:rsidRPr="008431A9">
        <w:rPr>
          <w:rFonts w:eastAsia="Times New Roman"/>
          <w:noProof/>
        </w:rPr>
        <w:t xml:space="preserve">An </w:t>
      </w:r>
      <w:r w:rsidRPr="008431A9">
        <w:rPr>
          <w:rFonts w:eastAsia="Times New Roman"/>
          <w:b/>
          <w:bCs/>
          <w:noProof/>
        </w:rPr>
        <w:t>estimation of annual costs in euro for one GI</w:t>
      </w:r>
      <w:r w:rsidRPr="008431A9">
        <w:rPr>
          <w:rFonts w:eastAsia="Times New Roman"/>
          <w:noProof/>
        </w:rPr>
        <w:t xml:space="preserve"> is shown below: </w:t>
      </w:r>
    </w:p>
    <w:tbl>
      <w:tblPr>
        <w:tblStyle w:val="TableGrid"/>
        <w:tblW w:w="0" w:type="auto"/>
        <w:tblLayout w:type="fixed"/>
        <w:tblLook w:val="04A0" w:firstRow="1" w:lastRow="0" w:firstColumn="1" w:lastColumn="0" w:noHBand="0" w:noVBand="1"/>
      </w:tblPr>
      <w:tblGrid>
        <w:gridCol w:w="2518"/>
        <w:gridCol w:w="1547"/>
        <w:gridCol w:w="1845"/>
        <w:gridCol w:w="1695"/>
        <w:gridCol w:w="1215"/>
      </w:tblGrid>
      <w:tr w:rsidR="31D194DA" w:rsidRPr="008431A9" w:rsidTr="2D747A30">
        <w:trPr>
          <w:trHeight w:val="300"/>
        </w:trPr>
        <w:tc>
          <w:tcPr>
            <w:tcW w:w="2518" w:type="dxa"/>
            <w:vMerge w:val="restart"/>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rPr>
                <w:rFonts w:eastAsia="Times New Roman"/>
                <w:b/>
                <w:bCs/>
                <w:noProof/>
                <w:sz w:val="18"/>
                <w:szCs w:val="18"/>
              </w:rPr>
            </w:pPr>
            <w:r w:rsidRPr="008431A9">
              <w:rPr>
                <w:rFonts w:eastAsia="Times New Roman"/>
                <w:b/>
                <w:bCs/>
                <w:noProof/>
                <w:sz w:val="18"/>
                <w:szCs w:val="18"/>
              </w:rPr>
              <w:t>Action</w:t>
            </w:r>
          </w:p>
        </w:tc>
        <w:tc>
          <w:tcPr>
            <w:tcW w:w="1547" w:type="dxa"/>
            <w:vMerge w:val="restart"/>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jc w:val="center"/>
              <w:rPr>
                <w:rFonts w:eastAsia="Times New Roman"/>
                <w:b/>
                <w:bCs/>
                <w:noProof/>
                <w:sz w:val="18"/>
                <w:szCs w:val="18"/>
              </w:rPr>
            </w:pPr>
            <w:r w:rsidRPr="008431A9">
              <w:rPr>
                <w:rFonts w:eastAsia="Times New Roman"/>
                <w:b/>
                <w:bCs/>
                <w:noProof/>
                <w:sz w:val="18"/>
                <w:szCs w:val="18"/>
              </w:rPr>
              <w:t>Producers (group)</w:t>
            </w:r>
          </w:p>
        </w:tc>
        <w:tc>
          <w:tcPr>
            <w:tcW w:w="3540" w:type="dxa"/>
            <w:gridSpan w:val="2"/>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jc w:val="center"/>
              <w:rPr>
                <w:rFonts w:eastAsia="Times New Roman"/>
                <w:b/>
                <w:bCs/>
                <w:noProof/>
                <w:sz w:val="18"/>
                <w:szCs w:val="18"/>
              </w:rPr>
            </w:pPr>
            <w:r w:rsidRPr="008431A9">
              <w:rPr>
                <w:rFonts w:eastAsia="Times New Roman"/>
                <w:b/>
                <w:bCs/>
                <w:noProof/>
                <w:sz w:val="18"/>
                <w:szCs w:val="18"/>
              </w:rPr>
              <w:t>Authorities</w:t>
            </w:r>
          </w:p>
        </w:tc>
        <w:tc>
          <w:tcPr>
            <w:tcW w:w="1215" w:type="dxa"/>
            <w:vMerge w:val="restart"/>
            <w:tcBorders>
              <w:top w:val="single" w:sz="8" w:space="0" w:color="auto"/>
              <w:left w:val="nil"/>
              <w:bottom w:val="single" w:sz="8" w:space="0" w:color="auto"/>
              <w:right w:val="single" w:sz="8" w:space="0" w:color="auto"/>
            </w:tcBorders>
          </w:tcPr>
          <w:p w:rsidR="31D194DA" w:rsidRPr="008431A9" w:rsidRDefault="31D194DA" w:rsidP="00DD6AD1">
            <w:pPr>
              <w:spacing w:before="0" w:after="0"/>
              <w:jc w:val="center"/>
              <w:rPr>
                <w:rFonts w:eastAsia="Times New Roman"/>
                <w:b/>
                <w:bCs/>
                <w:noProof/>
                <w:sz w:val="18"/>
                <w:szCs w:val="18"/>
              </w:rPr>
            </w:pPr>
            <w:r w:rsidRPr="008431A9">
              <w:rPr>
                <w:rFonts w:eastAsia="Times New Roman"/>
                <w:b/>
                <w:bCs/>
                <w:noProof/>
                <w:sz w:val="18"/>
                <w:szCs w:val="18"/>
              </w:rPr>
              <w:t>Total</w:t>
            </w:r>
          </w:p>
          <w:p w:rsidR="31D194DA" w:rsidRPr="008431A9" w:rsidRDefault="31D194DA" w:rsidP="00DD6AD1">
            <w:pPr>
              <w:spacing w:before="0" w:after="0"/>
              <w:jc w:val="center"/>
              <w:rPr>
                <w:rFonts w:eastAsia="Times New Roman"/>
                <w:b/>
                <w:bCs/>
                <w:noProof/>
                <w:sz w:val="18"/>
                <w:szCs w:val="18"/>
              </w:rPr>
            </w:pPr>
          </w:p>
        </w:tc>
      </w:tr>
      <w:tr w:rsidR="31D194DA" w:rsidRPr="008431A9" w:rsidTr="2D747A3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300"/>
        </w:trPr>
        <w:tc>
          <w:tcPr>
            <w:tcW w:w="2518" w:type="dxa"/>
            <w:vMerge/>
            <w:vAlign w:val="center"/>
          </w:tcPr>
          <w:p w:rsidR="0015298C" w:rsidRPr="008431A9" w:rsidRDefault="0015298C">
            <w:pPr>
              <w:rPr>
                <w:noProof/>
              </w:rPr>
            </w:pPr>
          </w:p>
        </w:tc>
        <w:tc>
          <w:tcPr>
            <w:tcW w:w="1547" w:type="dxa"/>
            <w:vMerge/>
            <w:vAlign w:val="center"/>
          </w:tcPr>
          <w:p w:rsidR="0015298C" w:rsidRPr="008431A9" w:rsidRDefault="0015298C">
            <w:pPr>
              <w:rPr>
                <w:noProof/>
              </w:rPr>
            </w:pPr>
          </w:p>
        </w:tc>
        <w:tc>
          <w:tcPr>
            <w:tcW w:w="1845" w:type="dxa"/>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jc w:val="center"/>
              <w:rPr>
                <w:rFonts w:eastAsia="Times New Roman"/>
                <w:b/>
                <w:bCs/>
                <w:noProof/>
                <w:sz w:val="18"/>
                <w:szCs w:val="18"/>
              </w:rPr>
            </w:pPr>
            <w:r w:rsidRPr="008431A9">
              <w:rPr>
                <w:rFonts w:eastAsia="Times New Roman"/>
                <w:b/>
                <w:bCs/>
                <w:noProof/>
                <w:sz w:val="18"/>
                <w:szCs w:val="18"/>
              </w:rPr>
              <w:t>National</w:t>
            </w:r>
          </w:p>
        </w:tc>
        <w:tc>
          <w:tcPr>
            <w:tcW w:w="1695" w:type="dxa"/>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jc w:val="center"/>
              <w:rPr>
                <w:rFonts w:eastAsia="Times New Roman"/>
                <w:b/>
                <w:bCs/>
                <w:noProof/>
                <w:sz w:val="18"/>
                <w:szCs w:val="18"/>
              </w:rPr>
            </w:pPr>
            <w:r w:rsidRPr="008431A9">
              <w:rPr>
                <w:rFonts w:eastAsia="Times New Roman"/>
                <w:b/>
                <w:bCs/>
                <w:noProof/>
                <w:sz w:val="18"/>
                <w:szCs w:val="18"/>
              </w:rPr>
              <w:t>EU</w:t>
            </w:r>
          </w:p>
        </w:tc>
        <w:tc>
          <w:tcPr>
            <w:tcW w:w="1215" w:type="dxa"/>
            <w:vMerge/>
            <w:vAlign w:val="center"/>
          </w:tcPr>
          <w:p w:rsidR="0015298C" w:rsidRPr="008431A9" w:rsidRDefault="0015298C">
            <w:pPr>
              <w:rPr>
                <w:noProof/>
              </w:rPr>
            </w:pPr>
          </w:p>
        </w:tc>
      </w:tr>
      <w:tr w:rsidR="31D194DA" w:rsidRPr="008431A9" w:rsidTr="2D747A3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8820" w:type="dxa"/>
            <w:gridSpan w:val="5"/>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jc w:val="center"/>
              <w:rPr>
                <w:rFonts w:eastAsia="Times New Roman"/>
                <w:b/>
                <w:bCs/>
                <w:noProof/>
                <w:sz w:val="18"/>
                <w:szCs w:val="18"/>
              </w:rPr>
            </w:pPr>
            <w:r w:rsidRPr="008431A9">
              <w:rPr>
                <w:rFonts w:eastAsia="Times New Roman"/>
                <w:b/>
                <w:bCs/>
                <w:noProof/>
                <w:sz w:val="18"/>
                <w:szCs w:val="18"/>
              </w:rPr>
              <w:t>Annual Cost of one GI (EUR)</w:t>
            </w:r>
          </w:p>
        </w:tc>
      </w:tr>
      <w:tr w:rsidR="31D194DA" w:rsidRPr="008431A9" w:rsidTr="2D747A3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518" w:type="dxa"/>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rPr>
                <w:rFonts w:eastAsia="Times New Roman"/>
                <w:noProof/>
                <w:sz w:val="18"/>
                <w:szCs w:val="18"/>
              </w:rPr>
            </w:pPr>
            <w:r w:rsidRPr="008431A9">
              <w:rPr>
                <w:rFonts w:eastAsia="Times New Roman"/>
                <w:noProof/>
                <w:sz w:val="18"/>
                <w:szCs w:val="18"/>
              </w:rPr>
              <w:lastRenderedPageBreak/>
              <w:t>Registration</w:t>
            </w:r>
            <w:r w:rsidR="007E52B5" w:rsidRPr="008431A9">
              <w:rPr>
                <w:rFonts w:eastAsia="Times New Roman"/>
                <w:noProof/>
                <w:sz w:val="18"/>
                <w:szCs w:val="18"/>
              </w:rPr>
              <w:t>*</w:t>
            </w:r>
          </w:p>
        </w:tc>
        <w:tc>
          <w:tcPr>
            <w:tcW w:w="1547"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15 000</w:t>
            </w:r>
          </w:p>
        </w:tc>
        <w:tc>
          <w:tcPr>
            <w:tcW w:w="1845"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7 500</w:t>
            </w:r>
          </w:p>
        </w:tc>
        <w:tc>
          <w:tcPr>
            <w:tcW w:w="1695"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17 000</w:t>
            </w:r>
          </w:p>
        </w:tc>
        <w:tc>
          <w:tcPr>
            <w:tcW w:w="1215"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39 500</w:t>
            </w:r>
          </w:p>
        </w:tc>
      </w:tr>
      <w:tr w:rsidR="31D194DA" w:rsidRPr="008431A9" w:rsidTr="2D747A3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518"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rPr>
                <w:rFonts w:eastAsia="Times New Roman"/>
                <w:noProof/>
                <w:sz w:val="18"/>
                <w:szCs w:val="18"/>
              </w:rPr>
            </w:pPr>
            <w:r w:rsidRPr="008431A9">
              <w:rPr>
                <w:rFonts w:eastAsia="Times New Roman"/>
                <w:noProof/>
                <w:sz w:val="18"/>
                <w:szCs w:val="18"/>
              </w:rPr>
              <w:t>Verification/control</w:t>
            </w:r>
            <w:r w:rsidR="007E52B5" w:rsidRPr="008431A9">
              <w:rPr>
                <w:rFonts w:eastAsia="Times New Roman"/>
                <w:noProof/>
                <w:sz w:val="18"/>
                <w:szCs w:val="18"/>
              </w:rPr>
              <w:t>*</w:t>
            </w:r>
          </w:p>
        </w:tc>
        <w:tc>
          <w:tcPr>
            <w:tcW w:w="1547"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5 700</w:t>
            </w:r>
          </w:p>
        </w:tc>
        <w:tc>
          <w:tcPr>
            <w:tcW w:w="1845" w:type="dxa"/>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jc w:val="center"/>
              <w:rPr>
                <w:rFonts w:eastAsia="Times New Roman"/>
                <w:noProof/>
                <w:sz w:val="18"/>
                <w:szCs w:val="18"/>
              </w:rPr>
            </w:pPr>
            <w:r w:rsidRPr="008431A9">
              <w:rPr>
                <w:rFonts w:eastAsia="Times New Roman"/>
                <w:noProof/>
                <w:sz w:val="18"/>
                <w:szCs w:val="18"/>
              </w:rPr>
              <w:t>100</w:t>
            </w:r>
          </w:p>
        </w:tc>
        <w:tc>
          <w:tcPr>
            <w:tcW w:w="1695" w:type="dxa"/>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jc w:val="center"/>
              <w:rPr>
                <w:rFonts w:eastAsia="Times New Roman"/>
                <w:noProof/>
                <w:sz w:val="18"/>
                <w:szCs w:val="18"/>
              </w:rPr>
            </w:pPr>
            <w:r w:rsidRPr="008431A9">
              <w:rPr>
                <w:rFonts w:eastAsia="Times New Roman"/>
                <w:noProof/>
                <w:sz w:val="18"/>
                <w:szCs w:val="18"/>
              </w:rPr>
              <w:t>0</w:t>
            </w:r>
          </w:p>
        </w:tc>
        <w:tc>
          <w:tcPr>
            <w:tcW w:w="1215"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5 800</w:t>
            </w:r>
          </w:p>
        </w:tc>
      </w:tr>
      <w:tr w:rsidR="31D194DA" w:rsidRPr="008431A9" w:rsidTr="2D747A3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518" w:type="dxa"/>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rPr>
                <w:rFonts w:eastAsia="Times New Roman"/>
                <w:noProof/>
                <w:sz w:val="18"/>
                <w:szCs w:val="18"/>
              </w:rPr>
            </w:pPr>
            <w:r w:rsidRPr="008431A9">
              <w:rPr>
                <w:rFonts w:eastAsia="Times New Roman"/>
                <w:noProof/>
                <w:sz w:val="18"/>
                <w:szCs w:val="18"/>
              </w:rPr>
              <w:t>Enforcement &amp; management</w:t>
            </w:r>
            <w:r w:rsidR="007E52B5" w:rsidRPr="008431A9">
              <w:rPr>
                <w:rFonts w:eastAsia="Times New Roman"/>
                <w:noProof/>
                <w:sz w:val="18"/>
                <w:szCs w:val="18"/>
              </w:rPr>
              <w:t>**</w:t>
            </w:r>
          </w:p>
        </w:tc>
        <w:tc>
          <w:tcPr>
            <w:tcW w:w="1547"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3 000</w:t>
            </w:r>
          </w:p>
        </w:tc>
        <w:tc>
          <w:tcPr>
            <w:tcW w:w="1845"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3 900</w:t>
            </w:r>
          </w:p>
        </w:tc>
        <w:tc>
          <w:tcPr>
            <w:tcW w:w="1695" w:type="dxa"/>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jc w:val="center"/>
              <w:rPr>
                <w:rFonts w:eastAsia="Times New Roman"/>
                <w:noProof/>
                <w:sz w:val="18"/>
                <w:szCs w:val="18"/>
              </w:rPr>
            </w:pPr>
            <w:r w:rsidRPr="008431A9">
              <w:rPr>
                <w:rFonts w:eastAsia="Times New Roman"/>
                <w:noProof/>
                <w:sz w:val="18"/>
                <w:szCs w:val="18"/>
              </w:rPr>
              <w:t>0</w:t>
            </w:r>
          </w:p>
        </w:tc>
        <w:tc>
          <w:tcPr>
            <w:tcW w:w="1215"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6 900</w:t>
            </w:r>
          </w:p>
        </w:tc>
      </w:tr>
      <w:tr w:rsidR="31D194DA" w:rsidRPr="008431A9" w:rsidTr="2D747A3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300"/>
        </w:trPr>
        <w:tc>
          <w:tcPr>
            <w:tcW w:w="2518" w:type="dxa"/>
            <w:tcBorders>
              <w:top w:val="single" w:sz="8" w:space="0" w:color="auto"/>
              <w:left w:val="single" w:sz="8" w:space="0" w:color="auto"/>
              <w:bottom w:val="single" w:sz="8" w:space="0" w:color="auto"/>
              <w:right w:val="single" w:sz="8" w:space="0" w:color="auto"/>
            </w:tcBorders>
          </w:tcPr>
          <w:p w:rsidR="31D194DA" w:rsidRPr="008431A9" w:rsidRDefault="31D194DA" w:rsidP="00DD6AD1">
            <w:pPr>
              <w:spacing w:before="0" w:after="0"/>
              <w:rPr>
                <w:rFonts w:eastAsia="Times New Roman"/>
                <w:noProof/>
                <w:sz w:val="18"/>
                <w:szCs w:val="18"/>
              </w:rPr>
            </w:pPr>
            <w:r w:rsidRPr="008431A9">
              <w:rPr>
                <w:rFonts w:eastAsia="Times New Roman"/>
                <w:noProof/>
                <w:sz w:val="18"/>
                <w:szCs w:val="18"/>
              </w:rPr>
              <w:t>Total</w:t>
            </w:r>
          </w:p>
        </w:tc>
        <w:tc>
          <w:tcPr>
            <w:tcW w:w="1547"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23 700</w:t>
            </w:r>
          </w:p>
        </w:tc>
        <w:tc>
          <w:tcPr>
            <w:tcW w:w="1845"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11 500</w:t>
            </w:r>
          </w:p>
        </w:tc>
        <w:tc>
          <w:tcPr>
            <w:tcW w:w="1695"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17 000</w:t>
            </w:r>
          </w:p>
        </w:tc>
        <w:tc>
          <w:tcPr>
            <w:tcW w:w="1215" w:type="dxa"/>
            <w:tcBorders>
              <w:top w:val="single" w:sz="8" w:space="0" w:color="auto"/>
              <w:left w:val="single" w:sz="8" w:space="0" w:color="auto"/>
              <w:bottom w:val="single" w:sz="8" w:space="0" w:color="auto"/>
              <w:right w:val="single" w:sz="8" w:space="0" w:color="auto"/>
            </w:tcBorders>
          </w:tcPr>
          <w:p w:rsidR="31D194DA" w:rsidRPr="008431A9" w:rsidRDefault="052635C2" w:rsidP="00DD6AD1">
            <w:pPr>
              <w:spacing w:before="0" w:after="0"/>
              <w:jc w:val="center"/>
              <w:rPr>
                <w:rFonts w:eastAsia="Times New Roman"/>
                <w:noProof/>
                <w:sz w:val="18"/>
                <w:szCs w:val="18"/>
              </w:rPr>
            </w:pPr>
            <w:r w:rsidRPr="008431A9">
              <w:rPr>
                <w:rFonts w:eastAsia="Times New Roman"/>
                <w:noProof/>
                <w:sz w:val="18"/>
                <w:szCs w:val="18"/>
              </w:rPr>
              <w:t>52 200</w:t>
            </w:r>
          </w:p>
        </w:tc>
      </w:tr>
    </w:tbl>
    <w:p w:rsidR="31D194DA" w:rsidRPr="008431A9" w:rsidRDefault="007E52B5" w:rsidP="004845F5">
      <w:pPr>
        <w:spacing w:line="257" w:lineRule="auto"/>
        <w:jc w:val="left"/>
        <w:rPr>
          <w:rFonts w:eastAsia="Times New Roman"/>
          <w:noProof/>
          <w:sz w:val="20"/>
          <w:szCs w:val="20"/>
        </w:rPr>
      </w:pPr>
      <w:r w:rsidRPr="008431A9">
        <w:rPr>
          <w:rFonts w:eastAsia="Times New Roman"/>
          <w:i/>
          <w:iCs/>
          <w:noProof/>
          <w:sz w:val="20"/>
          <w:szCs w:val="20"/>
        </w:rPr>
        <w:t>* one-off cost</w:t>
      </w:r>
      <w:r w:rsidRPr="008431A9">
        <w:rPr>
          <w:noProof/>
        </w:rPr>
        <w:br/>
      </w:r>
      <w:r w:rsidRPr="008431A9">
        <w:rPr>
          <w:rFonts w:eastAsia="Times New Roman"/>
          <w:i/>
          <w:iCs/>
          <w:noProof/>
          <w:sz w:val="20"/>
          <w:szCs w:val="20"/>
        </w:rPr>
        <w:t xml:space="preserve">** recurrent cost </w:t>
      </w:r>
      <w:r w:rsidRPr="008431A9">
        <w:rPr>
          <w:noProof/>
        </w:rPr>
        <w:br/>
      </w:r>
      <w:r w:rsidR="06274F3D" w:rsidRPr="008431A9">
        <w:rPr>
          <w:rFonts w:eastAsia="Times New Roman"/>
          <w:i/>
          <w:iCs/>
          <w:noProof/>
          <w:sz w:val="20"/>
          <w:szCs w:val="20"/>
        </w:rPr>
        <w:t xml:space="preserve">Source: </w:t>
      </w:r>
      <w:r w:rsidR="06274F3D" w:rsidRPr="008431A9">
        <w:rPr>
          <w:rFonts w:eastAsia="Times New Roman"/>
          <w:noProof/>
          <w:sz w:val="20"/>
          <w:szCs w:val="20"/>
        </w:rPr>
        <w:t>Own calculations based on VVA &amp; AND International (2021).</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Regulatory fitness and simplification</w:t>
      </w:r>
    </w:p>
    <w:p w:rsidR="005F7D45" w:rsidRPr="008431A9" w:rsidRDefault="0872E2B2" w:rsidP="5C4B0EEF">
      <w:pPr>
        <w:rPr>
          <w:noProof/>
        </w:rPr>
      </w:pPr>
      <w:r w:rsidRPr="008431A9">
        <w:rPr>
          <w:noProof/>
        </w:rPr>
        <w:t>T</w:t>
      </w:r>
      <w:r w:rsidR="005F7D45" w:rsidRPr="008431A9">
        <w:rPr>
          <w:noProof/>
        </w:rPr>
        <w:t>he proposal will be mainly used by</w:t>
      </w:r>
      <w:r w:rsidR="5DDA1178" w:rsidRPr="008431A9">
        <w:rPr>
          <w:noProof/>
        </w:rPr>
        <w:t xml:space="preserve"> micro, small or medium-sized enterprises</w:t>
      </w:r>
      <w:r w:rsidR="005F7D45" w:rsidRPr="008431A9">
        <w:rPr>
          <w:noProof/>
        </w:rPr>
        <w:t xml:space="preserve"> </w:t>
      </w:r>
      <w:r w:rsidR="00927B06" w:rsidRPr="008431A9">
        <w:rPr>
          <w:noProof/>
        </w:rPr>
        <w:t>(</w:t>
      </w:r>
      <w:r w:rsidR="005F7D45" w:rsidRPr="008431A9">
        <w:rPr>
          <w:noProof/>
        </w:rPr>
        <w:t>MSMEs</w:t>
      </w:r>
      <w:r w:rsidR="00927B06" w:rsidRPr="008431A9">
        <w:rPr>
          <w:noProof/>
        </w:rPr>
        <w:t>)</w:t>
      </w:r>
      <w:r w:rsidR="005F7D45" w:rsidRPr="008431A9">
        <w:rPr>
          <w:noProof/>
        </w:rPr>
        <w:t xml:space="preserve"> and it is designed taking into account the specific needs and challenges MSMEs face. Therefore, the proposal envisages moderate registration costs for GIs. Member States will be allowed to charge fees for the registration but they have to be proportionate. The level of the fees has to be set taking into account the situation of specific businesses such as MSMEs, for example in the form of lower fees. At Union level, in the second phase of the registration procedure, the EUIPO will not charge fees to register GIs, unless the ‘direct registration’ procedure provided for in Article </w:t>
      </w:r>
      <w:r w:rsidR="00BB082D" w:rsidRPr="008431A9">
        <w:rPr>
          <w:noProof/>
        </w:rPr>
        <w:t>15</w:t>
      </w:r>
      <w:r w:rsidR="005F7D45" w:rsidRPr="008431A9">
        <w:rPr>
          <w:noProof/>
        </w:rPr>
        <w:t>. This will allow MSMEs to have access to this intellectual pr</w:t>
      </w:r>
      <w:r w:rsidR="00652338" w:rsidRPr="008431A9">
        <w:rPr>
          <w:noProof/>
        </w:rPr>
        <w:t>operty title at moderate cost.</w:t>
      </w:r>
    </w:p>
    <w:p w:rsidR="005F7D45" w:rsidRPr="008431A9" w:rsidRDefault="005F7D45" w:rsidP="00652338">
      <w:pPr>
        <w:rPr>
          <w:noProof/>
        </w:rPr>
      </w:pPr>
      <w:r w:rsidRPr="008431A9">
        <w:rPr>
          <w:noProof/>
        </w:rPr>
        <w:t>MSMEs consider legal complexity as a major obstacle for their businesses. Therefore, the proposal creates simple procedures to register and manage new GIs, not requiring at any stage of the procedure the involvement of legal representatives and keeps the administrative b</w:t>
      </w:r>
      <w:r w:rsidR="00652338" w:rsidRPr="008431A9">
        <w:rPr>
          <w:noProof/>
        </w:rPr>
        <w:t>urden for MSMEs to the minimum.</w:t>
      </w:r>
    </w:p>
    <w:p w:rsidR="005F7D45" w:rsidRPr="008431A9" w:rsidRDefault="005F7D45" w:rsidP="005F7D45">
      <w:pPr>
        <w:pBdr>
          <w:top w:val="nil"/>
          <w:left w:val="nil"/>
          <w:bottom w:val="nil"/>
          <w:right w:val="nil"/>
          <w:between w:val="nil"/>
          <w:bar w:val="nil"/>
        </w:pBdr>
        <w:spacing w:before="0" w:after="240" w:line="257" w:lineRule="auto"/>
        <w:rPr>
          <w:rFonts w:eastAsia="Times New Roman"/>
          <w:noProof/>
          <w:lang w:val="en-US"/>
        </w:rPr>
      </w:pPr>
      <w:r w:rsidRPr="008431A9">
        <w:rPr>
          <w:rFonts w:eastAsia="Times New Roman"/>
          <w:noProof/>
        </w:rPr>
        <w:t>The proposal provides for a fully digitalised EU application and registration procedure</w:t>
      </w:r>
      <w:r w:rsidR="0069424B" w:rsidRPr="008431A9">
        <w:rPr>
          <w:rFonts w:eastAsia="Times New Roman"/>
          <w:noProof/>
        </w:rPr>
        <w:t>, which</w:t>
      </w:r>
      <w:r w:rsidRPr="008431A9">
        <w:rPr>
          <w:rFonts w:eastAsia="Times New Roman"/>
          <w:noProof/>
        </w:rPr>
        <w:t xml:space="preserve"> is managed by EUIPO. This should also reduce the </w:t>
      </w:r>
      <w:r w:rsidRPr="008431A9">
        <w:rPr>
          <w:noProof/>
        </w:rPr>
        <w:t>administrative burden</w:t>
      </w:r>
      <w:r w:rsidRPr="008431A9">
        <w:rPr>
          <w:rFonts w:eastAsia="Times New Roman"/>
          <w:noProof/>
        </w:rPr>
        <w:t xml:space="preserve">. The e-filing system should also apply to direct registrations in the exceptional cases where eligible Member States opt-out from the obligation to designate a national authority to manage the GI applications for CI products at national level. </w:t>
      </w:r>
    </w:p>
    <w:p w:rsidR="005F7D45" w:rsidRPr="008431A9" w:rsidRDefault="005F7D45" w:rsidP="005F7D45">
      <w:pPr>
        <w:pBdr>
          <w:top w:val="nil"/>
          <w:left w:val="nil"/>
          <w:bottom w:val="nil"/>
          <w:right w:val="nil"/>
          <w:between w:val="nil"/>
          <w:bar w:val="nil"/>
        </w:pBdr>
        <w:spacing w:before="0" w:after="240" w:line="257" w:lineRule="auto"/>
        <w:rPr>
          <w:rFonts w:eastAsia="Times New Roman"/>
          <w:noProof/>
          <w:lang w:val="en-US"/>
        </w:rPr>
      </w:pPr>
      <w:r w:rsidRPr="008431A9">
        <w:rPr>
          <w:rFonts w:eastAsia="Times New Roman"/>
          <w:noProof/>
          <w:lang w:val="en-US"/>
        </w:rPr>
        <w:t xml:space="preserve">The new domain name information and alert system for CI GIs to be established by EUIPO must provide applicants with an additional digital tool as part of the application process to better protect and enforce their GIs rights. </w:t>
      </w:r>
    </w:p>
    <w:p w:rsidR="00B70EFD" w:rsidRPr="008431A9" w:rsidRDefault="005F7D45" w:rsidP="005F7D45">
      <w:pPr>
        <w:pBdr>
          <w:top w:val="nil"/>
          <w:left w:val="nil"/>
          <w:bottom w:val="nil"/>
          <w:right w:val="nil"/>
          <w:between w:val="nil"/>
          <w:bar w:val="nil"/>
        </w:pBdr>
        <w:spacing w:before="0" w:after="240"/>
        <w:rPr>
          <w:rFonts w:eastAsia="Arial Unicode MS"/>
          <w:noProof/>
        </w:rPr>
      </w:pPr>
      <w:r w:rsidRPr="008431A9">
        <w:rPr>
          <w:rFonts w:eastAsia="Times New Roman"/>
          <w:noProof/>
          <w:lang w:val="en-US"/>
        </w:rPr>
        <w:t>In view of simplification, a publicly accessible electronic register of GIs (</w:t>
      </w:r>
      <w:r w:rsidR="000D65CD" w:rsidRPr="008431A9">
        <w:rPr>
          <w:rFonts w:eastAsia="Times New Roman"/>
          <w:noProof/>
          <w:lang w:val="en-US"/>
        </w:rPr>
        <w:t xml:space="preserve">Union </w:t>
      </w:r>
      <w:r w:rsidR="005F6945" w:rsidRPr="008431A9">
        <w:rPr>
          <w:rFonts w:eastAsia="Times New Roman"/>
          <w:noProof/>
          <w:lang w:val="en-US"/>
        </w:rPr>
        <w:t>r</w:t>
      </w:r>
      <w:r w:rsidRPr="008431A9">
        <w:rPr>
          <w:rFonts w:eastAsia="Times New Roman"/>
          <w:noProof/>
          <w:lang w:val="en-US"/>
        </w:rPr>
        <w:t>egister</w:t>
      </w:r>
      <w:r w:rsidR="005F6945" w:rsidRPr="008431A9">
        <w:rPr>
          <w:rFonts w:eastAsia="Times New Roman"/>
          <w:noProof/>
          <w:lang w:val="en-US"/>
        </w:rPr>
        <w:t xml:space="preserve"> of geographical indications for craft and industrial products</w:t>
      </w:r>
      <w:r w:rsidRPr="008431A9">
        <w:rPr>
          <w:rFonts w:eastAsia="Times New Roman"/>
          <w:noProof/>
          <w:lang w:val="en-US"/>
        </w:rPr>
        <w:t>) should be maintained to provide direct and fast access to information on all registered GIs.</w:t>
      </w:r>
      <w:r w:rsidRPr="008431A9">
        <w:rPr>
          <w:rFonts w:eastAsia="Calibri"/>
          <w:noProof/>
          <w:lang w:val="en-US"/>
        </w:rPr>
        <w:t xml:space="preserve"> </w:t>
      </w:r>
      <w:r w:rsidRPr="008431A9">
        <w:rPr>
          <w:rFonts w:eastAsia="Times New Roman"/>
          <w:noProof/>
          <w:lang w:val="en-US"/>
        </w:rPr>
        <w:t xml:space="preserve">Any person must be able to easily download an official extract from the </w:t>
      </w:r>
      <w:r w:rsidR="005F6945" w:rsidRPr="008431A9">
        <w:rPr>
          <w:rFonts w:eastAsia="Times New Roman"/>
          <w:noProof/>
          <w:lang w:val="en-US"/>
        </w:rPr>
        <w:t xml:space="preserve">Union register of geographical indications for craft and industrial products </w:t>
      </w:r>
      <w:r w:rsidRPr="008431A9">
        <w:rPr>
          <w:rFonts w:eastAsia="Times New Roman"/>
          <w:noProof/>
          <w:lang w:val="en-US"/>
        </w:rPr>
        <w:t xml:space="preserve">that provides proof of registration of the GI, and relevant data including the date of application of the GI or other priority date. This official extract </w:t>
      </w:r>
      <w:r w:rsidR="4AC735A0" w:rsidRPr="008431A9">
        <w:rPr>
          <w:rFonts w:eastAsia="Times New Roman"/>
          <w:noProof/>
          <w:lang w:val="en-US"/>
        </w:rPr>
        <w:t>might</w:t>
      </w:r>
      <w:r w:rsidRPr="008431A9">
        <w:rPr>
          <w:rFonts w:eastAsia="Times New Roman"/>
          <w:noProof/>
          <w:lang w:val="en-US"/>
        </w:rPr>
        <w:t xml:space="preserve"> be used as an authentic certificate in legal proceedings, in a court of law, or in a court of arbitration or a similar body</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Fundamental rights</w:t>
      </w:r>
    </w:p>
    <w:p w:rsidR="005F7D45" w:rsidRPr="008431A9" w:rsidRDefault="005F7D45" w:rsidP="5F680542">
      <w:pPr>
        <w:rPr>
          <w:rFonts w:eastAsia="Times New Roman"/>
          <w:noProof/>
          <w:lang w:val="en-US"/>
        </w:rPr>
      </w:pPr>
      <w:r w:rsidRPr="008431A9">
        <w:rPr>
          <w:rFonts w:eastAsia="Times New Roman"/>
          <w:noProof/>
          <w:lang w:val="en-US"/>
        </w:rPr>
        <w:t xml:space="preserve">The proposal will improve the intellectual property protection in the Union for geographically linked CI products. It should therefore have a positive impact on the fundamental right to intellectual property according to Article 17(2) of the Charter on the fundamental rights in the EU (the ‘Charter’). In certain instances, and in line with the international obligations resulting from the Geneva Act of the Lisbon Agreement on </w:t>
      </w:r>
      <w:r w:rsidR="00AB47BF" w:rsidRPr="008431A9">
        <w:rPr>
          <w:rFonts w:eastAsia="Times New Roman"/>
          <w:noProof/>
          <w:lang w:val="en-US"/>
        </w:rPr>
        <w:t>appellations</w:t>
      </w:r>
      <w:r w:rsidRPr="008431A9">
        <w:rPr>
          <w:rFonts w:eastAsia="Times New Roman"/>
          <w:noProof/>
          <w:lang w:val="en-US"/>
        </w:rPr>
        <w:t xml:space="preserve"> of origin and geographical indications, the protection of geographical indications will need to be balanced with the right </w:t>
      </w:r>
      <w:r w:rsidRPr="008431A9">
        <w:rPr>
          <w:rFonts w:eastAsia="Times New Roman"/>
          <w:noProof/>
          <w:lang w:val="en-US"/>
        </w:rPr>
        <w:lastRenderedPageBreak/>
        <w:t>in trade marks, in particular with regard to renowned trade marks (see Article 39 of this regulation) or prior trade marks registered in good faith (see Article 42 of this regulation).</w:t>
      </w:r>
    </w:p>
    <w:p w:rsidR="005F7D45" w:rsidRPr="008431A9" w:rsidRDefault="005F7D45" w:rsidP="005F7D45">
      <w:pPr>
        <w:rPr>
          <w:noProof/>
        </w:rPr>
      </w:pPr>
      <w:r w:rsidRPr="008431A9">
        <w:rPr>
          <w:rFonts w:eastAsia="Times New Roman"/>
          <w:noProof/>
          <w:lang w:val="en-US"/>
        </w:rPr>
        <w:t>Also, it should improve the possibilities for producers of CI products to protect their intellectual property in the Union, in particular in cross-border contexts. Therefore, the proposal should also have a positive impact on the right to remedy in line with Article 47 of the Charter.</w:t>
      </w:r>
    </w:p>
    <w:p w:rsidR="00B70EFD" w:rsidRPr="008431A9" w:rsidRDefault="00B70EFD" w:rsidP="000818F4">
      <w:pPr>
        <w:pStyle w:val="ManualHeading1"/>
        <w:rPr>
          <w:noProof/>
        </w:rPr>
      </w:pPr>
      <w:r w:rsidRPr="008431A9">
        <w:rPr>
          <w:noProof/>
        </w:rPr>
        <w:t>4.</w:t>
      </w:r>
      <w:r w:rsidRPr="008431A9">
        <w:rPr>
          <w:noProof/>
        </w:rPr>
        <w:tab/>
        <w:t>BUDGETARY IMPLICATIONS</w:t>
      </w:r>
    </w:p>
    <w:p w:rsidR="005F7D45" w:rsidRPr="008431A9" w:rsidRDefault="4E5812E3" w:rsidP="005F7D45">
      <w:pPr>
        <w:spacing w:before="0" w:after="240"/>
        <w:rPr>
          <w:noProof/>
        </w:rPr>
      </w:pPr>
      <w:r w:rsidRPr="008431A9">
        <w:rPr>
          <w:noProof/>
        </w:rPr>
        <w:t>The proposal has no implications on the EU budget. The EUIPO</w:t>
      </w:r>
      <w:r w:rsidR="44664E64" w:rsidRPr="008431A9">
        <w:rPr>
          <w:noProof/>
        </w:rPr>
        <w:t>, which is</w:t>
      </w:r>
      <w:r w:rsidR="5A6D985A" w:rsidRPr="008431A9">
        <w:rPr>
          <w:noProof/>
        </w:rPr>
        <w:t xml:space="preserve"> entirely self-financing,</w:t>
      </w:r>
      <w:r w:rsidRPr="008431A9">
        <w:rPr>
          <w:noProof/>
        </w:rPr>
        <w:t xml:space="preserve"> will manage and fund the registration process at </w:t>
      </w:r>
      <w:r w:rsidR="38379C53" w:rsidRPr="008431A9">
        <w:rPr>
          <w:noProof/>
        </w:rPr>
        <w:t xml:space="preserve">the </w:t>
      </w:r>
      <w:r w:rsidRPr="008431A9">
        <w:rPr>
          <w:noProof/>
        </w:rPr>
        <w:t xml:space="preserve">EU and international level out of its budget (including IT system, setting up and managing the </w:t>
      </w:r>
      <w:r w:rsidR="005F6945" w:rsidRPr="008431A9">
        <w:rPr>
          <w:rFonts w:eastAsia="Times New Roman"/>
          <w:noProof/>
          <w:lang w:val="en-US"/>
        </w:rPr>
        <w:t>Union register of geographical indications for craft and industrial products</w:t>
      </w:r>
      <w:r w:rsidRPr="008431A9">
        <w:rPr>
          <w:noProof/>
        </w:rPr>
        <w:t>, the EU alert system against the abusive us</w:t>
      </w:r>
      <w:r w:rsidR="091FAB3B" w:rsidRPr="008431A9">
        <w:rPr>
          <w:noProof/>
        </w:rPr>
        <w:t>e of CI GI in the internet, etc.</w:t>
      </w:r>
      <w:r w:rsidRPr="008431A9">
        <w:rPr>
          <w:noProof/>
        </w:rPr>
        <w:t>).</w:t>
      </w:r>
      <w:r w:rsidR="4CACAC95" w:rsidRPr="008431A9">
        <w:rPr>
          <w:noProof/>
        </w:rPr>
        <w:t xml:space="preserve"> </w:t>
      </w:r>
      <w:r w:rsidR="005F7D45" w:rsidRPr="008431A9">
        <w:rPr>
          <w:noProof/>
        </w:rPr>
        <w:t xml:space="preserve">On national administrations, 16 Member States (Belgium, Bulgaria, Croatia, Czechia, Estonia, France, Germany, Hungary, Italy, Latvia, Poland, Portugal, Romania, Spain, Slovakia and Slovenia) where national CI GI schemes operate already should see no additional costs in terms of administration. The remaining Member States should commit resources for the initial verification process. All Member State will have to commit resources to enforcement of CI GI. </w:t>
      </w:r>
    </w:p>
    <w:p w:rsidR="005F7D45" w:rsidRPr="008431A9" w:rsidRDefault="005F7D45" w:rsidP="005F7D45">
      <w:pPr>
        <w:spacing w:before="0" w:after="240"/>
        <w:rPr>
          <w:noProof/>
        </w:rPr>
      </w:pPr>
      <w:r w:rsidRPr="008431A9">
        <w:rPr>
          <w:noProof/>
        </w:rPr>
        <w:t xml:space="preserve">Based on the analysis by external experts (studies) the registration cost at national level are estimated on average at around EUR 7 500 per GI. The cost of random controls for Member States are estimated at around EUR 100 per GI. And the cost of enforcement at around EUR 3 900. </w:t>
      </w:r>
    </w:p>
    <w:p w:rsidR="00B70EFD" w:rsidRPr="008431A9" w:rsidRDefault="005F7D45" w:rsidP="005F7D45">
      <w:pPr>
        <w:pBdr>
          <w:top w:val="nil"/>
          <w:left w:val="nil"/>
          <w:bottom w:val="nil"/>
          <w:right w:val="nil"/>
          <w:between w:val="nil"/>
          <w:bar w:val="nil"/>
        </w:pBdr>
        <w:spacing w:before="0" w:after="240"/>
        <w:rPr>
          <w:rFonts w:eastAsia="Arial Unicode MS"/>
          <w:noProof/>
        </w:rPr>
      </w:pPr>
      <w:r w:rsidRPr="008431A9">
        <w:rPr>
          <w:noProof/>
        </w:rPr>
        <w:t xml:space="preserve">However, due to low number of potential EU CI GI candidates (expected around 300 registrations in 10 years) both costs at national and EUIPO level do not seem substantial. They are estimated at around EUR </w:t>
      </w:r>
      <w:r w:rsidR="2516B357" w:rsidRPr="008431A9">
        <w:rPr>
          <w:noProof/>
        </w:rPr>
        <w:t>86</w:t>
      </w:r>
      <w:r w:rsidRPr="008431A9">
        <w:rPr>
          <w:noProof/>
        </w:rPr>
        <w:t xml:space="preserve">0,000 annually for the EU as a whole (under assumption that 30 CI GI are registered annually). Enforcement of CI GI of third countries that </w:t>
      </w:r>
      <w:r w:rsidR="00E70AEA" w:rsidRPr="008431A9">
        <w:rPr>
          <w:noProof/>
        </w:rPr>
        <w:t>s</w:t>
      </w:r>
      <w:r w:rsidRPr="008431A9">
        <w:rPr>
          <w:noProof/>
        </w:rPr>
        <w:t xml:space="preserve">hould be </w:t>
      </w:r>
      <w:r w:rsidR="00E70AEA" w:rsidRPr="008431A9">
        <w:rPr>
          <w:noProof/>
        </w:rPr>
        <w:t xml:space="preserve">protected </w:t>
      </w:r>
      <w:r w:rsidRPr="008431A9">
        <w:rPr>
          <w:noProof/>
        </w:rPr>
        <w:t>in the Union is going to add to the cost. The number of these registrations is uncertain. At the moment the number of national CI GIs registered in China and India alone is estimated at between 400 and 800</w:t>
      </w:r>
      <w:r w:rsidR="006E555F" w:rsidRPr="008431A9">
        <w:rPr>
          <w:noProof/>
        </w:rPr>
        <w:t xml:space="preserve"> altogether</w:t>
      </w:r>
      <w:r w:rsidRPr="008431A9">
        <w:rPr>
          <w:noProof/>
        </w:rPr>
        <w:t>.</w:t>
      </w:r>
    </w:p>
    <w:p w:rsidR="00B70EFD" w:rsidRPr="008431A9" w:rsidRDefault="00B70EFD" w:rsidP="000818F4">
      <w:pPr>
        <w:pStyle w:val="ManualHeading1"/>
        <w:rPr>
          <w:noProof/>
        </w:rPr>
      </w:pPr>
      <w:r w:rsidRPr="008431A9">
        <w:rPr>
          <w:noProof/>
        </w:rPr>
        <w:t>5.</w:t>
      </w:r>
      <w:r w:rsidRPr="008431A9">
        <w:rPr>
          <w:noProof/>
        </w:rPr>
        <w:tab/>
        <w:t>OTHER ELEMENTS</w:t>
      </w:r>
    </w:p>
    <w:p w:rsidR="00B70EFD" w:rsidRPr="008431A9" w:rsidRDefault="00B70EFD" w:rsidP="000818F4">
      <w:pPr>
        <w:pStyle w:val="ManualHeading2"/>
        <w:rPr>
          <w:rFonts w:eastAsia="Arial Unicode MS"/>
          <w:noProof/>
          <w:bdr w:val="nil"/>
          <w:lang w:val="en-US" w:eastAsia="en-GB"/>
        </w:rPr>
      </w:pPr>
      <w:r w:rsidRPr="008431A9">
        <w:rPr>
          <w:rFonts w:eastAsia="Arial Unicode MS"/>
          <w:noProof/>
          <w:bdr w:val="nil"/>
          <w:lang w:val="en-US" w:eastAsia="en-GB"/>
        </w:rPr>
        <w:t>•</w:t>
      </w:r>
      <w:r w:rsidRPr="008431A9">
        <w:rPr>
          <w:rFonts w:eastAsia="Arial Unicode MS"/>
          <w:noProof/>
          <w:u w:color="000000"/>
          <w:bdr w:val="nil"/>
          <w:lang w:val="en-US" w:eastAsia="en-GB"/>
        </w:rPr>
        <w:tab/>
      </w:r>
      <w:r w:rsidRPr="008431A9">
        <w:rPr>
          <w:rFonts w:eastAsia="Arial Unicode MS"/>
          <w:noProof/>
          <w:bdr w:val="nil"/>
          <w:lang w:val="en-US" w:eastAsia="en-GB"/>
        </w:rPr>
        <w:t>Implementation plans and monitoring, evaluation and reporting arrangements</w:t>
      </w:r>
    </w:p>
    <w:p w:rsidR="005F7D45" w:rsidRPr="008431A9" w:rsidRDefault="005F7D45" w:rsidP="5C4B0EEF">
      <w:pPr>
        <w:pBdr>
          <w:top w:val="nil"/>
          <w:left w:val="nil"/>
          <w:bottom w:val="nil"/>
          <w:right w:val="nil"/>
          <w:between w:val="nil"/>
          <w:bar w:val="nil"/>
        </w:pBdr>
        <w:spacing w:after="240"/>
        <w:rPr>
          <w:noProof/>
        </w:rPr>
      </w:pPr>
      <w:r w:rsidRPr="008431A9" w:rsidDel="005F7D45">
        <w:rPr>
          <w:noProof/>
        </w:rPr>
        <w:t>Providing for a robust monitoring and evaluation mechanism is crucial to ensure that the proposal will be effective in achieving its specific objectives.</w:t>
      </w:r>
      <w:r w:rsidRPr="008431A9" w:rsidDel="005F7D45">
        <w:rPr>
          <w:noProof/>
          <w:shd w:val="clear" w:color="auto" w:fill="FFFFFF"/>
        </w:rPr>
        <w:t xml:space="preserve"> </w:t>
      </w:r>
      <w:r w:rsidRPr="008431A9" w:rsidDel="005F7D45">
        <w:rPr>
          <w:noProof/>
        </w:rPr>
        <w:t>After the entry into force of the Regulation, the Commission will assess whether the specific objectives of the Regulation are met. The Commission has established a</w:t>
      </w:r>
      <w:r w:rsidRPr="008431A9" w:rsidDel="00942750">
        <w:rPr>
          <w:noProof/>
          <w:szCs w:val="24"/>
        </w:rPr>
        <w:t xml:space="preserve"> </w:t>
      </w:r>
      <w:r w:rsidRPr="008431A9" w:rsidDel="005F7D45">
        <w:rPr>
          <w:noProof/>
        </w:rPr>
        <w:t xml:space="preserve">list of monitoring indicators in its impact assessment, against which the effect of the Regulation will be assessed. To inform this assessment, producers and public authorities will be required to inform the Commission. </w:t>
      </w:r>
    </w:p>
    <w:p w:rsidR="005F7D45" w:rsidRPr="008431A9" w:rsidRDefault="005F7D45" w:rsidP="005F7D45">
      <w:pPr>
        <w:pBdr>
          <w:top w:val="nil"/>
          <w:left w:val="nil"/>
          <w:bottom w:val="nil"/>
          <w:right w:val="nil"/>
          <w:between w:val="nil"/>
          <w:bar w:val="nil"/>
        </w:pBdr>
        <w:spacing w:after="240"/>
        <w:rPr>
          <w:noProof/>
        </w:rPr>
      </w:pPr>
      <w:r w:rsidRPr="008431A9">
        <w:rPr>
          <w:noProof/>
        </w:rPr>
        <w:t>The Commission will publish a report evaluating and reviewing the Regulation no less than five years following the date of application. The evaluation will be conducted according to the Commission’s Better Regulation guidelines.</w:t>
      </w:r>
    </w:p>
    <w:p w:rsidR="005F7D45" w:rsidRPr="008431A9" w:rsidRDefault="005F7D45" w:rsidP="005F7D45">
      <w:pPr>
        <w:pBdr>
          <w:top w:val="nil"/>
          <w:left w:val="nil"/>
          <w:bottom w:val="nil"/>
          <w:right w:val="nil"/>
          <w:between w:val="nil"/>
          <w:bar w:val="nil"/>
        </w:pBdr>
        <w:spacing w:after="240"/>
        <w:rPr>
          <w:noProof/>
        </w:rPr>
      </w:pPr>
      <w:r w:rsidRPr="008431A9">
        <w:rPr>
          <w:noProof/>
        </w:rPr>
        <w:t xml:space="preserve">In addition, Member States and/or their national authorities will be required to report every four years to the Commission on the strategy and results of all the GI controls. The controls will be carried out to verify compliance with the legal requirements related to the protection </w:t>
      </w:r>
      <w:r w:rsidRPr="008431A9">
        <w:rPr>
          <w:noProof/>
        </w:rPr>
        <w:lastRenderedPageBreak/>
        <w:t xml:space="preserve">scheme established by this Regulation and on the enforcement of GIs in the market place, including online. </w:t>
      </w:r>
    </w:p>
    <w:p w:rsidR="00B70EFD" w:rsidRPr="008431A9" w:rsidRDefault="00B70EFD" w:rsidP="000818F4">
      <w:pPr>
        <w:pStyle w:val="ManualHeading2"/>
        <w:rPr>
          <w:rFonts w:eastAsia="Arial Unicode MS"/>
          <w:noProof/>
          <w:u w:color="000000"/>
          <w:bdr w:val="nil"/>
          <w:lang w:val="en-US" w:eastAsia="en-GB"/>
        </w:rPr>
      </w:pPr>
      <w:r w:rsidRPr="008431A9">
        <w:rPr>
          <w:rFonts w:eastAsia="Arial Unicode MS"/>
          <w:noProof/>
          <w:u w:color="000000"/>
          <w:bdr w:val="nil"/>
          <w:lang w:val="en-US" w:eastAsia="en-GB"/>
        </w:rPr>
        <w:t>•</w:t>
      </w:r>
      <w:r w:rsidRPr="008431A9">
        <w:rPr>
          <w:rFonts w:eastAsia="Arial Unicode MS"/>
          <w:noProof/>
          <w:u w:color="000000"/>
          <w:bdr w:val="nil"/>
          <w:lang w:val="en-US" w:eastAsia="en-GB"/>
        </w:rPr>
        <w:tab/>
        <w:t>Detailed explanation of the specific provisions of the proposal</w:t>
      </w:r>
    </w:p>
    <w:p w:rsidR="005F7D45" w:rsidRPr="008431A9" w:rsidRDefault="005F7D45" w:rsidP="005F7D45">
      <w:pPr>
        <w:rPr>
          <w:noProof/>
        </w:rPr>
      </w:pPr>
      <w:r w:rsidRPr="008431A9">
        <w:rPr>
          <w:noProof/>
        </w:rPr>
        <w:t>The proposal consists of a set of rules designed to put in place a self-standing, coherent system for GIs for CI products. Producers are empowered to protect their GI products at Union level through the establishment of a uniform EU specific GI scheme. In addition, the proposal links the new EU protection scheme to the Lisbon system. The registration procedures provided by the new EU protection scheme are administered at Union level by EUIPO and at national level by Member States’ public authorities.</w:t>
      </w:r>
    </w:p>
    <w:p w:rsidR="005F7D45" w:rsidRPr="008431A9" w:rsidRDefault="005F7D45" w:rsidP="005F7D45">
      <w:pPr>
        <w:rPr>
          <w:noProof/>
          <w:szCs w:val="24"/>
        </w:rPr>
      </w:pPr>
      <w:r w:rsidRPr="008431A9">
        <w:rPr>
          <w:noProof/>
          <w:szCs w:val="24"/>
        </w:rPr>
        <w:t>The proposal includes the following provisions:</w:t>
      </w:r>
    </w:p>
    <w:p w:rsidR="005F7D45" w:rsidRPr="008431A9" w:rsidRDefault="005F7D45" w:rsidP="005F7D45">
      <w:pPr>
        <w:rPr>
          <w:noProof/>
          <w:szCs w:val="24"/>
        </w:rPr>
      </w:pPr>
      <w:r w:rsidRPr="008431A9">
        <w:rPr>
          <w:b/>
          <w:noProof/>
          <w:szCs w:val="24"/>
        </w:rPr>
        <w:t>Title 1: General provisions</w:t>
      </w:r>
    </w:p>
    <w:p w:rsidR="005F7D45" w:rsidRPr="008431A9" w:rsidRDefault="005F7D45" w:rsidP="5C4B0EEF">
      <w:pPr>
        <w:rPr>
          <w:rFonts w:eastAsia="Calibri"/>
          <w:noProof/>
        </w:rPr>
      </w:pPr>
      <w:r w:rsidRPr="008431A9">
        <w:rPr>
          <w:noProof/>
        </w:rPr>
        <w:t xml:space="preserve">General provisions define the objectives as well as the scope of the proposal. Also, the general provisions contain a list of definitions (Article 3). They furthermore provide for rules governing the protection of personal data processed </w:t>
      </w:r>
      <w:r w:rsidRPr="008431A9">
        <w:rPr>
          <w:rFonts w:eastAsia="Times New Roman"/>
          <w:noProof/>
        </w:rPr>
        <w:t>in the course of the procedures for registration, approval of amendments, cancellation, opposition, granting of transitional period and control.</w:t>
      </w:r>
    </w:p>
    <w:p w:rsidR="005F7D45" w:rsidRPr="008431A9" w:rsidRDefault="005F7D45" w:rsidP="005F7D45">
      <w:pPr>
        <w:rPr>
          <w:noProof/>
        </w:rPr>
      </w:pPr>
      <w:r w:rsidRPr="008431A9">
        <w:rPr>
          <w:b/>
          <w:bCs/>
          <w:noProof/>
        </w:rPr>
        <w:t>Title 2: Registration of geographical indications</w:t>
      </w:r>
    </w:p>
    <w:p w:rsidR="005F7D45" w:rsidRPr="008431A9" w:rsidRDefault="005F7D45" w:rsidP="5C4B0EEF">
      <w:pPr>
        <w:rPr>
          <w:noProof/>
        </w:rPr>
      </w:pPr>
      <w:r w:rsidRPr="008431A9">
        <w:rPr>
          <w:noProof/>
        </w:rPr>
        <w:t xml:space="preserve">The chapter on registration provides for the uniform rules for registration, both at national and Union’s level including the opposition procedure; defines the applicant and lists requirements for the applicant; specifies the content of application documents, and defines the role of the register. It lays down the transitional protection and transitional measures. The title also provides </w:t>
      </w:r>
      <w:r w:rsidR="004845F5" w:rsidRPr="008431A9">
        <w:rPr>
          <w:noProof/>
        </w:rPr>
        <w:t xml:space="preserve">the possibility </w:t>
      </w:r>
      <w:r w:rsidR="00AC639D" w:rsidRPr="008431A9">
        <w:rPr>
          <w:noProof/>
        </w:rPr>
        <w:t>to consult the Advisory Board, which is composed</w:t>
      </w:r>
      <w:r w:rsidR="004845F5" w:rsidRPr="008431A9">
        <w:rPr>
          <w:noProof/>
        </w:rPr>
        <w:t xml:space="preserve"> of experts appointed by Member States and the Commission</w:t>
      </w:r>
      <w:r w:rsidR="00AC639D" w:rsidRPr="008431A9">
        <w:rPr>
          <w:noProof/>
        </w:rPr>
        <w:t xml:space="preserve">. The Advisory Board, </w:t>
      </w:r>
      <w:r w:rsidRPr="008431A9">
        <w:rPr>
          <w:noProof/>
        </w:rPr>
        <w:t>when necessary, will examine and provide opinions, at the request of the Office</w:t>
      </w:r>
      <w:r w:rsidR="004845F5" w:rsidRPr="008431A9">
        <w:rPr>
          <w:noProof/>
        </w:rPr>
        <w:t xml:space="preserve"> or the Commission</w:t>
      </w:r>
      <w:r w:rsidRPr="008431A9">
        <w:rPr>
          <w:noProof/>
        </w:rPr>
        <w:t xml:space="preserve">, on specific GI applications and technical problems relating to the application of this Regulation. </w:t>
      </w:r>
      <w:r w:rsidR="005B0A64" w:rsidRPr="008431A9">
        <w:rPr>
          <w:noProof/>
        </w:rPr>
        <w:t xml:space="preserve">The Advisory Board must be consulted with regards to applications submitted through the direction procedure referred to in Article 15. </w:t>
      </w:r>
      <w:r w:rsidRPr="008431A9">
        <w:rPr>
          <w:noProof/>
        </w:rPr>
        <w:t>Title 2 also includes provisions on the amendments to the product specification and on the cancellation of the registered GIs as well as on the appeals procedure. It also establishes a domain name information and alert system</w:t>
      </w:r>
      <w:r w:rsidR="66EDE4E7" w:rsidRPr="008431A9">
        <w:rPr>
          <w:noProof/>
        </w:rPr>
        <w:t xml:space="preserve"> </w:t>
      </w:r>
      <w:r w:rsidR="66EDE4E7" w:rsidRPr="008431A9">
        <w:rPr>
          <w:rFonts w:eastAsia="Times New Roman"/>
          <w:noProof/>
        </w:rPr>
        <w:t>and contains provisions on administrative fees</w:t>
      </w:r>
      <w:r w:rsidRPr="008431A9">
        <w:rPr>
          <w:noProof/>
        </w:rPr>
        <w:t>.</w:t>
      </w:r>
    </w:p>
    <w:p w:rsidR="005F7D45" w:rsidRPr="008431A9" w:rsidRDefault="005F7D45" w:rsidP="005F7D45">
      <w:pPr>
        <w:pBdr>
          <w:top w:val="nil"/>
          <w:left w:val="nil"/>
          <w:bottom w:val="nil"/>
          <w:right w:val="nil"/>
          <w:between w:val="nil"/>
          <w:bar w:val="nil"/>
        </w:pBdr>
        <w:spacing w:before="0" w:after="240"/>
        <w:rPr>
          <w:noProof/>
        </w:rPr>
      </w:pPr>
      <w:r w:rsidRPr="008431A9">
        <w:rPr>
          <w:noProof/>
        </w:rPr>
        <w:t xml:space="preserve">The proposal establishes an exceptional scheme for direct procedures before the Office for applicants </w:t>
      </w:r>
      <w:r w:rsidR="521CAEBC" w:rsidRPr="008431A9">
        <w:rPr>
          <w:noProof/>
        </w:rPr>
        <w:t>from</w:t>
      </w:r>
      <w:r w:rsidRPr="008431A9">
        <w:rPr>
          <w:noProof/>
        </w:rPr>
        <w:t xml:space="preserve"> a Member State that meet</w:t>
      </w:r>
      <w:r w:rsidR="54C285FF" w:rsidRPr="008431A9">
        <w:rPr>
          <w:noProof/>
        </w:rPr>
        <w:t>s</w:t>
      </w:r>
      <w:r w:rsidRPr="008431A9">
        <w:rPr>
          <w:noProof/>
        </w:rPr>
        <w:t xml:space="preserve"> certain conditions </w:t>
      </w:r>
      <w:r w:rsidR="001D0912" w:rsidRPr="008431A9">
        <w:rPr>
          <w:noProof/>
        </w:rPr>
        <w:t xml:space="preserve">on </w:t>
      </w:r>
      <w:r w:rsidRPr="008431A9">
        <w:rPr>
          <w:noProof/>
        </w:rPr>
        <w:t xml:space="preserve">the </w:t>
      </w:r>
      <w:r w:rsidR="001D0912" w:rsidRPr="008431A9">
        <w:rPr>
          <w:noProof/>
        </w:rPr>
        <w:t>date of adoption of this</w:t>
      </w:r>
      <w:r w:rsidRPr="008431A9">
        <w:rPr>
          <w:noProof/>
        </w:rPr>
        <w:t xml:space="preserve"> Regulation, and do not therefore designate a national authority for the management of the procedures for registration, amendments to the product specification and cancellation of the registration in respect of GIs. Member States that opt for this exceptional registration scheme must designate a contact point for the registration procedure under EUIPO, and a competent authority for the controls and enforcement and to take the necessary actions to enforce the rights in this Regulation. </w:t>
      </w:r>
    </w:p>
    <w:p w:rsidR="005F7D45" w:rsidRPr="008431A9" w:rsidRDefault="005F7D45" w:rsidP="005F7D45">
      <w:pPr>
        <w:pBdr>
          <w:top w:val="nil"/>
          <w:left w:val="nil"/>
          <w:bottom w:val="nil"/>
          <w:right w:val="nil"/>
          <w:between w:val="nil"/>
          <w:bar w:val="nil"/>
        </w:pBdr>
        <w:spacing w:before="0" w:after="240"/>
        <w:rPr>
          <w:noProof/>
        </w:rPr>
      </w:pPr>
      <w:r w:rsidRPr="008431A9">
        <w:rPr>
          <w:noProof/>
        </w:rPr>
        <w:t>Member States may charge a fee to cover their costs of managing the GI system for CI products. However, the Office will not charge a fee</w:t>
      </w:r>
      <w:r w:rsidR="006F4AF7" w:rsidRPr="008431A9">
        <w:rPr>
          <w:noProof/>
        </w:rPr>
        <w:t xml:space="preserve">, except </w:t>
      </w:r>
      <w:r w:rsidRPr="008431A9">
        <w:rPr>
          <w:noProof/>
        </w:rPr>
        <w:t xml:space="preserve">for the direct application procedure set out in Article </w:t>
      </w:r>
      <w:r w:rsidR="00BB082D" w:rsidRPr="008431A9">
        <w:rPr>
          <w:noProof/>
        </w:rPr>
        <w:t>15</w:t>
      </w:r>
      <w:r w:rsidRPr="008431A9">
        <w:rPr>
          <w:noProof/>
        </w:rPr>
        <w:t xml:space="preserve">. </w:t>
      </w:r>
      <w:r w:rsidR="006F4AF7" w:rsidRPr="008431A9">
        <w:rPr>
          <w:noProof/>
        </w:rPr>
        <w:t xml:space="preserve">EU </w:t>
      </w:r>
      <w:r w:rsidRPr="008431A9">
        <w:rPr>
          <w:noProof/>
        </w:rPr>
        <w:t>fees must be set out in an implementing act (</w:t>
      </w:r>
      <w:r w:rsidR="00AF6C1E" w:rsidRPr="008431A9">
        <w:rPr>
          <w:noProof/>
        </w:rPr>
        <w:t>A</w:t>
      </w:r>
      <w:r w:rsidRPr="008431A9">
        <w:rPr>
          <w:noProof/>
        </w:rPr>
        <w:t xml:space="preserve">rticle 291 of the TFEU) in line with Regulation (EU) No 182/2011 of the European Parliament and of the Council within six months after the entry into force of this Regulation. </w:t>
      </w:r>
    </w:p>
    <w:p w:rsidR="001C2B1D" w:rsidRPr="008431A9" w:rsidRDefault="001C2B1D" w:rsidP="005F7D45">
      <w:pPr>
        <w:pBdr>
          <w:top w:val="nil"/>
          <w:left w:val="nil"/>
          <w:bottom w:val="nil"/>
          <w:right w:val="nil"/>
          <w:between w:val="nil"/>
          <w:bar w:val="nil"/>
        </w:pBdr>
        <w:spacing w:before="0" w:after="240"/>
        <w:rPr>
          <w:noProof/>
        </w:rPr>
      </w:pPr>
      <w:r w:rsidRPr="008431A9">
        <w:rPr>
          <w:noProof/>
        </w:rPr>
        <w:t>This Title also establishes a prerogative for the Commission to take over the decision-making power from the Office that may affect the Union’s trade and external</w:t>
      </w:r>
      <w:r w:rsidR="00C2277D" w:rsidRPr="008431A9">
        <w:rPr>
          <w:noProof/>
        </w:rPr>
        <w:t xml:space="preserve"> affairs</w:t>
      </w:r>
      <w:r w:rsidRPr="008431A9">
        <w:rPr>
          <w:noProof/>
        </w:rPr>
        <w:t xml:space="preserve"> policy</w:t>
      </w:r>
      <w:r w:rsidR="00D13421" w:rsidRPr="008431A9">
        <w:rPr>
          <w:noProof/>
        </w:rPr>
        <w:t xml:space="preserve">, or the </w:t>
      </w:r>
      <w:r w:rsidR="00D13421" w:rsidRPr="008431A9">
        <w:rPr>
          <w:noProof/>
        </w:rPr>
        <w:lastRenderedPageBreak/>
        <w:t>public interest</w:t>
      </w:r>
      <w:r w:rsidRPr="008431A9">
        <w:rPr>
          <w:noProof/>
        </w:rPr>
        <w:t>. This prerogative was designed to be used only when policy consideration</w:t>
      </w:r>
      <w:r w:rsidR="00D171C6" w:rsidRPr="008431A9">
        <w:rPr>
          <w:noProof/>
        </w:rPr>
        <w:t>s</w:t>
      </w:r>
      <w:r w:rsidRPr="008431A9">
        <w:rPr>
          <w:noProof/>
        </w:rPr>
        <w:t xml:space="preserve"> may override technical aspects of intellectual property, also considering that geographical indications play an important role in the Union’s trade and external policy and are collective rights performing also public functions.</w:t>
      </w:r>
      <w:r w:rsidR="00D171C6" w:rsidRPr="008431A9">
        <w:rPr>
          <w:noProof/>
        </w:rPr>
        <w:t xml:space="preserve"> </w:t>
      </w:r>
    </w:p>
    <w:p w:rsidR="005F7D45" w:rsidRPr="008431A9" w:rsidRDefault="005F7D45" w:rsidP="005F7D45">
      <w:pPr>
        <w:spacing w:before="0" w:after="240"/>
        <w:rPr>
          <w:noProof/>
        </w:rPr>
      </w:pPr>
      <w:r w:rsidRPr="008431A9">
        <w:rPr>
          <w:b/>
          <w:bCs/>
          <w:noProof/>
        </w:rPr>
        <w:t>Title 3: Protection of geographical indications</w:t>
      </w:r>
    </w:p>
    <w:p w:rsidR="005F7D45" w:rsidRPr="008431A9" w:rsidRDefault="005F7D45" w:rsidP="005F7D45">
      <w:pPr>
        <w:rPr>
          <w:noProof/>
        </w:rPr>
      </w:pPr>
      <w:r w:rsidRPr="008431A9">
        <w:rPr>
          <w:noProof/>
        </w:rPr>
        <w:t xml:space="preserve">The level of protection of CI GIs is set out in Title 3. Title 3 also sets out rules for GIs when used as parts or components in </w:t>
      </w:r>
      <w:r w:rsidR="003426FE" w:rsidRPr="008431A9">
        <w:rPr>
          <w:noProof/>
        </w:rPr>
        <w:t>manufactured</w:t>
      </w:r>
      <w:r w:rsidRPr="008431A9">
        <w:rPr>
          <w:noProof/>
        </w:rPr>
        <w:t xml:space="preserve"> products, clarifies generic terms and registration of homonymous GIs, as well as the relationship with trade marks. It provides rules for producer groups. The relationship with the use of protected terms in internet domain names is defined. This title includes the rules for the use of Union symbols, indications and abbreviations on the labelling and advertising material of the product concerned.</w:t>
      </w:r>
    </w:p>
    <w:p w:rsidR="005F7D45" w:rsidRPr="008431A9" w:rsidRDefault="005F7D45" w:rsidP="005F7D45">
      <w:pPr>
        <w:rPr>
          <w:noProof/>
        </w:rPr>
      </w:pPr>
      <w:r w:rsidRPr="008431A9">
        <w:rPr>
          <w:b/>
          <w:bCs/>
          <w:noProof/>
        </w:rPr>
        <w:t xml:space="preserve">Title 4: Controls and enforcement </w:t>
      </w:r>
    </w:p>
    <w:p w:rsidR="005F7D45" w:rsidRPr="008431A9" w:rsidRDefault="005F7D45" w:rsidP="2D747A30">
      <w:pPr>
        <w:rPr>
          <w:rFonts w:eastAsiaTheme="minorEastAsia"/>
          <w:noProof/>
        </w:rPr>
      </w:pPr>
      <w:r w:rsidRPr="008431A9">
        <w:rPr>
          <w:noProof/>
        </w:rPr>
        <w:t>The rules on the controls and enforcement are set out in Title 4, including both verification that a product designated by a GI has been produced in conformity with the corresponding product specification, and monitoring of the use of GIs in the marketplace. For both verification and monitoring, this Title provides for two procedures regarding the control of producers. While Member States are required to designate the competent authority responsible for the official controls to verify compliance with this Regulation, they are free to introduce a third-party certification procedure operated by competent authorities or delegated product certification bodies, or a procedure based on the producer’s self-declaration. Besides producer controls, the title also sets out rules for Member States on how to prevent or stop any other misuse of GIs in their territory. In addition, it aims to prevent the misuse of GIs on online platforms</w:t>
      </w:r>
      <w:r w:rsidRPr="008431A9">
        <w:rPr>
          <w:rStyle w:val="FootnoteReference"/>
          <w:noProof/>
          <w:lang w:val="en-US"/>
        </w:rPr>
        <w:footnoteReference w:id="3"/>
      </w:r>
      <w:r w:rsidRPr="008431A9">
        <w:rPr>
          <w:rStyle w:val="FootnoteReference"/>
          <w:noProof/>
          <w:lang w:val="en-US"/>
        </w:rPr>
        <w:t xml:space="preserve"> </w:t>
      </w:r>
      <w:r w:rsidRPr="008431A9">
        <w:rPr>
          <w:noProof/>
        </w:rPr>
        <w:t xml:space="preserve">in line with </w:t>
      </w:r>
      <w:r w:rsidRPr="00AF6E33">
        <w:rPr>
          <w:noProof/>
        </w:rPr>
        <w:t>Regulation (EU) No xxxx/2022</w:t>
      </w:r>
      <w:r w:rsidRPr="008431A9">
        <w:rPr>
          <w:noProof/>
        </w:rPr>
        <w:t>. The title also governs mutual assistance between Member States’ authorities. It requires that enforcement authorities</w:t>
      </w:r>
      <w:r w:rsidR="2D747A30" w:rsidRPr="008431A9">
        <w:rPr>
          <w:noProof/>
        </w:rPr>
        <w:t xml:space="preserve"> should provide </w:t>
      </w:r>
      <w:r w:rsidRPr="008431A9">
        <w:rPr>
          <w:noProof/>
        </w:rPr>
        <w:t>proof of certification on a producer’s</w:t>
      </w:r>
      <w:r w:rsidR="2D747A30" w:rsidRPr="008431A9">
        <w:rPr>
          <w:noProof/>
        </w:rPr>
        <w:t xml:space="preserve"> </w:t>
      </w:r>
      <w:r w:rsidRPr="008431A9">
        <w:rPr>
          <w:noProof/>
        </w:rPr>
        <w:t>request.</w:t>
      </w:r>
    </w:p>
    <w:p w:rsidR="005F7D45" w:rsidRPr="008431A9" w:rsidRDefault="005F7D45" w:rsidP="005F7D45">
      <w:pPr>
        <w:rPr>
          <w:rFonts w:eastAsia="Times New Roman"/>
          <w:b/>
          <w:noProof/>
          <w:szCs w:val="24"/>
        </w:rPr>
      </w:pPr>
      <w:r w:rsidRPr="008431A9">
        <w:rPr>
          <w:b/>
          <w:noProof/>
          <w:szCs w:val="24"/>
        </w:rPr>
        <w:t>Title 5: Geographical indications</w:t>
      </w:r>
      <w:r w:rsidRPr="008431A9">
        <w:rPr>
          <w:rFonts w:eastAsia="Times New Roman"/>
          <w:b/>
          <w:noProof/>
          <w:szCs w:val="24"/>
        </w:rPr>
        <w:t xml:space="preserve"> entered in the International Register</w:t>
      </w:r>
      <w:r w:rsidRPr="008431A9">
        <w:rPr>
          <w:rFonts w:eastAsia="Times New Roman"/>
          <w:b/>
          <w:bCs/>
          <w:noProof/>
          <w:szCs w:val="24"/>
        </w:rPr>
        <w:t xml:space="preserve"> and amendments to other acts</w:t>
      </w:r>
    </w:p>
    <w:p w:rsidR="005F7D45" w:rsidRPr="008431A9" w:rsidRDefault="005F7D45" w:rsidP="5C4B0EEF">
      <w:pPr>
        <w:rPr>
          <w:rFonts w:eastAsia="Calibri"/>
          <w:noProof/>
        </w:rPr>
      </w:pPr>
      <w:r w:rsidRPr="008431A9">
        <w:rPr>
          <w:rFonts w:eastAsia="Times New Roman"/>
          <w:noProof/>
        </w:rPr>
        <w:t xml:space="preserve">Title 5 provides for the necessary </w:t>
      </w:r>
      <w:r w:rsidR="08BD7C3A" w:rsidRPr="008431A9">
        <w:rPr>
          <w:rFonts w:eastAsia="Times New Roman"/>
          <w:noProof/>
        </w:rPr>
        <w:t>amendments</w:t>
      </w:r>
      <w:r w:rsidRPr="008431A9">
        <w:rPr>
          <w:rFonts w:eastAsia="Times New Roman"/>
          <w:noProof/>
        </w:rPr>
        <w:t xml:space="preserve"> to Council Decision (EU) 2019/1754 and Regulation (EU) 2019/1753 of the European Parliament and of the Council, the EU legislation adopted following the EU</w:t>
      </w:r>
      <w:r w:rsidR="12102096" w:rsidRPr="008431A9">
        <w:rPr>
          <w:rFonts w:eastAsia="Times New Roman"/>
          <w:noProof/>
        </w:rPr>
        <w:t>’s</w:t>
      </w:r>
      <w:r w:rsidRPr="008431A9">
        <w:rPr>
          <w:rFonts w:eastAsia="Times New Roman"/>
          <w:noProof/>
        </w:rPr>
        <w:t xml:space="preserve"> accession to the Geneva Act on 26 November 2019</w:t>
      </w:r>
      <w:r w:rsidR="3414F898" w:rsidRPr="008431A9">
        <w:rPr>
          <w:rFonts w:eastAsia="Times New Roman"/>
          <w:noProof/>
        </w:rPr>
        <w:t>.</w:t>
      </w:r>
    </w:p>
    <w:p w:rsidR="006901F8" w:rsidRPr="008431A9" w:rsidRDefault="006901F8" w:rsidP="2D747A30">
      <w:pPr>
        <w:rPr>
          <w:rFonts w:eastAsia="Calibri"/>
          <w:noProof/>
        </w:rPr>
      </w:pPr>
      <w:r w:rsidRPr="008431A9">
        <w:rPr>
          <w:rFonts w:eastAsia="Times New Roman"/>
          <w:noProof/>
        </w:rPr>
        <w:t>The amendments are needed to adjust existing rules to the changed reality of a new EU CI GI scheme emerging after such rules were created. For example, there is currently no provision to clarify that unlike in the case of agricultural GIs, it is the EUIPO to play the role of competent authority under the Lisbon system. Similarly, provisions are needed to ensure that international applications relating to CI products can be filed and processed by the EU’s competent authority.</w:t>
      </w:r>
    </w:p>
    <w:p w:rsidR="004845F5" w:rsidRPr="008431A9" w:rsidRDefault="006901F8" w:rsidP="005F7D45">
      <w:pPr>
        <w:rPr>
          <w:rFonts w:eastAsia="Times New Roman"/>
          <w:noProof/>
        </w:rPr>
      </w:pPr>
      <w:r w:rsidRPr="008431A9">
        <w:rPr>
          <w:rFonts w:eastAsia="Times New Roman"/>
          <w:noProof/>
        </w:rPr>
        <w:t xml:space="preserve">Further amendments are introduced on </w:t>
      </w:r>
      <w:r w:rsidRPr="008431A9">
        <w:rPr>
          <w:rFonts w:eastAsia="Times New Roman"/>
          <w:noProof/>
          <w:lang w:val="en-US"/>
        </w:rPr>
        <w:t xml:space="preserve">the Trade Mark </w:t>
      </w:r>
      <w:r w:rsidRPr="008431A9">
        <w:rPr>
          <w:rFonts w:eastAsia="Times New Roman"/>
          <w:noProof/>
        </w:rPr>
        <w:t xml:space="preserve">Regulation (EU) 2017/1001 to add in the </w:t>
      </w:r>
      <w:r w:rsidRPr="008431A9">
        <w:rPr>
          <w:rFonts w:eastAsia="Times New Roman"/>
          <w:noProof/>
          <w:lang w:val="en-US"/>
        </w:rPr>
        <w:t xml:space="preserve">catalogue of the Office’s tasks contained in Article 151, </w:t>
      </w:r>
      <w:r w:rsidRPr="008431A9">
        <w:rPr>
          <w:rFonts w:eastAsia="Times New Roman"/>
          <w:noProof/>
        </w:rPr>
        <w:t xml:space="preserve">the tasks conferred to the Office for the </w:t>
      </w:r>
      <w:r w:rsidRPr="008431A9">
        <w:rPr>
          <w:rFonts w:eastAsia="Times New Roman"/>
          <w:noProof/>
          <w:lang w:val="en-US"/>
        </w:rPr>
        <w:t>administration and promotion of CI geographical indications</w:t>
      </w:r>
      <w:r w:rsidRPr="008431A9">
        <w:rPr>
          <w:rFonts w:eastAsia="Times New Roman"/>
          <w:noProof/>
        </w:rPr>
        <w:t>. In addition, there is another amendment to the Trade Mark Regulation (EU) 2017/1001 to establish a domain name information and alert system for EU trade marks replicating the alert system established under this Regulation.</w:t>
      </w:r>
    </w:p>
    <w:p w:rsidR="00756EB5" w:rsidRPr="008431A9" w:rsidRDefault="00756EB5" w:rsidP="005F7D45">
      <w:pPr>
        <w:rPr>
          <w:rFonts w:eastAsia="Times New Roman"/>
          <w:b/>
          <w:noProof/>
        </w:rPr>
      </w:pPr>
      <w:r w:rsidRPr="008431A9">
        <w:rPr>
          <w:rFonts w:eastAsia="Times New Roman"/>
          <w:b/>
          <w:noProof/>
        </w:rPr>
        <w:lastRenderedPageBreak/>
        <w:t>Title 6: Technical assistance</w:t>
      </w:r>
    </w:p>
    <w:p w:rsidR="00756EB5" w:rsidRPr="008431A9" w:rsidRDefault="00756EB5" w:rsidP="005F7D45">
      <w:pPr>
        <w:rPr>
          <w:rFonts w:eastAsia="Times New Roman"/>
          <w:noProof/>
        </w:rPr>
      </w:pPr>
      <w:r w:rsidRPr="008431A9">
        <w:rPr>
          <w:rFonts w:eastAsia="Times New Roman"/>
          <w:noProof/>
        </w:rPr>
        <w:t xml:space="preserve">Title 6 sets out the Commission’s empowerment to adopt delegated acts in line with Article 290 of the </w:t>
      </w:r>
      <w:r w:rsidRPr="008431A9">
        <w:rPr>
          <w:noProof/>
        </w:rPr>
        <w:t xml:space="preserve">of the TFEU to </w:t>
      </w:r>
      <w:r w:rsidR="006F0237" w:rsidRPr="008431A9">
        <w:rPr>
          <w:noProof/>
        </w:rPr>
        <w:t xml:space="preserve">entrust EUIPO with the examination and other administrative tasks concerning third country geographical indications, other than geographical indications under the Geneva Act of the Lisbon Agreement on Appellations of Origin and Geographical Indications, proposed for protection pursuant to international negotiations or international agreements. By this Title the Commission ensures that administrative tasks related to geographical indications in the context of international negotiations and international agreements which are devoid of any trade or external policy considerations may be outsourced to the Office. </w:t>
      </w:r>
    </w:p>
    <w:p w:rsidR="005F7D45" w:rsidRPr="008431A9" w:rsidRDefault="005F7D45" w:rsidP="005F7D45">
      <w:pPr>
        <w:rPr>
          <w:b/>
          <w:bCs/>
          <w:noProof/>
          <w:szCs w:val="24"/>
        </w:rPr>
      </w:pPr>
      <w:r w:rsidRPr="008431A9">
        <w:rPr>
          <w:b/>
          <w:bCs/>
          <w:noProof/>
          <w:szCs w:val="24"/>
        </w:rPr>
        <w:t xml:space="preserve">Title </w:t>
      </w:r>
      <w:r w:rsidR="008D0E28" w:rsidRPr="008431A9">
        <w:rPr>
          <w:b/>
          <w:bCs/>
          <w:noProof/>
          <w:szCs w:val="24"/>
        </w:rPr>
        <w:t>7</w:t>
      </w:r>
      <w:r w:rsidRPr="008431A9">
        <w:rPr>
          <w:b/>
          <w:bCs/>
          <w:noProof/>
          <w:szCs w:val="24"/>
        </w:rPr>
        <w:t xml:space="preserve">: </w:t>
      </w:r>
      <w:r w:rsidR="008D0E28" w:rsidRPr="008431A9">
        <w:rPr>
          <w:b/>
          <w:bCs/>
          <w:noProof/>
          <w:szCs w:val="24"/>
        </w:rPr>
        <w:t>Supplementary provisions</w:t>
      </w:r>
    </w:p>
    <w:p w:rsidR="00B70EFD" w:rsidRPr="008431A9" w:rsidRDefault="005F7D45" w:rsidP="000818F4">
      <w:pPr>
        <w:rPr>
          <w:rFonts w:eastAsia="Times New Roman"/>
          <w:noProof/>
        </w:rPr>
      </w:pPr>
      <w:r w:rsidRPr="008431A9">
        <w:rPr>
          <w:noProof/>
        </w:rPr>
        <w:t xml:space="preserve">Title </w:t>
      </w:r>
      <w:r w:rsidR="00AC639D" w:rsidRPr="008431A9">
        <w:rPr>
          <w:noProof/>
        </w:rPr>
        <w:t>7</w:t>
      </w:r>
      <w:r w:rsidRPr="008431A9">
        <w:rPr>
          <w:noProof/>
        </w:rPr>
        <w:t xml:space="preserve"> sets out the Commission’s empowerment to adopt delegated acts in line with Article 290 of the TFEU to </w:t>
      </w:r>
      <w:r w:rsidR="1860D318" w:rsidRPr="008431A9">
        <w:rPr>
          <w:noProof/>
        </w:rPr>
        <w:t xml:space="preserve">supplement or </w:t>
      </w:r>
      <w:r w:rsidR="12DD6701" w:rsidRPr="008431A9">
        <w:rPr>
          <w:noProof/>
        </w:rPr>
        <w:t>amend</w:t>
      </w:r>
      <w:r w:rsidRPr="008431A9">
        <w:rPr>
          <w:noProof/>
        </w:rPr>
        <w:t xml:space="preserve"> the Regulation as regards </w:t>
      </w:r>
      <w:r w:rsidR="668BE4A9" w:rsidRPr="008431A9">
        <w:rPr>
          <w:noProof/>
        </w:rPr>
        <w:t>detailed rules on procedures and form of the cancellation process and the presentation of the requests referred to in Article 29. This includes</w:t>
      </w:r>
      <w:r w:rsidR="00ED2A5A" w:rsidRPr="008431A9">
        <w:rPr>
          <w:noProof/>
        </w:rPr>
        <w:t xml:space="preserve"> </w:t>
      </w:r>
      <w:r w:rsidR="00ED2A5A" w:rsidRPr="008431A9">
        <w:rPr>
          <w:noProof/>
          <w:szCs w:val="24"/>
        </w:rPr>
        <w:t>the requirements or listing additional items of the accompanying documentation referred to in Article 9, defining procedures and conditions applicable to the preparation and submission of Union applications for registration referred to in Article 17, rules on entrusting EUIPO to operate the Union register of geographical indications</w:t>
      </w:r>
      <w:r w:rsidR="005F6945" w:rsidRPr="008431A9">
        <w:rPr>
          <w:noProof/>
          <w:szCs w:val="24"/>
        </w:rPr>
        <w:t xml:space="preserve"> for craft and industrial products</w:t>
      </w:r>
      <w:r w:rsidR="00ED2A5A" w:rsidRPr="008431A9">
        <w:rPr>
          <w:noProof/>
          <w:szCs w:val="24"/>
        </w:rPr>
        <w:t xml:space="preserve"> referred to in Article 26,</w:t>
      </w:r>
      <w:r w:rsidR="668BE4A9" w:rsidRPr="008431A9">
        <w:rPr>
          <w:noProof/>
        </w:rPr>
        <w:t xml:space="preserve"> the formal content of the notice of appeal, the procedure for the filing and the examination of an appeal as well as </w:t>
      </w:r>
      <w:r w:rsidR="668BE4A9" w:rsidRPr="001F7D0F">
        <w:rPr>
          <w:noProof/>
          <w:color w:val="000000" w:themeColor="text1"/>
        </w:rPr>
        <w:t xml:space="preserve">the </w:t>
      </w:r>
      <w:r w:rsidR="668BE4A9" w:rsidRPr="001F7D0F">
        <w:rPr>
          <w:rFonts w:eastAsia="Times New Roman"/>
          <w:noProof/>
          <w:color w:val="000000" w:themeColor="text1"/>
        </w:rPr>
        <w:t>formal content and the form of the Board</w:t>
      </w:r>
      <w:r w:rsidR="00C86FD9" w:rsidRPr="001F7D0F">
        <w:rPr>
          <w:rFonts w:eastAsia="Times New Roman"/>
          <w:noProof/>
          <w:color w:val="000000" w:themeColor="text1"/>
        </w:rPr>
        <w:t>s</w:t>
      </w:r>
      <w:r w:rsidR="668BE4A9" w:rsidRPr="001F7D0F">
        <w:rPr>
          <w:rFonts w:eastAsia="Times New Roman"/>
          <w:noProof/>
          <w:color w:val="000000" w:themeColor="text1"/>
        </w:rPr>
        <w:t xml:space="preserve"> of Appeal’s decisions</w:t>
      </w:r>
      <w:r w:rsidR="668BE4A9" w:rsidRPr="001F7D0F">
        <w:rPr>
          <w:noProof/>
          <w:color w:val="000000" w:themeColor="text1"/>
        </w:rPr>
        <w:t xml:space="preserve"> referred </w:t>
      </w:r>
      <w:r w:rsidR="668BE4A9" w:rsidRPr="008431A9">
        <w:rPr>
          <w:noProof/>
        </w:rPr>
        <w:t>to in Article 30,</w:t>
      </w:r>
      <w:r w:rsidR="71CFF911" w:rsidRPr="008431A9">
        <w:rPr>
          <w:noProof/>
        </w:rPr>
        <w:t xml:space="preserve"> </w:t>
      </w:r>
      <w:r w:rsidRPr="008431A9">
        <w:rPr>
          <w:noProof/>
        </w:rPr>
        <w:t>the information and requirements identified in the self-declaration referred to in Article 4</w:t>
      </w:r>
      <w:r w:rsidR="1C952993" w:rsidRPr="008431A9">
        <w:rPr>
          <w:noProof/>
        </w:rPr>
        <w:t>9</w:t>
      </w:r>
      <w:r w:rsidRPr="008431A9">
        <w:rPr>
          <w:noProof/>
        </w:rPr>
        <w:t xml:space="preserve"> and the corresponding Annex </w:t>
      </w:r>
      <w:r w:rsidR="004F4C76" w:rsidRPr="008431A9">
        <w:rPr>
          <w:noProof/>
        </w:rPr>
        <w:t>1</w:t>
      </w:r>
      <w:r w:rsidR="006A79AD" w:rsidRPr="008431A9">
        <w:rPr>
          <w:noProof/>
        </w:rPr>
        <w:t xml:space="preserve"> and technical assistance of the Office referred to in Article 62</w:t>
      </w:r>
      <w:r w:rsidRPr="008431A9">
        <w:rPr>
          <w:noProof/>
        </w:rPr>
        <w:t xml:space="preserve">. It also identifies the implementing acts that the Commission must undertake to </w:t>
      </w:r>
      <w:r w:rsidRPr="008431A9">
        <w:rPr>
          <w:rFonts w:eastAsia="Times New Roman"/>
          <w:noProof/>
        </w:rPr>
        <w:t>ensure uniform conditions to implement this Regulation</w:t>
      </w:r>
      <w:r w:rsidR="5D20450E" w:rsidRPr="008431A9">
        <w:rPr>
          <w:rFonts w:eastAsia="Times New Roman"/>
          <w:noProof/>
        </w:rPr>
        <w:t>.</w:t>
      </w:r>
    </w:p>
    <w:p w:rsidR="008D0E28" w:rsidRPr="008431A9" w:rsidRDefault="008D0E28" w:rsidP="000818F4">
      <w:pPr>
        <w:rPr>
          <w:rFonts w:eastAsia="Times New Roman"/>
          <w:b/>
          <w:noProof/>
        </w:rPr>
      </w:pPr>
      <w:r w:rsidRPr="008431A9">
        <w:rPr>
          <w:rFonts w:eastAsia="Times New Roman"/>
          <w:b/>
          <w:noProof/>
        </w:rPr>
        <w:t>Title 8: Transitional and final provisions</w:t>
      </w:r>
    </w:p>
    <w:p w:rsidR="008D0E28" w:rsidRPr="008431A9" w:rsidRDefault="008D0E28" w:rsidP="009069F9">
      <w:pPr>
        <w:rPr>
          <w:rFonts w:eastAsia="Times New Roman"/>
          <w:noProof/>
        </w:rPr>
      </w:pPr>
      <w:r w:rsidRPr="008431A9">
        <w:rPr>
          <w:noProof/>
        </w:rPr>
        <w:t xml:space="preserve">Title 8 sets out that transitional national geographical indications protection for craft and industrial products should cease to exist by one year after the date of entry into force of this Regulation. </w:t>
      </w:r>
      <w:r w:rsidR="00EE62C1" w:rsidRPr="008431A9">
        <w:rPr>
          <w:noProof/>
        </w:rPr>
        <w:t>Member States should inform the Commission and the Office which of their legally protected or which of their names established by usage they wish to register and protect pursuant to this Regulation.</w:t>
      </w:r>
    </w:p>
    <w:p w:rsidR="00BC3DEC" w:rsidRPr="008431A9" w:rsidRDefault="00BC3DEC" w:rsidP="000818F4">
      <w:pPr>
        <w:rPr>
          <w:noProof/>
        </w:rPr>
        <w:sectPr w:rsidR="00BC3DEC" w:rsidRPr="008431A9" w:rsidSect="00F10E8E">
          <w:footerReference w:type="default" r:id="rId25"/>
          <w:footerReference w:type="first" r:id="rId26"/>
          <w:pgSz w:w="11907" w:h="16839"/>
          <w:pgMar w:top="1134" w:right="1417" w:bottom="1134" w:left="1417" w:header="709" w:footer="709" w:gutter="0"/>
          <w:cols w:space="708"/>
          <w:docGrid w:linePitch="360"/>
        </w:sectPr>
      </w:pPr>
    </w:p>
    <w:p w:rsidR="00037E07" w:rsidRDefault="00037E07" w:rsidP="00037E07">
      <w:pPr>
        <w:pStyle w:val="Rfrenceinterinstitutionnelle"/>
        <w:rPr>
          <w:noProof/>
        </w:rPr>
      </w:pPr>
      <w:r w:rsidRPr="00037E07">
        <w:lastRenderedPageBreak/>
        <w:t>2022/0115 (COD)</w:t>
      </w:r>
    </w:p>
    <w:p w:rsidR="00B70EFD" w:rsidRPr="008431A9" w:rsidRDefault="0038205B" w:rsidP="0038205B">
      <w:pPr>
        <w:pStyle w:val="Statut"/>
        <w:rPr>
          <w:noProof/>
        </w:rPr>
      </w:pPr>
      <w:r w:rsidRPr="0038205B">
        <w:rPr>
          <w:noProof/>
        </w:rPr>
        <w:t>Proposal for a</w:t>
      </w:r>
    </w:p>
    <w:p w:rsidR="00B70EFD" w:rsidRPr="008431A9" w:rsidRDefault="0038205B" w:rsidP="0038205B">
      <w:pPr>
        <w:pStyle w:val="Typedudocument"/>
        <w:rPr>
          <w:noProof/>
        </w:rPr>
      </w:pPr>
      <w:r w:rsidRPr="0038205B">
        <w:rPr>
          <w:noProof/>
        </w:rPr>
        <w:t>REGULATION OF THE EUROPEAN PARLIAMENT AND OF THE COUNCIL</w:t>
      </w:r>
    </w:p>
    <w:p w:rsidR="00B70EFD" w:rsidRPr="008431A9" w:rsidRDefault="0038205B" w:rsidP="0038205B">
      <w:pPr>
        <w:pStyle w:val="Titreobjet"/>
        <w:rPr>
          <w:noProof/>
        </w:rPr>
      </w:pPr>
      <w:r w:rsidRPr="0038205B">
        <w:rPr>
          <w:noProof/>
        </w:rPr>
        <w:t>on geographical indication protection for craft and industrial products and amending Regulations (EU) 2017/1001 and (EU) 2019/1753 of the European Parliament and of the Council and Council Decision (EU) 2019/1754</w:t>
      </w:r>
    </w:p>
    <w:p w:rsidR="00C51B60" w:rsidRPr="008431A9" w:rsidRDefault="0038205B" w:rsidP="0038205B">
      <w:pPr>
        <w:pStyle w:val="IntrtEEE"/>
        <w:rPr>
          <w:noProof/>
        </w:rPr>
      </w:pPr>
      <w:r w:rsidRPr="0038205B">
        <w:rPr>
          <w:noProof/>
        </w:rPr>
        <w:t>(Text with EEA relevance)</w:t>
      </w:r>
    </w:p>
    <w:p w:rsidR="00B70EFD" w:rsidRPr="008431A9" w:rsidRDefault="00B70EFD" w:rsidP="000818F4">
      <w:pPr>
        <w:pStyle w:val="Institutionquiagit"/>
        <w:rPr>
          <w:noProof/>
        </w:rPr>
      </w:pPr>
      <w:r w:rsidRPr="008431A9">
        <w:rPr>
          <w:noProof/>
        </w:rPr>
        <w:t>THE EUROPEAN PARLIAMENT AND THE COUNCIL OF THE EUROPEAN UNION,</w:t>
      </w:r>
    </w:p>
    <w:p w:rsidR="00B70EFD" w:rsidRPr="008431A9" w:rsidRDefault="00B70EFD" w:rsidP="000818F4">
      <w:pPr>
        <w:rPr>
          <w:noProof/>
        </w:rPr>
      </w:pPr>
      <w:r w:rsidRPr="008431A9">
        <w:rPr>
          <w:noProof/>
        </w:rPr>
        <w:t xml:space="preserve">Having regard to the Treaty on the Functioning of the European Union, and in particular Article </w:t>
      </w:r>
      <w:r w:rsidR="005F7D45" w:rsidRPr="008431A9">
        <w:rPr>
          <w:noProof/>
        </w:rPr>
        <w:t>118</w:t>
      </w:r>
      <w:r w:rsidR="00321828" w:rsidRPr="008431A9">
        <w:rPr>
          <w:noProof/>
        </w:rPr>
        <w:t>(1)</w:t>
      </w:r>
      <w:r w:rsidR="005F7D45" w:rsidRPr="008431A9">
        <w:rPr>
          <w:noProof/>
        </w:rPr>
        <w:t>, as well as Article 207</w:t>
      </w:r>
      <w:r w:rsidR="00321828" w:rsidRPr="008431A9">
        <w:rPr>
          <w:noProof/>
        </w:rPr>
        <w:t>(2)</w:t>
      </w:r>
      <w:r w:rsidR="005F7D45" w:rsidRPr="008431A9">
        <w:rPr>
          <w:noProof/>
        </w:rPr>
        <w:t xml:space="preserve">, </w:t>
      </w:r>
      <w:r w:rsidRPr="008431A9">
        <w:rPr>
          <w:noProof/>
        </w:rPr>
        <w:t>thereof,</w:t>
      </w:r>
    </w:p>
    <w:p w:rsidR="00B70EFD" w:rsidRPr="008431A9" w:rsidRDefault="00B70EFD" w:rsidP="000818F4">
      <w:pPr>
        <w:rPr>
          <w:noProof/>
        </w:rPr>
      </w:pPr>
      <w:r w:rsidRPr="008431A9">
        <w:rPr>
          <w:noProof/>
        </w:rPr>
        <w:t>Having regard to the proposal from the European Commission,</w:t>
      </w:r>
    </w:p>
    <w:p w:rsidR="00B70EFD" w:rsidRPr="008431A9" w:rsidRDefault="00B70EFD" w:rsidP="000818F4">
      <w:pPr>
        <w:rPr>
          <w:noProof/>
        </w:rPr>
      </w:pPr>
      <w:r w:rsidRPr="008431A9">
        <w:rPr>
          <w:noProof/>
        </w:rPr>
        <w:t>After transmission of the draft legislative act to the national parliaments,</w:t>
      </w:r>
    </w:p>
    <w:p w:rsidR="00B70EFD" w:rsidRPr="008431A9" w:rsidRDefault="00B70EFD" w:rsidP="000818F4">
      <w:pPr>
        <w:rPr>
          <w:noProof/>
        </w:rPr>
      </w:pPr>
      <w:r w:rsidRPr="008431A9">
        <w:rPr>
          <w:noProof/>
        </w:rPr>
        <w:t>Having regard to the opinion of the European Economic and Social Committee</w:t>
      </w:r>
      <w:r w:rsidRPr="008431A9">
        <w:rPr>
          <w:rStyle w:val="FootnoteReference"/>
          <w:noProof/>
        </w:rPr>
        <w:footnoteReference w:id="4"/>
      </w:r>
      <w:r w:rsidRPr="008431A9">
        <w:rPr>
          <w:noProof/>
        </w:rPr>
        <w:t xml:space="preserve">, </w:t>
      </w:r>
    </w:p>
    <w:p w:rsidR="00B70EFD" w:rsidRPr="008431A9" w:rsidRDefault="00B70EFD" w:rsidP="000818F4">
      <w:pPr>
        <w:rPr>
          <w:noProof/>
        </w:rPr>
      </w:pPr>
      <w:r w:rsidRPr="008431A9">
        <w:rPr>
          <w:noProof/>
        </w:rPr>
        <w:t>Having regard to the opinion of the Committee of the Regions</w:t>
      </w:r>
      <w:r w:rsidRPr="008431A9">
        <w:rPr>
          <w:rStyle w:val="FootnoteReference"/>
          <w:noProof/>
        </w:rPr>
        <w:footnoteReference w:id="5"/>
      </w:r>
      <w:r w:rsidRPr="008431A9">
        <w:rPr>
          <w:noProof/>
        </w:rPr>
        <w:t>,</w:t>
      </w:r>
    </w:p>
    <w:p w:rsidR="00B70EFD" w:rsidRPr="008431A9" w:rsidRDefault="00B70EFD" w:rsidP="000818F4">
      <w:pPr>
        <w:rPr>
          <w:noProof/>
        </w:rPr>
      </w:pPr>
      <w:r w:rsidRPr="008431A9">
        <w:rPr>
          <w:noProof/>
        </w:rPr>
        <w:t>Acting in accordance with the ordinary legislative procedure,</w:t>
      </w:r>
    </w:p>
    <w:p w:rsidR="00B70EFD" w:rsidRPr="008431A9" w:rsidRDefault="00B70EFD" w:rsidP="000818F4">
      <w:pPr>
        <w:rPr>
          <w:noProof/>
        </w:rPr>
      </w:pPr>
      <w:r w:rsidRPr="008431A9">
        <w:rPr>
          <w:noProof/>
        </w:rPr>
        <w:t>Whereas:</w:t>
      </w:r>
    </w:p>
    <w:p w:rsidR="00B70EFD" w:rsidRPr="008431A9" w:rsidRDefault="00B34B72" w:rsidP="00B34B72">
      <w:pPr>
        <w:pStyle w:val="ManualConsidrant"/>
        <w:rPr>
          <w:noProof/>
        </w:rPr>
      </w:pPr>
      <w:r w:rsidRPr="00B34B72">
        <w:t>(1)</w:t>
      </w:r>
      <w:r w:rsidRPr="00B34B72">
        <w:tab/>
      </w:r>
      <w:r w:rsidR="005F7D45" w:rsidRPr="008431A9">
        <w:rPr>
          <w:noProof/>
        </w:rPr>
        <w:t>On 10 November 2020, the Council adopted conclusions</w:t>
      </w:r>
      <w:r w:rsidR="007729D7" w:rsidRPr="008431A9">
        <w:rPr>
          <w:rStyle w:val="FootnoteReference"/>
          <w:rFonts w:eastAsia="Times New Roman"/>
          <w:noProof/>
        </w:rPr>
        <w:footnoteReference w:id="6"/>
      </w:r>
      <w:r w:rsidR="005F7D45" w:rsidRPr="008431A9">
        <w:rPr>
          <w:noProof/>
        </w:rPr>
        <w:t xml:space="preserve"> on intellectual property policy indicating that it </w:t>
      </w:r>
      <w:r w:rsidR="000E20D4" w:rsidRPr="008431A9">
        <w:rPr>
          <w:noProof/>
        </w:rPr>
        <w:t xml:space="preserve">was </w:t>
      </w:r>
      <w:r w:rsidR="005F7D45" w:rsidRPr="008431A9">
        <w:rPr>
          <w:noProof/>
        </w:rPr>
        <w:t>ready to consider the introduction of a system for specific protection of non-agricultural products, based on a thorough impact assessment of its potential costs and benefits</w:t>
      </w:r>
      <w:r w:rsidR="00B70EFD" w:rsidRPr="008431A9">
        <w:rPr>
          <w:noProof/>
        </w:rPr>
        <w:t>.</w:t>
      </w:r>
    </w:p>
    <w:p w:rsidR="00B70EFD" w:rsidRPr="008431A9" w:rsidRDefault="00B34B72" w:rsidP="00B34B72">
      <w:pPr>
        <w:pStyle w:val="ManualConsidrant"/>
        <w:rPr>
          <w:noProof/>
        </w:rPr>
      </w:pPr>
      <w:r w:rsidRPr="00B34B72">
        <w:t>(2)</w:t>
      </w:r>
      <w:r w:rsidRPr="00B34B72">
        <w:tab/>
      </w:r>
      <w:r w:rsidR="10DF6BC4" w:rsidRPr="008431A9">
        <w:rPr>
          <w:noProof/>
        </w:rPr>
        <w:t xml:space="preserve">In its Communication of 25 November 2020 </w:t>
      </w:r>
      <w:r w:rsidR="000E20D4" w:rsidRPr="008431A9">
        <w:rPr>
          <w:noProof/>
        </w:rPr>
        <w:t>en</w:t>
      </w:r>
      <w:r w:rsidR="10DF6BC4" w:rsidRPr="008431A9">
        <w:rPr>
          <w:noProof/>
        </w:rPr>
        <w:t xml:space="preserve">titled ‘Making the most of the EU’s innovative potential – An intellectual property action plan to support the EU’s recovery and resilience’, the Commission committed </w:t>
      </w:r>
      <w:r w:rsidR="000E20D4" w:rsidRPr="008431A9">
        <w:rPr>
          <w:noProof/>
        </w:rPr>
        <w:t xml:space="preserve">itself to </w:t>
      </w:r>
      <w:r w:rsidR="10DF6BC4" w:rsidRPr="008431A9">
        <w:rPr>
          <w:noProof/>
        </w:rPr>
        <w:t>considering, based on an impact a</w:t>
      </w:r>
      <w:r w:rsidR="007956F6" w:rsidRPr="008431A9">
        <w:rPr>
          <w:noProof/>
        </w:rPr>
        <w:t>ssessment, whether to propose a</w:t>
      </w:r>
      <w:r w:rsidR="10DF6BC4" w:rsidRPr="008431A9">
        <w:rPr>
          <w:noProof/>
        </w:rPr>
        <w:t xml:space="preserve"> U</w:t>
      </w:r>
      <w:r w:rsidR="000E20D4" w:rsidRPr="008431A9">
        <w:rPr>
          <w:noProof/>
        </w:rPr>
        <w:t>nion</w:t>
      </w:r>
      <w:r w:rsidR="10DF6BC4" w:rsidRPr="008431A9">
        <w:rPr>
          <w:noProof/>
        </w:rPr>
        <w:t xml:space="preserve"> system </w:t>
      </w:r>
      <w:r w:rsidR="000E20D4" w:rsidRPr="008431A9">
        <w:rPr>
          <w:noProof/>
        </w:rPr>
        <w:t xml:space="preserve">of geographical indications (GIs) protection </w:t>
      </w:r>
      <w:r w:rsidR="10DF6BC4" w:rsidRPr="008431A9">
        <w:rPr>
          <w:noProof/>
        </w:rPr>
        <w:t xml:space="preserve">for non-agricultural </w:t>
      </w:r>
      <w:r w:rsidR="000E20D4" w:rsidRPr="008431A9">
        <w:rPr>
          <w:noProof/>
        </w:rPr>
        <w:t>products.</w:t>
      </w:r>
    </w:p>
    <w:p w:rsidR="005F7D45" w:rsidRPr="008431A9" w:rsidRDefault="00B34B72" w:rsidP="00B34B72">
      <w:pPr>
        <w:pStyle w:val="ManualConsidrant"/>
        <w:rPr>
          <w:noProof/>
        </w:rPr>
      </w:pPr>
      <w:r w:rsidRPr="00B34B72">
        <w:t>(3)</w:t>
      </w:r>
      <w:r w:rsidRPr="00B34B72">
        <w:tab/>
      </w:r>
      <w:r w:rsidR="000E20D4" w:rsidRPr="008431A9">
        <w:rPr>
          <w:noProof/>
        </w:rPr>
        <w:t>For many years, g</w:t>
      </w:r>
      <w:r w:rsidR="10DF6BC4" w:rsidRPr="008431A9">
        <w:rPr>
          <w:noProof/>
        </w:rPr>
        <w:t>eographical indication protection has been established at Union level for wines, spirit drinks</w:t>
      </w:r>
      <w:r w:rsidR="000E20D4" w:rsidRPr="008431A9">
        <w:rPr>
          <w:rStyle w:val="FootnoteReference"/>
          <w:rFonts w:eastAsiaTheme="minorEastAsia"/>
          <w:noProof/>
        </w:rPr>
        <w:footnoteReference w:id="7"/>
      </w:r>
      <w:r w:rsidR="10DF6BC4" w:rsidRPr="008431A9">
        <w:rPr>
          <w:noProof/>
        </w:rPr>
        <w:t>, aromatised wines</w:t>
      </w:r>
      <w:r w:rsidR="000E20D4" w:rsidRPr="008431A9">
        <w:rPr>
          <w:rStyle w:val="FootnoteReference"/>
          <w:rFonts w:eastAsiaTheme="minorEastAsia"/>
          <w:noProof/>
        </w:rPr>
        <w:footnoteReference w:id="8"/>
      </w:r>
      <w:r w:rsidR="10DF6BC4" w:rsidRPr="008431A9">
        <w:rPr>
          <w:noProof/>
        </w:rPr>
        <w:t xml:space="preserve">, </w:t>
      </w:r>
      <w:r w:rsidR="000E20D4" w:rsidRPr="008431A9">
        <w:rPr>
          <w:noProof/>
        </w:rPr>
        <w:t>as defined at Union level</w:t>
      </w:r>
      <w:r w:rsidR="10DF6BC4" w:rsidRPr="008431A9">
        <w:rPr>
          <w:noProof/>
        </w:rPr>
        <w:t xml:space="preserve">, as well as </w:t>
      </w:r>
      <w:r w:rsidR="10DF6BC4" w:rsidRPr="008431A9">
        <w:rPr>
          <w:noProof/>
        </w:rPr>
        <w:lastRenderedPageBreak/>
        <w:t>agricultural products and foodstuffs</w:t>
      </w:r>
      <w:r w:rsidR="000E20D4" w:rsidRPr="008431A9">
        <w:rPr>
          <w:rStyle w:val="FootnoteReference"/>
          <w:rFonts w:eastAsiaTheme="minorEastAsia"/>
          <w:noProof/>
        </w:rPr>
        <w:footnoteReference w:id="9"/>
      </w:r>
      <w:r w:rsidR="000E20D4" w:rsidRPr="008431A9">
        <w:rPr>
          <w:noProof/>
        </w:rPr>
        <w:t>, as protected at Union level</w:t>
      </w:r>
      <w:r w:rsidR="10DF6BC4" w:rsidRPr="008431A9">
        <w:rPr>
          <w:noProof/>
        </w:rPr>
        <w:t>. It is appropriate to provide Union</w:t>
      </w:r>
      <w:r w:rsidR="000E20D4" w:rsidRPr="008431A9">
        <w:rPr>
          <w:noProof/>
        </w:rPr>
        <w:t>-</w:t>
      </w:r>
      <w:r w:rsidR="10DF6BC4" w:rsidRPr="008431A9">
        <w:rPr>
          <w:noProof/>
        </w:rPr>
        <w:t xml:space="preserve">wide geographical indication protection in respect of products falling outside the scope of existing regulations, </w:t>
      </w:r>
      <w:r w:rsidR="000E20D4" w:rsidRPr="008431A9">
        <w:rPr>
          <w:noProof/>
        </w:rPr>
        <w:t xml:space="preserve">while </w:t>
      </w:r>
      <w:r w:rsidR="10DF6BC4" w:rsidRPr="008431A9">
        <w:rPr>
          <w:noProof/>
        </w:rPr>
        <w:t xml:space="preserve">ensuring convergence, and aiming at encompassing a large </w:t>
      </w:r>
      <w:r w:rsidR="12F9AE63" w:rsidRPr="008431A9">
        <w:rPr>
          <w:noProof/>
        </w:rPr>
        <w:t>variety</w:t>
      </w:r>
      <w:r w:rsidR="10DF6BC4" w:rsidRPr="008431A9">
        <w:rPr>
          <w:noProof/>
        </w:rPr>
        <w:t xml:space="preserve"> of craft and industrial products</w:t>
      </w:r>
      <w:r w:rsidR="12F9AE63" w:rsidRPr="008431A9">
        <w:rPr>
          <w:noProof/>
        </w:rPr>
        <w:t xml:space="preserve">, such as natural stones, jewellery, textiles, lace, cutlery, glass and </w:t>
      </w:r>
      <w:r w:rsidR="733CAD8D" w:rsidRPr="008431A9">
        <w:rPr>
          <w:noProof/>
        </w:rPr>
        <w:t>porcelain</w:t>
      </w:r>
      <w:r w:rsidR="10DF6BC4" w:rsidRPr="008431A9">
        <w:rPr>
          <w:noProof/>
        </w:rPr>
        <w:t>.</w:t>
      </w:r>
    </w:p>
    <w:p w:rsidR="005F7D45" w:rsidRPr="008431A9" w:rsidRDefault="00B34B72" w:rsidP="00B34B72">
      <w:pPr>
        <w:pStyle w:val="ManualConsidrant"/>
        <w:rPr>
          <w:noProof/>
        </w:rPr>
      </w:pPr>
      <w:r w:rsidRPr="00B34B72">
        <w:t>(4)</w:t>
      </w:r>
      <w:r w:rsidRPr="00B34B72">
        <w:tab/>
      </w:r>
      <w:r w:rsidR="10DF6BC4" w:rsidRPr="008431A9">
        <w:rPr>
          <w:noProof/>
        </w:rPr>
        <w:t xml:space="preserve">Several Member States have national regimes for the protection of national geographical indications for craft and industrial products. These regimes differ in terms of protection, administration and fees, and do not offer protection beyond the national territory. </w:t>
      </w:r>
      <w:r w:rsidR="000E20D4" w:rsidRPr="008431A9">
        <w:rPr>
          <w:noProof/>
        </w:rPr>
        <w:t>Other</w:t>
      </w:r>
      <w:r w:rsidR="10DF6BC4" w:rsidRPr="008431A9">
        <w:rPr>
          <w:noProof/>
        </w:rPr>
        <w:t xml:space="preserve"> Member States do not provide for geographical indication protection at national level for such products. That complex landscape of various protection r</w:t>
      </w:r>
      <w:r w:rsidR="000E20D4" w:rsidRPr="008431A9">
        <w:rPr>
          <w:noProof/>
        </w:rPr>
        <w:t>egimes</w:t>
      </w:r>
      <w:r w:rsidR="10DF6BC4" w:rsidRPr="008431A9">
        <w:rPr>
          <w:noProof/>
        </w:rPr>
        <w:t xml:space="preserve"> at Member States level may result in increased costs and legal uncertainty for producers and be a disincentive to investment in the traditional crafts in the Union.</w:t>
      </w:r>
    </w:p>
    <w:p w:rsidR="005F7D45" w:rsidRPr="008431A9" w:rsidRDefault="00B34B72" w:rsidP="00B34B72">
      <w:pPr>
        <w:pStyle w:val="ManualConsidrant"/>
        <w:rPr>
          <w:rFonts w:eastAsiaTheme="minorEastAsia"/>
          <w:noProof/>
          <w:lang w:val="en-US"/>
        </w:rPr>
      </w:pPr>
      <w:r w:rsidRPr="00B34B72">
        <w:t>(5)</w:t>
      </w:r>
      <w:r w:rsidRPr="00B34B72">
        <w:tab/>
      </w:r>
      <w:r w:rsidR="10DF6BC4" w:rsidRPr="008431A9">
        <w:rPr>
          <w:noProof/>
        </w:rPr>
        <w:t>Unitary protection throughout the Union for the intellectual property rights related to geographical indications can contribute to incentives for the production of quality products, the wide availability of such products for consumers and the creation of valuable and sustainable jobs including in rural and less</w:t>
      </w:r>
      <w:r w:rsidR="000E20D4" w:rsidRPr="008431A9">
        <w:rPr>
          <w:noProof/>
        </w:rPr>
        <w:t>-</w:t>
      </w:r>
      <w:r w:rsidR="10DF6BC4" w:rsidRPr="008431A9">
        <w:rPr>
          <w:noProof/>
        </w:rPr>
        <w:t>developed regions. I</w:t>
      </w:r>
      <w:r w:rsidR="0A8C9522" w:rsidRPr="008431A9">
        <w:rPr>
          <w:noProof/>
          <w:lang w:val="en-US"/>
        </w:rPr>
        <w:t>n particular in view of the potential of geographical indications to contribute to sustainable and highly skilled jobs in rural and less developed regions, producers should aim at creating a substantial proportion of the value of the product designated by a geographical indication within the defined geographical area.</w:t>
      </w:r>
    </w:p>
    <w:p w:rsidR="005F7D45" w:rsidRPr="008431A9" w:rsidRDefault="00B34B72" w:rsidP="00B34B72">
      <w:pPr>
        <w:pStyle w:val="ManualConsidrant"/>
        <w:rPr>
          <w:noProof/>
        </w:rPr>
      </w:pPr>
      <w:r w:rsidRPr="00B34B72">
        <w:t>(6)</w:t>
      </w:r>
      <w:r w:rsidRPr="00B34B72">
        <w:tab/>
      </w:r>
      <w:r w:rsidR="10DF6BC4" w:rsidRPr="008431A9">
        <w:rPr>
          <w:noProof/>
        </w:rPr>
        <w:t>On 26 November 2019, the Union acceded to the 2015 Geneva Act of the Lisbon Agreement on Appellations of Origin and Geographical Indications</w:t>
      </w:r>
      <w:r w:rsidR="000E20D4" w:rsidRPr="008431A9">
        <w:rPr>
          <w:rStyle w:val="FootnoteReference"/>
          <w:rFonts w:eastAsia="Times New Roman"/>
          <w:noProof/>
        </w:rPr>
        <w:footnoteReference w:id="10"/>
      </w:r>
      <w:r w:rsidR="10DF6BC4" w:rsidRPr="008431A9">
        <w:rPr>
          <w:noProof/>
        </w:rPr>
        <w:t xml:space="preserve"> (‘Geneva Act’) which is administered by the World Intellectual Property Organization. The Geneva Act offers a means to obtain protection of geographical indications regardless of the nature of the goods to which they apply, including handicrafts and industrial products.</w:t>
      </w:r>
    </w:p>
    <w:p w:rsidR="005F7D45" w:rsidRPr="008431A9" w:rsidRDefault="00B34B72" w:rsidP="00B34B72">
      <w:pPr>
        <w:pStyle w:val="ManualConsidrant"/>
        <w:rPr>
          <w:noProof/>
        </w:rPr>
      </w:pPr>
      <w:r w:rsidRPr="00B34B72">
        <w:t>(7)</w:t>
      </w:r>
      <w:r w:rsidRPr="00B34B72">
        <w:tab/>
      </w:r>
      <w:r w:rsidR="4FFCD39C" w:rsidRPr="008431A9">
        <w:rPr>
          <w:noProof/>
        </w:rPr>
        <w:t>Making g</w:t>
      </w:r>
      <w:r w:rsidR="10DF6BC4" w:rsidRPr="008431A9">
        <w:rPr>
          <w:noProof/>
        </w:rPr>
        <w:t xml:space="preserve">eographically linked products </w:t>
      </w:r>
      <w:r w:rsidR="4FFCD39C" w:rsidRPr="008431A9">
        <w:rPr>
          <w:noProof/>
        </w:rPr>
        <w:t xml:space="preserve">is </w:t>
      </w:r>
      <w:r w:rsidR="10DF6BC4" w:rsidRPr="008431A9">
        <w:rPr>
          <w:noProof/>
        </w:rPr>
        <w:t>often based on local know-how and follow</w:t>
      </w:r>
      <w:r w:rsidR="4FFCD39C" w:rsidRPr="008431A9">
        <w:rPr>
          <w:noProof/>
        </w:rPr>
        <w:t>s</w:t>
      </w:r>
      <w:r w:rsidR="10DF6BC4" w:rsidRPr="008431A9">
        <w:rPr>
          <w:noProof/>
        </w:rPr>
        <w:t xml:space="preserve"> local production methods that are rooted in the cultural and social heritage of the home region of such products. Efficient intellectual property protection has the potential to contribute to increased profitability and attractiveness of the traditional craft professions. </w:t>
      </w:r>
      <w:r w:rsidR="10DF6BC4" w:rsidRPr="008431A9">
        <w:rPr>
          <w:noProof/>
          <w:lang w:val="en-IE"/>
        </w:rPr>
        <w:t xml:space="preserve">Specific geographical indication protection is acknowledged </w:t>
      </w:r>
      <w:r w:rsidR="4FFCD39C" w:rsidRPr="008431A9">
        <w:rPr>
          <w:noProof/>
          <w:lang w:val="en-IE"/>
        </w:rPr>
        <w:t xml:space="preserve">so </w:t>
      </w:r>
      <w:r w:rsidR="10DF6BC4" w:rsidRPr="008431A9">
        <w:rPr>
          <w:noProof/>
          <w:lang w:val="en-IE"/>
        </w:rPr>
        <w:t xml:space="preserve">as to </w:t>
      </w:r>
      <w:r w:rsidR="6BC49A09" w:rsidRPr="008431A9">
        <w:rPr>
          <w:noProof/>
          <w:lang w:val="en-IE"/>
        </w:rPr>
        <w:t xml:space="preserve">safeguard </w:t>
      </w:r>
      <w:r w:rsidR="10DF6BC4" w:rsidRPr="008431A9">
        <w:rPr>
          <w:noProof/>
          <w:lang w:val="en-IE"/>
        </w:rPr>
        <w:t xml:space="preserve">and develop cultural heritage both in the agricultural and the craft and industrial areas. </w:t>
      </w:r>
      <w:r w:rsidR="10DF6BC4" w:rsidRPr="008431A9">
        <w:rPr>
          <w:noProof/>
        </w:rPr>
        <w:t>Efficient procedures should be established for the registration of Union geographical indications protecting the names of craft and industrial products, which take into account regional and local specificities. The geographical indication system for craft and industrial products should ensure that the production and marketing traditions are maintained and enhanced.</w:t>
      </w:r>
    </w:p>
    <w:p w:rsidR="00327AA6" w:rsidRDefault="00B34B72" w:rsidP="00B34B72">
      <w:pPr>
        <w:pStyle w:val="ManualConsidrant"/>
        <w:rPr>
          <w:noProof/>
        </w:rPr>
      </w:pPr>
      <w:r w:rsidRPr="00B34B72">
        <w:t>(8)</w:t>
      </w:r>
      <w:r w:rsidRPr="00B34B72">
        <w:tab/>
      </w:r>
      <w:r w:rsidR="72B02EA5" w:rsidRPr="008431A9">
        <w:rPr>
          <w:noProof/>
        </w:rPr>
        <w:t>I</w:t>
      </w:r>
      <w:r w:rsidR="4FFCD39C" w:rsidRPr="008431A9">
        <w:rPr>
          <w:noProof/>
        </w:rPr>
        <w:t>t is therefore necessary to firstly,</w:t>
      </w:r>
      <w:r w:rsidR="10DF6BC4" w:rsidRPr="008431A9">
        <w:rPr>
          <w:noProof/>
        </w:rPr>
        <w:t xml:space="preserve"> ensure fair competition for producers of craft and industrial products in the internal market; </w:t>
      </w:r>
      <w:r w:rsidR="4FFCD39C" w:rsidRPr="008431A9">
        <w:rPr>
          <w:noProof/>
        </w:rPr>
        <w:t>secondly,</w:t>
      </w:r>
      <w:r w:rsidR="10DF6BC4" w:rsidRPr="008431A9">
        <w:rPr>
          <w:noProof/>
        </w:rPr>
        <w:t xml:space="preserve"> guarantee the availability to consumers of reliable information pertaining to such products; </w:t>
      </w:r>
      <w:r w:rsidR="4FFCD39C" w:rsidRPr="008431A9">
        <w:rPr>
          <w:noProof/>
        </w:rPr>
        <w:t>thirdly,</w:t>
      </w:r>
      <w:r w:rsidR="10DF6BC4" w:rsidRPr="008431A9">
        <w:rPr>
          <w:noProof/>
        </w:rPr>
        <w:t xml:space="preserve"> </w:t>
      </w:r>
      <w:r w:rsidR="6BC49A09" w:rsidRPr="008431A9">
        <w:rPr>
          <w:noProof/>
        </w:rPr>
        <w:t xml:space="preserve">safeguard </w:t>
      </w:r>
      <w:r w:rsidR="10DF6BC4" w:rsidRPr="008431A9">
        <w:rPr>
          <w:noProof/>
        </w:rPr>
        <w:t xml:space="preserve">and develop cultural heritage and traditional know-how; </w:t>
      </w:r>
      <w:r w:rsidR="4FFCD39C" w:rsidRPr="008431A9">
        <w:rPr>
          <w:noProof/>
        </w:rPr>
        <w:t>fourthly</w:t>
      </w:r>
      <w:r w:rsidR="10DF6BC4" w:rsidRPr="008431A9">
        <w:rPr>
          <w:noProof/>
        </w:rPr>
        <w:t xml:space="preserve"> ensure an efficient registration of geographical indications for craft and industrial products both for the </w:t>
      </w:r>
      <w:r w:rsidR="4FFCD39C" w:rsidRPr="008431A9">
        <w:rPr>
          <w:noProof/>
        </w:rPr>
        <w:lastRenderedPageBreak/>
        <w:t xml:space="preserve">Union </w:t>
      </w:r>
      <w:r w:rsidR="10DF6BC4" w:rsidRPr="008431A9">
        <w:rPr>
          <w:noProof/>
        </w:rPr>
        <w:t xml:space="preserve">and at international level; </w:t>
      </w:r>
      <w:r w:rsidR="4FFCD39C" w:rsidRPr="008431A9">
        <w:rPr>
          <w:noProof/>
        </w:rPr>
        <w:t>fifthly</w:t>
      </w:r>
      <w:r w:rsidR="10DF6BC4" w:rsidRPr="008431A9">
        <w:rPr>
          <w:noProof/>
        </w:rPr>
        <w:t xml:space="preserve"> provide for an effective enforcement of intellectual property rights throughout the Union and in electronic commerce within the internal market</w:t>
      </w:r>
      <w:r w:rsidR="4FFCD39C" w:rsidRPr="008431A9">
        <w:rPr>
          <w:noProof/>
        </w:rPr>
        <w:t>,</w:t>
      </w:r>
      <w:r w:rsidR="10DF6BC4" w:rsidRPr="008431A9">
        <w:rPr>
          <w:noProof/>
        </w:rPr>
        <w:t xml:space="preserve"> and </w:t>
      </w:r>
      <w:r w:rsidR="4FFCD39C" w:rsidRPr="008431A9">
        <w:rPr>
          <w:noProof/>
        </w:rPr>
        <w:t>lastly,</w:t>
      </w:r>
      <w:r w:rsidR="10DF6BC4" w:rsidRPr="008431A9">
        <w:rPr>
          <w:noProof/>
        </w:rPr>
        <w:t xml:space="preserve"> ensure the link with the international registration and protection system based on the Geneva Act.</w:t>
      </w:r>
      <w:r w:rsidR="00327AA6">
        <w:rPr>
          <w:noProof/>
        </w:rPr>
        <w:t xml:space="preserve"> </w:t>
      </w:r>
    </w:p>
    <w:p w:rsidR="00327AA6" w:rsidRDefault="00B34B72" w:rsidP="00B34B72">
      <w:pPr>
        <w:pStyle w:val="ManualConsidrant"/>
        <w:rPr>
          <w:noProof/>
        </w:rPr>
      </w:pPr>
      <w:r w:rsidRPr="00B34B72">
        <w:t>(9)</w:t>
      </w:r>
      <w:r w:rsidRPr="00B34B72">
        <w:tab/>
      </w:r>
      <w:r w:rsidR="10DF6BC4" w:rsidRPr="00327AA6">
        <w:rPr>
          <w:noProof/>
        </w:rPr>
        <w:t>To provide for a full coverage of craft and industrial products eligible for GI protection (i.e. those having characteristics, attributes or reputation linked to their place of production or manufacturing), the scope of th</w:t>
      </w:r>
      <w:r w:rsidR="3CD8E433" w:rsidRPr="00327AA6">
        <w:rPr>
          <w:noProof/>
        </w:rPr>
        <w:t>is</w:t>
      </w:r>
      <w:r w:rsidR="10DF6BC4" w:rsidRPr="00327AA6">
        <w:rPr>
          <w:noProof/>
        </w:rPr>
        <w:t xml:space="preserve"> Regulation needs to be determined in line with the relevant international framework</w:t>
      </w:r>
      <w:r w:rsidR="3CD8E433" w:rsidRPr="00327AA6">
        <w:rPr>
          <w:noProof/>
        </w:rPr>
        <w:t>,</w:t>
      </w:r>
      <w:r w:rsidR="10DF6BC4" w:rsidRPr="00327AA6">
        <w:rPr>
          <w:noProof/>
        </w:rPr>
        <w:t xml:space="preserve"> </w:t>
      </w:r>
      <w:r w:rsidR="3CD8E433" w:rsidRPr="00327AA6">
        <w:rPr>
          <w:noProof/>
        </w:rPr>
        <w:t>namely,</w:t>
      </w:r>
      <w:r w:rsidR="10DF6BC4" w:rsidRPr="00327AA6">
        <w:rPr>
          <w:noProof/>
        </w:rPr>
        <w:t xml:space="preserve"> </w:t>
      </w:r>
      <w:r w:rsidR="3CD8E433" w:rsidRPr="00327AA6">
        <w:rPr>
          <w:noProof/>
        </w:rPr>
        <w:t xml:space="preserve">the </w:t>
      </w:r>
      <w:r w:rsidR="10DF6BC4" w:rsidRPr="00327AA6">
        <w:rPr>
          <w:noProof/>
        </w:rPr>
        <w:t xml:space="preserve">World Trade </w:t>
      </w:r>
      <w:r w:rsidR="3CD8E433" w:rsidRPr="00327AA6">
        <w:rPr>
          <w:noProof/>
        </w:rPr>
        <w:t>Organization</w:t>
      </w:r>
      <w:r w:rsidR="10DF6BC4" w:rsidRPr="00327AA6">
        <w:rPr>
          <w:noProof/>
        </w:rPr>
        <w:t xml:space="preserve">. Hence, the use of the </w:t>
      </w:r>
      <w:r w:rsidR="3CD8E433" w:rsidRPr="00327AA6">
        <w:rPr>
          <w:noProof/>
        </w:rPr>
        <w:t>Combined Nomenclature should be</w:t>
      </w:r>
      <w:r w:rsidR="10DF6BC4" w:rsidRPr="00327AA6">
        <w:rPr>
          <w:noProof/>
        </w:rPr>
        <w:t xml:space="preserve"> established through direct reference to Annex I </w:t>
      </w:r>
      <w:r w:rsidR="3CD8E433" w:rsidRPr="00327AA6">
        <w:rPr>
          <w:noProof/>
        </w:rPr>
        <w:t xml:space="preserve">to </w:t>
      </w:r>
      <w:r w:rsidR="10DF6BC4" w:rsidRPr="00327AA6">
        <w:rPr>
          <w:noProof/>
        </w:rPr>
        <w:t>Council Regulation No 2658/87</w:t>
      </w:r>
      <w:r w:rsidR="001538A4" w:rsidRPr="008431A9">
        <w:rPr>
          <w:rStyle w:val="FootnoteReference"/>
          <w:rFonts w:eastAsiaTheme="minorEastAsia"/>
          <w:noProof/>
        </w:rPr>
        <w:footnoteReference w:id="11"/>
      </w:r>
      <w:r w:rsidR="10DF6BC4" w:rsidRPr="00327AA6">
        <w:rPr>
          <w:noProof/>
        </w:rPr>
        <w:t>. This approach ensures coherence with the scope of the revised GI Regulation for agricultural products, foodstuff, wine and spirits.</w:t>
      </w:r>
      <w:r w:rsidR="00327AA6" w:rsidRPr="00327AA6">
        <w:rPr>
          <w:noProof/>
        </w:rPr>
        <w:t xml:space="preserve"> </w:t>
      </w:r>
    </w:p>
    <w:p w:rsidR="00576FA2" w:rsidRPr="00327AA6" w:rsidRDefault="00B34B72" w:rsidP="00B34B72">
      <w:pPr>
        <w:pStyle w:val="ManualConsidrant"/>
        <w:rPr>
          <w:noProof/>
        </w:rPr>
      </w:pPr>
      <w:r w:rsidRPr="00B34B72">
        <w:t>(10)</w:t>
      </w:r>
      <w:r w:rsidRPr="00B34B72">
        <w:tab/>
      </w:r>
      <w:r w:rsidR="000A255E" w:rsidRPr="00327AA6">
        <w:rPr>
          <w:noProof/>
          <w:lang w:val="en-IE"/>
        </w:rPr>
        <w:t>This Regulation respects the fundamental rights and observes the principles recognised in particular by the Charter. Accordingly, this Regulation should be interpreted and applied in accordance with those rights and principles including the right to protection of personal data, the freedom to conduct a business and the right to property, including intellectual property</w:t>
      </w:r>
      <w:r w:rsidR="000A255E" w:rsidRPr="00327AA6">
        <w:rPr>
          <w:noProof/>
        </w:rPr>
        <w:t>.</w:t>
      </w:r>
      <w:r w:rsidR="00576FA2" w:rsidRPr="00327AA6">
        <w:rPr>
          <w:noProof/>
        </w:rPr>
        <w:t xml:space="preserve"> </w:t>
      </w:r>
    </w:p>
    <w:p w:rsidR="005F7D45" w:rsidRPr="008431A9" w:rsidRDefault="00B34B72" w:rsidP="00B34B72">
      <w:pPr>
        <w:pStyle w:val="ManualConsidrant"/>
        <w:rPr>
          <w:noProof/>
        </w:rPr>
      </w:pPr>
      <w:r w:rsidRPr="00B34B72">
        <w:t>(11)</w:t>
      </w:r>
      <w:r w:rsidRPr="00B34B72">
        <w:tab/>
      </w:r>
      <w:r w:rsidR="007956F6" w:rsidRPr="008431A9">
        <w:rPr>
          <w:noProof/>
        </w:rPr>
        <w:t>The tasks assigned by this R</w:t>
      </w:r>
      <w:r w:rsidR="2CACD018" w:rsidRPr="008431A9">
        <w:rPr>
          <w:noProof/>
        </w:rPr>
        <w:t xml:space="preserve">egulation to Member States’ authorities, the Commission and the </w:t>
      </w:r>
      <w:r w:rsidR="405AAF73" w:rsidRPr="008431A9">
        <w:rPr>
          <w:noProof/>
        </w:rPr>
        <w:t>European Union Intellectual Property Office</w:t>
      </w:r>
      <w:r w:rsidR="00460B42" w:rsidRPr="008431A9">
        <w:rPr>
          <w:noProof/>
        </w:rPr>
        <w:t>, hereinafter the ‘Office’,</w:t>
      </w:r>
      <w:r w:rsidR="2CACD018" w:rsidRPr="008431A9">
        <w:rPr>
          <w:noProof/>
        </w:rPr>
        <w:t xml:space="preserve"> </w:t>
      </w:r>
      <w:r w:rsidR="00B45636" w:rsidRPr="008431A9">
        <w:rPr>
          <w:noProof/>
        </w:rPr>
        <w:t>may</w:t>
      </w:r>
      <w:r w:rsidR="00AB47BF" w:rsidRPr="008431A9">
        <w:rPr>
          <w:noProof/>
        </w:rPr>
        <w:t xml:space="preserve"> </w:t>
      </w:r>
      <w:r w:rsidR="2CACD018" w:rsidRPr="008431A9">
        <w:rPr>
          <w:noProof/>
        </w:rPr>
        <w:t xml:space="preserve">require the processing of personal data, </w:t>
      </w:r>
      <w:r w:rsidR="00B45636" w:rsidRPr="008431A9">
        <w:rPr>
          <w:noProof/>
        </w:rPr>
        <w:t>in particular</w:t>
      </w:r>
      <w:r w:rsidR="00AB47BF" w:rsidRPr="008431A9">
        <w:rPr>
          <w:noProof/>
        </w:rPr>
        <w:t xml:space="preserve"> </w:t>
      </w:r>
      <w:r w:rsidR="2CACD018" w:rsidRPr="008431A9">
        <w:rPr>
          <w:noProof/>
        </w:rPr>
        <w:t>where this is needed to identify applicants in a registration amendment or cancellation procedure, opponents in an opposition procedure or beneficiaries of transitional period granted to derogate from the protection of a registered name</w:t>
      </w:r>
      <w:r w:rsidR="00A85508" w:rsidRPr="008431A9">
        <w:rPr>
          <w:noProof/>
        </w:rPr>
        <w:t>.</w:t>
      </w:r>
      <w:r w:rsidR="414B760E" w:rsidRPr="008431A9">
        <w:rPr>
          <w:noProof/>
        </w:rPr>
        <w:t>.</w:t>
      </w:r>
      <w:r w:rsidR="2CACD018" w:rsidRPr="008431A9">
        <w:rPr>
          <w:noProof/>
        </w:rPr>
        <w:t xml:space="preserve"> </w:t>
      </w:r>
      <w:r w:rsidR="00EE762C" w:rsidRPr="008431A9">
        <w:rPr>
          <w:noProof/>
        </w:rPr>
        <w:t xml:space="preserve">Processing of such personal data is therefore necessary for the performance of a task carried out in the public interest. </w:t>
      </w:r>
      <w:r w:rsidR="00A94C40" w:rsidRPr="008431A9">
        <w:rPr>
          <w:noProof/>
          <w:lang w:val="en-IE"/>
        </w:rPr>
        <w:t xml:space="preserve">Any processing of personal data under this Regulation should respect fundamental rights, including the right to respect for private and family life and the right to protection of personal data under Articles 7 and 8 of the Charter </w:t>
      </w:r>
      <w:r w:rsidR="00A94C40" w:rsidRPr="008431A9">
        <w:rPr>
          <w:noProof/>
        </w:rPr>
        <w:t xml:space="preserve">and it is essential that </w:t>
      </w:r>
      <w:r w:rsidR="2CACD018" w:rsidRPr="008431A9">
        <w:rPr>
          <w:noProof/>
        </w:rPr>
        <w:t xml:space="preserve">Member States comply with </w:t>
      </w:r>
      <w:r w:rsidR="1F98674D" w:rsidRPr="008431A9">
        <w:rPr>
          <w:noProof/>
        </w:rPr>
        <w:t>Regulation (EU) 2016/679</w:t>
      </w:r>
      <w:r w:rsidR="00896534" w:rsidRPr="008431A9">
        <w:rPr>
          <w:rStyle w:val="FootnoteReference"/>
          <w:rFonts w:eastAsiaTheme="minorEastAsia"/>
          <w:noProof/>
        </w:rPr>
        <w:footnoteReference w:id="12"/>
      </w:r>
      <w:r w:rsidR="007956F6" w:rsidRPr="008431A9">
        <w:rPr>
          <w:noProof/>
        </w:rPr>
        <w:t xml:space="preserve"> of the European Parliament and of the Council</w:t>
      </w:r>
      <w:r w:rsidR="00B06DF6" w:rsidRPr="008431A9">
        <w:rPr>
          <w:noProof/>
        </w:rPr>
        <w:t xml:space="preserve"> and </w:t>
      </w:r>
      <w:r w:rsidR="00B06DF6" w:rsidRPr="008431A9">
        <w:rPr>
          <w:noProof/>
          <w:lang w:val="en-IE"/>
        </w:rPr>
        <w:t>Directive 2002/58/EC</w:t>
      </w:r>
      <w:r w:rsidR="00B06DF6" w:rsidRPr="008431A9">
        <w:rPr>
          <w:rStyle w:val="FootnoteReference"/>
          <w:rFonts w:eastAsia="Times New Roman"/>
          <w:noProof/>
          <w:lang w:val="en-IE"/>
        </w:rPr>
        <w:footnoteReference w:id="13"/>
      </w:r>
      <w:r w:rsidR="00D13421" w:rsidRPr="008431A9">
        <w:rPr>
          <w:noProof/>
        </w:rPr>
        <w:t>,</w:t>
      </w:r>
      <w:r w:rsidR="1F98674D" w:rsidRPr="008431A9">
        <w:rPr>
          <w:noProof/>
        </w:rPr>
        <w:t xml:space="preserve"> and</w:t>
      </w:r>
      <w:r w:rsidR="2CACD018" w:rsidRPr="008431A9">
        <w:rPr>
          <w:noProof/>
        </w:rPr>
        <w:t xml:space="preserve"> </w:t>
      </w:r>
      <w:r w:rsidR="00B45636" w:rsidRPr="008431A9">
        <w:rPr>
          <w:noProof/>
        </w:rPr>
        <w:t xml:space="preserve">the Commission and the Office with </w:t>
      </w:r>
      <w:r w:rsidR="2CACD018" w:rsidRPr="008431A9">
        <w:rPr>
          <w:noProof/>
        </w:rPr>
        <w:t>Regulation (EU) 2018/1725</w:t>
      </w:r>
      <w:r w:rsidR="0CD82479" w:rsidRPr="008431A9">
        <w:rPr>
          <w:noProof/>
        </w:rPr>
        <w:t xml:space="preserve"> of the European Parliament and of the Council</w:t>
      </w:r>
      <w:r w:rsidR="007956F6" w:rsidRPr="008431A9">
        <w:rPr>
          <w:rStyle w:val="FootnoteReference"/>
          <w:rFonts w:eastAsia="Times New Roman"/>
          <w:noProof/>
        </w:rPr>
        <w:footnoteReference w:id="14"/>
      </w:r>
      <w:r w:rsidR="00754887" w:rsidRPr="008431A9">
        <w:rPr>
          <w:noProof/>
        </w:rPr>
        <w:t>.</w:t>
      </w:r>
    </w:p>
    <w:p w:rsidR="5F680542" w:rsidRPr="008431A9" w:rsidRDefault="00B34B72" w:rsidP="00B34B72">
      <w:pPr>
        <w:pStyle w:val="ManualConsidrant"/>
        <w:rPr>
          <w:rFonts w:eastAsiaTheme="minorEastAsia"/>
          <w:noProof/>
          <w:lang w:val="en-US"/>
        </w:rPr>
      </w:pPr>
      <w:r w:rsidRPr="00B34B72">
        <w:t>(12)</w:t>
      </w:r>
      <w:r w:rsidRPr="00B34B72">
        <w:tab/>
      </w:r>
      <w:r w:rsidR="5F680542" w:rsidRPr="008431A9">
        <w:rPr>
          <w:noProof/>
        </w:rPr>
        <w:t>Where</w:t>
      </w:r>
      <w:r w:rsidR="5F680542" w:rsidRPr="008431A9">
        <w:rPr>
          <w:noProof/>
          <w:lang w:val="en-US"/>
        </w:rPr>
        <w:t xml:space="preserve"> applicable, the information included in the single document shall be made available through the Digital Product Passport as set out by the Regulation establishing a framework for ecodesign requirements for sustainable products and repealing Directive 2009/125/EC.</w:t>
      </w:r>
    </w:p>
    <w:p w:rsidR="00A867C4" w:rsidRPr="008431A9" w:rsidRDefault="00B34B72" w:rsidP="00B34B72">
      <w:pPr>
        <w:pStyle w:val="ManualConsidrant"/>
        <w:rPr>
          <w:noProof/>
        </w:rPr>
      </w:pPr>
      <w:r w:rsidRPr="00B34B72">
        <w:t>(13)</w:t>
      </w:r>
      <w:r w:rsidRPr="00B34B72">
        <w:tab/>
      </w:r>
      <w:r w:rsidR="537F5825" w:rsidRPr="008431A9">
        <w:rPr>
          <w:noProof/>
        </w:rPr>
        <w:t xml:space="preserve">Member States </w:t>
      </w:r>
      <w:r w:rsidR="0CD82479" w:rsidRPr="008431A9">
        <w:rPr>
          <w:noProof/>
        </w:rPr>
        <w:t>should have the possibility to</w:t>
      </w:r>
      <w:r w:rsidR="537F5825" w:rsidRPr="008431A9">
        <w:rPr>
          <w:noProof/>
        </w:rPr>
        <w:t xml:space="preserve"> charge a registration fee to cover their costs of managing the geographical indication system for craft and industrial products. </w:t>
      </w:r>
      <w:r w:rsidR="537F5825" w:rsidRPr="008431A9">
        <w:rPr>
          <w:noProof/>
        </w:rPr>
        <w:lastRenderedPageBreak/>
        <w:t xml:space="preserve">Member States should charge lower fees for </w:t>
      </w:r>
      <w:r w:rsidR="0CD82479" w:rsidRPr="008431A9">
        <w:rPr>
          <w:noProof/>
        </w:rPr>
        <w:t>micro, small or medium-sized enterprises (</w:t>
      </w:r>
      <w:r w:rsidR="537F5825" w:rsidRPr="008431A9">
        <w:rPr>
          <w:noProof/>
        </w:rPr>
        <w:t>MSMEs</w:t>
      </w:r>
      <w:r w:rsidR="0CD82479" w:rsidRPr="008431A9">
        <w:rPr>
          <w:noProof/>
        </w:rPr>
        <w:t>)</w:t>
      </w:r>
      <w:r w:rsidR="537F5825" w:rsidRPr="008431A9">
        <w:rPr>
          <w:noProof/>
        </w:rPr>
        <w:t xml:space="preserve">. The Office should not charge a fee for the management of the Union application process. However, the Office </w:t>
      </w:r>
      <w:r w:rsidR="0CD82479" w:rsidRPr="008431A9">
        <w:rPr>
          <w:noProof/>
        </w:rPr>
        <w:t>should have the possibility to</w:t>
      </w:r>
      <w:r w:rsidR="537F5825" w:rsidRPr="008431A9">
        <w:rPr>
          <w:noProof/>
        </w:rPr>
        <w:t xml:space="preserve"> charge a fee for the direct registration. In th</w:t>
      </w:r>
      <w:r w:rsidR="0CD82479" w:rsidRPr="008431A9">
        <w:rPr>
          <w:noProof/>
        </w:rPr>
        <w:t>at</w:t>
      </w:r>
      <w:r w:rsidR="537F5825" w:rsidRPr="008431A9">
        <w:rPr>
          <w:noProof/>
        </w:rPr>
        <w:t xml:space="preserve"> case, the fees charged by the Office should be </w:t>
      </w:r>
      <w:r w:rsidR="2435388E" w:rsidRPr="008431A9">
        <w:rPr>
          <w:noProof/>
        </w:rPr>
        <w:t xml:space="preserve">laid down </w:t>
      </w:r>
      <w:r w:rsidR="537F5825" w:rsidRPr="008431A9">
        <w:rPr>
          <w:noProof/>
        </w:rPr>
        <w:t>by an implementing act in accordance with Regulation (EU) No 182/2011 of the European Parliament and of the Council</w:t>
      </w:r>
      <w:r w:rsidR="00FB6BAE" w:rsidRPr="008431A9">
        <w:rPr>
          <w:rStyle w:val="FootnoteReference"/>
          <w:noProof/>
        </w:rPr>
        <w:footnoteReference w:id="15"/>
      </w:r>
      <w:r w:rsidR="537F5825" w:rsidRPr="008431A9">
        <w:rPr>
          <w:noProof/>
        </w:rPr>
        <w:t xml:space="preserve">. </w:t>
      </w:r>
    </w:p>
    <w:p w:rsidR="005F7D45" w:rsidRPr="008431A9" w:rsidRDefault="00B34B72" w:rsidP="00B34B72">
      <w:pPr>
        <w:pStyle w:val="ManualConsidrant"/>
        <w:rPr>
          <w:noProof/>
        </w:rPr>
      </w:pPr>
      <w:r w:rsidRPr="00B34B72">
        <w:t>(14)</w:t>
      </w:r>
      <w:r w:rsidRPr="00B34B72">
        <w:tab/>
      </w:r>
      <w:r w:rsidR="537F5825" w:rsidRPr="008431A9">
        <w:rPr>
          <w:noProof/>
        </w:rPr>
        <w:t xml:space="preserve">To qualify for protection in the Member States, geographical indications should be registered only at Union level. </w:t>
      </w:r>
      <w:r w:rsidR="799E4FF7" w:rsidRPr="008431A9">
        <w:rPr>
          <w:noProof/>
        </w:rPr>
        <w:t>However, w</w:t>
      </w:r>
      <w:r w:rsidR="537F5825" w:rsidRPr="008431A9">
        <w:rPr>
          <w:noProof/>
        </w:rPr>
        <w:t xml:space="preserve">ith effect from the date of application for such registration at Union level, Member States should be able to grant </w:t>
      </w:r>
      <w:r w:rsidR="009A724D" w:rsidRPr="008431A9">
        <w:rPr>
          <w:noProof/>
        </w:rPr>
        <w:t xml:space="preserve">temporary </w:t>
      </w:r>
      <w:r w:rsidR="537F5825" w:rsidRPr="008431A9">
        <w:rPr>
          <w:noProof/>
        </w:rPr>
        <w:t xml:space="preserve">protection at national level without affecting </w:t>
      </w:r>
      <w:r w:rsidR="799E4FF7" w:rsidRPr="008431A9">
        <w:rPr>
          <w:noProof/>
        </w:rPr>
        <w:t>the internal market</w:t>
      </w:r>
      <w:r w:rsidR="537F5825" w:rsidRPr="008431A9">
        <w:rPr>
          <w:noProof/>
        </w:rPr>
        <w:t xml:space="preserve"> </w:t>
      </w:r>
      <w:r w:rsidR="009A724D" w:rsidRPr="008431A9">
        <w:rPr>
          <w:noProof/>
        </w:rPr>
        <w:t xml:space="preserve">of the Union </w:t>
      </w:r>
      <w:r w:rsidR="537F5825" w:rsidRPr="008431A9">
        <w:rPr>
          <w:noProof/>
        </w:rPr>
        <w:t>or international trade. The protection afforded by this Regulation upon registration should be equally available to geographical indications of third countries that meet the corresponding criteria and that are protected in their country of origin.</w:t>
      </w:r>
      <w:r w:rsidR="799E4FF7" w:rsidRPr="008431A9">
        <w:rPr>
          <w:noProof/>
        </w:rPr>
        <w:t xml:space="preserve"> The Office should carry out the corresponding procedures for geographical indications originating in third countries.</w:t>
      </w:r>
    </w:p>
    <w:p w:rsidR="00A867C4" w:rsidRPr="008431A9" w:rsidRDefault="00B34B72" w:rsidP="00B34B72">
      <w:pPr>
        <w:pStyle w:val="ManualConsidrant"/>
        <w:rPr>
          <w:noProof/>
        </w:rPr>
      </w:pPr>
      <w:r w:rsidRPr="00B34B72">
        <w:t>(15)</w:t>
      </w:r>
      <w:r w:rsidRPr="00B34B72">
        <w:tab/>
      </w:r>
      <w:r w:rsidR="537F5825" w:rsidRPr="008431A9">
        <w:rPr>
          <w:noProof/>
        </w:rPr>
        <w:t>The procedures for registration, amendments to the product specification and cancellation of the registration in respect of geographical indic</w:t>
      </w:r>
      <w:r w:rsidR="33F77E48" w:rsidRPr="008431A9">
        <w:rPr>
          <w:noProof/>
        </w:rPr>
        <w:t>ations originating in the Union</w:t>
      </w:r>
      <w:r w:rsidR="537F5825" w:rsidRPr="008431A9">
        <w:rPr>
          <w:noProof/>
        </w:rPr>
        <w:t xml:space="preserve"> under this Regulation should be carried out by the Member States and</w:t>
      </w:r>
      <w:r w:rsidR="24397F0B" w:rsidRPr="008431A9">
        <w:rPr>
          <w:noProof/>
        </w:rPr>
        <w:t xml:space="preserve"> the</w:t>
      </w:r>
      <w:r w:rsidR="537F5825" w:rsidRPr="008431A9">
        <w:rPr>
          <w:noProof/>
        </w:rPr>
        <w:t xml:space="preserve"> Office. The Member States and the Office should be responsible for distinct stages of the procedures. Member States should be responsible for the first stage, which consists of receiving the application from the applicants, assessing </w:t>
      </w:r>
      <w:r w:rsidR="61151273" w:rsidRPr="008431A9">
        <w:rPr>
          <w:noProof/>
        </w:rPr>
        <w:t>it</w:t>
      </w:r>
      <w:r w:rsidR="537F5825" w:rsidRPr="008431A9">
        <w:rPr>
          <w:noProof/>
        </w:rPr>
        <w:t xml:space="preserve">, running </w:t>
      </w:r>
      <w:r w:rsidR="61151273" w:rsidRPr="008431A9">
        <w:rPr>
          <w:noProof/>
        </w:rPr>
        <w:t>the</w:t>
      </w:r>
      <w:r w:rsidR="537F5825" w:rsidRPr="008431A9">
        <w:rPr>
          <w:noProof/>
        </w:rPr>
        <w:t xml:space="preserve"> national opposition procedure</w:t>
      </w:r>
      <w:r w:rsidR="61151273" w:rsidRPr="008431A9">
        <w:rPr>
          <w:noProof/>
        </w:rPr>
        <w:t>,</w:t>
      </w:r>
      <w:r w:rsidR="537F5825" w:rsidRPr="008431A9">
        <w:rPr>
          <w:noProof/>
        </w:rPr>
        <w:t xml:space="preserve"> and, </w:t>
      </w:r>
      <w:r w:rsidR="61151273" w:rsidRPr="008431A9">
        <w:rPr>
          <w:noProof/>
        </w:rPr>
        <w:t>following the positive results of the assessment</w:t>
      </w:r>
      <w:r w:rsidR="537F5825" w:rsidRPr="008431A9">
        <w:rPr>
          <w:noProof/>
        </w:rPr>
        <w:t xml:space="preserve">, submitting the </w:t>
      </w:r>
      <w:r w:rsidR="00476609" w:rsidRPr="008431A9">
        <w:rPr>
          <w:noProof/>
        </w:rPr>
        <w:t xml:space="preserve">Union </w:t>
      </w:r>
      <w:r w:rsidR="537F5825" w:rsidRPr="008431A9">
        <w:rPr>
          <w:noProof/>
        </w:rPr>
        <w:t xml:space="preserve">application to the Office. The Office should be responsible for </w:t>
      </w:r>
      <w:r w:rsidR="61151273" w:rsidRPr="008431A9">
        <w:rPr>
          <w:noProof/>
        </w:rPr>
        <w:t xml:space="preserve">examining </w:t>
      </w:r>
      <w:r w:rsidR="537F5825" w:rsidRPr="008431A9">
        <w:rPr>
          <w:noProof/>
        </w:rPr>
        <w:t xml:space="preserve">the applications </w:t>
      </w:r>
      <w:r w:rsidR="61151273" w:rsidRPr="008431A9">
        <w:rPr>
          <w:noProof/>
        </w:rPr>
        <w:t xml:space="preserve">in the second stage of the procedure, running the worldwide opposition procedure </w:t>
      </w:r>
      <w:r w:rsidR="537F5825" w:rsidRPr="008431A9">
        <w:rPr>
          <w:noProof/>
        </w:rPr>
        <w:t>and taking a decision on granting or refusing the protection to the geographical indication. The Office should also carry out the corresponding procedures for geographical indications originating in third countries</w:t>
      </w:r>
      <w:r w:rsidR="61151273" w:rsidRPr="008431A9">
        <w:rPr>
          <w:noProof/>
        </w:rPr>
        <w:t>, without prejudice to the direct registration procedure</w:t>
      </w:r>
      <w:r w:rsidR="537F5825" w:rsidRPr="008431A9">
        <w:rPr>
          <w:noProof/>
        </w:rPr>
        <w:t>.</w:t>
      </w:r>
      <w:r w:rsidR="61151273" w:rsidRPr="008431A9">
        <w:rPr>
          <w:noProof/>
        </w:rPr>
        <w:t xml:space="preserve"> </w:t>
      </w:r>
    </w:p>
    <w:p w:rsidR="0038158B" w:rsidRPr="008431A9" w:rsidRDefault="00B34B72" w:rsidP="00B34B72">
      <w:pPr>
        <w:pStyle w:val="ManualConsidrant"/>
        <w:rPr>
          <w:noProof/>
        </w:rPr>
      </w:pPr>
      <w:r w:rsidRPr="00B34B72">
        <w:t>(16)</w:t>
      </w:r>
      <w:r w:rsidRPr="00B34B72">
        <w:tab/>
      </w:r>
      <w:r w:rsidR="0038158B" w:rsidRPr="008431A9">
        <w:rPr>
          <w:noProof/>
        </w:rPr>
        <w:t xml:space="preserve">In order to facilitate the management of GI applications by national authorities, it should be possible for two or more Member States to: </w:t>
      </w:r>
      <w:r w:rsidR="00A747D0" w:rsidRPr="008431A9">
        <w:rPr>
          <w:noProof/>
        </w:rPr>
        <w:t>(</w:t>
      </w:r>
      <w:r w:rsidR="0038158B" w:rsidRPr="008431A9">
        <w:rPr>
          <w:noProof/>
        </w:rPr>
        <w:t xml:space="preserve">i) cooperate in the management of the </w:t>
      </w:r>
      <w:r w:rsidR="006A2620" w:rsidRPr="008431A9">
        <w:rPr>
          <w:noProof/>
        </w:rPr>
        <w:t xml:space="preserve">national phase of the </w:t>
      </w:r>
      <w:r w:rsidR="0038158B" w:rsidRPr="008431A9">
        <w:rPr>
          <w:noProof/>
        </w:rPr>
        <w:t xml:space="preserve">procedures, including those procedures for registration, examination, national opposition, submission of the Union application to the Office, amendments to the product specification and cancellation of the registration, and </w:t>
      </w:r>
      <w:r w:rsidR="00A747D0" w:rsidRPr="008431A9">
        <w:rPr>
          <w:noProof/>
        </w:rPr>
        <w:t>(</w:t>
      </w:r>
      <w:r w:rsidR="0038158B" w:rsidRPr="008431A9">
        <w:rPr>
          <w:noProof/>
        </w:rPr>
        <w:t>ii) decide that one of them manages these procedures also on behalf of the other Member State or Member States concerned. In those cases, all the Member States concerned should inform the Commission without delay, providing the necessary information.</w:t>
      </w:r>
    </w:p>
    <w:p w:rsidR="004836C6" w:rsidRPr="008431A9" w:rsidRDefault="00B34B72" w:rsidP="00B34B72">
      <w:pPr>
        <w:pStyle w:val="ManualConsidrant"/>
        <w:rPr>
          <w:noProof/>
        </w:rPr>
      </w:pPr>
      <w:r w:rsidRPr="00B34B72">
        <w:t>(17)</w:t>
      </w:r>
      <w:r w:rsidRPr="00B34B72">
        <w:tab/>
      </w:r>
      <w:r w:rsidR="007D5803" w:rsidRPr="008431A9">
        <w:rPr>
          <w:noProof/>
        </w:rPr>
        <w:t>It is possible for certain Member States to obtain</w:t>
      </w:r>
      <w:r w:rsidR="27D9D297" w:rsidRPr="008431A9">
        <w:rPr>
          <w:noProof/>
        </w:rPr>
        <w:t xml:space="preserve"> a derogation from the Member States’ obligation to designate a national authority</w:t>
      </w:r>
      <w:r w:rsidR="27D9D297" w:rsidRPr="008431A9">
        <w:rPr>
          <w:rFonts w:eastAsia="Calibri"/>
          <w:noProof/>
        </w:rPr>
        <w:t xml:space="preserve"> i</w:t>
      </w:r>
      <w:r w:rsidR="27D9D297" w:rsidRPr="008431A9">
        <w:rPr>
          <w:rFonts w:eastAsia="Times New Roman"/>
          <w:noProof/>
        </w:rPr>
        <w:t>n respect of geographical indications for craft and industrial products to take charge of</w:t>
      </w:r>
      <w:r w:rsidR="27D9D297" w:rsidRPr="008431A9">
        <w:rPr>
          <w:noProof/>
        </w:rPr>
        <w:t xml:space="preserve"> the procedures for registration, national opposition, amendments to the product specification and cancellation of the registration under certai</w:t>
      </w:r>
      <w:r w:rsidR="00A747D0" w:rsidRPr="008431A9">
        <w:rPr>
          <w:noProof/>
        </w:rPr>
        <w:t>n circumstances specified in this</w:t>
      </w:r>
      <w:r w:rsidR="27D9D297" w:rsidRPr="008431A9">
        <w:rPr>
          <w:noProof/>
        </w:rPr>
        <w:t xml:space="preserve"> Regulation. Th</w:t>
      </w:r>
      <w:r w:rsidR="00A747D0" w:rsidRPr="008431A9">
        <w:rPr>
          <w:noProof/>
        </w:rPr>
        <w:t>at</w:t>
      </w:r>
      <w:r w:rsidR="27D9D297" w:rsidRPr="008431A9">
        <w:rPr>
          <w:noProof/>
        </w:rPr>
        <w:t xml:space="preserve"> </w:t>
      </w:r>
      <w:r w:rsidR="6FBF4108" w:rsidRPr="008431A9">
        <w:rPr>
          <w:noProof/>
        </w:rPr>
        <w:t>derogation</w:t>
      </w:r>
      <w:r w:rsidR="00F62302" w:rsidRPr="008431A9">
        <w:rPr>
          <w:noProof/>
        </w:rPr>
        <w:t xml:space="preserve">, that </w:t>
      </w:r>
      <w:r w:rsidR="004B7EDC" w:rsidRPr="008431A9">
        <w:rPr>
          <w:noProof/>
        </w:rPr>
        <w:t>should</w:t>
      </w:r>
      <w:r w:rsidR="00F62302" w:rsidRPr="008431A9">
        <w:rPr>
          <w:noProof/>
        </w:rPr>
        <w:t xml:space="preserve"> take the form of a Commission Decision,</w:t>
      </w:r>
      <w:r w:rsidR="6FBF4108" w:rsidRPr="008431A9">
        <w:rPr>
          <w:noProof/>
        </w:rPr>
        <w:t xml:space="preserve"> </w:t>
      </w:r>
      <w:r w:rsidR="27D9D297" w:rsidRPr="008431A9">
        <w:rPr>
          <w:noProof/>
        </w:rPr>
        <w:t xml:space="preserve">takes into account the fact that certain Member States do not have a specific national system for the management of geographical indications for craft and industrial </w:t>
      </w:r>
      <w:r w:rsidR="27D9D297" w:rsidRPr="008431A9">
        <w:rPr>
          <w:noProof/>
        </w:rPr>
        <w:lastRenderedPageBreak/>
        <w:t xml:space="preserve">products and that the local interest in these countries </w:t>
      </w:r>
      <w:r w:rsidR="00B5194C" w:rsidRPr="008431A9">
        <w:rPr>
          <w:noProof/>
        </w:rPr>
        <w:t>to</w:t>
      </w:r>
      <w:r w:rsidR="27D9D297" w:rsidRPr="008431A9">
        <w:rPr>
          <w:noProof/>
        </w:rPr>
        <w:t xml:space="preserve"> protect these geographical indications </w:t>
      </w:r>
      <w:r w:rsidR="1CB8F9DD" w:rsidRPr="008431A9">
        <w:rPr>
          <w:noProof/>
        </w:rPr>
        <w:t>is</w:t>
      </w:r>
      <w:r w:rsidR="27D9D297" w:rsidRPr="008431A9">
        <w:rPr>
          <w:noProof/>
        </w:rPr>
        <w:t xml:space="preserve"> minimal. Under these circumstances, it would not be justified to oblige the respective Member State</w:t>
      </w:r>
      <w:r w:rsidR="6FBF4108" w:rsidRPr="008431A9">
        <w:rPr>
          <w:noProof/>
        </w:rPr>
        <w:t xml:space="preserve"> to set up an infrastructure, employ the necessary personnel and purchase facilities </w:t>
      </w:r>
      <w:r w:rsidR="27D9D297" w:rsidRPr="008431A9">
        <w:rPr>
          <w:noProof/>
        </w:rPr>
        <w:t xml:space="preserve">for the management of </w:t>
      </w:r>
      <w:r w:rsidR="6FBF4108" w:rsidRPr="008431A9">
        <w:rPr>
          <w:noProof/>
        </w:rPr>
        <w:t xml:space="preserve">these </w:t>
      </w:r>
      <w:r w:rsidR="27D9D297" w:rsidRPr="008431A9">
        <w:rPr>
          <w:noProof/>
        </w:rPr>
        <w:t>geographical indications</w:t>
      </w:r>
      <w:r w:rsidR="007D5803" w:rsidRPr="008431A9">
        <w:rPr>
          <w:noProof/>
        </w:rPr>
        <w:t>. I</w:t>
      </w:r>
      <w:r w:rsidR="27D9D297" w:rsidRPr="008431A9">
        <w:rPr>
          <w:noProof/>
        </w:rPr>
        <w:t>t is more effective and economical to provide a</w:t>
      </w:r>
      <w:r w:rsidR="6FBF4108" w:rsidRPr="008431A9">
        <w:rPr>
          <w:noProof/>
        </w:rPr>
        <w:t>n alternative procedure for the producer groups from these</w:t>
      </w:r>
      <w:r w:rsidR="27D9D297" w:rsidRPr="008431A9">
        <w:rPr>
          <w:noProof/>
        </w:rPr>
        <w:t xml:space="preserve"> Member States</w:t>
      </w:r>
      <w:r w:rsidR="6FBF4108" w:rsidRPr="008431A9">
        <w:rPr>
          <w:noProof/>
        </w:rPr>
        <w:t xml:space="preserve"> to protect their </w:t>
      </w:r>
      <w:r w:rsidR="2D9BED12" w:rsidRPr="008431A9">
        <w:rPr>
          <w:noProof/>
        </w:rPr>
        <w:t>products by a geographical indication</w:t>
      </w:r>
      <w:r w:rsidR="27D9D297" w:rsidRPr="008431A9">
        <w:rPr>
          <w:noProof/>
        </w:rPr>
        <w:t xml:space="preserve">. </w:t>
      </w:r>
      <w:r w:rsidR="1CB8F9DD" w:rsidRPr="008431A9">
        <w:rPr>
          <w:noProof/>
        </w:rPr>
        <w:t xml:space="preserve">The </w:t>
      </w:r>
      <w:r w:rsidR="00100F5C" w:rsidRPr="008431A9">
        <w:rPr>
          <w:noProof/>
        </w:rPr>
        <w:t>“</w:t>
      </w:r>
      <w:r w:rsidR="1CB8F9DD" w:rsidRPr="008431A9">
        <w:rPr>
          <w:noProof/>
        </w:rPr>
        <w:t xml:space="preserve">direct registration </w:t>
      </w:r>
      <w:r w:rsidR="00100F5C" w:rsidRPr="008431A9">
        <w:rPr>
          <w:noProof/>
        </w:rPr>
        <w:t xml:space="preserve">procedure” </w:t>
      </w:r>
      <w:r w:rsidR="1CB8F9DD" w:rsidRPr="008431A9">
        <w:rPr>
          <w:noProof/>
        </w:rPr>
        <w:t>has c</w:t>
      </w:r>
      <w:r w:rsidR="1CB8F9DD" w:rsidRPr="008431A9">
        <w:rPr>
          <w:noProof/>
          <w:color w:val="202124"/>
        </w:rPr>
        <w:t xml:space="preserve">ost advantages reaped by Member States. </w:t>
      </w:r>
      <w:r w:rsidR="2D9BED12" w:rsidRPr="008431A9">
        <w:rPr>
          <w:noProof/>
        </w:rPr>
        <w:t>Pursuant to</w:t>
      </w:r>
      <w:r w:rsidR="6FBF4108" w:rsidRPr="008431A9">
        <w:rPr>
          <w:noProof/>
        </w:rPr>
        <w:t xml:space="preserve"> this derogation, procedures for registration, amendments to the product specification and cancellation should be managed directly by the Office</w:t>
      </w:r>
      <w:r w:rsidR="00100F5C" w:rsidRPr="008431A9">
        <w:rPr>
          <w:noProof/>
        </w:rPr>
        <w:t>. In this regard</w:t>
      </w:r>
      <w:r w:rsidR="6FBF4108" w:rsidRPr="008431A9">
        <w:rPr>
          <w:noProof/>
        </w:rPr>
        <w:t xml:space="preserve"> the </w:t>
      </w:r>
      <w:r w:rsidR="00100F5C" w:rsidRPr="008431A9">
        <w:rPr>
          <w:noProof/>
        </w:rPr>
        <w:t xml:space="preserve">Office should receive the </w:t>
      </w:r>
      <w:r w:rsidR="6FBF4108" w:rsidRPr="008431A9">
        <w:rPr>
          <w:noProof/>
        </w:rPr>
        <w:t>effective assistance of the administrative authorities of that Member State when required by the Office</w:t>
      </w:r>
      <w:r w:rsidR="00100F5C" w:rsidRPr="008431A9">
        <w:rPr>
          <w:noProof/>
        </w:rPr>
        <w:t>,</w:t>
      </w:r>
      <w:r w:rsidR="6FBF4108" w:rsidRPr="008431A9">
        <w:rPr>
          <w:noProof/>
        </w:rPr>
        <w:t xml:space="preserve"> through designation of a contact point, as regards in particular aspects related to the examination of the application. In those cases, the Office should be entitled to charge a registration fee, considering that this procedure generates more work for the Office than the management of Union applications. However, the application of the “direct </w:t>
      </w:r>
      <w:r w:rsidR="00100F5C" w:rsidRPr="008431A9">
        <w:rPr>
          <w:noProof/>
        </w:rPr>
        <w:t xml:space="preserve">registration </w:t>
      </w:r>
      <w:r w:rsidR="6FBF4108" w:rsidRPr="008431A9">
        <w:rPr>
          <w:noProof/>
        </w:rPr>
        <w:t xml:space="preserve">procedure” should not exempt Member States from the obligation to designate a competent authority </w:t>
      </w:r>
      <w:r w:rsidR="1CB8F9DD" w:rsidRPr="008431A9">
        <w:rPr>
          <w:noProof/>
        </w:rPr>
        <w:t>for the</w:t>
      </w:r>
      <w:r w:rsidR="6FBF4108" w:rsidRPr="008431A9">
        <w:rPr>
          <w:noProof/>
        </w:rPr>
        <w:t xml:space="preserve"> controls and enforcement and to take the necessary actions to enforce the rights set out in this Regulation. The competent authority maintained or designated for the management of the geographical indications and the competent authority designated for the controls and enforcement may differ, </w:t>
      </w:r>
      <w:r w:rsidR="00B5194C" w:rsidRPr="008431A9">
        <w:rPr>
          <w:noProof/>
        </w:rPr>
        <w:t xml:space="preserve">when </w:t>
      </w:r>
      <w:r w:rsidR="00642E25" w:rsidRPr="008431A9">
        <w:rPr>
          <w:noProof/>
        </w:rPr>
        <w:t xml:space="preserve">a </w:t>
      </w:r>
      <w:r w:rsidR="00B5194C" w:rsidRPr="008431A9">
        <w:rPr>
          <w:noProof/>
        </w:rPr>
        <w:t>Member State so decide</w:t>
      </w:r>
      <w:r w:rsidR="00972490" w:rsidRPr="008431A9">
        <w:rPr>
          <w:noProof/>
        </w:rPr>
        <w:t>s</w:t>
      </w:r>
      <w:r w:rsidR="6FBF4108" w:rsidRPr="008431A9">
        <w:rPr>
          <w:noProof/>
        </w:rPr>
        <w:t>.</w:t>
      </w:r>
    </w:p>
    <w:p w:rsidR="00A867C4" w:rsidRPr="008431A9" w:rsidRDefault="00B34B72" w:rsidP="00B34B72">
      <w:pPr>
        <w:pStyle w:val="ManualConsidrant"/>
        <w:rPr>
          <w:noProof/>
        </w:rPr>
      </w:pPr>
      <w:r w:rsidRPr="00B34B72">
        <w:t>(18)</w:t>
      </w:r>
      <w:r w:rsidRPr="00B34B72">
        <w:tab/>
      </w:r>
      <w:r w:rsidR="00F62302" w:rsidRPr="008431A9">
        <w:rPr>
          <w:noProof/>
        </w:rPr>
        <w:t>The Commission</w:t>
      </w:r>
      <w:r w:rsidR="007D5803" w:rsidRPr="008431A9">
        <w:rPr>
          <w:noProof/>
        </w:rPr>
        <w:t>,</w:t>
      </w:r>
      <w:r w:rsidR="00F62302" w:rsidRPr="008431A9">
        <w:rPr>
          <w:noProof/>
        </w:rPr>
        <w:t xml:space="preserve"> after reviewing the information provided by the Member State, </w:t>
      </w:r>
      <w:r w:rsidR="00A747D0" w:rsidRPr="008431A9">
        <w:rPr>
          <w:noProof/>
        </w:rPr>
        <w:t>should</w:t>
      </w:r>
      <w:r w:rsidR="00F62302" w:rsidRPr="008431A9">
        <w:rPr>
          <w:noProof/>
        </w:rPr>
        <w:t xml:space="preserve"> adopt a Commission Decision establishing the right of the Member State to opt for the exceptional direct registration procedure. Accordingly, t</w:t>
      </w:r>
      <w:r w:rsidR="537F5825" w:rsidRPr="008431A9">
        <w:rPr>
          <w:noProof/>
        </w:rPr>
        <w:t xml:space="preserve">he Commission </w:t>
      </w:r>
      <w:r w:rsidR="24397F0B" w:rsidRPr="008431A9">
        <w:rPr>
          <w:noProof/>
        </w:rPr>
        <w:t xml:space="preserve">should </w:t>
      </w:r>
      <w:r w:rsidR="537F5825" w:rsidRPr="008431A9">
        <w:rPr>
          <w:noProof/>
        </w:rPr>
        <w:t>retain the right to modify and withdraw a Decision allowing a Member State to opt for the “direct registration procedure</w:t>
      </w:r>
      <w:r w:rsidR="00272979" w:rsidRPr="008431A9">
        <w:rPr>
          <w:noProof/>
        </w:rPr>
        <w:t>”</w:t>
      </w:r>
      <w:r w:rsidR="537F5825" w:rsidRPr="008431A9">
        <w:rPr>
          <w:noProof/>
        </w:rPr>
        <w:t>, should the conditions not be met by the Member State</w:t>
      </w:r>
      <w:r w:rsidR="00272979" w:rsidRPr="008431A9">
        <w:rPr>
          <w:noProof/>
        </w:rPr>
        <w:t xml:space="preserve"> concerned</w:t>
      </w:r>
      <w:r w:rsidR="537F5825" w:rsidRPr="008431A9">
        <w:rPr>
          <w:noProof/>
        </w:rPr>
        <w:t>. This is</w:t>
      </w:r>
      <w:r w:rsidR="0063582A" w:rsidRPr="008431A9">
        <w:rPr>
          <w:noProof/>
        </w:rPr>
        <w:t>,</w:t>
      </w:r>
      <w:r w:rsidR="537F5825" w:rsidRPr="008431A9">
        <w:rPr>
          <w:noProof/>
        </w:rPr>
        <w:t xml:space="preserve"> for example</w:t>
      </w:r>
      <w:r w:rsidR="0063582A" w:rsidRPr="008431A9">
        <w:rPr>
          <w:noProof/>
        </w:rPr>
        <w:t>,</w:t>
      </w:r>
      <w:r w:rsidR="537F5825" w:rsidRPr="008431A9">
        <w:rPr>
          <w:noProof/>
        </w:rPr>
        <w:t xml:space="preserve"> the case should the number of direct applications submitted by applicants from that Member State exceed the original number estimated by th</w:t>
      </w:r>
      <w:r w:rsidR="0063582A" w:rsidRPr="008431A9">
        <w:rPr>
          <w:noProof/>
        </w:rPr>
        <w:t>at</w:t>
      </w:r>
      <w:r w:rsidR="537F5825" w:rsidRPr="008431A9">
        <w:rPr>
          <w:noProof/>
        </w:rPr>
        <w:t xml:space="preserve"> Member State in a recurrent manner over time.</w:t>
      </w:r>
    </w:p>
    <w:p w:rsidR="00850E4F" w:rsidRPr="008431A9" w:rsidRDefault="00B34B72" w:rsidP="00B34B72">
      <w:pPr>
        <w:pStyle w:val="ManualConsidrant"/>
        <w:rPr>
          <w:noProof/>
        </w:rPr>
      </w:pPr>
      <w:r w:rsidRPr="00B34B72">
        <w:t>(19)</w:t>
      </w:r>
      <w:r w:rsidRPr="00B34B72">
        <w:tab/>
      </w:r>
      <w:r w:rsidR="5285DCF6" w:rsidRPr="008431A9">
        <w:rPr>
          <w:noProof/>
        </w:rPr>
        <w:t>To ensure coherent decision-making as regards applications for protection and judicial challenges against them, submitted in the national procedure, the Office should be informed in a timely and regular manner when procedures are launched before national courts or other bodies concerning an application for registration forwarded by the Member State to the Office and of their final results. For the same reason, where a Member State considers that a national decision on which the application for protection is based is likely to be invalidated as a result of national judicial proceedings, it should inform the Office of that assessment. If the Member State requests the suspension of the examination of an application at Union level, the Office should be exempted from the obligation to meet the deadline for examination established therein. In order to protect the applicant from vexatious legal actions and to preserve the applicant’s right to secure the protection of a name within a reasonable time, the exemption should be limited to cases in which the application for registration has been invalidated at national level by an immediately applicable but not final judicial decision or in which the Member State considers that the action to challenge the validity of the application is based on valid grounds.</w:t>
      </w:r>
    </w:p>
    <w:p w:rsidR="00850E4F" w:rsidRPr="008431A9" w:rsidRDefault="00B34B72" w:rsidP="00B34B72">
      <w:pPr>
        <w:pStyle w:val="ManualConsidrant"/>
        <w:rPr>
          <w:noProof/>
        </w:rPr>
      </w:pPr>
      <w:r w:rsidRPr="00B34B72">
        <w:t>(20)</w:t>
      </w:r>
      <w:r w:rsidRPr="00B34B72">
        <w:tab/>
      </w:r>
      <w:r w:rsidR="3DE3EDC2" w:rsidRPr="008431A9">
        <w:rPr>
          <w:noProof/>
        </w:rPr>
        <w:t xml:space="preserve">To allow operators, whose interests are affected by the registration of a name, to continue to use that name for a limited period of time, while contravening the protection regime, specific derogations for the use of the names in the form of transitional periods should be granted. Such periods can also be allowed to overcome </w:t>
      </w:r>
      <w:r w:rsidR="3DE3EDC2" w:rsidRPr="008431A9">
        <w:rPr>
          <w:noProof/>
        </w:rPr>
        <w:lastRenderedPageBreak/>
        <w:t xml:space="preserve">temporary difficulties and with the long-term objective of ensuring that all producers comply with the product specification. </w:t>
      </w:r>
      <w:r w:rsidR="407C207E" w:rsidRPr="008431A9">
        <w:rPr>
          <w:noProof/>
        </w:rPr>
        <w:t>Without prejudice to the rules governing conflicts between geographical indications and trademarks</w:t>
      </w:r>
      <w:r w:rsidR="77ACF167" w:rsidRPr="008431A9">
        <w:rPr>
          <w:noProof/>
        </w:rPr>
        <w:t>, names, which would otherwise contravene the protection of geographical indication, may continue to be used under certain conditions and for a transitional period.</w:t>
      </w:r>
    </w:p>
    <w:p w:rsidR="00843204" w:rsidRPr="008431A9" w:rsidRDefault="00B34B72" w:rsidP="00B34B72">
      <w:pPr>
        <w:pStyle w:val="ManualConsidrant"/>
        <w:rPr>
          <w:noProof/>
        </w:rPr>
      </w:pPr>
      <w:r w:rsidRPr="00B34B72">
        <w:t>(21)</w:t>
      </w:r>
      <w:r w:rsidRPr="00B34B72">
        <w:tab/>
      </w:r>
      <w:r w:rsidR="00603732" w:rsidRPr="008431A9">
        <w:rPr>
          <w:noProof/>
        </w:rPr>
        <w:t>T</w:t>
      </w:r>
      <w:r w:rsidR="10C72532" w:rsidRPr="008431A9">
        <w:rPr>
          <w:noProof/>
        </w:rPr>
        <w:t xml:space="preserve">he Commission </w:t>
      </w:r>
      <w:r w:rsidR="00A747D0" w:rsidRPr="008431A9">
        <w:rPr>
          <w:noProof/>
        </w:rPr>
        <w:t>should have</w:t>
      </w:r>
      <w:r w:rsidR="10C72532" w:rsidRPr="008431A9">
        <w:rPr>
          <w:noProof/>
        </w:rPr>
        <w:t xml:space="preserve"> the right to take over from the Office</w:t>
      </w:r>
      <w:r w:rsidR="00C86FD9" w:rsidRPr="008431A9">
        <w:rPr>
          <w:noProof/>
        </w:rPr>
        <w:t xml:space="preserve"> the power to decide </w:t>
      </w:r>
      <w:r w:rsidR="10C72532" w:rsidRPr="008431A9">
        <w:rPr>
          <w:noProof/>
        </w:rPr>
        <w:t xml:space="preserve">concerning individual applications for registration, amendments to the </w:t>
      </w:r>
      <w:r w:rsidR="00D03BB6">
        <w:rPr>
          <w:noProof/>
        </w:rPr>
        <w:t>product</w:t>
      </w:r>
      <w:r w:rsidR="00D03BB6" w:rsidRPr="008431A9">
        <w:rPr>
          <w:noProof/>
        </w:rPr>
        <w:t xml:space="preserve"> </w:t>
      </w:r>
      <w:r w:rsidR="10C72532" w:rsidRPr="008431A9">
        <w:rPr>
          <w:noProof/>
        </w:rPr>
        <w:t xml:space="preserve">specification or cancellation. The Office </w:t>
      </w:r>
      <w:r w:rsidR="00A747D0" w:rsidRPr="008431A9">
        <w:rPr>
          <w:noProof/>
        </w:rPr>
        <w:t xml:space="preserve">should </w:t>
      </w:r>
      <w:r w:rsidR="10C72532" w:rsidRPr="008431A9">
        <w:rPr>
          <w:noProof/>
        </w:rPr>
        <w:t>remain responsible for the examination of the file, the opposition procedure, when needed, and based on technical considerations</w:t>
      </w:r>
      <w:r w:rsidR="00F62302" w:rsidRPr="008431A9">
        <w:rPr>
          <w:noProof/>
        </w:rPr>
        <w:t>,</w:t>
      </w:r>
      <w:r w:rsidR="10C72532" w:rsidRPr="008431A9">
        <w:rPr>
          <w:noProof/>
        </w:rPr>
        <w:t xml:space="preserve"> </w:t>
      </w:r>
      <w:r w:rsidR="00F62302" w:rsidRPr="008431A9">
        <w:rPr>
          <w:noProof/>
        </w:rPr>
        <w:t xml:space="preserve">it shall </w:t>
      </w:r>
      <w:r w:rsidR="10C72532" w:rsidRPr="008431A9">
        <w:rPr>
          <w:noProof/>
        </w:rPr>
        <w:t>submit a proposal for a</w:t>
      </w:r>
      <w:r w:rsidR="007A4418" w:rsidRPr="008431A9">
        <w:rPr>
          <w:noProof/>
        </w:rPr>
        <w:t>n</w:t>
      </w:r>
      <w:r w:rsidR="10C72532" w:rsidRPr="008431A9">
        <w:rPr>
          <w:noProof/>
        </w:rPr>
        <w:t xml:space="preserve"> </w:t>
      </w:r>
      <w:r w:rsidR="00024D19" w:rsidRPr="008431A9">
        <w:rPr>
          <w:noProof/>
        </w:rPr>
        <w:t xml:space="preserve">implementing act </w:t>
      </w:r>
      <w:r w:rsidR="10C72532" w:rsidRPr="008431A9">
        <w:rPr>
          <w:noProof/>
        </w:rPr>
        <w:t>to the Commission. Any Member State or the Office may request the Commission to exercise this prerogative</w:t>
      </w:r>
      <w:r w:rsidR="00F62302" w:rsidRPr="008431A9">
        <w:rPr>
          <w:noProof/>
        </w:rPr>
        <w:t>.</w:t>
      </w:r>
      <w:r w:rsidR="00024D19" w:rsidRPr="008431A9">
        <w:rPr>
          <w:noProof/>
        </w:rPr>
        <w:t xml:space="preserve"> The Commission may also act on its own </w:t>
      </w:r>
      <w:r w:rsidR="00C86FD9" w:rsidRPr="008431A9">
        <w:rPr>
          <w:noProof/>
        </w:rPr>
        <w:t>initiative</w:t>
      </w:r>
      <w:r w:rsidR="00024D19" w:rsidRPr="008431A9">
        <w:rPr>
          <w:noProof/>
        </w:rPr>
        <w:t xml:space="preserve">. </w:t>
      </w:r>
    </w:p>
    <w:p w:rsidR="00A867C4" w:rsidRPr="008431A9" w:rsidRDefault="00B34B72" w:rsidP="00B34B72">
      <w:pPr>
        <w:pStyle w:val="ManualConsidrant"/>
        <w:rPr>
          <w:noProof/>
        </w:rPr>
      </w:pPr>
      <w:r w:rsidRPr="00B34B72">
        <w:t>(22)</w:t>
      </w:r>
      <w:r w:rsidRPr="00B34B72">
        <w:tab/>
      </w:r>
      <w:r w:rsidR="3DE3EDC2" w:rsidRPr="008431A9">
        <w:rPr>
          <w:noProof/>
        </w:rPr>
        <w:t>To ensure transparency and uniformity across Member States, it is necessary to establish and maintain an electronic Union register of geographical indications</w:t>
      </w:r>
      <w:r w:rsidR="00B752A4" w:rsidRPr="008431A9">
        <w:rPr>
          <w:noProof/>
        </w:rPr>
        <w:t xml:space="preserve"> for </w:t>
      </w:r>
      <w:r w:rsidR="002E7AE8" w:rsidRPr="008431A9">
        <w:rPr>
          <w:noProof/>
        </w:rPr>
        <w:t>craft and industrial products</w:t>
      </w:r>
      <w:r w:rsidR="3DE3EDC2" w:rsidRPr="008431A9">
        <w:rPr>
          <w:noProof/>
        </w:rPr>
        <w:t>. The register should be</w:t>
      </w:r>
      <w:r w:rsidR="005104CC" w:rsidRPr="008431A9">
        <w:rPr>
          <w:noProof/>
        </w:rPr>
        <w:t xml:space="preserve"> </w:t>
      </w:r>
      <w:r w:rsidR="3DE3EDC2" w:rsidRPr="008431A9">
        <w:rPr>
          <w:noProof/>
        </w:rPr>
        <w:t>an electronic database stored within an information system, and should be</w:t>
      </w:r>
      <w:r w:rsidR="005104CC" w:rsidRPr="008431A9">
        <w:rPr>
          <w:noProof/>
        </w:rPr>
        <w:t xml:space="preserve"> </w:t>
      </w:r>
      <w:r w:rsidR="3DE3EDC2" w:rsidRPr="008431A9">
        <w:rPr>
          <w:noProof/>
        </w:rPr>
        <w:t>accessible to the public.</w:t>
      </w:r>
      <w:r w:rsidR="005104CC" w:rsidRPr="008431A9">
        <w:rPr>
          <w:noProof/>
        </w:rPr>
        <w:t xml:space="preserve"> </w:t>
      </w:r>
      <w:r w:rsidR="3DE3EDC2" w:rsidRPr="008431A9">
        <w:rPr>
          <w:noProof/>
        </w:rPr>
        <w:t xml:space="preserve">The Union register of geographical indications </w:t>
      </w:r>
      <w:r w:rsidR="002E7AE8" w:rsidRPr="008431A9">
        <w:rPr>
          <w:noProof/>
        </w:rPr>
        <w:t xml:space="preserve">for craft and industrial products </w:t>
      </w:r>
      <w:r w:rsidR="3DE3EDC2" w:rsidRPr="008431A9">
        <w:rPr>
          <w:noProof/>
        </w:rPr>
        <w:t>should be developed</w:t>
      </w:r>
      <w:r w:rsidR="006A2620" w:rsidRPr="008431A9">
        <w:rPr>
          <w:noProof/>
        </w:rPr>
        <w:t>, kept</w:t>
      </w:r>
      <w:r w:rsidR="3DE3EDC2" w:rsidRPr="008431A9">
        <w:rPr>
          <w:noProof/>
        </w:rPr>
        <w:t xml:space="preserve"> and maintained by the Office and also the personnel for its operation should be provided by the Office. </w:t>
      </w:r>
    </w:p>
    <w:p w:rsidR="00A867C4" w:rsidRPr="008431A9" w:rsidRDefault="00B34B72" w:rsidP="00B34B72">
      <w:pPr>
        <w:pStyle w:val="ManualConsidrant"/>
        <w:rPr>
          <w:noProof/>
        </w:rPr>
      </w:pPr>
      <w:r w:rsidRPr="00B34B72">
        <w:t>(23)</w:t>
      </w:r>
      <w:r w:rsidRPr="00B34B72">
        <w:tab/>
      </w:r>
      <w:r w:rsidR="73CC3D95" w:rsidRPr="008431A9">
        <w:rPr>
          <w:noProof/>
        </w:rPr>
        <w:t xml:space="preserve">The Union negotiates international agreements, including those concerning the protection geographical indications, with its trade partners. Protection of geographical indications for craft and industrial products throughout the </w:t>
      </w:r>
      <w:r w:rsidR="00A747D0" w:rsidRPr="008431A9">
        <w:rPr>
          <w:noProof/>
        </w:rPr>
        <w:t>Union</w:t>
      </w:r>
      <w:r w:rsidR="73CC3D95" w:rsidRPr="008431A9">
        <w:rPr>
          <w:noProof/>
        </w:rPr>
        <w:t xml:space="preserve"> can </w:t>
      </w:r>
      <w:r w:rsidR="00C97B0D" w:rsidRPr="008431A9">
        <w:rPr>
          <w:noProof/>
        </w:rPr>
        <w:t xml:space="preserve">also </w:t>
      </w:r>
      <w:r w:rsidR="73CC3D95" w:rsidRPr="008431A9">
        <w:rPr>
          <w:noProof/>
        </w:rPr>
        <w:t>stem from th</w:t>
      </w:r>
      <w:r w:rsidR="00A747D0" w:rsidRPr="008431A9">
        <w:rPr>
          <w:noProof/>
        </w:rPr>
        <w:t>o</w:t>
      </w:r>
      <w:r w:rsidR="73CC3D95" w:rsidRPr="008431A9">
        <w:rPr>
          <w:noProof/>
        </w:rPr>
        <w:t xml:space="preserve">se agreements, irrespective of the international registrations provided under the </w:t>
      </w:r>
      <w:r w:rsidR="00A747D0" w:rsidRPr="008431A9">
        <w:rPr>
          <w:noProof/>
          <w:lang w:val="en-IE"/>
        </w:rPr>
        <w:t xml:space="preserve">Geneva Act of the Lisbon Agreement on Appellations of Origin and Geographical Indications </w:t>
      </w:r>
      <w:r w:rsidR="73CC3D95" w:rsidRPr="008431A9">
        <w:rPr>
          <w:noProof/>
        </w:rPr>
        <w:t>or the application and regis</w:t>
      </w:r>
      <w:r w:rsidR="00A747D0" w:rsidRPr="008431A9">
        <w:rPr>
          <w:noProof/>
        </w:rPr>
        <w:t>tration system set out in this R</w:t>
      </w:r>
      <w:r w:rsidR="73CC3D95" w:rsidRPr="008431A9">
        <w:rPr>
          <w:noProof/>
        </w:rPr>
        <w:t xml:space="preserve">egulation. In order to facilitate the provision to the public of information about the </w:t>
      </w:r>
      <w:r w:rsidR="00C97B0D" w:rsidRPr="008431A9">
        <w:rPr>
          <w:noProof/>
        </w:rPr>
        <w:t xml:space="preserve">geographical indications </w:t>
      </w:r>
      <w:r w:rsidR="73CC3D95" w:rsidRPr="008431A9">
        <w:rPr>
          <w:noProof/>
        </w:rPr>
        <w:t>protected</w:t>
      </w:r>
      <w:r w:rsidR="00C97B0D" w:rsidRPr="008431A9">
        <w:rPr>
          <w:noProof/>
        </w:rPr>
        <w:t xml:space="preserve"> in the Union</w:t>
      </w:r>
      <w:r w:rsidR="73CC3D95" w:rsidRPr="008431A9">
        <w:rPr>
          <w:noProof/>
        </w:rPr>
        <w:t xml:space="preserve"> </w:t>
      </w:r>
      <w:r w:rsidR="00C97B0D" w:rsidRPr="008431A9">
        <w:rPr>
          <w:noProof/>
        </w:rPr>
        <w:t xml:space="preserve">either by virtue of the international registrations provided under the </w:t>
      </w:r>
      <w:r w:rsidR="00C97B0D" w:rsidRPr="008431A9">
        <w:rPr>
          <w:noProof/>
          <w:lang w:val="en-IE"/>
        </w:rPr>
        <w:t xml:space="preserve">Geneva Act or by virtue of the </w:t>
      </w:r>
      <w:r w:rsidR="00C97B0D" w:rsidRPr="008431A9">
        <w:rPr>
          <w:noProof/>
        </w:rPr>
        <w:t>international agreements with the Union trade partners</w:t>
      </w:r>
      <w:r w:rsidR="73CC3D95" w:rsidRPr="008431A9">
        <w:rPr>
          <w:noProof/>
        </w:rPr>
        <w:t xml:space="preserve">, and in particular to ensure protection and control of the use to which those </w:t>
      </w:r>
      <w:r w:rsidR="00C97B0D" w:rsidRPr="008431A9">
        <w:rPr>
          <w:noProof/>
        </w:rPr>
        <w:t xml:space="preserve">geographical indications </w:t>
      </w:r>
      <w:r w:rsidR="73CC3D95" w:rsidRPr="008431A9">
        <w:rPr>
          <w:noProof/>
        </w:rPr>
        <w:t xml:space="preserve">are put, those </w:t>
      </w:r>
      <w:r w:rsidR="00C97B0D" w:rsidRPr="008431A9">
        <w:rPr>
          <w:noProof/>
        </w:rPr>
        <w:t>geographical indications should</w:t>
      </w:r>
      <w:r w:rsidR="73CC3D95" w:rsidRPr="008431A9">
        <w:rPr>
          <w:noProof/>
        </w:rPr>
        <w:t xml:space="preserve"> be entered in the Union register of geographical indications</w:t>
      </w:r>
      <w:r w:rsidR="005F6945" w:rsidRPr="008431A9">
        <w:rPr>
          <w:noProof/>
        </w:rPr>
        <w:t xml:space="preserve"> for craft and industrial products</w:t>
      </w:r>
      <w:r w:rsidR="73CC3D95" w:rsidRPr="008431A9">
        <w:rPr>
          <w:noProof/>
        </w:rPr>
        <w:t xml:space="preserve">. </w:t>
      </w:r>
    </w:p>
    <w:p w:rsidR="00AB3655" w:rsidRPr="008431A9" w:rsidRDefault="00B34B72" w:rsidP="00B34B72">
      <w:pPr>
        <w:pStyle w:val="ManualConsidrant"/>
        <w:rPr>
          <w:noProof/>
        </w:rPr>
      </w:pPr>
      <w:r w:rsidRPr="00B34B72">
        <w:t>(24)</w:t>
      </w:r>
      <w:r w:rsidRPr="00B34B72">
        <w:tab/>
      </w:r>
      <w:r w:rsidR="0CB9B546" w:rsidRPr="008431A9">
        <w:rPr>
          <w:noProof/>
        </w:rPr>
        <w:t xml:space="preserve">For the optimal functioning of the internal market, it is important that producers and other operators concerned, authorities and consumers may quickly and easily have access to the relevant information concerning a registered protected geographical indication. </w:t>
      </w:r>
    </w:p>
    <w:p w:rsidR="00A867C4" w:rsidRPr="008431A9" w:rsidRDefault="00B34B72" w:rsidP="00B34B72">
      <w:pPr>
        <w:pStyle w:val="ManualConsidrant"/>
        <w:rPr>
          <w:noProof/>
        </w:rPr>
      </w:pPr>
      <w:r w:rsidRPr="00B34B72">
        <w:t>(25)</w:t>
      </w:r>
      <w:r w:rsidRPr="00B34B72">
        <w:tab/>
      </w:r>
      <w:r w:rsidR="7275617B" w:rsidRPr="008431A9">
        <w:rPr>
          <w:noProof/>
        </w:rPr>
        <w:t xml:space="preserve">It is necessary to ensure that parties </w:t>
      </w:r>
      <w:r w:rsidR="00B752A4" w:rsidRPr="008431A9">
        <w:rPr>
          <w:noProof/>
        </w:rPr>
        <w:t xml:space="preserve">that </w:t>
      </w:r>
      <w:r w:rsidR="7275617B" w:rsidRPr="008431A9">
        <w:rPr>
          <w:noProof/>
        </w:rPr>
        <w:t xml:space="preserve">are affected by decisions made by the Office are protected by the law. </w:t>
      </w:r>
      <w:r w:rsidR="4C6461E0" w:rsidRPr="008431A9">
        <w:rPr>
          <w:noProof/>
          <w:lang w:val="en-IE" w:eastAsia="fr-BE"/>
        </w:rPr>
        <w:t xml:space="preserve">To that end, provision should be made </w:t>
      </w:r>
      <w:r w:rsidR="00B752A4" w:rsidRPr="008431A9">
        <w:rPr>
          <w:noProof/>
          <w:lang w:val="en-IE" w:eastAsia="fr-BE"/>
        </w:rPr>
        <w:t xml:space="preserve">to allow </w:t>
      </w:r>
      <w:r w:rsidR="4C6461E0" w:rsidRPr="008431A9">
        <w:rPr>
          <w:noProof/>
          <w:lang w:val="en-IE" w:eastAsia="fr-BE"/>
        </w:rPr>
        <w:t xml:space="preserve">for an appeal </w:t>
      </w:r>
      <w:r w:rsidR="00B752A4" w:rsidRPr="008431A9">
        <w:rPr>
          <w:noProof/>
          <w:lang w:val="en-IE" w:eastAsia="fr-BE"/>
        </w:rPr>
        <w:t>of</w:t>
      </w:r>
      <w:r w:rsidR="4C6461E0" w:rsidRPr="008431A9">
        <w:rPr>
          <w:noProof/>
          <w:lang w:val="en-IE" w:eastAsia="fr-BE"/>
        </w:rPr>
        <w:t xml:space="preserve"> decisions of the Office</w:t>
      </w:r>
      <w:r w:rsidR="00B752A4" w:rsidRPr="008431A9">
        <w:rPr>
          <w:noProof/>
          <w:lang w:val="en-IE" w:eastAsia="fr-BE"/>
        </w:rPr>
        <w:t>, taken in proceedings under this Regulation, before an appeal body of the Office</w:t>
      </w:r>
      <w:r w:rsidR="4C6461E0" w:rsidRPr="008431A9">
        <w:rPr>
          <w:noProof/>
          <w:lang w:val="en-IE" w:eastAsia="fr-BE"/>
        </w:rPr>
        <w:t>. A Boards of Appeal of the Office should decide on the appeal. Decisions of the Boards of Appeal should, in turn, be amenable to actions before the General Court, which has jurisdiction to annul or to alter the contested decision</w:t>
      </w:r>
      <w:r w:rsidR="00897F66" w:rsidRPr="008431A9">
        <w:rPr>
          <w:noProof/>
          <w:lang w:val="en-IE" w:eastAsia="fr-BE"/>
        </w:rPr>
        <w:t>.</w:t>
      </w:r>
      <w:r w:rsidR="4C6461E0" w:rsidRPr="008431A9">
        <w:rPr>
          <w:noProof/>
        </w:rPr>
        <w:t xml:space="preserve"> </w:t>
      </w:r>
    </w:p>
    <w:p w:rsidR="00227B75" w:rsidRPr="008431A9" w:rsidRDefault="00B34B72" w:rsidP="00B34B72">
      <w:pPr>
        <w:pStyle w:val="ManualConsidrant"/>
        <w:rPr>
          <w:noProof/>
          <w:lang w:val="en-US"/>
        </w:rPr>
      </w:pPr>
      <w:r w:rsidRPr="00B34B72">
        <w:t>(26)</w:t>
      </w:r>
      <w:r w:rsidRPr="00B34B72">
        <w:tab/>
      </w:r>
      <w:r w:rsidR="7275617B" w:rsidRPr="008431A9">
        <w:rPr>
          <w:noProof/>
        </w:rPr>
        <w:t xml:space="preserve">The Office should establish an information and alert system against the abusive use of craft and industrial geographical indications in the domain name system. </w:t>
      </w:r>
      <w:r w:rsidR="00B45636" w:rsidRPr="008431A9">
        <w:rPr>
          <w:noProof/>
          <w:lang w:val="en-US"/>
        </w:rPr>
        <w:t xml:space="preserve">This </w:t>
      </w:r>
      <w:r w:rsidR="7275617B" w:rsidRPr="008431A9">
        <w:rPr>
          <w:noProof/>
          <w:lang w:val="en-US"/>
        </w:rPr>
        <w:t>system should inform applicants</w:t>
      </w:r>
      <w:r w:rsidR="002C36B2" w:rsidRPr="008431A9">
        <w:rPr>
          <w:noProof/>
          <w:lang w:val="en-US"/>
        </w:rPr>
        <w:t>,</w:t>
      </w:r>
      <w:r w:rsidR="7275617B" w:rsidRPr="008431A9">
        <w:rPr>
          <w:noProof/>
          <w:lang w:val="en-US"/>
        </w:rPr>
        <w:t xml:space="preserve"> on the one hand</w:t>
      </w:r>
      <w:r w:rsidR="002C36B2" w:rsidRPr="008431A9">
        <w:rPr>
          <w:noProof/>
          <w:lang w:val="en-US"/>
        </w:rPr>
        <w:t>,</w:t>
      </w:r>
      <w:r w:rsidR="7275617B" w:rsidRPr="008431A9">
        <w:rPr>
          <w:noProof/>
          <w:lang w:val="en-US"/>
        </w:rPr>
        <w:t xml:space="preserve"> about the availability of the geographical indication as a domain name and</w:t>
      </w:r>
      <w:r w:rsidR="002C36B2" w:rsidRPr="008431A9">
        <w:rPr>
          <w:noProof/>
          <w:lang w:val="en-US"/>
        </w:rPr>
        <w:t>,</w:t>
      </w:r>
      <w:r w:rsidR="7275617B" w:rsidRPr="008431A9">
        <w:rPr>
          <w:noProof/>
          <w:lang w:val="en-US"/>
        </w:rPr>
        <w:t xml:space="preserve"> on the other hand</w:t>
      </w:r>
      <w:r w:rsidR="002C36B2" w:rsidRPr="008431A9">
        <w:rPr>
          <w:noProof/>
          <w:lang w:val="en-US"/>
        </w:rPr>
        <w:t>,</w:t>
      </w:r>
      <w:r w:rsidR="7275617B" w:rsidRPr="008431A9">
        <w:rPr>
          <w:noProof/>
          <w:lang w:val="en-US"/>
        </w:rPr>
        <w:t xml:space="preserve"> provide them with information once a domain name that is </w:t>
      </w:r>
      <w:r w:rsidR="00B45636" w:rsidRPr="008431A9">
        <w:rPr>
          <w:noProof/>
          <w:lang w:val="en-US"/>
        </w:rPr>
        <w:t xml:space="preserve">conflicting with </w:t>
      </w:r>
      <w:r w:rsidR="7275617B" w:rsidRPr="008431A9">
        <w:rPr>
          <w:noProof/>
          <w:lang w:val="en-US"/>
        </w:rPr>
        <w:t xml:space="preserve">their geographical indication is registered. </w:t>
      </w:r>
      <w:r w:rsidR="7275617B" w:rsidRPr="008431A9">
        <w:rPr>
          <w:noProof/>
          <w:lang w:val="en-US"/>
        </w:rPr>
        <w:lastRenderedPageBreak/>
        <w:t xml:space="preserve">Receiving such alerts would allow producers to take appropriate action more quickly and effectively. Registries of country-code top-level domain names, established in the Union, </w:t>
      </w:r>
      <w:r w:rsidR="00A747D0" w:rsidRPr="008431A9">
        <w:rPr>
          <w:noProof/>
          <w:lang w:val="en-US"/>
        </w:rPr>
        <w:t>should</w:t>
      </w:r>
      <w:r w:rsidR="7275617B" w:rsidRPr="008431A9">
        <w:rPr>
          <w:noProof/>
          <w:lang w:val="en-US"/>
        </w:rPr>
        <w:t xml:space="preserve"> provide the Office with all the information and data in their possession necessary to run the system</w:t>
      </w:r>
      <w:r w:rsidR="00B45636" w:rsidRPr="008431A9">
        <w:rPr>
          <w:noProof/>
          <w:lang w:val="en-US"/>
        </w:rPr>
        <w:t xml:space="preserve"> as a task carried out in public interest</w:t>
      </w:r>
      <w:r w:rsidR="7275617B" w:rsidRPr="008431A9">
        <w:rPr>
          <w:noProof/>
          <w:lang w:val="en-US"/>
        </w:rPr>
        <w:t>, namely information on the availability of the geographical indication as a domain name and</w:t>
      </w:r>
      <w:r w:rsidR="00897F66" w:rsidRPr="008431A9">
        <w:rPr>
          <w:noProof/>
          <w:lang w:val="en-US"/>
        </w:rPr>
        <w:t>,</w:t>
      </w:r>
      <w:r w:rsidR="7275617B" w:rsidRPr="008431A9">
        <w:rPr>
          <w:noProof/>
          <w:lang w:val="en-US"/>
        </w:rPr>
        <w:t xml:space="preserve"> as far as the alerts are concerned</w:t>
      </w:r>
      <w:r w:rsidR="00897F66" w:rsidRPr="008431A9">
        <w:rPr>
          <w:noProof/>
          <w:lang w:val="en-US"/>
        </w:rPr>
        <w:t>,</w:t>
      </w:r>
      <w:r w:rsidR="7275617B" w:rsidRPr="008431A9">
        <w:rPr>
          <w:noProof/>
          <w:lang w:val="en-US"/>
        </w:rPr>
        <w:t xml:space="preserve"> the </w:t>
      </w:r>
      <w:r w:rsidR="00B45636" w:rsidRPr="008431A9">
        <w:rPr>
          <w:noProof/>
          <w:lang w:val="en-US"/>
        </w:rPr>
        <w:t xml:space="preserve">particulars of conflicting </w:t>
      </w:r>
      <w:r w:rsidR="7275617B" w:rsidRPr="008431A9">
        <w:rPr>
          <w:noProof/>
          <w:lang w:val="en-US"/>
        </w:rPr>
        <w:t>domain name</w:t>
      </w:r>
      <w:r w:rsidR="00B45636" w:rsidRPr="008431A9">
        <w:rPr>
          <w:noProof/>
          <w:lang w:val="en-US"/>
        </w:rPr>
        <w:t>s</w:t>
      </w:r>
      <w:r w:rsidR="7275617B" w:rsidRPr="008431A9">
        <w:rPr>
          <w:noProof/>
          <w:lang w:val="en-US"/>
        </w:rPr>
        <w:t>, the dates of its application and registration. The information and data should be provided in a machine readable format.</w:t>
      </w:r>
      <w:r w:rsidR="00B60265" w:rsidRPr="008431A9">
        <w:rPr>
          <w:noProof/>
          <w:lang w:val="en-US"/>
        </w:rPr>
        <w:t xml:space="preserve"> Making the information and data available to the Office is proportionate as it serves the legitimate purpose of ensuring better protection and enforcement of geographical indications as intellectual property in the online environment. This is even more so as regarding the alerts the transfer of domain name registration data is explicitly limited to those domain names that are identical or similar and therefore potentially capable of infringing the geographical indication concerned.</w:t>
      </w:r>
    </w:p>
    <w:p w:rsidR="00271C37" w:rsidRPr="008431A9" w:rsidRDefault="00B34B72" w:rsidP="00B34B72">
      <w:pPr>
        <w:pStyle w:val="ManualConsidrant"/>
        <w:rPr>
          <w:noProof/>
        </w:rPr>
      </w:pPr>
      <w:r w:rsidRPr="00B34B72">
        <w:t>(27)</w:t>
      </w:r>
      <w:r w:rsidRPr="00B34B72">
        <w:tab/>
      </w:r>
      <w:r w:rsidR="008D6410" w:rsidRPr="008431A9">
        <w:rPr>
          <w:noProof/>
        </w:rPr>
        <w:t>It is necessary to establish an</w:t>
      </w:r>
      <w:r w:rsidR="00271C37" w:rsidRPr="008431A9">
        <w:rPr>
          <w:noProof/>
        </w:rPr>
        <w:t xml:space="preserve"> Advisory Board</w:t>
      </w:r>
      <w:r w:rsidR="008D6410" w:rsidRPr="008431A9">
        <w:rPr>
          <w:noProof/>
        </w:rPr>
        <w:t>, which</w:t>
      </w:r>
      <w:r w:rsidR="00271C37" w:rsidRPr="008431A9">
        <w:rPr>
          <w:noProof/>
        </w:rPr>
        <w:t xml:space="preserve"> is a pool of experts, composed of representatives from Member States and the Commission. The purpose of the Advisory Board is to provide the necessary local knowledge and expertise concerning certain products and knowledge about the local circumstances that may influence the outcome of the procedures laid down in this Regulation. In order to support the Office on its assessment of individual applications at any stage of the examination, opposition, appeal or other procedures with specific technical knowledge, the Geographical Indications Division or the Boards of Appeal, at its own initiative or at the request of the Commission, should </w:t>
      </w:r>
      <w:r w:rsidR="00B752A4" w:rsidRPr="008431A9">
        <w:rPr>
          <w:noProof/>
        </w:rPr>
        <w:t xml:space="preserve">have the possibility to </w:t>
      </w:r>
      <w:r w:rsidR="00271C37" w:rsidRPr="008431A9">
        <w:rPr>
          <w:noProof/>
        </w:rPr>
        <w:t xml:space="preserve">consult the Advisory Board. The consultation, when necessary, should also include a general opinion on assessing quality criteria, establishing reputation and renown, determining generic nature of a name, and assessing fair competition in commercial transactions and the risk of confusing consumers. The opinion of the Advisory Board </w:t>
      </w:r>
      <w:r w:rsidR="00B15335" w:rsidRPr="008431A9">
        <w:rPr>
          <w:noProof/>
        </w:rPr>
        <w:t>should</w:t>
      </w:r>
      <w:r w:rsidR="00271C37" w:rsidRPr="008431A9">
        <w:rPr>
          <w:noProof/>
        </w:rPr>
        <w:t xml:space="preserve"> not</w:t>
      </w:r>
      <w:r w:rsidR="00B15335" w:rsidRPr="008431A9">
        <w:rPr>
          <w:noProof/>
        </w:rPr>
        <w:t xml:space="preserve"> be</w:t>
      </w:r>
      <w:r w:rsidR="00271C37" w:rsidRPr="008431A9">
        <w:rPr>
          <w:noProof/>
        </w:rPr>
        <w:t xml:space="preserve"> binding. </w:t>
      </w:r>
      <w:r w:rsidR="00271C37" w:rsidRPr="008431A9">
        <w:rPr>
          <w:rFonts w:eastAsia="Times New Roman"/>
          <w:noProof/>
          <w:lang w:val="en-US"/>
        </w:rPr>
        <w:t xml:space="preserve">The appointment procedure of the experts and the operation of the Advisory Board should be specified in the rules of procedure of the </w:t>
      </w:r>
      <w:r w:rsidR="006A2620" w:rsidRPr="008431A9">
        <w:rPr>
          <w:rFonts w:eastAsia="Times New Roman"/>
          <w:noProof/>
          <w:lang w:val="en-US"/>
        </w:rPr>
        <w:t xml:space="preserve">Advisory Board approved by the </w:t>
      </w:r>
      <w:r w:rsidR="00271C37" w:rsidRPr="008431A9">
        <w:rPr>
          <w:rFonts w:eastAsia="Times New Roman"/>
          <w:noProof/>
          <w:lang w:val="en-US"/>
        </w:rPr>
        <w:t>Management Board</w:t>
      </w:r>
      <w:r w:rsidR="00271C37" w:rsidRPr="008431A9">
        <w:rPr>
          <w:noProof/>
          <w:color w:val="FF0000"/>
        </w:rPr>
        <w:t xml:space="preserve">. </w:t>
      </w:r>
    </w:p>
    <w:p w:rsidR="00227B75" w:rsidRPr="008431A9" w:rsidRDefault="00B34B72" w:rsidP="00B34B72">
      <w:pPr>
        <w:pStyle w:val="ManualConsidrant"/>
        <w:rPr>
          <w:noProof/>
        </w:rPr>
      </w:pPr>
      <w:r w:rsidRPr="00B34B72">
        <w:t>(28)</w:t>
      </w:r>
      <w:r w:rsidRPr="00B34B72">
        <w:tab/>
      </w:r>
      <w:r w:rsidR="7275617B" w:rsidRPr="008431A9">
        <w:rPr>
          <w:noProof/>
        </w:rPr>
        <w:t>Protection</w:t>
      </w:r>
      <w:r w:rsidR="33F77E48" w:rsidRPr="008431A9">
        <w:rPr>
          <w:noProof/>
        </w:rPr>
        <w:t xml:space="preserve"> </w:t>
      </w:r>
      <w:r w:rsidR="7275617B" w:rsidRPr="008431A9">
        <w:rPr>
          <w:noProof/>
        </w:rPr>
        <w:t xml:space="preserve">should be granted to names included in the </w:t>
      </w:r>
      <w:r w:rsidR="27EEF7E3" w:rsidRPr="008431A9">
        <w:rPr>
          <w:noProof/>
        </w:rPr>
        <w:t xml:space="preserve">Union </w:t>
      </w:r>
      <w:r w:rsidR="00B15335" w:rsidRPr="008431A9">
        <w:rPr>
          <w:noProof/>
        </w:rPr>
        <w:t>r</w:t>
      </w:r>
      <w:r w:rsidR="7275617B" w:rsidRPr="008431A9">
        <w:rPr>
          <w:noProof/>
        </w:rPr>
        <w:t>egister</w:t>
      </w:r>
      <w:r w:rsidR="002C36B2" w:rsidRPr="008431A9">
        <w:rPr>
          <w:noProof/>
        </w:rPr>
        <w:t xml:space="preserve"> of geographical indications</w:t>
      </w:r>
      <w:r w:rsidR="00204C9C" w:rsidRPr="008431A9">
        <w:rPr>
          <w:noProof/>
        </w:rPr>
        <w:t xml:space="preserve"> for craft and industrial products</w:t>
      </w:r>
      <w:r w:rsidR="7275617B" w:rsidRPr="008431A9">
        <w:rPr>
          <w:noProof/>
        </w:rPr>
        <w:t xml:space="preserve"> </w:t>
      </w:r>
      <w:r w:rsidR="3AD7919A" w:rsidRPr="008431A9">
        <w:rPr>
          <w:noProof/>
        </w:rPr>
        <w:t xml:space="preserve">to </w:t>
      </w:r>
      <w:r w:rsidR="7275617B" w:rsidRPr="008431A9">
        <w:rPr>
          <w:noProof/>
        </w:rPr>
        <w:t>ensur</w:t>
      </w:r>
      <w:r w:rsidR="3AD7919A" w:rsidRPr="008431A9">
        <w:rPr>
          <w:noProof/>
        </w:rPr>
        <w:t>e</w:t>
      </w:r>
      <w:r w:rsidR="7275617B" w:rsidRPr="008431A9">
        <w:rPr>
          <w:noProof/>
        </w:rPr>
        <w:t xml:space="preserve"> that they are used fairly and in order to prevent practices liable to mislead consumers. In order to strengthen geographical indication protection and to combat </w:t>
      </w:r>
      <w:r w:rsidR="3AD7919A" w:rsidRPr="008431A9">
        <w:rPr>
          <w:noProof/>
        </w:rPr>
        <w:t xml:space="preserve">more effectively </w:t>
      </w:r>
      <w:r w:rsidR="7275617B" w:rsidRPr="008431A9">
        <w:rPr>
          <w:noProof/>
        </w:rPr>
        <w:t>counterfeiting, the protection of geographical indications should also apply to domain names on the internet.</w:t>
      </w:r>
      <w:r w:rsidR="00B60265" w:rsidRPr="008431A9">
        <w:rPr>
          <w:noProof/>
        </w:rPr>
        <w:t xml:space="preserve"> Concerning the protection of geographical indications, it is also important to have due regard to the Agreement on Trade-Related Aspects of Intellectual Property Rights, and in particular Articles 22 and 23 thereof, and to the General Agreement on Tariffs and Trade including Article V thereof on freedom of transit, which were approved by Council Decision 94/800/EC</w:t>
      </w:r>
      <w:r w:rsidR="00B60265" w:rsidRPr="008431A9">
        <w:rPr>
          <w:rStyle w:val="FootnoteReference"/>
          <w:noProof/>
        </w:rPr>
        <w:footnoteReference w:id="16"/>
      </w:r>
      <w:r w:rsidR="00B60265" w:rsidRPr="008431A9">
        <w:rPr>
          <w:noProof/>
        </w:rPr>
        <w:t xml:space="preserve">. Within such legal framework, in order to strengthen geographical indication protection and to combat counterfeiting more effectively, such protection should also apply with regard to goods entering the </w:t>
      </w:r>
      <w:r w:rsidR="00B60265" w:rsidRPr="008431A9">
        <w:rPr>
          <w:noProof/>
        </w:rPr>
        <w:lastRenderedPageBreak/>
        <w:t>customs territory of the Union without being released for free circulation, and placed under special customs procedures such as those relating to transit, storage, specific use or processing.</w:t>
      </w:r>
    </w:p>
    <w:p w:rsidR="00227B75" w:rsidRPr="008431A9" w:rsidRDefault="00B34B72" w:rsidP="00B34B72">
      <w:pPr>
        <w:pStyle w:val="ManualConsidrant"/>
        <w:rPr>
          <w:noProof/>
        </w:rPr>
      </w:pPr>
      <w:r w:rsidRPr="00B34B72">
        <w:t>(29)</w:t>
      </w:r>
      <w:r w:rsidRPr="00B34B72">
        <w:tab/>
      </w:r>
      <w:r w:rsidR="00C86FD9" w:rsidRPr="008431A9">
        <w:rPr>
          <w:noProof/>
        </w:rPr>
        <w:t xml:space="preserve">Clarity </w:t>
      </w:r>
      <w:r w:rsidR="7275617B" w:rsidRPr="008431A9">
        <w:rPr>
          <w:noProof/>
        </w:rPr>
        <w:t xml:space="preserve">is required on the use of a geographical indication in the sale name of a manufactured product of which the product designated by the geographical indication is a part or component. It should be ensured that such use is made in accordance with fair commercial practices and does not weaken, </w:t>
      </w:r>
      <w:r w:rsidR="28EFFB4D" w:rsidRPr="008431A9">
        <w:rPr>
          <w:noProof/>
        </w:rPr>
        <w:t xml:space="preserve">does not </w:t>
      </w:r>
      <w:r w:rsidR="7275617B" w:rsidRPr="008431A9">
        <w:rPr>
          <w:noProof/>
        </w:rPr>
        <w:t>dilute</w:t>
      </w:r>
      <w:r w:rsidR="28EFFB4D" w:rsidRPr="008431A9">
        <w:rPr>
          <w:noProof/>
        </w:rPr>
        <w:t>,</w:t>
      </w:r>
      <w:r w:rsidR="7275617B" w:rsidRPr="008431A9">
        <w:rPr>
          <w:noProof/>
        </w:rPr>
        <w:t xml:space="preserve"> or is not detrimental to the reputation of the </w:t>
      </w:r>
      <w:r w:rsidR="28EFFB4D" w:rsidRPr="008431A9">
        <w:rPr>
          <w:noProof/>
        </w:rPr>
        <w:t xml:space="preserve">product designated by the </w:t>
      </w:r>
      <w:r w:rsidR="7275617B" w:rsidRPr="008431A9">
        <w:rPr>
          <w:noProof/>
        </w:rPr>
        <w:t>geographical indication. The consent of the producers group or the individual producer of the geographical indication concerned should be required to allow such use. </w:t>
      </w:r>
    </w:p>
    <w:p w:rsidR="00227B75" w:rsidRPr="008431A9" w:rsidRDefault="00B34B72" w:rsidP="00B34B72">
      <w:pPr>
        <w:pStyle w:val="ManualConsidrant"/>
        <w:rPr>
          <w:noProof/>
        </w:rPr>
      </w:pPr>
      <w:r w:rsidRPr="00B34B72">
        <w:t>(30)</w:t>
      </w:r>
      <w:r w:rsidRPr="00B34B72">
        <w:tab/>
      </w:r>
      <w:r w:rsidR="7275617B" w:rsidRPr="008431A9">
        <w:rPr>
          <w:noProof/>
        </w:rPr>
        <w:t>Generic terms that are similar to</w:t>
      </w:r>
      <w:r w:rsidR="525E4364" w:rsidRPr="008431A9">
        <w:rPr>
          <w:noProof/>
        </w:rPr>
        <w:t>,</w:t>
      </w:r>
      <w:r w:rsidR="7275617B" w:rsidRPr="008431A9">
        <w:rPr>
          <w:noProof/>
        </w:rPr>
        <w:t xml:space="preserve"> or form part of</w:t>
      </w:r>
      <w:r w:rsidR="525E4364" w:rsidRPr="008431A9">
        <w:rPr>
          <w:noProof/>
        </w:rPr>
        <w:t>,</w:t>
      </w:r>
      <w:r w:rsidR="7275617B" w:rsidRPr="008431A9">
        <w:rPr>
          <w:noProof/>
        </w:rPr>
        <w:t xml:space="preserve"> a name or term that is protected </w:t>
      </w:r>
      <w:r w:rsidR="525E4364" w:rsidRPr="008431A9">
        <w:rPr>
          <w:noProof/>
        </w:rPr>
        <w:t xml:space="preserve">by a geographical indication </w:t>
      </w:r>
      <w:r w:rsidR="7275617B" w:rsidRPr="008431A9">
        <w:rPr>
          <w:noProof/>
        </w:rPr>
        <w:t>should retain their generic status.</w:t>
      </w:r>
    </w:p>
    <w:p w:rsidR="00227B75" w:rsidRPr="008431A9" w:rsidRDefault="00B34B72" w:rsidP="00B34B72">
      <w:pPr>
        <w:pStyle w:val="ManualConsidrant"/>
        <w:rPr>
          <w:rFonts w:eastAsiaTheme="minorEastAsia"/>
          <w:noProof/>
        </w:rPr>
      </w:pPr>
      <w:r w:rsidRPr="00B34B72">
        <w:t>(31)</w:t>
      </w:r>
      <w:r w:rsidRPr="00B34B72">
        <w:tab/>
      </w:r>
      <w:r w:rsidR="0372A5BE" w:rsidRPr="008431A9">
        <w:rPr>
          <w:noProof/>
          <w:lang w:val="en-US"/>
        </w:rPr>
        <w:t xml:space="preserve">The protection of geographical indications needs to </w:t>
      </w:r>
      <w:r w:rsidR="00754887" w:rsidRPr="008431A9">
        <w:rPr>
          <w:noProof/>
          <w:lang w:val="en-US"/>
        </w:rPr>
        <w:t>balance</w:t>
      </w:r>
      <w:r w:rsidR="0372A5BE" w:rsidRPr="008431A9">
        <w:rPr>
          <w:noProof/>
          <w:lang w:val="en-US"/>
        </w:rPr>
        <w:t xml:space="preserve"> with the protection of homonymous names registered as geographical indications as well as renowned trademarks, in particular in light of the fundamental right to property as set out in Article 17 of the Charter </w:t>
      </w:r>
      <w:r w:rsidR="00B15335" w:rsidRPr="008431A9">
        <w:rPr>
          <w:noProof/>
          <w:lang w:val="en-US"/>
        </w:rPr>
        <w:t xml:space="preserve">of Fundamental Rights of the European Union </w:t>
      </w:r>
      <w:r w:rsidR="0372A5BE" w:rsidRPr="008431A9">
        <w:rPr>
          <w:noProof/>
          <w:lang w:val="en-US"/>
        </w:rPr>
        <w:t>as well as obligations resulting from international law.</w:t>
      </w:r>
      <w:r w:rsidR="0372A5BE" w:rsidRPr="008431A9">
        <w:rPr>
          <w:noProof/>
        </w:rPr>
        <w:t xml:space="preserve"> </w:t>
      </w:r>
    </w:p>
    <w:p w:rsidR="00227B75" w:rsidRPr="008431A9" w:rsidRDefault="00B34B72" w:rsidP="00B34B72">
      <w:pPr>
        <w:pStyle w:val="ManualConsidrant"/>
        <w:rPr>
          <w:noProof/>
        </w:rPr>
      </w:pPr>
      <w:r w:rsidRPr="00B34B72">
        <w:t>(32)</w:t>
      </w:r>
      <w:r w:rsidRPr="00B34B72">
        <w:tab/>
      </w:r>
      <w:r w:rsidR="7275617B" w:rsidRPr="008431A9">
        <w:rPr>
          <w:noProof/>
        </w:rPr>
        <w:t xml:space="preserve">Producer groups play an essential role in the application process for the registration of geographical indications, as well as in the amendment of specifications and cancellation requests. They should be equipped with the necessary means to better identify and market the specific characteristics of their products. The role of the producer group should </w:t>
      </w:r>
      <w:r w:rsidR="4D753F29" w:rsidRPr="008431A9">
        <w:rPr>
          <w:noProof/>
        </w:rPr>
        <w:t xml:space="preserve">therefore </w:t>
      </w:r>
      <w:r w:rsidR="7275617B" w:rsidRPr="008431A9">
        <w:rPr>
          <w:noProof/>
        </w:rPr>
        <w:t>be clarified.</w:t>
      </w:r>
    </w:p>
    <w:p w:rsidR="00227B75" w:rsidRPr="008431A9" w:rsidRDefault="00B34B72" w:rsidP="00B34B72">
      <w:pPr>
        <w:pStyle w:val="ManualConsidrant"/>
        <w:rPr>
          <w:rFonts w:eastAsiaTheme="minorEastAsia"/>
          <w:noProof/>
        </w:rPr>
      </w:pPr>
      <w:r w:rsidRPr="00B34B72">
        <w:t>(33)</w:t>
      </w:r>
      <w:r w:rsidRPr="00B34B72">
        <w:tab/>
      </w:r>
      <w:r w:rsidR="7275617B" w:rsidRPr="008431A9">
        <w:rPr>
          <w:noProof/>
        </w:rPr>
        <w:t>The relationship between internet domain</w:t>
      </w:r>
      <w:r w:rsidR="00606EAF" w:rsidRPr="008431A9">
        <w:rPr>
          <w:noProof/>
        </w:rPr>
        <w:t xml:space="preserve"> </w:t>
      </w:r>
      <w:r w:rsidR="7275617B" w:rsidRPr="008431A9">
        <w:rPr>
          <w:noProof/>
        </w:rPr>
        <w:t>names and geographical indications should be clarified as regards the scope of the application of the remedy measures, the recognition of geographical indications in dispute resolution, and the fair use of domain names.</w:t>
      </w:r>
      <w:r w:rsidR="75E45393" w:rsidRPr="008431A9">
        <w:rPr>
          <w:rFonts w:eastAsia="Times New Roman"/>
          <w:noProof/>
        </w:rPr>
        <w:t xml:space="preserve"> Persons having a legitimate interest in a registered geographical indication should be empowered to request for the revocation or the transfer of the domain name in case </w:t>
      </w:r>
      <w:r w:rsidR="4D753F29" w:rsidRPr="008431A9">
        <w:rPr>
          <w:rFonts w:eastAsia="Times New Roman"/>
          <w:noProof/>
        </w:rPr>
        <w:t xml:space="preserve">the </w:t>
      </w:r>
      <w:r w:rsidR="75E45393" w:rsidRPr="008431A9">
        <w:rPr>
          <w:rFonts w:eastAsia="Times New Roman"/>
          <w:noProof/>
        </w:rPr>
        <w:t>conflict</w:t>
      </w:r>
      <w:r w:rsidR="4D753F29" w:rsidRPr="008431A9">
        <w:rPr>
          <w:rFonts w:eastAsia="Times New Roman"/>
          <w:noProof/>
        </w:rPr>
        <w:t xml:space="preserve">ing domain name has been registered by its holder without rights or legitimate interest in the geographical indication or if it has been registered or is being used in bad faith and its use contravenes </w:t>
      </w:r>
      <w:r w:rsidR="00B15335" w:rsidRPr="008431A9">
        <w:rPr>
          <w:rFonts w:eastAsia="Times New Roman"/>
          <w:noProof/>
        </w:rPr>
        <w:t>the protection of a geographical indication</w:t>
      </w:r>
      <w:r w:rsidR="75E45393" w:rsidRPr="008431A9">
        <w:rPr>
          <w:rFonts w:eastAsia="Times New Roman"/>
          <w:noProof/>
        </w:rPr>
        <w:t>. Alternative dispute resolution procedures should not prejudice the possibility of bringing domain name disputes before a national court.</w:t>
      </w:r>
    </w:p>
    <w:p w:rsidR="00227B75" w:rsidRPr="008431A9" w:rsidRDefault="00B34B72" w:rsidP="00B34B72">
      <w:pPr>
        <w:pStyle w:val="ManualConsidrant"/>
        <w:rPr>
          <w:noProof/>
        </w:rPr>
      </w:pPr>
      <w:r w:rsidRPr="00B34B72">
        <w:t>(34)</w:t>
      </w:r>
      <w:r w:rsidRPr="00B34B72">
        <w:tab/>
      </w:r>
      <w:r w:rsidR="7275617B" w:rsidRPr="008431A9">
        <w:rPr>
          <w:noProof/>
        </w:rPr>
        <w:t>The relationship between trade</w:t>
      </w:r>
      <w:r w:rsidR="00161E63" w:rsidRPr="008431A9">
        <w:rPr>
          <w:noProof/>
        </w:rPr>
        <w:t xml:space="preserve"> </w:t>
      </w:r>
      <w:r w:rsidR="7275617B" w:rsidRPr="008431A9">
        <w:rPr>
          <w:noProof/>
        </w:rPr>
        <w:t xml:space="preserve">marks and geographical indications </w:t>
      </w:r>
      <w:r w:rsidR="6EE76F29" w:rsidRPr="008431A9">
        <w:rPr>
          <w:noProof/>
        </w:rPr>
        <w:t xml:space="preserve">should </w:t>
      </w:r>
      <w:r w:rsidR="7275617B" w:rsidRPr="008431A9">
        <w:rPr>
          <w:noProof/>
        </w:rPr>
        <w:t xml:space="preserve">also </w:t>
      </w:r>
      <w:r w:rsidR="6EE76F29" w:rsidRPr="008431A9">
        <w:rPr>
          <w:noProof/>
        </w:rPr>
        <w:t>be</w:t>
      </w:r>
      <w:r w:rsidR="7275617B" w:rsidRPr="008431A9">
        <w:rPr>
          <w:noProof/>
        </w:rPr>
        <w:t xml:space="preserve"> clarified in relation to criteria for </w:t>
      </w:r>
      <w:r w:rsidR="6EE76F29" w:rsidRPr="008431A9">
        <w:rPr>
          <w:noProof/>
        </w:rPr>
        <w:t xml:space="preserve">the rejection of trade mark applications, the invalidation of trade marks and the coexistence </w:t>
      </w:r>
      <w:r w:rsidR="01352D63" w:rsidRPr="008431A9">
        <w:rPr>
          <w:noProof/>
        </w:rPr>
        <w:t>between</w:t>
      </w:r>
      <w:r w:rsidR="6EE76F29" w:rsidRPr="008431A9">
        <w:rPr>
          <w:noProof/>
        </w:rPr>
        <w:t xml:space="preserve"> trade marks and geographical indications</w:t>
      </w:r>
      <w:r w:rsidR="7275617B" w:rsidRPr="008431A9">
        <w:rPr>
          <w:noProof/>
        </w:rPr>
        <w:t>.</w:t>
      </w:r>
    </w:p>
    <w:p w:rsidR="000D65CD" w:rsidRPr="008431A9" w:rsidRDefault="00B34B72" w:rsidP="00B34B72">
      <w:pPr>
        <w:pStyle w:val="ManualConsidrant"/>
        <w:rPr>
          <w:noProof/>
        </w:rPr>
      </w:pPr>
      <w:r w:rsidRPr="00B34B72">
        <w:t>(35)</w:t>
      </w:r>
      <w:r w:rsidRPr="00B34B72">
        <w:tab/>
      </w:r>
      <w:r w:rsidR="7275617B" w:rsidRPr="008431A9">
        <w:rPr>
          <w:noProof/>
        </w:rPr>
        <w:t xml:space="preserve">In order to avoid creating unfair conditions </w:t>
      </w:r>
      <w:r w:rsidR="6594EF8C" w:rsidRPr="008431A9">
        <w:rPr>
          <w:noProof/>
        </w:rPr>
        <w:t xml:space="preserve">for </w:t>
      </w:r>
      <w:r w:rsidR="7275617B" w:rsidRPr="008431A9">
        <w:rPr>
          <w:noProof/>
        </w:rPr>
        <w:t xml:space="preserve">competition, any producer, including a third-country producer, should be able to use a registered geographical indication, provided that the product concerned complies with the requirements of the relevant </w:t>
      </w:r>
      <w:r w:rsidR="6594EF8C" w:rsidRPr="008431A9">
        <w:rPr>
          <w:noProof/>
        </w:rPr>
        <w:t xml:space="preserve">product </w:t>
      </w:r>
      <w:r w:rsidR="7275617B" w:rsidRPr="008431A9">
        <w:rPr>
          <w:noProof/>
        </w:rPr>
        <w:t>specification</w:t>
      </w:r>
      <w:r w:rsidR="6594EF8C" w:rsidRPr="008431A9">
        <w:rPr>
          <w:noProof/>
        </w:rPr>
        <w:t>,</w:t>
      </w:r>
      <w:r w:rsidR="7275617B" w:rsidRPr="008431A9">
        <w:rPr>
          <w:noProof/>
        </w:rPr>
        <w:t xml:space="preserve"> or single document or equivalent to the latter</w:t>
      </w:r>
      <w:r w:rsidR="05058119" w:rsidRPr="008431A9">
        <w:rPr>
          <w:noProof/>
        </w:rPr>
        <w:t xml:space="preserve"> </w:t>
      </w:r>
      <w:r w:rsidR="05058119" w:rsidRPr="008431A9">
        <w:rPr>
          <w:noProof/>
          <w:color w:val="000000" w:themeColor="text1"/>
        </w:rPr>
        <w:t>i.e. a complete summary of the product specification</w:t>
      </w:r>
      <w:r w:rsidR="7275617B" w:rsidRPr="008431A9">
        <w:rPr>
          <w:noProof/>
        </w:rPr>
        <w:t xml:space="preserve">. The system set </w:t>
      </w:r>
      <w:r w:rsidR="6594EF8C" w:rsidRPr="008431A9">
        <w:rPr>
          <w:noProof/>
        </w:rPr>
        <w:t>up</w:t>
      </w:r>
      <w:r w:rsidR="7275617B" w:rsidRPr="008431A9">
        <w:rPr>
          <w:noProof/>
        </w:rPr>
        <w:t xml:space="preserve"> by the Member States should also guarantee that producers complying with the rules are covered by the verification of compliance of the product specification.</w:t>
      </w:r>
    </w:p>
    <w:p w:rsidR="00267033" w:rsidRPr="008431A9" w:rsidRDefault="00B34B72" w:rsidP="00B34B72">
      <w:pPr>
        <w:pStyle w:val="ManualConsidrant"/>
        <w:rPr>
          <w:noProof/>
        </w:rPr>
      </w:pPr>
      <w:r w:rsidRPr="00B34B72">
        <w:t>(36)</w:t>
      </w:r>
      <w:r w:rsidRPr="00B34B72">
        <w:tab/>
      </w:r>
      <w:r w:rsidR="0C2EA0E3" w:rsidRPr="008431A9">
        <w:rPr>
          <w:noProof/>
        </w:rPr>
        <w:t xml:space="preserve">As it is the first time that an </w:t>
      </w:r>
      <w:r w:rsidR="00B15335" w:rsidRPr="008431A9">
        <w:rPr>
          <w:noProof/>
        </w:rPr>
        <w:t>Union</w:t>
      </w:r>
      <w:r w:rsidR="0C2EA0E3" w:rsidRPr="008431A9">
        <w:rPr>
          <w:noProof/>
        </w:rPr>
        <w:t xml:space="preserve">-wide geographical indication protection system for craft and industrial product is implemented, it is important to raise awareness among consumers, producers, especially </w:t>
      </w:r>
      <w:r w:rsidR="5CC5661C" w:rsidRPr="008431A9">
        <w:rPr>
          <w:noProof/>
        </w:rPr>
        <w:t>MSMEs</w:t>
      </w:r>
      <w:r w:rsidR="0C2EA0E3" w:rsidRPr="008431A9">
        <w:rPr>
          <w:noProof/>
        </w:rPr>
        <w:t xml:space="preserve"> and public authorities at national, regional </w:t>
      </w:r>
      <w:r w:rsidR="376C3BEC" w:rsidRPr="008431A9">
        <w:rPr>
          <w:noProof/>
        </w:rPr>
        <w:t>and</w:t>
      </w:r>
      <w:r w:rsidR="0C2EA0E3" w:rsidRPr="008431A9">
        <w:rPr>
          <w:noProof/>
        </w:rPr>
        <w:t xml:space="preserve"> local level about the initiative.</w:t>
      </w:r>
    </w:p>
    <w:p w:rsidR="00227B75" w:rsidRPr="008431A9" w:rsidRDefault="00B34B72" w:rsidP="00B34B72">
      <w:pPr>
        <w:pStyle w:val="ManualConsidrant"/>
        <w:rPr>
          <w:noProof/>
        </w:rPr>
      </w:pPr>
      <w:r w:rsidRPr="00B34B72">
        <w:lastRenderedPageBreak/>
        <w:t>(37)</w:t>
      </w:r>
      <w:r w:rsidRPr="00B34B72">
        <w:tab/>
      </w:r>
      <w:r w:rsidR="7275617B" w:rsidRPr="008431A9">
        <w:rPr>
          <w:noProof/>
        </w:rPr>
        <w:t xml:space="preserve">The symbols, indications and abbreviations identifying </w:t>
      </w:r>
      <w:r w:rsidR="0BE2EB2E" w:rsidRPr="008431A9">
        <w:rPr>
          <w:noProof/>
        </w:rPr>
        <w:t xml:space="preserve">a </w:t>
      </w:r>
      <w:r w:rsidR="7275617B" w:rsidRPr="008431A9">
        <w:rPr>
          <w:noProof/>
        </w:rPr>
        <w:t>regist</w:t>
      </w:r>
      <w:r w:rsidR="0BE2EB2E" w:rsidRPr="008431A9">
        <w:rPr>
          <w:noProof/>
        </w:rPr>
        <w:t>e</w:t>
      </w:r>
      <w:r w:rsidR="7275617B" w:rsidRPr="008431A9">
        <w:rPr>
          <w:noProof/>
        </w:rPr>
        <w:t>r</w:t>
      </w:r>
      <w:r w:rsidR="0BE2EB2E" w:rsidRPr="008431A9">
        <w:rPr>
          <w:noProof/>
        </w:rPr>
        <w:t>ed</w:t>
      </w:r>
      <w:r w:rsidR="7275617B" w:rsidRPr="008431A9">
        <w:rPr>
          <w:noProof/>
        </w:rPr>
        <w:t xml:space="preserve"> geographical indication, and the rights therein pertaining to the Union, should be protected in the Union as well as in third countries with the aim of ensuring that they are used on genuine products and that consumers are not misled as to the qualities of products.</w:t>
      </w:r>
    </w:p>
    <w:p w:rsidR="00227B75" w:rsidRPr="008431A9" w:rsidRDefault="00B34B72" w:rsidP="00B34B72">
      <w:pPr>
        <w:pStyle w:val="ManualConsidrant"/>
        <w:rPr>
          <w:noProof/>
        </w:rPr>
      </w:pPr>
      <w:r w:rsidRPr="00B34B72">
        <w:t>(38)</w:t>
      </w:r>
      <w:r w:rsidRPr="00B34B72">
        <w:tab/>
      </w:r>
      <w:r w:rsidR="7275617B" w:rsidRPr="008431A9">
        <w:rPr>
          <w:noProof/>
        </w:rPr>
        <w:t xml:space="preserve">The use of Union symbols </w:t>
      </w:r>
      <w:r w:rsidR="0C2CFC7D" w:rsidRPr="008431A9">
        <w:rPr>
          <w:noProof/>
        </w:rPr>
        <w:t xml:space="preserve">and </w:t>
      </w:r>
      <w:r w:rsidR="7275617B" w:rsidRPr="008431A9">
        <w:rPr>
          <w:noProof/>
        </w:rPr>
        <w:t>indications on the packaging of craft and industrial products designated by a geographical indication should be recommended in order to make this category of products, and the guarantees attached to them, better known to consumers and to permit easier identification of these products on the market, thereby facilitating checks. The use of such symbols or indications should remain voluntary for third</w:t>
      </w:r>
      <w:r w:rsidR="2DF5BE42" w:rsidRPr="008431A9">
        <w:rPr>
          <w:noProof/>
        </w:rPr>
        <w:t>-</w:t>
      </w:r>
      <w:r w:rsidR="7275617B" w:rsidRPr="008431A9">
        <w:rPr>
          <w:noProof/>
        </w:rPr>
        <w:t>country geographical indications.</w:t>
      </w:r>
    </w:p>
    <w:p w:rsidR="00227B75" w:rsidRPr="008431A9" w:rsidRDefault="00B34B72" w:rsidP="00B34B72">
      <w:pPr>
        <w:pStyle w:val="ManualConsidrant"/>
        <w:rPr>
          <w:noProof/>
        </w:rPr>
      </w:pPr>
      <w:r w:rsidRPr="00B34B72">
        <w:t>(39)</w:t>
      </w:r>
      <w:r w:rsidRPr="00B34B72">
        <w:tab/>
      </w:r>
      <w:r w:rsidR="7275617B" w:rsidRPr="008431A9">
        <w:rPr>
          <w:noProof/>
        </w:rPr>
        <w:t>For the sake of clarity for consumers and to maximise coherence</w:t>
      </w:r>
      <w:r w:rsidR="2402A095" w:rsidRPr="008431A9">
        <w:rPr>
          <w:noProof/>
        </w:rPr>
        <w:t xml:space="preserve"> </w:t>
      </w:r>
      <w:r w:rsidR="2402A095" w:rsidRPr="008431A9">
        <w:rPr>
          <w:rFonts w:eastAsia="Times New Roman"/>
          <w:noProof/>
        </w:rPr>
        <w:t>with the revised Regulation for</w:t>
      </w:r>
      <w:r w:rsidR="00C97B0D" w:rsidRPr="008431A9">
        <w:rPr>
          <w:rFonts w:eastAsia="Times New Roman"/>
          <w:noProof/>
        </w:rPr>
        <w:t xml:space="preserve"> protection of geographical indications for</w:t>
      </w:r>
      <w:r w:rsidR="2402A095" w:rsidRPr="008431A9">
        <w:rPr>
          <w:rFonts w:eastAsia="Times New Roman"/>
          <w:noProof/>
        </w:rPr>
        <w:t xml:space="preserve"> agricultural products, foodstuff, wine and spirits</w:t>
      </w:r>
      <w:r w:rsidR="7275617B" w:rsidRPr="008431A9">
        <w:rPr>
          <w:noProof/>
        </w:rPr>
        <w:t xml:space="preserve">, the Union symbol used on the packaging of craft and industrial products designated by a geographical indication should be identical to the one used on the packaging of </w:t>
      </w:r>
      <w:r w:rsidR="7275617B" w:rsidRPr="008431A9">
        <w:rPr>
          <w:rFonts w:eastAsia="Times New Roman"/>
          <w:noProof/>
          <w:lang w:val="en-US"/>
        </w:rPr>
        <w:t>agricultural products and foodstuffs, wines and spirit drinks designated by a geographical indication e</w:t>
      </w:r>
      <w:r w:rsidR="7275617B" w:rsidRPr="008431A9">
        <w:rPr>
          <w:rFonts w:eastAsia="Times New Roman"/>
          <w:noProof/>
        </w:rPr>
        <w:t xml:space="preserve">stablished under Commission </w:t>
      </w:r>
      <w:r w:rsidR="32C447AE" w:rsidRPr="008431A9">
        <w:rPr>
          <w:rFonts w:eastAsia="Times New Roman"/>
          <w:noProof/>
        </w:rPr>
        <w:t xml:space="preserve">Delegated </w:t>
      </w:r>
      <w:r w:rsidR="7275617B" w:rsidRPr="008431A9">
        <w:rPr>
          <w:rFonts w:eastAsia="Times New Roman"/>
          <w:noProof/>
        </w:rPr>
        <w:t>Regulation (EU) 664/2014</w:t>
      </w:r>
      <w:r w:rsidR="00232FC2" w:rsidRPr="008431A9">
        <w:rPr>
          <w:rStyle w:val="FootnoteReference"/>
          <w:noProof/>
        </w:rPr>
        <w:footnoteReference w:id="17"/>
      </w:r>
      <w:r w:rsidR="7275617B" w:rsidRPr="008431A9">
        <w:rPr>
          <w:rFonts w:eastAsia="Times New Roman"/>
          <w:noProof/>
          <w:lang w:val="en-US"/>
        </w:rPr>
        <w:t>.</w:t>
      </w:r>
    </w:p>
    <w:p w:rsidR="00227B75" w:rsidRPr="008431A9" w:rsidRDefault="00B34B72" w:rsidP="00B34B72">
      <w:pPr>
        <w:pStyle w:val="ManualConsidrant"/>
        <w:rPr>
          <w:noProof/>
        </w:rPr>
      </w:pPr>
      <w:r w:rsidRPr="00B34B72">
        <w:t>(40)</w:t>
      </w:r>
      <w:r w:rsidRPr="00B34B72">
        <w:tab/>
      </w:r>
      <w:r w:rsidR="34C69AA1" w:rsidRPr="008431A9">
        <w:rPr>
          <w:noProof/>
        </w:rPr>
        <w:t>The added value of geographical indications is based on consumer trust. Such trust can only be well-founded if the registration of geographical indications is accompanied by effective verification and controls</w:t>
      </w:r>
      <w:r w:rsidR="79EF73B7" w:rsidRPr="008431A9">
        <w:rPr>
          <w:noProof/>
        </w:rPr>
        <w:t>,</w:t>
      </w:r>
      <w:r w:rsidR="34C69AA1" w:rsidRPr="008431A9">
        <w:rPr>
          <w:noProof/>
        </w:rPr>
        <w:t xml:space="preserve"> including the producer’s due diligence.</w:t>
      </w:r>
    </w:p>
    <w:p w:rsidR="00227B75" w:rsidRPr="008431A9" w:rsidRDefault="00B34B72" w:rsidP="00B34B72">
      <w:pPr>
        <w:pStyle w:val="ManualConsidrant"/>
        <w:rPr>
          <w:noProof/>
        </w:rPr>
      </w:pPr>
      <w:r w:rsidRPr="00B34B72">
        <w:t>(41)</w:t>
      </w:r>
      <w:r w:rsidRPr="00B34B72">
        <w:tab/>
      </w:r>
      <w:r w:rsidR="7275617B" w:rsidRPr="008431A9">
        <w:rPr>
          <w:noProof/>
        </w:rPr>
        <w:t xml:space="preserve">In order to guarantee consumers of the specific characteristics of craft and industrial products protected by geographical indications, producers should be subject to a system that verifies compliance with the product specification before the product is put on the market. Member States should be free to establish a third-party verification system operated by the competent authorities, and the product certification bodies, </w:t>
      </w:r>
      <w:r w:rsidR="003F3339" w:rsidRPr="008431A9">
        <w:rPr>
          <w:noProof/>
        </w:rPr>
        <w:t xml:space="preserve">to which those authorities delegate certain official control tasks </w:t>
      </w:r>
      <w:r w:rsidR="7275617B" w:rsidRPr="008431A9">
        <w:rPr>
          <w:noProof/>
        </w:rPr>
        <w:t xml:space="preserve">or a verification system based on a producer’ s self-declaration. The self-declaration </w:t>
      </w:r>
      <w:r w:rsidR="003F3339" w:rsidRPr="008431A9">
        <w:rPr>
          <w:noProof/>
        </w:rPr>
        <w:t xml:space="preserve">should </w:t>
      </w:r>
      <w:r w:rsidR="7275617B" w:rsidRPr="008431A9">
        <w:rPr>
          <w:noProof/>
        </w:rPr>
        <w:t>be submitted to the competent authorities assuring conformity with the product specification.</w:t>
      </w:r>
    </w:p>
    <w:p w:rsidR="00227B75" w:rsidRPr="008431A9" w:rsidRDefault="00B34B72" w:rsidP="00B34B72">
      <w:pPr>
        <w:pStyle w:val="ManualConsidrant"/>
        <w:rPr>
          <w:noProof/>
        </w:rPr>
      </w:pPr>
      <w:r w:rsidRPr="00B34B72">
        <w:t>(42)</w:t>
      </w:r>
      <w:r w:rsidRPr="00B34B72">
        <w:tab/>
      </w:r>
      <w:r w:rsidR="7275617B" w:rsidRPr="008431A9">
        <w:rPr>
          <w:noProof/>
        </w:rPr>
        <w:t>To guarantee compliance with the product specification after the product has been put on the market, competent authorities should perform official controls in the marketplace on a risk analysis and with appropriate frequency considering the likelihood of non-compliances including fraudulent or deceptive practices.</w:t>
      </w:r>
    </w:p>
    <w:p w:rsidR="00227B75" w:rsidRPr="008431A9" w:rsidRDefault="00B34B72" w:rsidP="00B34B72">
      <w:pPr>
        <w:pStyle w:val="ManualConsidrant"/>
        <w:rPr>
          <w:noProof/>
        </w:rPr>
      </w:pPr>
      <w:r w:rsidRPr="00B34B72">
        <w:t>(43)</w:t>
      </w:r>
      <w:r w:rsidRPr="00B34B72">
        <w:tab/>
      </w:r>
      <w:r w:rsidR="7275617B" w:rsidRPr="008431A9">
        <w:rPr>
          <w:noProof/>
        </w:rPr>
        <w:t xml:space="preserve">Enforcement of geographical indications in the marketplace is important to prevent </w:t>
      </w:r>
      <w:r w:rsidR="032F94ED" w:rsidRPr="008431A9">
        <w:rPr>
          <w:noProof/>
        </w:rPr>
        <w:t>fraudulent and deceptive practices</w:t>
      </w:r>
      <w:r w:rsidR="7275617B" w:rsidRPr="008431A9">
        <w:rPr>
          <w:noProof/>
        </w:rPr>
        <w:t xml:space="preserve"> thus ensuring that the producers </w:t>
      </w:r>
      <w:r w:rsidR="003C5B1C" w:rsidRPr="008431A9">
        <w:rPr>
          <w:noProof/>
        </w:rPr>
        <w:t xml:space="preserve">of products designated by a geographical indication </w:t>
      </w:r>
      <w:r w:rsidR="7275617B" w:rsidRPr="008431A9">
        <w:rPr>
          <w:noProof/>
        </w:rPr>
        <w:t xml:space="preserve">are properly rewarded for the </w:t>
      </w:r>
      <w:r w:rsidR="032F94ED" w:rsidRPr="008431A9">
        <w:rPr>
          <w:noProof/>
        </w:rPr>
        <w:t xml:space="preserve">added </w:t>
      </w:r>
      <w:r w:rsidR="7275617B" w:rsidRPr="008431A9">
        <w:rPr>
          <w:noProof/>
        </w:rPr>
        <w:t xml:space="preserve">value </w:t>
      </w:r>
      <w:r w:rsidR="032F94ED" w:rsidRPr="008431A9">
        <w:rPr>
          <w:noProof/>
        </w:rPr>
        <w:t xml:space="preserve">of their products bearing a geographical indication </w:t>
      </w:r>
      <w:r w:rsidR="7275617B" w:rsidRPr="008431A9">
        <w:rPr>
          <w:noProof/>
        </w:rPr>
        <w:t xml:space="preserve">and that illegal users of </w:t>
      </w:r>
      <w:r w:rsidR="032F94ED" w:rsidRPr="008431A9">
        <w:rPr>
          <w:noProof/>
        </w:rPr>
        <w:t xml:space="preserve">those </w:t>
      </w:r>
      <w:r w:rsidR="7275617B" w:rsidRPr="008431A9">
        <w:rPr>
          <w:noProof/>
        </w:rPr>
        <w:t xml:space="preserve">geographical indications are prevented </w:t>
      </w:r>
      <w:r w:rsidR="032F94ED" w:rsidRPr="008431A9">
        <w:rPr>
          <w:noProof/>
        </w:rPr>
        <w:t>from selling</w:t>
      </w:r>
      <w:r w:rsidR="7275617B" w:rsidRPr="008431A9">
        <w:rPr>
          <w:noProof/>
        </w:rPr>
        <w:t xml:space="preserve"> their products. Therefore, apart from controls concerning the producers, Member States should also take appropriate administrative and judicial steps to prevent or stop the use of names on products or services that contravene the protected geographical indications</w:t>
      </w:r>
      <w:r w:rsidR="003C5B1C" w:rsidRPr="008431A9">
        <w:rPr>
          <w:noProof/>
        </w:rPr>
        <w:t>, where such products</w:t>
      </w:r>
      <w:r w:rsidR="7275617B" w:rsidRPr="008431A9">
        <w:rPr>
          <w:noProof/>
        </w:rPr>
        <w:t xml:space="preserve"> are produced, marketed </w:t>
      </w:r>
      <w:r w:rsidR="003C5B1C" w:rsidRPr="008431A9">
        <w:rPr>
          <w:noProof/>
        </w:rPr>
        <w:t xml:space="preserve">or such services are marketed, </w:t>
      </w:r>
      <w:r w:rsidR="7275617B" w:rsidRPr="008431A9">
        <w:rPr>
          <w:noProof/>
        </w:rPr>
        <w:t xml:space="preserve">in their territory. For the </w:t>
      </w:r>
      <w:r w:rsidR="7275617B" w:rsidRPr="008431A9">
        <w:rPr>
          <w:noProof/>
        </w:rPr>
        <w:lastRenderedPageBreak/>
        <w:t>purposes of enforcing geographical indications, measures, procedures and remedies set out in Directive 2004/48/EC</w:t>
      </w:r>
      <w:r w:rsidR="248BE120" w:rsidRPr="008431A9">
        <w:rPr>
          <w:rStyle w:val="FootnoteReference"/>
          <w:noProof/>
        </w:rPr>
        <w:footnoteReference w:id="18"/>
      </w:r>
      <w:r w:rsidR="7275617B" w:rsidRPr="008431A9">
        <w:rPr>
          <w:noProof/>
        </w:rPr>
        <w:t xml:space="preserve"> </w:t>
      </w:r>
      <w:r w:rsidR="00B15335" w:rsidRPr="008431A9">
        <w:rPr>
          <w:noProof/>
        </w:rPr>
        <w:t xml:space="preserve">of the European Parliament and of the Council </w:t>
      </w:r>
      <w:r w:rsidR="7275617B" w:rsidRPr="008431A9">
        <w:rPr>
          <w:noProof/>
        </w:rPr>
        <w:t>are available as they are applicable to any infringement of intellectual property rights.</w:t>
      </w:r>
    </w:p>
    <w:p w:rsidR="00227B75" w:rsidRPr="008431A9" w:rsidRDefault="00B34B72" w:rsidP="00B34B72">
      <w:pPr>
        <w:pStyle w:val="ManualConsidrant"/>
        <w:rPr>
          <w:noProof/>
        </w:rPr>
      </w:pPr>
      <w:r w:rsidRPr="00B34B72">
        <w:t>(44)</w:t>
      </w:r>
      <w:r w:rsidRPr="00B34B72">
        <w:tab/>
      </w:r>
      <w:r w:rsidR="7275617B" w:rsidRPr="008431A9">
        <w:rPr>
          <w:noProof/>
        </w:rPr>
        <w:t>Member States should have the possibility to allow producers to fulfil their obligation to perform due diligence by submitting a self-declaration to the competent authorities every three years, demonstrating their continued compliance. Producers should be required to renew their self-declaration immediately where there is an amendment to the product specification or a change affecting the concerned product. The use of self-declaration should not prevent producers from having their conformity fully or partially certified by eligible third parties. A third-party certification should be able to supplement a self-declaration but not replace it.</w:t>
      </w:r>
    </w:p>
    <w:p w:rsidR="00227B75" w:rsidRPr="008431A9" w:rsidRDefault="00B34B72" w:rsidP="00B34B72">
      <w:pPr>
        <w:pStyle w:val="ManualConsidrant"/>
        <w:rPr>
          <w:noProof/>
        </w:rPr>
      </w:pPr>
      <w:r w:rsidRPr="00B34B72">
        <w:t>(45)</w:t>
      </w:r>
      <w:r w:rsidRPr="00B34B72">
        <w:tab/>
      </w:r>
      <w:r w:rsidR="7275617B" w:rsidRPr="008431A9">
        <w:rPr>
          <w:noProof/>
        </w:rPr>
        <w:t>The self-declaration should provide competent authorities with all necessary information on the product and on its compliance with the product specification. To ensure that the information provided in the self-declaration is comprehensive, a harmonised structure for such declarations should be laid down</w:t>
      </w:r>
      <w:r w:rsidR="00142AC6" w:rsidRPr="008431A9">
        <w:rPr>
          <w:noProof/>
        </w:rPr>
        <w:t xml:space="preserve"> in Annex</w:t>
      </w:r>
      <w:r w:rsidR="7275617B" w:rsidRPr="008431A9">
        <w:rPr>
          <w:noProof/>
        </w:rPr>
        <w:t xml:space="preserve">. It is important to ensure that the self-declaration is filled in truthfully and accurately. Therefore, the producer should take full responsibility for the information provided in the self-declaration, and should be able to provide the necessary evidence to allow for the verification of that information. </w:t>
      </w:r>
    </w:p>
    <w:p w:rsidR="00227B75" w:rsidRPr="008431A9" w:rsidRDefault="00B34B72" w:rsidP="00B34B72">
      <w:pPr>
        <w:pStyle w:val="ManualConsidrant"/>
        <w:rPr>
          <w:noProof/>
        </w:rPr>
      </w:pPr>
      <w:r w:rsidRPr="00B34B72">
        <w:t>(46)</w:t>
      </w:r>
      <w:r w:rsidRPr="00B34B72">
        <w:tab/>
      </w:r>
      <w:r w:rsidR="34C69AA1" w:rsidRPr="008431A9">
        <w:rPr>
          <w:noProof/>
        </w:rPr>
        <w:t xml:space="preserve">Where a self-declaration certification procedure is in place, competent authorities should carry out random controls. </w:t>
      </w:r>
    </w:p>
    <w:p w:rsidR="00227B75" w:rsidRPr="008431A9" w:rsidRDefault="00B34B72" w:rsidP="00B34B72">
      <w:pPr>
        <w:pStyle w:val="ManualConsidrant"/>
        <w:rPr>
          <w:noProof/>
        </w:rPr>
      </w:pPr>
      <w:r w:rsidRPr="00B34B72">
        <w:t>(47)</w:t>
      </w:r>
      <w:r w:rsidRPr="00B34B72">
        <w:tab/>
      </w:r>
      <w:r w:rsidR="7275617B" w:rsidRPr="008431A9">
        <w:rPr>
          <w:noProof/>
        </w:rPr>
        <w:t>In the event of non-compliance with the product specification, the competent authorities should take appropriate measures to ensure that the producers concerned remedy the situation and to prevent further non-compliances. In addition, Member States should provide for a set of effective, proportionate and dissuasive penalties aimed at deterring possible fraudulent behaviour by producers.</w:t>
      </w:r>
    </w:p>
    <w:p w:rsidR="00227B75" w:rsidRPr="008431A9" w:rsidRDefault="00B34B72" w:rsidP="00B34B72">
      <w:pPr>
        <w:pStyle w:val="ManualConsidrant"/>
        <w:rPr>
          <w:noProof/>
        </w:rPr>
      </w:pPr>
      <w:r w:rsidRPr="00B34B72">
        <w:t>(48)</w:t>
      </w:r>
      <w:r w:rsidRPr="00B34B72">
        <w:tab/>
      </w:r>
      <w:r w:rsidR="34C69AA1" w:rsidRPr="008431A9">
        <w:rPr>
          <w:noProof/>
        </w:rPr>
        <w:t xml:space="preserve">Control and verification fees or charges should cover, but not exceed, the costs, including overhead costs, incurred by the competent authorities to perform official controls. Overhead costs could include the costs of the organisation and support necessary for planning and carrying out the official controls. Such costs should be calculated on the basis of each individual official control or on the basis of all official controls performed over a given period of time. Where fees or charges are applied on the basis of the actual cost of individual official controls, </w:t>
      </w:r>
      <w:r w:rsidR="0F0C64DC" w:rsidRPr="008431A9">
        <w:rPr>
          <w:noProof/>
        </w:rPr>
        <w:t>producers</w:t>
      </w:r>
      <w:r w:rsidR="34C69AA1" w:rsidRPr="008431A9">
        <w:rPr>
          <w:noProof/>
        </w:rPr>
        <w:t xml:space="preserve"> with a good record of compliance should bear lower overall charges than non-compliant ones, as such producers with a good record of compliance should be subject to less frequent official controls. In order to promote compliance with Union legislation by all </w:t>
      </w:r>
      <w:r w:rsidR="0F0C64DC" w:rsidRPr="008431A9">
        <w:rPr>
          <w:noProof/>
        </w:rPr>
        <w:t>producers</w:t>
      </w:r>
      <w:r w:rsidR="34C69AA1" w:rsidRPr="008431A9">
        <w:rPr>
          <w:noProof/>
        </w:rPr>
        <w:t xml:space="preserve"> irrespective of the method (based on actual costs or on a flat rate) that each Member States has chosen for the calculation of the fees or charges, where fees or charges are calculated on the basis of overall costs incurred by the competent authorities over a given period of time, and imposed on all </w:t>
      </w:r>
      <w:r w:rsidR="0F0C64DC" w:rsidRPr="008431A9">
        <w:rPr>
          <w:noProof/>
        </w:rPr>
        <w:t>producers</w:t>
      </w:r>
      <w:r w:rsidR="34C69AA1" w:rsidRPr="008431A9">
        <w:rPr>
          <w:noProof/>
        </w:rPr>
        <w:t xml:space="preserve"> irrespective of whether they are subject to an official control during the reference period, those fees or charges should be calculated so as to reward </w:t>
      </w:r>
      <w:r w:rsidR="0F0C64DC" w:rsidRPr="008431A9">
        <w:rPr>
          <w:noProof/>
        </w:rPr>
        <w:t>producers</w:t>
      </w:r>
      <w:r w:rsidR="34C69AA1" w:rsidRPr="008431A9">
        <w:rPr>
          <w:noProof/>
        </w:rPr>
        <w:t xml:space="preserve"> with a consistently good record of compliance. No fee should be charged for the submission of the self-declaration and its processing. </w:t>
      </w:r>
    </w:p>
    <w:p w:rsidR="00227B75" w:rsidRPr="008431A9" w:rsidRDefault="00B34B72" w:rsidP="00B34B72">
      <w:pPr>
        <w:pStyle w:val="ManualConsidrant"/>
        <w:rPr>
          <w:noProof/>
        </w:rPr>
      </w:pPr>
      <w:r w:rsidRPr="00B34B72">
        <w:lastRenderedPageBreak/>
        <w:t>(49)</w:t>
      </w:r>
      <w:r w:rsidRPr="00B34B72">
        <w:tab/>
      </w:r>
      <w:r w:rsidR="1F095FAE" w:rsidRPr="008431A9">
        <w:rPr>
          <w:noProof/>
        </w:rPr>
        <w:t xml:space="preserve">To ensure impartiality and effectiveness, the competent authorities designated to perform the verification of the compliance with the product specification should meet a number of operational criteria. To facilitate the task of controls and to make the system more effective competent authorities should be able to delegate competences regarding the performance of specific control tasks to a </w:t>
      </w:r>
      <w:r w:rsidR="1F095FAE" w:rsidRPr="008431A9">
        <w:rPr>
          <w:rFonts w:eastAsia="Times New Roman"/>
          <w:noProof/>
        </w:rPr>
        <w:t>legal person which certifies that products designated by geographical indications comply with the product specification</w:t>
      </w:r>
      <w:r w:rsidR="1F095FAE" w:rsidRPr="008431A9">
        <w:rPr>
          <w:noProof/>
        </w:rPr>
        <w:t xml:space="preserve"> (‘product certification body’). A delegation of such competences to natural persons should also be envisaged.</w:t>
      </w:r>
    </w:p>
    <w:p w:rsidR="00227B75" w:rsidRPr="008431A9" w:rsidRDefault="00B34B72" w:rsidP="00B34B72">
      <w:pPr>
        <w:pStyle w:val="ManualConsidrant"/>
        <w:rPr>
          <w:noProof/>
        </w:rPr>
      </w:pPr>
      <w:r w:rsidRPr="00B34B72">
        <w:t>(50)</w:t>
      </w:r>
      <w:r w:rsidRPr="00B34B72">
        <w:tab/>
      </w:r>
      <w:r w:rsidR="34C69AA1" w:rsidRPr="008431A9">
        <w:rPr>
          <w:noProof/>
        </w:rPr>
        <w:t>Information on the competent authorities and on product certification bodies should be made public by Member States and the Office to ensure the transparency and allow interested parties to contact them.</w:t>
      </w:r>
    </w:p>
    <w:p w:rsidR="00227B75" w:rsidRPr="008431A9" w:rsidRDefault="00B34B72" w:rsidP="00B34B72">
      <w:pPr>
        <w:pStyle w:val="ManualConsidrant"/>
        <w:rPr>
          <w:noProof/>
        </w:rPr>
      </w:pPr>
      <w:r w:rsidRPr="00B34B72">
        <w:t>(51)</w:t>
      </w:r>
      <w:r w:rsidRPr="00B34B72">
        <w:tab/>
      </w:r>
      <w:r w:rsidR="7275617B" w:rsidRPr="008431A9">
        <w:rPr>
          <w:noProof/>
        </w:rPr>
        <w:t>European standards (EN standards) developed by the European Committee for Standardisation (CEN) and international standards developed by the International Organization for Standardization (ISO) should be used for the accreditation of product certification bodies as well as by those bodies for their operations. The accreditation of those bodies should take place in accordance with Regulation (EC) No 765/2008 of the European Parliament and of the Council</w:t>
      </w:r>
      <w:r w:rsidR="00227B75" w:rsidRPr="008431A9">
        <w:rPr>
          <w:rStyle w:val="FootnoteReference"/>
          <w:rFonts w:eastAsiaTheme="minorEastAsia"/>
          <w:noProof/>
        </w:rPr>
        <w:footnoteReference w:id="19"/>
      </w:r>
      <w:r w:rsidR="7275617B" w:rsidRPr="008431A9">
        <w:rPr>
          <w:noProof/>
          <w:szCs w:val="24"/>
        </w:rPr>
        <w:t>.</w:t>
      </w:r>
      <w:r w:rsidR="7275617B" w:rsidRPr="008431A9">
        <w:rPr>
          <w:rFonts w:eastAsia="Times New Roman"/>
          <w:noProof/>
        </w:rPr>
        <w:t xml:space="preserve"> Natural persons should have the expertise, equipment and infrastructure required to perform those official control tasks delegated to them; should be suitably qualified and experienced, and act impartially and free from any conflict of interest as regards the exercise of those official control tasks delegated to them.</w:t>
      </w:r>
      <w:r w:rsidR="7275617B" w:rsidRPr="008431A9">
        <w:rPr>
          <w:noProof/>
          <w:szCs w:val="24"/>
        </w:rPr>
        <w:t xml:space="preserve"> </w:t>
      </w:r>
      <w:r w:rsidR="7275617B" w:rsidRPr="008431A9">
        <w:rPr>
          <w:noProof/>
        </w:rPr>
        <w:t>P</w:t>
      </w:r>
      <w:r w:rsidR="7275617B" w:rsidRPr="008431A9">
        <w:rPr>
          <w:rFonts w:eastAsia="Times New Roman"/>
          <w:noProof/>
        </w:rPr>
        <w:t xml:space="preserve">roduct certification bodies established outside the Union should demonstrate their compatibility with Union or internationally recognised standards based on a certificate issued by a body that is a signatory of a multilateral recognition agreement under the auspices of the International Accreditation Forum. </w:t>
      </w:r>
    </w:p>
    <w:p w:rsidR="00227B75" w:rsidRPr="008431A9" w:rsidRDefault="00B34B72" w:rsidP="00B34B72">
      <w:pPr>
        <w:pStyle w:val="ManualConsidrant"/>
        <w:rPr>
          <w:rFonts w:eastAsiaTheme="minorEastAsia"/>
          <w:noProof/>
        </w:rPr>
      </w:pPr>
      <w:r w:rsidRPr="00B34B72">
        <w:t>(52)</w:t>
      </w:r>
      <w:r w:rsidRPr="00B34B72">
        <w:tab/>
      </w:r>
      <w:r w:rsidR="00C86FD9" w:rsidRPr="008431A9">
        <w:rPr>
          <w:noProof/>
          <w:lang w:val="en-US"/>
        </w:rPr>
        <w:t xml:space="preserve">In order to strengthen geographical indication protection and to combat counterfeiting more effectively, the protection of geographical indications should apply to both, the offline and online environment including domain names on the internet. Intermediary services, in particular </w:t>
      </w:r>
      <w:r w:rsidR="00C86FD9" w:rsidRPr="008431A9">
        <w:rPr>
          <w:noProof/>
        </w:rPr>
        <w:t>o</w:t>
      </w:r>
      <w:r w:rsidR="56A13B72" w:rsidRPr="008431A9">
        <w:rPr>
          <w:noProof/>
        </w:rPr>
        <w:t>nline platforms have become increasingly used for the sale of products, including those designated by geographical indications</w:t>
      </w:r>
      <w:r w:rsidR="56A13B72" w:rsidRPr="008431A9">
        <w:rPr>
          <w:rFonts w:eastAsia="Times New Roman"/>
          <w:noProof/>
        </w:rPr>
        <w:t xml:space="preserve">, </w:t>
      </w:r>
      <w:r w:rsidR="03E7B0F6" w:rsidRPr="008431A9">
        <w:rPr>
          <w:rFonts w:eastAsia="Times New Roman"/>
          <w:noProof/>
          <w:sz w:val="22"/>
        </w:rPr>
        <w:t xml:space="preserve">and in some cases online platforms might represent an important space as regards preventing fraud. In this regard, </w:t>
      </w:r>
      <w:r w:rsidR="00C86FD9" w:rsidRPr="008431A9">
        <w:rPr>
          <w:noProof/>
          <w:lang w:val="en-US"/>
        </w:rPr>
        <w:t xml:space="preserve">information related to the advertising, promotion and sale of goods that contravenes the protection of geographical indications provided for in Article 35, </w:t>
      </w:r>
      <w:r w:rsidR="00C86FD9" w:rsidRPr="006634F0">
        <w:rPr>
          <w:noProof/>
          <w:lang w:val="en-US"/>
        </w:rPr>
        <w:t xml:space="preserve">should be considered illegal content within the meaning of Article 2 (g) of </w:t>
      </w:r>
      <w:r w:rsidR="0038783F" w:rsidRPr="006634F0">
        <w:rPr>
          <w:noProof/>
        </w:rPr>
        <w:t>Regulation (EU) No xxxx/2022</w:t>
      </w:r>
      <w:r w:rsidR="0062207C" w:rsidRPr="008431A9">
        <w:rPr>
          <w:rStyle w:val="FootnoteReference"/>
          <w:noProof/>
          <w:lang w:val="en-US"/>
        </w:rPr>
        <w:footnoteReference w:id="20"/>
      </w:r>
      <w:r w:rsidR="00C86FD9" w:rsidRPr="008431A9">
        <w:rPr>
          <w:noProof/>
          <w:lang w:val="en-US"/>
        </w:rPr>
        <w:t xml:space="preserve"> </w:t>
      </w:r>
      <w:r w:rsidR="00C86FD9" w:rsidRPr="008431A9">
        <w:rPr>
          <w:rFonts w:eastAsia="Times New Roman"/>
          <w:noProof/>
        </w:rPr>
        <w:t>of the European Parliament and of the Council</w:t>
      </w:r>
      <w:r w:rsidR="00C86FD9" w:rsidRPr="008431A9">
        <w:rPr>
          <w:noProof/>
          <w:lang w:val="en-US"/>
        </w:rPr>
        <w:t xml:space="preserve"> and be subject of obligations and measures under that Regulation. </w:t>
      </w:r>
    </w:p>
    <w:p w:rsidR="00227B75" w:rsidRPr="008431A9" w:rsidRDefault="00B34B72" w:rsidP="00B34B72">
      <w:pPr>
        <w:pStyle w:val="ManualConsidrant"/>
        <w:rPr>
          <w:noProof/>
        </w:rPr>
      </w:pPr>
      <w:r w:rsidRPr="00B34B72">
        <w:t>(53)</w:t>
      </w:r>
      <w:r w:rsidRPr="00B34B72">
        <w:tab/>
      </w:r>
      <w:r w:rsidR="100A121C" w:rsidRPr="008431A9">
        <w:rPr>
          <w:noProof/>
        </w:rPr>
        <w:t>Taking into account that a product designated by the geographical indication produced in one Member State might be sold in another Member State, administrative assistance between Member States should be ensured to allow effective controls and its practicalities should be laid down.</w:t>
      </w:r>
    </w:p>
    <w:p w:rsidR="00227B75" w:rsidRPr="008431A9" w:rsidRDefault="00B34B72" w:rsidP="00B34B72">
      <w:pPr>
        <w:pStyle w:val="ManualConsidrant"/>
        <w:rPr>
          <w:noProof/>
        </w:rPr>
      </w:pPr>
      <w:r w:rsidRPr="00B34B72">
        <w:t>(54)</w:t>
      </w:r>
      <w:r w:rsidRPr="00B34B72">
        <w:tab/>
      </w:r>
      <w:r w:rsidR="100A121C" w:rsidRPr="008431A9">
        <w:rPr>
          <w:noProof/>
        </w:rPr>
        <w:t xml:space="preserve">For the optimal functioning of the internal market, it is important that producers quickly and easily demonstrate in several contexts that they are authorised to use a protected name, such as at customs controls, market inspections or on demand by trade </w:t>
      </w:r>
      <w:r w:rsidR="100A121C" w:rsidRPr="008431A9">
        <w:rPr>
          <w:noProof/>
        </w:rPr>
        <w:lastRenderedPageBreak/>
        <w:t>operators. To this end, an official certificate, or other proof of certification, of entitlement to produce the product designated by the geographical indication should be put at the disposal of the producer.</w:t>
      </w:r>
    </w:p>
    <w:p w:rsidR="00227B75" w:rsidRPr="008431A9" w:rsidRDefault="00B34B72" w:rsidP="00B34B72">
      <w:pPr>
        <w:pStyle w:val="ManualConsidrant"/>
        <w:rPr>
          <w:noProof/>
        </w:rPr>
      </w:pPr>
      <w:r w:rsidRPr="00B34B72">
        <w:t>(55)</w:t>
      </w:r>
      <w:r w:rsidRPr="00B34B72">
        <w:tab/>
      </w:r>
      <w:r w:rsidR="100A121C" w:rsidRPr="008431A9">
        <w:rPr>
          <w:noProof/>
        </w:rPr>
        <w:t>The action of the Union following its accession to the Geneva Act is governed by Regulation (EU) 2019/1753 of the European Parliament and of the Council</w:t>
      </w:r>
      <w:r w:rsidR="00F62931" w:rsidRPr="008431A9">
        <w:rPr>
          <w:rStyle w:val="FootnoteReference"/>
          <w:noProof/>
        </w:rPr>
        <w:footnoteReference w:id="21"/>
      </w:r>
      <w:r w:rsidR="100A121C" w:rsidRPr="008431A9">
        <w:rPr>
          <w:noProof/>
        </w:rPr>
        <w:t xml:space="preserve">. </w:t>
      </w:r>
      <w:r w:rsidR="00F62931" w:rsidRPr="008431A9">
        <w:rPr>
          <w:noProof/>
        </w:rPr>
        <w:t xml:space="preserve">Certain provisions of that Regulation should be </w:t>
      </w:r>
      <w:r w:rsidR="100A121C" w:rsidRPr="008431A9">
        <w:rPr>
          <w:noProof/>
        </w:rPr>
        <w:t>amend</w:t>
      </w:r>
      <w:r w:rsidR="00F62931" w:rsidRPr="008431A9">
        <w:rPr>
          <w:noProof/>
        </w:rPr>
        <w:t>ed</w:t>
      </w:r>
      <w:r w:rsidR="100A121C" w:rsidRPr="008431A9">
        <w:rPr>
          <w:noProof/>
        </w:rPr>
        <w:t xml:space="preserve"> to ensure coherence with the introduction of geographical indication protection for craft and industrial products at the Union level, in accordance with this Regulation. In this context, the Office should play the role of the Union’s </w:t>
      </w:r>
      <w:r w:rsidR="00F62931" w:rsidRPr="008431A9">
        <w:rPr>
          <w:noProof/>
        </w:rPr>
        <w:t>c</w:t>
      </w:r>
      <w:r w:rsidR="100A121C" w:rsidRPr="008431A9">
        <w:rPr>
          <w:noProof/>
        </w:rPr>
        <w:t xml:space="preserve">ompetent </w:t>
      </w:r>
      <w:r w:rsidR="00F62931" w:rsidRPr="008431A9">
        <w:rPr>
          <w:noProof/>
        </w:rPr>
        <w:t>a</w:t>
      </w:r>
      <w:r w:rsidR="100A121C" w:rsidRPr="008431A9">
        <w:rPr>
          <w:noProof/>
        </w:rPr>
        <w:t>uthority in respect of geographical indications for craft and industrial products under the Geneva Act. Provisions of Regulation (EU) 2019/1753 applicable to geographical indications falling outside the scope of regulations on the EU’s protection schemes for agricultural geographical indications should be aligned with this Regulation.</w:t>
      </w:r>
    </w:p>
    <w:p w:rsidR="00227B75" w:rsidRPr="008431A9" w:rsidRDefault="00B34B72" w:rsidP="00B34B72">
      <w:pPr>
        <w:pStyle w:val="ManualConsidrant"/>
        <w:rPr>
          <w:noProof/>
        </w:rPr>
      </w:pPr>
      <w:r w:rsidRPr="00B34B72">
        <w:t>(56)</w:t>
      </w:r>
      <w:r w:rsidRPr="00B34B72">
        <w:tab/>
      </w:r>
      <w:r w:rsidR="100A121C" w:rsidRPr="008431A9">
        <w:rPr>
          <w:noProof/>
        </w:rPr>
        <w:t>Regulation (EU) 2017/1001 of the European Parliament and of the Council</w:t>
      </w:r>
      <w:r w:rsidR="00F62931" w:rsidRPr="008431A9">
        <w:rPr>
          <w:rStyle w:val="FootnoteReference"/>
          <w:noProof/>
        </w:rPr>
        <w:footnoteReference w:id="22"/>
      </w:r>
      <w:r w:rsidR="00F62931" w:rsidRPr="008431A9">
        <w:rPr>
          <w:noProof/>
        </w:rPr>
        <w:t xml:space="preserve"> should be amended</w:t>
      </w:r>
      <w:r w:rsidR="100A121C" w:rsidRPr="008431A9">
        <w:rPr>
          <w:noProof/>
        </w:rPr>
        <w:t xml:space="preserve">. Article 151 of </w:t>
      </w:r>
      <w:r w:rsidR="00F62931" w:rsidRPr="008431A9">
        <w:rPr>
          <w:noProof/>
        </w:rPr>
        <w:t xml:space="preserve">that </w:t>
      </w:r>
      <w:r w:rsidR="100A121C" w:rsidRPr="008431A9">
        <w:rPr>
          <w:noProof/>
        </w:rPr>
        <w:t xml:space="preserve">Regulation </w:t>
      </w:r>
      <w:r w:rsidR="00F62931" w:rsidRPr="008431A9">
        <w:rPr>
          <w:noProof/>
        </w:rPr>
        <w:t>sets out</w:t>
      </w:r>
      <w:r w:rsidR="100A121C" w:rsidRPr="008431A9">
        <w:rPr>
          <w:noProof/>
          <w:u w:val="single"/>
        </w:rPr>
        <w:t xml:space="preserve"> </w:t>
      </w:r>
      <w:r w:rsidR="100A121C" w:rsidRPr="008431A9">
        <w:rPr>
          <w:noProof/>
        </w:rPr>
        <w:t xml:space="preserve">the tasks of the Office. The </w:t>
      </w:r>
      <w:r w:rsidR="100A121C" w:rsidRPr="008431A9">
        <w:rPr>
          <w:noProof/>
          <w:lang w:val="en-US"/>
        </w:rPr>
        <w:t xml:space="preserve">administration and promotion of geographical indications, in particular the tasks conferred on the Office under this Regulation should be added to </w:t>
      </w:r>
      <w:r w:rsidR="00317F20" w:rsidRPr="008431A9">
        <w:rPr>
          <w:noProof/>
          <w:lang w:val="en-US"/>
        </w:rPr>
        <w:t>Article 151 of that Regulation</w:t>
      </w:r>
      <w:r w:rsidR="100A121C" w:rsidRPr="008431A9">
        <w:rPr>
          <w:noProof/>
          <w:lang w:val="en-US"/>
        </w:rPr>
        <w:t>. In addition, in order to ensure coherence with this Regulation, a provision on the establishment of a domain name information and alert system for EU trade marks should also be inserted in</w:t>
      </w:r>
      <w:r w:rsidR="100A121C" w:rsidRPr="008431A9">
        <w:rPr>
          <w:noProof/>
        </w:rPr>
        <w:t xml:space="preserve"> </w:t>
      </w:r>
      <w:r w:rsidR="00317F20" w:rsidRPr="008431A9">
        <w:rPr>
          <w:noProof/>
        </w:rPr>
        <w:t xml:space="preserve">that </w:t>
      </w:r>
      <w:r w:rsidR="100A121C" w:rsidRPr="008431A9">
        <w:rPr>
          <w:noProof/>
        </w:rPr>
        <w:t>Regulation</w:t>
      </w:r>
      <w:r w:rsidR="100A121C" w:rsidRPr="008431A9">
        <w:rPr>
          <w:noProof/>
          <w:lang w:val="en-US"/>
        </w:rPr>
        <w:t>.</w:t>
      </w:r>
    </w:p>
    <w:p w:rsidR="000C01A5" w:rsidRPr="008431A9" w:rsidRDefault="00B34B72" w:rsidP="00B34B72">
      <w:pPr>
        <w:pStyle w:val="ManualConsidrant"/>
        <w:rPr>
          <w:noProof/>
        </w:rPr>
      </w:pPr>
      <w:r w:rsidRPr="00B34B72">
        <w:t>(57)</w:t>
      </w:r>
      <w:r w:rsidRPr="00B34B72">
        <w:tab/>
      </w:r>
      <w:r w:rsidR="008E73A1" w:rsidRPr="008431A9">
        <w:rPr>
          <w:noProof/>
        </w:rPr>
        <w:t xml:space="preserve">For the tasks conferred on the Office under this Regulation, the languages of the Office should be all the official languages of the Union. </w:t>
      </w:r>
      <w:r w:rsidR="315053FD" w:rsidRPr="008431A9">
        <w:rPr>
          <w:noProof/>
        </w:rPr>
        <w:t>The Office may accept verified translations into one of the official languages of the Union of documents and information with respect to applications for registration, amendment for product specification and cancellation procedures</w:t>
      </w:r>
      <w:r w:rsidR="006A79AD" w:rsidRPr="008431A9">
        <w:rPr>
          <w:noProof/>
        </w:rPr>
        <w:t xml:space="preserve"> </w:t>
      </w:r>
      <w:r w:rsidR="315053FD" w:rsidRPr="008431A9">
        <w:rPr>
          <w:noProof/>
        </w:rPr>
        <w:t>submitted from third countries</w:t>
      </w:r>
      <w:r w:rsidR="009A01B8" w:rsidRPr="008431A9">
        <w:rPr>
          <w:noProof/>
        </w:rPr>
        <w:t>.</w:t>
      </w:r>
      <w:r w:rsidR="315053FD" w:rsidRPr="008431A9">
        <w:rPr>
          <w:noProof/>
        </w:rPr>
        <w:t xml:space="preserve"> </w:t>
      </w:r>
      <w:r w:rsidR="009A01B8" w:rsidRPr="008431A9">
        <w:rPr>
          <w:noProof/>
        </w:rPr>
        <w:t>T</w:t>
      </w:r>
      <w:r w:rsidR="315053FD" w:rsidRPr="008431A9">
        <w:rPr>
          <w:noProof/>
        </w:rPr>
        <w:t xml:space="preserve">he Office may, if appropriate, use verified machine translations. </w:t>
      </w:r>
    </w:p>
    <w:p w:rsidR="004C5EC9" w:rsidRPr="008431A9" w:rsidRDefault="00B34B72" w:rsidP="00B34B72">
      <w:pPr>
        <w:pStyle w:val="ManualConsidrant"/>
        <w:rPr>
          <w:noProof/>
        </w:rPr>
      </w:pPr>
      <w:r w:rsidRPr="00B34B72">
        <w:t>(58)</w:t>
      </w:r>
      <w:r w:rsidRPr="00B34B72">
        <w:tab/>
      </w:r>
      <w:r w:rsidR="18E0160C" w:rsidRPr="008431A9">
        <w:rPr>
          <w:noProof/>
        </w:rPr>
        <w:t xml:space="preserve">The digital system </w:t>
      </w:r>
      <w:r w:rsidR="181DE695" w:rsidRPr="008431A9">
        <w:rPr>
          <w:noProof/>
        </w:rPr>
        <w:t xml:space="preserve">should include a front and back office and </w:t>
      </w:r>
      <w:r w:rsidR="51075725" w:rsidRPr="008431A9">
        <w:rPr>
          <w:noProof/>
        </w:rPr>
        <w:t xml:space="preserve">allow for smooth connection, </w:t>
      </w:r>
      <w:r w:rsidR="18E0160C" w:rsidRPr="008431A9">
        <w:rPr>
          <w:noProof/>
        </w:rPr>
        <w:t xml:space="preserve">interface </w:t>
      </w:r>
      <w:r w:rsidR="70C8C303" w:rsidRPr="008431A9">
        <w:rPr>
          <w:noProof/>
        </w:rPr>
        <w:t xml:space="preserve">with </w:t>
      </w:r>
      <w:r w:rsidR="181DE695" w:rsidRPr="008431A9">
        <w:rPr>
          <w:noProof/>
        </w:rPr>
        <w:t xml:space="preserve">and integration </w:t>
      </w:r>
      <w:r w:rsidR="70C8C303" w:rsidRPr="008431A9">
        <w:rPr>
          <w:noProof/>
        </w:rPr>
        <w:t>to</w:t>
      </w:r>
      <w:r w:rsidR="18E0160C" w:rsidRPr="008431A9">
        <w:rPr>
          <w:noProof/>
        </w:rPr>
        <w:t xml:space="preserve"> </w:t>
      </w:r>
      <w:r w:rsidR="181DE695" w:rsidRPr="008431A9">
        <w:rPr>
          <w:noProof/>
        </w:rPr>
        <w:t xml:space="preserve">IT systems of </w:t>
      </w:r>
      <w:r w:rsidR="18E0160C" w:rsidRPr="008431A9">
        <w:rPr>
          <w:noProof/>
        </w:rPr>
        <w:t>national authorities</w:t>
      </w:r>
      <w:r w:rsidR="181DE695" w:rsidRPr="008431A9">
        <w:rPr>
          <w:noProof/>
        </w:rPr>
        <w:t>, the Union GI register of geographical indications</w:t>
      </w:r>
      <w:r w:rsidR="2A5ABE86" w:rsidRPr="008431A9">
        <w:rPr>
          <w:noProof/>
        </w:rPr>
        <w:t xml:space="preserve"> for craft and industrial products</w:t>
      </w:r>
      <w:r w:rsidR="181DE695" w:rsidRPr="008431A9">
        <w:rPr>
          <w:noProof/>
        </w:rPr>
        <w:t xml:space="preserve"> </w:t>
      </w:r>
      <w:r w:rsidR="18E0160C" w:rsidRPr="008431A9">
        <w:rPr>
          <w:noProof/>
        </w:rPr>
        <w:t xml:space="preserve">and </w:t>
      </w:r>
      <w:r w:rsidR="181DE695" w:rsidRPr="008431A9">
        <w:rPr>
          <w:noProof/>
        </w:rPr>
        <w:t>the IT system of the World Intellectual Property Office</w:t>
      </w:r>
      <w:r w:rsidR="2A5ABE86" w:rsidRPr="008431A9">
        <w:rPr>
          <w:noProof/>
        </w:rPr>
        <w:t xml:space="preserve"> for the </w:t>
      </w:r>
      <w:r w:rsidR="3381C67D" w:rsidRPr="008431A9">
        <w:rPr>
          <w:noProof/>
        </w:rPr>
        <w:t xml:space="preserve">protection through the Geneva Act of the </w:t>
      </w:r>
      <w:r w:rsidR="2A5ABE86" w:rsidRPr="008431A9">
        <w:rPr>
          <w:noProof/>
        </w:rPr>
        <w:t xml:space="preserve">Lisbon </w:t>
      </w:r>
      <w:r w:rsidR="3381C67D" w:rsidRPr="008431A9">
        <w:rPr>
          <w:noProof/>
        </w:rPr>
        <w:t>Agreement</w:t>
      </w:r>
      <w:r w:rsidR="18E0160C" w:rsidRPr="008431A9">
        <w:rPr>
          <w:noProof/>
        </w:rPr>
        <w:t>.</w:t>
      </w:r>
      <w:r w:rsidR="181DE695" w:rsidRPr="008431A9">
        <w:rPr>
          <w:noProof/>
        </w:rPr>
        <w:t xml:space="preserve"> </w:t>
      </w:r>
      <w:r w:rsidR="2A5ABE86" w:rsidRPr="008431A9">
        <w:rPr>
          <w:noProof/>
        </w:rPr>
        <w:t xml:space="preserve">The Union register of geographical indications </w:t>
      </w:r>
      <w:r w:rsidR="00142AC6" w:rsidRPr="008431A9">
        <w:rPr>
          <w:noProof/>
        </w:rPr>
        <w:t xml:space="preserve">designed by the Office </w:t>
      </w:r>
      <w:r w:rsidR="0A264053" w:rsidRPr="008431A9">
        <w:rPr>
          <w:noProof/>
        </w:rPr>
        <w:t xml:space="preserve">for craft and industrial products should be similar in </w:t>
      </w:r>
      <w:r w:rsidR="00161E63" w:rsidRPr="008431A9">
        <w:rPr>
          <w:noProof/>
        </w:rPr>
        <w:t>appearance</w:t>
      </w:r>
      <w:r w:rsidR="0A264053" w:rsidRPr="008431A9">
        <w:rPr>
          <w:noProof/>
        </w:rPr>
        <w:t xml:space="preserve"> </w:t>
      </w:r>
      <w:r w:rsidR="00161E63" w:rsidRPr="008431A9">
        <w:rPr>
          <w:noProof/>
        </w:rPr>
        <w:t xml:space="preserve">and have </w:t>
      </w:r>
      <w:r w:rsidR="006A2620" w:rsidRPr="008431A9">
        <w:rPr>
          <w:noProof/>
        </w:rPr>
        <w:t xml:space="preserve">at least those </w:t>
      </w:r>
      <w:r w:rsidR="00161E63" w:rsidRPr="008431A9">
        <w:rPr>
          <w:noProof/>
        </w:rPr>
        <w:t xml:space="preserve">functionalities </w:t>
      </w:r>
      <w:r w:rsidR="0A264053" w:rsidRPr="008431A9">
        <w:rPr>
          <w:noProof/>
        </w:rPr>
        <w:t xml:space="preserve">to the </w:t>
      </w:r>
      <w:r w:rsidR="0089103A" w:rsidRPr="008431A9">
        <w:rPr>
          <w:noProof/>
        </w:rPr>
        <w:t>R</w:t>
      </w:r>
      <w:r w:rsidR="0A264053" w:rsidRPr="008431A9">
        <w:rPr>
          <w:noProof/>
        </w:rPr>
        <w:t xml:space="preserve">egister of geographical indications for wines, foodstuff and agricultural products. </w:t>
      </w:r>
    </w:p>
    <w:p w:rsidR="00F536D6" w:rsidRPr="008431A9" w:rsidRDefault="00B34B72" w:rsidP="00B34B72">
      <w:pPr>
        <w:pStyle w:val="ManualConsidrant"/>
        <w:rPr>
          <w:rFonts w:eastAsiaTheme="minorEastAsia"/>
          <w:noProof/>
        </w:rPr>
      </w:pPr>
      <w:r w:rsidRPr="00B34B72">
        <w:t>(59)</w:t>
      </w:r>
      <w:r w:rsidRPr="00B34B72">
        <w:tab/>
      </w:r>
      <w:r w:rsidR="100A121C" w:rsidRPr="008431A9">
        <w:rPr>
          <w:noProof/>
        </w:rPr>
        <w:t>In order to ensure uniform conditions for the implementation of this Regulation, implementing powers should be conferred on the Commission as regards</w:t>
      </w:r>
      <w:r w:rsidR="00317F20" w:rsidRPr="008431A9">
        <w:rPr>
          <w:noProof/>
        </w:rPr>
        <w:t>:</w:t>
      </w:r>
      <w:r w:rsidR="100A121C" w:rsidRPr="008431A9">
        <w:rPr>
          <w:noProof/>
          <w:szCs w:val="24"/>
        </w:rPr>
        <w:t xml:space="preserve"> </w:t>
      </w:r>
      <w:r w:rsidR="00317F20" w:rsidRPr="008431A9">
        <w:rPr>
          <w:noProof/>
          <w:szCs w:val="24"/>
        </w:rPr>
        <w:t xml:space="preserve">(i) </w:t>
      </w:r>
      <w:r w:rsidR="100A121C" w:rsidRPr="008431A9">
        <w:rPr>
          <w:noProof/>
        </w:rPr>
        <w:t>laying down rules which limit the information contained in the product specification, where such a limitation is necessary to avoid excessively voluminous applications for registration;</w:t>
      </w:r>
      <w:r w:rsidR="100A121C" w:rsidRPr="008431A9">
        <w:rPr>
          <w:noProof/>
          <w:szCs w:val="24"/>
        </w:rPr>
        <w:t xml:space="preserve"> </w:t>
      </w:r>
      <w:r w:rsidR="00317F20" w:rsidRPr="008431A9">
        <w:rPr>
          <w:noProof/>
          <w:szCs w:val="24"/>
        </w:rPr>
        <w:t xml:space="preserve">(ii) </w:t>
      </w:r>
      <w:r w:rsidR="100A121C" w:rsidRPr="008431A9">
        <w:rPr>
          <w:noProof/>
        </w:rPr>
        <w:t>laying down rules on the form of the product specification;</w:t>
      </w:r>
      <w:r w:rsidR="100A121C" w:rsidRPr="008431A9">
        <w:rPr>
          <w:noProof/>
          <w:szCs w:val="24"/>
        </w:rPr>
        <w:t xml:space="preserve"> </w:t>
      </w:r>
      <w:r w:rsidR="00317F20" w:rsidRPr="008431A9">
        <w:rPr>
          <w:noProof/>
          <w:szCs w:val="24"/>
        </w:rPr>
        <w:t xml:space="preserve">(iii) </w:t>
      </w:r>
      <w:r w:rsidR="00317F20" w:rsidRPr="008431A9">
        <w:rPr>
          <w:noProof/>
        </w:rPr>
        <w:t xml:space="preserve">specifying </w:t>
      </w:r>
      <w:r w:rsidR="100A121C" w:rsidRPr="008431A9">
        <w:rPr>
          <w:noProof/>
        </w:rPr>
        <w:t xml:space="preserve">the format and online presentation of the </w:t>
      </w:r>
      <w:r w:rsidR="00317F20" w:rsidRPr="008431A9">
        <w:rPr>
          <w:noProof/>
        </w:rPr>
        <w:t xml:space="preserve">relevant </w:t>
      </w:r>
      <w:r w:rsidR="0089103A" w:rsidRPr="008431A9">
        <w:rPr>
          <w:noProof/>
        </w:rPr>
        <w:t>single document;</w:t>
      </w:r>
      <w:r w:rsidR="100A121C" w:rsidRPr="008431A9">
        <w:rPr>
          <w:noProof/>
        </w:rPr>
        <w:t xml:space="preserve"> </w:t>
      </w:r>
      <w:r w:rsidR="00317F20" w:rsidRPr="008431A9">
        <w:rPr>
          <w:noProof/>
        </w:rPr>
        <w:t xml:space="preserve">(iv) specifying </w:t>
      </w:r>
      <w:r w:rsidR="100A121C" w:rsidRPr="008431A9">
        <w:rPr>
          <w:noProof/>
        </w:rPr>
        <w:t xml:space="preserve">the format and online presentation of the accompanying documentation; </w:t>
      </w:r>
      <w:r w:rsidR="00317F20" w:rsidRPr="008431A9">
        <w:rPr>
          <w:noProof/>
        </w:rPr>
        <w:t xml:space="preserve">(v) </w:t>
      </w:r>
      <w:r w:rsidR="004A4570" w:rsidRPr="008431A9">
        <w:rPr>
          <w:noProof/>
        </w:rPr>
        <w:t xml:space="preserve">determining the amounts of the fees and the ways in which they are to be paid; </w:t>
      </w:r>
      <w:r w:rsidR="00317F20" w:rsidRPr="008431A9">
        <w:rPr>
          <w:noProof/>
        </w:rPr>
        <w:t>(vi) specifying</w:t>
      </w:r>
      <w:r w:rsidR="004A4570" w:rsidRPr="008431A9">
        <w:rPr>
          <w:noProof/>
        </w:rPr>
        <w:t xml:space="preserve"> further details on the criteria to lodge direct applications and on the </w:t>
      </w:r>
      <w:r w:rsidR="004A4570" w:rsidRPr="008431A9">
        <w:rPr>
          <w:noProof/>
        </w:rPr>
        <w:lastRenderedPageBreak/>
        <w:t xml:space="preserve">procedures for the preparation and submission of the direct applications; </w:t>
      </w:r>
      <w:r w:rsidR="00317F20" w:rsidRPr="008431A9">
        <w:rPr>
          <w:noProof/>
        </w:rPr>
        <w:t xml:space="preserve">(vii) specifying the </w:t>
      </w:r>
      <w:r w:rsidR="100A121C" w:rsidRPr="008431A9">
        <w:rPr>
          <w:noProof/>
        </w:rPr>
        <w:t>procedures, and criteria for preparation and submission of the applications, a</w:t>
      </w:r>
      <w:r w:rsidR="24114FF7" w:rsidRPr="008431A9">
        <w:rPr>
          <w:noProof/>
        </w:rPr>
        <w:t>nd their form and presentation,</w:t>
      </w:r>
      <w:r w:rsidR="100A121C" w:rsidRPr="008431A9">
        <w:rPr>
          <w:rFonts w:eastAsia="Times New Roman"/>
          <w:noProof/>
        </w:rPr>
        <w:t xml:space="preserve"> in order to facilitate the application process, including for applications concerning more than one national territory</w:t>
      </w:r>
      <w:r w:rsidR="100A121C" w:rsidRPr="008431A9">
        <w:rPr>
          <w:noProof/>
          <w:szCs w:val="24"/>
        </w:rPr>
        <w:t xml:space="preserve">; </w:t>
      </w:r>
      <w:r w:rsidR="00317F20" w:rsidRPr="008431A9">
        <w:rPr>
          <w:noProof/>
          <w:szCs w:val="24"/>
        </w:rPr>
        <w:t xml:space="preserve">(viii) </w:t>
      </w:r>
      <w:r w:rsidR="100A121C" w:rsidRPr="008431A9">
        <w:rPr>
          <w:noProof/>
        </w:rPr>
        <w:t>laying down the necessary rules to provide for the submission of official comments by national authorities and persons with a legitimate interest in order to facilitate the official submission of comments and to improve management of the opposition process</w:t>
      </w:r>
      <w:r w:rsidR="100A121C" w:rsidRPr="008431A9">
        <w:rPr>
          <w:noProof/>
          <w:szCs w:val="24"/>
        </w:rPr>
        <w:t xml:space="preserve">; </w:t>
      </w:r>
      <w:r w:rsidR="00317F20" w:rsidRPr="008431A9">
        <w:rPr>
          <w:noProof/>
        </w:rPr>
        <w:t xml:space="preserve">(ix) specifying </w:t>
      </w:r>
      <w:r w:rsidR="100A121C" w:rsidRPr="008431A9">
        <w:rPr>
          <w:noProof/>
        </w:rPr>
        <w:t xml:space="preserve">the format and online presentation of oppositions and any comments procedure; </w:t>
      </w:r>
      <w:r w:rsidR="00317F20" w:rsidRPr="008431A9">
        <w:rPr>
          <w:noProof/>
        </w:rPr>
        <w:t xml:space="preserve">(x) specifying rules on </w:t>
      </w:r>
      <w:r w:rsidR="004A4570" w:rsidRPr="008431A9">
        <w:rPr>
          <w:noProof/>
        </w:rPr>
        <w:t xml:space="preserve">the protection of the geographical indication; </w:t>
      </w:r>
      <w:r w:rsidR="00317F20" w:rsidRPr="008431A9">
        <w:rPr>
          <w:noProof/>
        </w:rPr>
        <w:t xml:space="preserve">(xi) </w:t>
      </w:r>
      <w:r w:rsidR="100A121C" w:rsidRPr="008431A9">
        <w:rPr>
          <w:noProof/>
        </w:rPr>
        <w:t xml:space="preserve">deciding on the protection of geographical indications pertaining to products of third countries that are protected in the Union under an international agreement to which the Union is a contracting party; </w:t>
      </w:r>
      <w:r w:rsidR="00317F20" w:rsidRPr="008431A9">
        <w:rPr>
          <w:noProof/>
        </w:rPr>
        <w:t xml:space="preserve">(xii) </w:t>
      </w:r>
      <w:r w:rsidR="00B64746" w:rsidRPr="008431A9">
        <w:rPr>
          <w:noProof/>
        </w:rPr>
        <w:t>specifying</w:t>
      </w:r>
      <w:r w:rsidR="004A4570" w:rsidRPr="008431A9">
        <w:rPr>
          <w:noProof/>
        </w:rPr>
        <w:t xml:space="preserve"> the content and presentation of the Union register of geographical indications; </w:t>
      </w:r>
      <w:r w:rsidR="00317F20" w:rsidRPr="008431A9">
        <w:rPr>
          <w:noProof/>
        </w:rPr>
        <w:t xml:space="preserve">(xiii) specifying </w:t>
      </w:r>
      <w:r w:rsidR="100A121C" w:rsidRPr="008431A9">
        <w:rPr>
          <w:noProof/>
        </w:rPr>
        <w:t xml:space="preserve">the format and online presentation of extracts from the </w:t>
      </w:r>
      <w:r w:rsidR="004A4570" w:rsidRPr="008431A9">
        <w:rPr>
          <w:noProof/>
        </w:rPr>
        <w:t>Union register of geographical indications</w:t>
      </w:r>
      <w:r w:rsidR="005F6945" w:rsidRPr="008431A9">
        <w:rPr>
          <w:noProof/>
        </w:rPr>
        <w:t xml:space="preserve"> for craft and industrial products</w:t>
      </w:r>
      <w:r w:rsidR="100A121C" w:rsidRPr="008431A9">
        <w:rPr>
          <w:noProof/>
        </w:rPr>
        <w:t xml:space="preserve">; </w:t>
      </w:r>
      <w:r w:rsidR="00317F20" w:rsidRPr="008431A9">
        <w:rPr>
          <w:noProof/>
        </w:rPr>
        <w:t xml:space="preserve">(xiv) </w:t>
      </w:r>
      <w:r w:rsidR="100A121C" w:rsidRPr="008431A9">
        <w:rPr>
          <w:noProof/>
        </w:rPr>
        <w:t>laying down detailed rules on procedures, form and presentation of an amendment application for Union amendment and on procedures, form and communication of standard amendments to the Office;</w:t>
      </w:r>
      <w:r w:rsidR="100A121C" w:rsidRPr="008431A9">
        <w:rPr>
          <w:noProof/>
          <w:szCs w:val="24"/>
        </w:rPr>
        <w:t xml:space="preserve"> </w:t>
      </w:r>
      <w:r w:rsidR="00317F20" w:rsidRPr="008431A9">
        <w:rPr>
          <w:noProof/>
        </w:rPr>
        <w:t>(xv)</w:t>
      </w:r>
      <w:r w:rsidR="100A121C" w:rsidRPr="008431A9">
        <w:rPr>
          <w:noProof/>
        </w:rPr>
        <w:t xml:space="preserve"> </w:t>
      </w:r>
      <w:r w:rsidR="004A4570" w:rsidRPr="008431A9">
        <w:rPr>
          <w:noProof/>
        </w:rPr>
        <w:t xml:space="preserve">laying down detailed rules on procedures and form of the cancellation process, as well as on the presentation of the requests; </w:t>
      </w:r>
      <w:r w:rsidR="00317F20" w:rsidRPr="008431A9">
        <w:rPr>
          <w:noProof/>
        </w:rPr>
        <w:t xml:space="preserve">(xvi) setting out </w:t>
      </w:r>
      <w:r w:rsidR="100A121C" w:rsidRPr="008431A9">
        <w:rPr>
          <w:noProof/>
        </w:rPr>
        <w:t>the technical characteristics of the Union symbol and indications as well as the rules of their use on the products marketed under a registered geographical indication, including rules concerning the appropriate linguistic versions to be used;</w:t>
      </w:r>
      <w:r w:rsidR="0089103A" w:rsidRPr="008431A9">
        <w:rPr>
          <w:noProof/>
        </w:rPr>
        <w:t xml:space="preserve"> </w:t>
      </w:r>
      <w:r w:rsidR="00317F20" w:rsidRPr="008431A9">
        <w:rPr>
          <w:noProof/>
        </w:rPr>
        <w:t>(xvii)</w:t>
      </w:r>
      <w:r w:rsidR="100A121C" w:rsidRPr="008431A9">
        <w:rPr>
          <w:noProof/>
        </w:rPr>
        <w:t xml:space="preserve"> </w:t>
      </w:r>
      <w:r w:rsidR="004A4570" w:rsidRPr="008431A9">
        <w:rPr>
          <w:noProof/>
        </w:rPr>
        <w:t>specifying</w:t>
      </w:r>
      <w:r w:rsidR="004A4570" w:rsidRPr="008431A9" w:rsidDel="004A4570">
        <w:rPr>
          <w:noProof/>
        </w:rPr>
        <w:t xml:space="preserve"> </w:t>
      </w:r>
      <w:r w:rsidR="100A121C" w:rsidRPr="008431A9">
        <w:rPr>
          <w:noProof/>
        </w:rPr>
        <w:t>the nature and the type of the information to be exchanged and the methods for exchanging information under mutual assistance</w:t>
      </w:r>
      <w:r w:rsidR="100A121C" w:rsidRPr="008431A9">
        <w:rPr>
          <w:noProof/>
          <w:szCs w:val="24"/>
        </w:rPr>
        <w:t xml:space="preserve">. </w:t>
      </w:r>
      <w:r w:rsidR="100A121C" w:rsidRPr="008431A9">
        <w:rPr>
          <w:noProof/>
        </w:rPr>
        <w:t xml:space="preserve">Those powers should be exercised in accordance with </w:t>
      </w:r>
      <w:r w:rsidR="100A121C" w:rsidRPr="008431A9">
        <w:rPr>
          <w:rFonts w:eastAsia="Times New Roman"/>
          <w:noProof/>
        </w:rPr>
        <w:t>Regulation (EU) No 182/2011 of the European Parliament and of the Council</w:t>
      </w:r>
      <w:r w:rsidR="00227B75" w:rsidRPr="008431A9">
        <w:rPr>
          <w:rStyle w:val="FootnoteReference"/>
          <w:noProof/>
        </w:rPr>
        <w:footnoteReference w:id="23"/>
      </w:r>
      <w:r w:rsidR="100A121C" w:rsidRPr="008431A9">
        <w:rPr>
          <w:noProof/>
          <w:szCs w:val="24"/>
        </w:rPr>
        <w:t xml:space="preserve">. </w:t>
      </w:r>
    </w:p>
    <w:p w:rsidR="002F6578" w:rsidRPr="008431A9" w:rsidRDefault="00B34B72" w:rsidP="00B34B72">
      <w:pPr>
        <w:pStyle w:val="ManualConsidrant"/>
        <w:rPr>
          <w:rFonts w:eastAsiaTheme="minorEastAsia"/>
          <w:noProof/>
        </w:rPr>
      </w:pPr>
      <w:r w:rsidRPr="00B34B72">
        <w:t>(60)</w:t>
      </w:r>
      <w:r w:rsidRPr="00B34B72">
        <w:tab/>
      </w:r>
      <w:r w:rsidR="100A121C" w:rsidRPr="008431A9">
        <w:rPr>
          <w:noProof/>
        </w:rPr>
        <w:t>In order to amend or supplement certain non-essential elements of this Regulation, the power to adopt acts in accordance with Article 290 of the T</w:t>
      </w:r>
      <w:r w:rsidR="00317F20" w:rsidRPr="008431A9">
        <w:rPr>
          <w:noProof/>
        </w:rPr>
        <w:t xml:space="preserve">reaty on the </w:t>
      </w:r>
      <w:r w:rsidR="100A121C" w:rsidRPr="008431A9">
        <w:rPr>
          <w:noProof/>
        </w:rPr>
        <w:t>F</w:t>
      </w:r>
      <w:r w:rsidR="00317F20" w:rsidRPr="008431A9">
        <w:rPr>
          <w:noProof/>
        </w:rPr>
        <w:t xml:space="preserve">unctioning of the </w:t>
      </w:r>
      <w:r w:rsidR="100A121C" w:rsidRPr="008431A9">
        <w:rPr>
          <w:noProof/>
        </w:rPr>
        <w:t>E</w:t>
      </w:r>
      <w:r w:rsidR="00317F20" w:rsidRPr="008431A9">
        <w:rPr>
          <w:noProof/>
        </w:rPr>
        <w:t xml:space="preserve">uropean </w:t>
      </w:r>
      <w:r w:rsidR="100A121C" w:rsidRPr="008431A9">
        <w:rPr>
          <w:noProof/>
        </w:rPr>
        <w:t>U</w:t>
      </w:r>
      <w:r w:rsidR="00317F20" w:rsidRPr="008431A9">
        <w:rPr>
          <w:noProof/>
        </w:rPr>
        <w:t>nion</w:t>
      </w:r>
      <w:r w:rsidR="100A121C" w:rsidRPr="008431A9">
        <w:rPr>
          <w:noProof/>
        </w:rPr>
        <w:t xml:space="preserve"> should be delegated to the Commission in respect of </w:t>
      </w:r>
      <w:r w:rsidR="006A79AD" w:rsidRPr="008431A9">
        <w:rPr>
          <w:noProof/>
          <w:szCs w:val="24"/>
        </w:rPr>
        <w:t xml:space="preserve">the requirements or listing additional items of the accompanying documentation, defining procedures and conditions applicable to the preparation and submission of Union applications for registration, rules on entrusting </w:t>
      </w:r>
      <w:r w:rsidR="000226C2" w:rsidRPr="008431A9">
        <w:rPr>
          <w:noProof/>
          <w:szCs w:val="24"/>
        </w:rPr>
        <w:t>the Office</w:t>
      </w:r>
      <w:r w:rsidR="006A79AD" w:rsidRPr="008431A9">
        <w:rPr>
          <w:noProof/>
          <w:szCs w:val="24"/>
        </w:rPr>
        <w:t xml:space="preserve"> to operate the Union register of geographical indications</w:t>
      </w:r>
      <w:r w:rsidR="005F6945" w:rsidRPr="008431A9">
        <w:rPr>
          <w:noProof/>
          <w:szCs w:val="24"/>
        </w:rPr>
        <w:t xml:space="preserve"> for craft and industrial products</w:t>
      </w:r>
      <w:r w:rsidR="496B0511" w:rsidRPr="008431A9">
        <w:rPr>
          <w:noProof/>
        </w:rPr>
        <w:t>;</w:t>
      </w:r>
      <w:r w:rsidR="51AED550" w:rsidRPr="008431A9">
        <w:rPr>
          <w:noProof/>
        </w:rPr>
        <w:t xml:space="preserve"> </w:t>
      </w:r>
      <w:r w:rsidR="31F57F03" w:rsidRPr="008431A9">
        <w:rPr>
          <w:noProof/>
        </w:rPr>
        <w:t>the formal content of the notice of appea</w:t>
      </w:r>
      <w:r w:rsidR="00D7D1DF" w:rsidRPr="008431A9">
        <w:rPr>
          <w:noProof/>
        </w:rPr>
        <w:t>l,</w:t>
      </w:r>
      <w:r w:rsidR="31F57F03" w:rsidRPr="008431A9">
        <w:rPr>
          <w:noProof/>
        </w:rPr>
        <w:t xml:space="preserve"> the procedure for the filing and the examination of an appeal a</w:t>
      </w:r>
      <w:r w:rsidR="1B83CC7A" w:rsidRPr="008431A9">
        <w:rPr>
          <w:noProof/>
        </w:rPr>
        <w:t xml:space="preserve">s well as </w:t>
      </w:r>
      <w:r w:rsidR="1B83CC7A" w:rsidRPr="008431A9">
        <w:rPr>
          <w:noProof/>
          <w:color w:val="000000" w:themeColor="text1"/>
        </w:rPr>
        <w:t xml:space="preserve">the </w:t>
      </w:r>
      <w:r w:rsidR="13B4D05A" w:rsidRPr="008431A9">
        <w:rPr>
          <w:rFonts w:eastAsia="Times New Roman"/>
          <w:noProof/>
          <w:color w:val="000000" w:themeColor="text1"/>
        </w:rPr>
        <w:t>formal content and the form of the Board of Appeal’s decisions</w:t>
      </w:r>
      <w:r w:rsidR="34BBBDB6" w:rsidRPr="008431A9">
        <w:rPr>
          <w:noProof/>
          <w:color w:val="000000" w:themeColor="text1"/>
        </w:rPr>
        <w:t xml:space="preserve">; </w:t>
      </w:r>
      <w:r w:rsidR="100A121C" w:rsidRPr="008431A9">
        <w:rPr>
          <w:noProof/>
        </w:rPr>
        <w:t xml:space="preserve">the information and requirements of the self-declaration </w:t>
      </w:r>
      <w:r w:rsidR="006A79AD" w:rsidRPr="008431A9">
        <w:rPr>
          <w:noProof/>
        </w:rPr>
        <w:t>and the technical assistance of the Office</w:t>
      </w:r>
      <w:r w:rsidR="100A121C" w:rsidRPr="008431A9">
        <w:rPr>
          <w:noProof/>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w:t>
      </w:r>
      <w:r w:rsidR="00E204C0" w:rsidRPr="008431A9">
        <w:rPr>
          <w:noProof/>
        </w:rPr>
        <w:t xml:space="preserve">of 13 April 2016 </w:t>
      </w:r>
      <w:r w:rsidR="100A121C" w:rsidRPr="008431A9">
        <w:rPr>
          <w:noProof/>
        </w:rPr>
        <w:t>on Better Law-Making</w:t>
      </w:r>
      <w:r w:rsidR="00051858" w:rsidRPr="008431A9">
        <w:rPr>
          <w:rStyle w:val="FootnoteReference"/>
          <w:noProof/>
        </w:rPr>
        <w:footnoteReference w:id="24"/>
      </w:r>
      <w:r w:rsidR="100A121C" w:rsidRPr="008431A9">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CE6360" w:rsidRPr="008431A9" w:rsidRDefault="00B34B72" w:rsidP="00B34B72">
      <w:pPr>
        <w:pStyle w:val="ManualConsidrant"/>
        <w:rPr>
          <w:noProof/>
        </w:rPr>
      </w:pPr>
      <w:r w:rsidRPr="00B34B72">
        <w:lastRenderedPageBreak/>
        <w:t>(61)</w:t>
      </w:r>
      <w:r w:rsidRPr="00B34B72">
        <w:tab/>
      </w:r>
      <w:r w:rsidR="76B48BEC" w:rsidRPr="008431A9">
        <w:rPr>
          <w:noProof/>
        </w:rPr>
        <w:t xml:space="preserve">The current protection of geographical indications at national level is based on various regulatory approaches. Having two parallel systems at </w:t>
      </w:r>
      <w:r w:rsidR="00051858" w:rsidRPr="008431A9">
        <w:rPr>
          <w:noProof/>
        </w:rPr>
        <w:t>Union</w:t>
      </w:r>
      <w:r w:rsidR="76B48BEC" w:rsidRPr="008431A9">
        <w:rPr>
          <w:noProof/>
        </w:rPr>
        <w:t xml:space="preserve"> and national levels might carry the risk of con</w:t>
      </w:r>
      <w:r w:rsidR="00CE6360" w:rsidRPr="008431A9">
        <w:rPr>
          <w:noProof/>
        </w:rPr>
        <w:t>f</w:t>
      </w:r>
      <w:r w:rsidR="76B48BEC" w:rsidRPr="008431A9">
        <w:rPr>
          <w:noProof/>
        </w:rPr>
        <w:t>u</w:t>
      </w:r>
      <w:r w:rsidR="00CE6360" w:rsidRPr="008431A9">
        <w:rPr>
          <w:noProof/>
        </w:rPr>
        <w:t>s</w:t>
      </w:r>
      <w:r w:rsidR="76B48BEC" w:rsidRPr="008431A9">
        <w:rPr>
          <w:noProof/>
        </w:rPr>
        <w:t xml:space="preserve">ing consumers and producers. The replacement of national specific geographical indication protection systems by the </w:t>
      </w:r>
      <w:r w:rsidR="00051858" w:rsidRPr="008431A9">
        <w:rPr>
          <w:noProof/>
        </w:rPr>
        <w:t>Union</w:t>
      </w:r>
      <w:r w:rsidR="76B48BEC" w:rsidRPr="008431A9">
        <w:rPr>
          <w:noProof/>
        </w:rPr>
        <w:t xml:space="preserve"> wide regulatory framework will create legal certainty, reduce administrative burden for national authorities, ensure fair competition between the producers of the products bearing such indications as well as predictable and relatively low costs and enhance the credibility of the products in the consumers’ eyes.</w:t>
      </w:r>
      <w:r w:rsidR="00CE6360" w:rsidRPr="008431A9">
        <w:rPr>
          <w:noProof/>
        </w:rPr>
        <w:t xml:space="preserve"> To this end, the national specific protection for geographical indications for craft and industrial products will cease to exist one year afte</w:t>
      </w:r>
      <w:r w:rsidR="00051858" w:rsidRPr="008431A9">
        <w:rPr>
          <w:noProof/>
        </w:rPr>
        <w:t>r the entry into force of this R</w:t>
      </w:r>
      <w:r w:rsidR="00CE6360" w:rsidRPr="008431A9">
        <w:rPr>
          <w:noProof/>
        </w:rPr>
        <w:t>egulation</w:t>
      </w:r>
      <w:r w:rsidR="009B0A8F" w:rsidRPr="008431A9">
        <w:rPr>
          <w:noProof/>
        </w:rPr>
        <w:t>. The protection may be extended in time until the registration process is finalised for those national GIs identified by interested Member States.</w:t>
      </w:r>
      <w:r w:rsidR="004B51B7" w:rsidRPr="008431A9">
        <w:rPr>
          <w:noProof/>
        </w:rPr>
        <w:t xml:space="preserve"> Some Member States that are party to the Lisbon Agreement for the Protection of Appellations of Origin and their International Registration</w:t>
      </w:r>
      <w:r w:rsidR="00F56A6D" w:rsidRPr="008431A9">
        <w:rPr>
          <w:noProof/>
        </w:rPr>
        <w:t xml:space="preserve"> </w:t>
      </w:r>
      <w:r w:rsidR="004B51B7" w:rsidRPr="008431A9">
        <w:rPr>
          <w:noProof/>
        </w:rPr>
        <w:t xml:space="preserve">have registered </w:t>
      </w:r>
      <w:r w:rsidR="00F56A6D" w:rsidRPr="008431A9">
        <w:rPr>
          <w:noProof/>
        </w:rPr>
        <w:t>geographical indications for craft and industrial products</w:t>
      </w:r>
      <w:r w:rsidR="004B51B7" w:rsidRPr="008431A9">
        <w:rPr>
          <w:noProof/>
        </w:rPr>
        <w:t xml:space="preserve"> and protected </w:t>
      </w:r>
      <w:r w:rsidR="00F56A6D" w:rsidRPr="008431A9">
        <w:rPr>
          <w:noProof/>
        </w:rPr>
        <w:t>geographical indications for craft and industrial products</w:t>
      </w:r>
      <w:r w:rsidR="004B51B7" w:rsidRPr="008431A9">
        <w:rPr>
          <w:noProof/>
        </w:rPr>
        <w:t xml:space="preserve"> originating from third countries under that Agreement. Regulation (EU) 2019/1753 should therefore be amended so as to allow for the continued protection of those </w:t>
      </w:r>
      <w:r w:rsidR="00F63D99" w:rsidRPr="008431A9">
        <w:rPr>
          <w:noProof/>
        </w:rPr>
        <w:t>geographical indications for craft and industrial products</w:t>
      </w:r>
      <w:r w:rsidR="009B0A8F" w:rsidRPr="008431A9">
        <w:rPr>
          <w:noProof/>
        </w:rPr>
        <w:t>.</w:t>
      </w:r>
    </w:p>
    <w:p w:rsidR="00996DE8" w:rsidRPr="008431A9" w:rsidRDefault="00B34B72" w:rsidP="00B34B72">
      <w:pPr>
        <w:pStyle w:val="ManualConsidrant"/>
        <w:rPr>
          <w:noProof/>
        </w:rPr>
      </w:pPr>
      <w:r w:rsidRPr="00B34B72">
        <w:t>(62)</w:t>
      </w:r>
      <w:r w:rsidRPr="00B34B72">
        <w:tab/>
      </w:r>
      <w:r w:rsidR="418A1E1A" w:rsidRPr="008431A9">
        <w:rPr>
          <w:noProof/>
        </w:rPr>
        <w:t>Since a period of time is required to ensure that the framework f</w:t>
      </w:r>
      <w:r w:rsidR="00051858" w:rsidRPr="008431A9">
        <w:rPr>
          <w:noProof/>
        </w:rPr>
        <w:t>or the proper functioning of this</w:t>
      </w:r>
      <w:r w:rsidR="418A1E1A" w:rsidRPr="008431A9">
        <w:rPr>
          <w:noProof/>
        </w:rPr>
        <w:t xml:space="preserve"> Regulation is in place</w:t>
      </w:r>
      <w:r w:rsidR="00051858" w:rsidRPr="008431A9">
        <w:rPr>
          <w:noProof/>
        </w:rPr>
        <w:t xml:space="preserve"> to create a</w:t>
      </w:r>
      <w:r w:rsidR="3D5E74AE" w:rsidRPr="008431A9">
        <w:rPr>
          <w:noProof/>
        </w:rPr>
        <w:t xml:space="preserve"> </w:t>
      </w:r>
      <w:r w:rsidR="00051858" w:rsidRPr="008431A9">
        <w:rPr>
          <w:noProof/>
        </w:rPr>
        <w:t>Union</w:t>
      </w:r>
      <w:r w:rsidR="3D5E74AE" w:rsidRPr="008431A9">
        <w:rPr>
          <w:noProof/>
        </w:rPr>
        <w:t xml:space="preserve"> and international registration system (including IT system, setting up and managing the Union register</w:t>
      </w:r>
      <w:r w:rsidR="0092380D" w:rsidRPr="008431A9">
        <w:rPr>
          <w:noProof/>
        </w:rPr>
        <w:t xml:space="preserve"> of geographical indications for craft and industrial products</w:t>
      </w:r>
      <w:r w:rsidR="3D5E74AE" w:rsidRPr="008431A9">
        <w:rPr>
          <w:noProof/>
        </w:rPr>
        <w:t xml:space="preserve">, the EU alert system against the abusive use of </w:t>
      </w:r>
      <w:r w:rsidR="0092380D" w:rsidRPr="008431A9">
        <w:rPr>
          <w:noProof/>
        </w:rPr>
        <w:t>geographical indications for craft and industrial products</w:t>
      </w:r>
      <w:r w:rsidR="3D5E74AE" w:rsidRPr="008431A9">
        <w:rPr>
          <w:noProof/>
        </w:rPr>
        <w:t xml:space="preserve"> in the internet, etc.)</w:t>
      </w:r>
      <w:r w:rsidR="418A1E1A" w:rsidRPr="008431A9">
        <w:rPr>
          <w:noProof/>
        </w:rPr>
        <w:t xml:space="preserve">, </w:t>
      </w:r>
      <w:r w:rsidR="00051858" w:rsidRPr="008431A9">
        <w:rPr>
          <w:noProof/>
        </w:rPr>
        <w:t>this</w:t>
      </w:r>
      <w:r w:rsidR="51B0ECDC" w:rsidRPr="008431A9">
        <w:rPr>
          <w:noProof/>
        </w:rPr>
        <w:t xml:space="preserve"> </w:t>
      </w:r>
      <w:r w:rsidR="46431B8A" w:rsidRPr="008431A9">
        <w:rPr>
          <w:noProof/>
        </w:rPr>
        <w:t xml:space="preserve">Regulation </w:t>
      </w:r>
      <w:r w:rsidR="00051858" w:rsidRPr="008431A9">
        <w:rPr>
          <w:noProof/>
        </w:rPr>
        <w:t>should start to</w:t>
      </w:r>
      <w:r w:rsidR="46431B8A" w:rsidRPr="008431A9">
        <w:rPr>
          <w:noProof/>
        </w:rPr>
        <w:t xml:space="preserve"> apply [</w:t>
      </w:r>
      <w:r w:rsidR="002C48CD" w:rsidRPr="008431A9">
        <w:rPr>
          <w:noProof/>
        </w:rPr>
        <w:t>XX</w:t>
      </w:r>
      <w:r w:rsidR="46431B8A" w:rsidRPr="008431A9">
        <w:rPr>
          <w:noProof/>
        </w:rPr>
        <w:t>]</w:t>
      </w:r>
      <w:r w:rsidR="51B0ECDC" w:rsidRPr="008431A9">
        <w:rPr>
          <w:noProof/>
        </w:rPr>
        <w:t xml:space="preserve"> </w:t>
      </w:r>
      <w:r w:rsidR="46431B8A" w:rsidRPr="008431A9">
        <w:rPr>
          <w:noProof/>
        </w:rPr>
        <w:t>months following the date of its entry into force</w:t>
      </w:r>
      <w:r w:rsidR="51B0ECDC" w:rsidRPr="008431A9">
        <w:rPr>
          <w:noProof/>
        </w:rPr>
        <w:t>.</w:t>
      </w:r>
      <w:r w:rsidR="3D5E74AE" w:rsidRPr="008431A9">
        <w:rPr>
          <w:noProof/>
        </w:rPr>
        <w:t xml:space="preserve"> </w:t>
      </w:r>
    </w:p>
    <w:p w:rsidR="21B8C7C5" w:rsidRPr="008431A9" w:rsidRDefault="00B34B72" w:rsidP="00B34B72">
      <w:pPr>
        <w:pStyle w:val="ManualConsidrant"/>
        <w:rPr>
          <w:noProof/>
        </w:rPr>
      </w:pPr>
      <w:r w:rsidRPr="00B34B72">
        <w:t>(63)</w:t>
      </w:r>
      <w:r w:rsidRPr="00B34B72">
        <w:tab/>
      </w:r>
      <w:r w:rsidR="098C7312" w:rsidRPr="008431A9">
        <w:rPr>
          <w:noProof/>
        </w:rPr>
        <w:t xml:space="preserve">The European Data Protection Supervisor was consulted in accordance with Article 42(1) of Regulation (EU) 2018/1725 </w:t>
      </w:r>
      <w:r w:rsidR="00051858" w:rsidRPr="008431A9">
        <w:rPr>
          <w:noProof/>
        </w:rPr>
        <w:t>and delivered an opinion on (…),</w:t>
      </w:r>
      <w:r w:rsidR="098C7312" w:rsidRPr="008431A9">
        <w:rPr>
          <w:noProof/>
        </w:rPr>
        <w:t xml:space="preserve"> </w:t>
      </w:r>
    </w:p>
    <w:p w:rsidR="00B70EFD" w:rsidRPr="008431A9" w:rsidRDefault="00B70EFD" w:rsidP="000818F4">
      <w:pPr>
        <w:pStyle w:val="Formuledadoption"/>
        <w:rPr>
          <w:noProof/>
        </w:rPr>
      </w:pPr>
      <w:r w:rsidRPr="008431A9">
        <w:rPr>
          <w:noProof/>
        </w:rPr>
        <w:t>HAVE ADOPTED THIS REGULATION:</w:t>
      </w:r>
    </w:p>
    <w:p w:rsidR="00E775BE" w:rsidRPr="008431A9" w:rsidRDefault="00E775BE" w:rsidP="00425C71">
      <w:pPr>
        <w:pStyle w:val="PartTitle"/>
        <w:rPr>
          <w:b w:val="0"/>
          <w:noProof/>
          <w:szCs w:val="24"/>
        </w:rPr>
      </w:pPr>
      <w:r w:rsidRPr="008431A9">
        <w:rPr>
          <w:noProof/>
        </w:rPr>
        <w:lastRenderedPageBreak/>
        <w:t>TITLE I</w:t>
      </w:r>
      <w:r w:rsidR="00425C71" w:rsidRPr="008431A9">
        <w:rPr>
          <w:i/>
          <w:noProof/>
        </w:rPr>
        <w:br/>
      </w:r>
      <w:r w:rsidRPr="008431A9">
        <w:rPr>
          <w:noProof/>
          <w:szCs w:val="24"/>
        </w:rPr>
        <w:t>GENERAL PROVISIONS</w:t>
      </w:r>
    </w:p>
    <w:p w:rsidR="00E775BE" w:rsidRPr="008431A9" w:rsidRDefault="00E775BE" w:rsidP="00E775BE">
      <w:pPr>
        <w:pStyle w:val="Titrearticle"/>
        <w:rPr>
          <w:noProof/>
          <w:szCs w:val="24"/>
        </w:rPr>
      </w:pPr>
      <w:r w:rsidRPr="008431A9">
        <w:rPr>
          <w:noProof/>
          <w:szCs w:val="24"/>
        </w:rPr>
        <w:t>Article 1</w:t>
      </w:r>
    </w:p>
    <w:p w:rsidR="00E775BE" w:rsidRPr="008431A9" w:rsidRDefault="00E775BE" w:rsidP="00843D97">
      <w:pPr>
        <w:pStyle w:val="NormalCentered"/>
        <w:rPr>
          <w:b/>
          <w:noProof/>
        </w:rPr>
      </w:pPr>
      <w:r w:rsidRPr="008431A9">
        <w:rPr>
          <w:b/>
          <w:noProof/>
        </w:rPr>
        <w:t>Subject matter</w:t>
      </w:r>
    </w:p>
    <w:p w:rsidR="0002052E" w:rsidRPr="008431A9" w:rsidRDefault="00E775BE" w:rsidP="005A05D1">
      <w:pPr>
        <w:rPr>
          <w:noProof/>
        </w:rPr>
      </w:pPr>
      <w:r w:rsidRPr="008431A9">
        <w:rPr>
          <w:noProof/>
        </w:rPr>
        <w:t>This Regulation lays down rules on</w:t>
      </w:r>
      <w:r w:rsidR="0002052E" w:rsidRPr="008431A9">
        <w:rPr>
          <w:noProof/>
        </w:rPr>
        <w:t>:</w:t>
      </w:r>
    </w:p>
    <w:p w:rsidR="0002052E" w:rsidRPr="008431A9" w:rsidRDefault="00B34B72" w:rsidP="00B34B72">
      <w:pPr>
        <w:pStyle w:val="Point0"/>
        <w:rPr>
          <w:noProof/>
        </w:rPr>
      </w:pPr>
      <w:r w:rsidRPr="00B34B72">
        <w:t>(a)</w:t>
      </w:r>
      <w:r w:rsidRPr="00B34B72">
        <w:tab/>
      </w:r>
      <w:r w:rsidR="00E775BE" w:rsidRPr="008431A9">
        <w:rPr>
          <w:noProof/>
        </w:rPr>
        <w:t>the registration, protection, control and enforcement of certain names that identify craft and industrial products with given quality, reputation or other characteristics linked to their geographical origin</w:t>
      </w:r>
      <w:r w:rsidR="0002052E" w:rsidRPr="008431A9">
        <w:rPr>
          <w:noProof/>
        </w:rPr>
        <w:t xml:space="preserve"> and</w:t>
      </w:r>
      <w:r w:rsidR="00AB25E3" w:rsidRPr="008431A9">
        <w:rPr>
          <w:noProof/>
        </w:rPr>
        <w:t>,</w:t>
      </w:r>
      <w:r w:rsidR="00E775BE" w:rsidRPr="008431A9">
        <w:rPr>
          <w:noProof/>
        </w:rPr>
        <w:t xml:space="preserve"> </w:t>
      </w:r>
    </w:p>
    <w:p w:rsidR="00E775BE" w:rsidRPr="008431A9" w:rsidRDefault="00B34B72" w:rsidP="00B34B72">
      <w:pPr>
        <w:pStyle w:val="Point0"/>
        <w:rPr>
          <w:rFonts w:eastAsiaTheme="minorEastAsia"/>
          <w:noProof/>
        </w:rPr>
      </w:pPr>
      <w:r w:rsidRPr="00B34B72">
        <w:t>(b)</w:t>
      </w:r>
      <w:r w:rsidRPr="00B34B72">
        <w:tab/>
      </w:r>
      <w:r w:rsidR="00E775BE" w:rsidRPr="008431A9">
        <w:rPr>
          <w:noProof/>
        </w:rPr>
        <w:t>geographical indications entered in the international register established under the international registration and protection system based on the Geneva Act of the Lisbon Agreement on Appellations of Origin and Geographical Indications administered by the World Intellectual Property Organisation</w:t>
      </w:r>
      <w:r w:rsidR="0002052E" w:rsidRPr="008431A9">
        <w:rPr>
          <w:noProof/>
        </w:rPr>
        <w:t xml:space="preserve"> (WIPO)</w:t>
      </w:r>
      <w:r w:rsidR="00E775BE" w:rsidRPr="008431A9">
        <w:rPr>
          <w:noProof/>
        </w:rPr>
        <w:t>.</w:t>
      </w:r>
    </w:p>
    <w:p w:rsidR="00E775BE" w:rsidRPr="008431A9" w:rsidRDefault="00E775BE" w:rsidP="00E775BE">
      <w:pPr>
        <w:pStyle w:val="Titrearticle"/>
        <w:rPr>
          <w:noProof/>
        </w:rPr>
      </w:pPr>
      <w:r w:rsidRPr="008431A9">
        <w:rPr>
          <w:noProof/>
        </w:rPr>
        <w:t>Article 2</w:t>
      </w:r>
    </w:p>
    <w:p w:rsidR="00E775BE" w:rsidRPr="008431A9" w:rsidRDefault="00E775BE" w:rsidP="00843D97">
      <w:pPr>
        <w:pStyle w:val="NormalCentered"/>
        <w:rPr>
          <w:b/>
          <w:noProof/>
        </w:rPr>
      </w:pPr>
      <w:r w:rsidRPr="008431A9">
        <w:rPr>
          <w:b/>
          <w:noProof/>
        </w:rPr>
        <w:t>Scope</w:t>
      </w:r>
    </w:p>
    <w:p w:rsidR="00736394" w:rsidRPr="008431A9" w:rsidRDefault="00B34B72" w:rsidP="00B34B72">
      <w:pPr>
        <w:pStyle w:val="ManualNumPar1"/>
        <w:rPr>
          <w:rFonts w:eastAsiaTheme="minorEastAsia"/>
          <w:noProof/>
        </w:rPr>
      </w:pPr>
      <w:r w:rsidRPr="00B34B72">
        <w:t>1.</w:t>
      </w:r>
      <w:r w:rsidRPr="00B34B72">
        <w:tab/>
      </w:r>
      <w:r w:rsidR="4696A5D4" w:rsidRPr="008431A9">
        <w:rPr>
          <w:noProof/>
        </w:rPr>
        <w:t xml:space="preserve">This Regulation applies to craft and industrial products listed </w:t>
      </w:r>
      <w:r w:rsidR="00B51474" w:rsidRPr="008431A9">
        <w:rPr>
          <w:noProof/>
        </w:rPr>
        <w:t xml:space="preserve">under the combined nomenclature set out </w:t>
      </w:r>
      <w:r w:rsidR="4696A5D4" w:rsidRPr="008431A9">
        <w:rPr>
          <w:noProof/>
        </w:rPr>
        <w:t xml:space="preserve">in Annex I to </w:t>
      </w:r>
      <w:r w:rsidR="4696A5D4" w:rsidRPr="008431A9">
        <w:rPr>
          <w:rFonts w:eastAsia="Times New Roman"/>
          <w:noProof/>
        </w:rPr>
        <w:t>Council Regulation (EEC) No 2658/87</w:t>
      </w:r>
      <w:r w:rsidR="00E775BE" w:rsidRPr="008431A9">
        <w:rPr>
          <w:rStyle w:val="FootnoteReference"/>
          <w:rFonts w:eastAsiaTheme="minorEastAsia"/>
          <w:noProof/>
        </w:rPr>
        <w:footnoteReference w:id="25"/>
      </w:r>
      <w:r w:rsidR="4696A5D4" w:rsidRPr="008431A9">
        <w:rPr>
          <w:rFonts w:eastAsia="Times New Roman"/>
          <w:noProof/>
        </w:rPr>
        <w:t xml:space="preserve"> </w:t>
      </w:r>
    </w:p>
    <w:p w:rsidR="00E775BE" w:rsidRPr="008431A9" w:rsidRDefault="00B34B72" w:rsidP="00B34B72">
      <w:pPr>
        <w:pStyle w:val="ManualNumPar1"/>
        <w:rPr>
          <w:rFonts w:eastAsiaTheme="minorEastAsia"/>
          <w:noProof/>
        </w:rPr>
      </w:pPr>
      <w:r w:rsidRPr="00B34B72">
        <w:t>2.</w:t>
      </w:r>
      <w:r w:rsidRPr="00B34B72">
        <w:tab/>
      </w:r>
      <w:r w:rsidR="4696A5D4" w:rsidRPr="008431A9">
        <w:rPr>
          <w:noProof/>
          <w:lang w:val="en-IE"/>
        </w:rPr>
        <w:t xml:space="preserve">This Regulation </w:t>
      </w:r>
      <w:r w:rsidR="0002052E" w:rsidRPr="008431A9">
        <w:rPr>
          <w:noProof/>
          <w:lang w:val="en-IE"/>
        </w:rPr>
        <w:t xml:space="preserve">does </w:t>
      </w:r>
      <w:r w:rsidR="4696A5D4" w:rsidRPr="008431A9">
        <w:rPr>
          <w:noProof/>
          <w:lang w:val="en-IE"/>
        </w:rPr>
        <w:t xml:space="preserve">not apply to spirit drinks as </w:t>
      </w:r>
      <w:r w:rsidR="2CED496A" w:rsidRPr="008431A9">
        <w:rPr>
          <w:noProof/>
          <w:lang w:val="en-IE"/>
        </w:rPr>
        <w:t xml:space="preserve">referred </w:t>
      </w:r>
      <w:r w:rsidR="4696A5D4" w:rsidRPr="008431A9">
        <w:rPr>
          <w:noProof/>
          <w:lang w:val="en-IE"/>
        </w:rPr>
        <w:t>in Regulation (EU) 2019/787 of the European Parliament and of the Council</w:t>
      </w:r>
      <w:r w:rsidR="00E775BE" w:rsidRPr="008431A9">
        <w:rPr>
          <w:rStyle w:val="FootnoteReference"/>
          <w:rFonts w:eastAsiaTheme="minorEastAsia"/>
          <w:noProof/>
        </w:rPr>
        <w:footnoteReference w:id="26"/>
      </w:r>
      <w:r w:rsidR="4696A5D4" w:rsidRPr="008431A9">
        <w:rPr>
          <w:noProof/>
          <w:lang w:val="en-IE"/>
        </w:rPr>
        <w:t>, wines as defined in Regulation (EU) No 1308/2013 of the European Parliament and of the Council</w:t>
      </w:r>
      <w:r w:rsidR="00E775BE" w:rsidRPr="008431A9">
        <w:rPr>
          <w:rStyle w:val="FootnoteReference"/>
          <w:rFonts w:eastAsiaTheme="minorEastAsia"/>
          <w:noProof/>
        </w:rPr>
        <w:footnoteReference w:id="27"/>
      </w:r>
      <w:r w:rsidR="4696A5D4" w:rsidRPr="008431A9">
        <w:rPr>
          <w:noProof/>
          <w:lang w:val="en-IE"/>
        </w:rPr>
        <w:t>, nor to agricultural products and foodstuffs as protected by Regulation (EU) No 1151/2012 of the European Parliament and of the Council</w:t>
      </w:r>
      <w:r w:rsidR="00E775BE" w:rsidRPr="008431A9">
        <w:rPr>
          <w:rStyle w:val="FootnoteReference"/>
          <w:rFonts w:eastAsiaTheme="minorEastAsia"/>
          <w:noProof/>
        </w:rPr>
        <w:footnoteReference w:id="28"/>
      </w:r>
      <w:r w:rsidR="4696A5D4" w:rsidRPr="008431A9">
        <w:rPr>
          <w:noProof/>
          <w:szCs w:val="24"/>
        </w:rPr>
        <w:t>.</w:t>
      </w:r>
    </w:p>
    <w:p w:rsidR="00E775BE" w:rsidRPr="008431A9" w:rsidRDefault="00B34B72" w:rsidP="00B34B72">
      <w:pPr>
        <w:pStyle w:val="ManualNumPar1"/>
        <w:rPr>
          <w:noProof/>
          <w:lang w:val="en-IE"/>
        </w:rPr>
      </w:pPr>
      <w:r w:rsidRPr="00B34B72">
        <w:t>3.</w:t>
      </w:r>
      <w:r w:rsidRPr="00B34B72">
        <w:tab/>
      </w:r>
      <w:r w:rsidR="4696A5D4" w:rsidRPr="008431A9">
        <w:rPr>
          <w:noProof/>
          <w:lang w:val="en-IE"/>
        </w:rPr>
        <w:t xml:space="preserve">Registrations and protection of geographical indications are without prejudice to the obligation of producers to comply with other Union rules, in particular relating to the placing of products on the market and, in particular, to product labelling requirements, to product safety, consumer protection and market surveillance. </w:t>
      </w:r>
    </w:p>
    <w:p w:rsidR="00E775BE" w:rsidRPr="008431A9" w:rsidRDefault="00B34B72" w:rsidP="00B34B72">
      <w:pPr>
        <w:pStyle w:val="ManualNumPar1"/>
        <w:rPr>
          <w:noProof/>
          <w:lang w:val="en-IE"/>
        </w:rPr>
      </w:pPr>
      <w:r w:rsidRPr="00B34B72">
        <w:lastRenderedPageBreak/>
        <w:t>4.</w:t>
      </w:r>
      <w:r w:rsidRPr="00B34B72">
        <w:tab/>
      </w:r>
      <w:r w:rsidR="0002052E" w:rsidRPr="008431A9">
        <w:rPr>
          <w:noProof/>
        </w:rPr>
        <w:t xml:space="preserve">The geographical indications system laid down in this Regulation shall apply notwithstanding </w:t>
      </w:r>
      <w:r w:rsidR="4696A5D4" w:rsidRPr="008431A9">
        <w:rPr>
          <w:noProof/>
          <w:lang w:val="en-IE"/>
        </w:rPr>
        <w:t xml:space="preserve">Directive (EU) </w:t>
      </w:r>
      <w:r w:rsidR="00091205" w:rsidRPr="008431A9">
        <w:rPr>
          <w:noProof/>
          <w:lang w:val="en-IE"/>
        </w:rPr>
        <w:t>No</w:t>
      </w:r>
      <w:r w:rsidR="4696A5D4" w:rsidRPr="008431A9">
        <w:rPr>
          <w:noProof/>
          <w:lang w:val="en-IE"/>
        </w:rPr>
        <w:t xml:space="preserve"> 2015/1535 of the European Parliament and of the Council</w:t>
      </w:r>
      <w:r w:rsidR="00E775BE" w:rsidRPr="008431A9">
        <w:rPr>
          <w:rStyle w:val="FootnoteReference"/>
          <w:noProof/>
        </w:rPr>
        <w:footnoteReference w:id="29"/>
      </w:r>
      <w:r w:rsidR="4696A5D4" w:rsidRPr="008431A9">
        <w:rPr>
          <w:noProof/>
          <w:lang w:val="en-IE"/>
        </w:rPr>
        <w:t>.</w:t>
      </w:r>
    </w:p>
    <w:p w:rsidR="00E775BE" w:rsidRPr="008431A9" w:rsidRDefault="00E775BE" w:rsidP="00263658">
      <w:pPr>
        <w:pStyle w:val="Titrearticle"/>
        <w:rPr>
          <w:noProof/>
        </w:rPr>
      </w:pPr>
      <w:r w:rsidRPr="008431A9">
        <w:rPr>
          <w:noProof/>
        </w:rPr>
        <w:t>Article 3</w:t>
      </w:r>
    </w:p>
    <w:p w:rsidR="00E775BE" w:rsidRPr="008431A9" w:rsidRDefault="00E775BE" w:rsidP="00843D97">
      <w:pPr>
        <w:pStyle w:val="NormalCentered"/>
        <w:rPr>
          <w:b/>
          <w:noProof/>
        </w:rPr>
      </w:pPr>
      <w:r w:rsidRPr="008431A9">
        <w:rPr>
          <w:b/>
          <w:noProof/>
        </w:rPr>
        <w:t>Definitions</w:t>
      </w:r>
    </w:p>
    <w:p w:rsidR="00E775BE" w:rsidRPr="008431A9" w:rsidRDefault="00E775BE" w:rsidP="00E775BE">
      <w:pPr>
        <w:rPr>
          <w:noProof/>
          <w:szCs w:val="24"/>
        </w:rPr>
      </w:pPr>
      <w:r w:rsidRPr="008431A9">
        <w:rPr>
          <w:noProof/>
          <w:szCs w:val="24"/>
        </w:rPr>
        <w:t>For the purposes of this Regulation, the following definitions shall apply:</w:t>
      </w:r>
    </w:p>
    <w:p w:rsidR="00E775BE" w:rsidRPr="008431A9" w:rsidRDefault="00B34B72" w:rsidP="00B34B72">
      <w:pPr>
        <w:pStyle w:val="Point0"/>
        <w:rPr>
          <w:noProof/>
        </w:rPr>
      </w:pPr>
      <w:r w:rsidRPr="00B34B72">
        <w:t>(a)</w:t>
      </w:r>
      <w:r w:rsidRPr="00B34B72">
        <w:tab/>
      </w:r>
      <w:r w:rsidR="4696A5D4" w:rsidRPr="008431A9">
        <w:rPr>
          <w:rFonts w:eastAsia="Calibri"/>
          <w:noProof/>
        </w:rPr>
        <w:t xml:space="preserve">‘craft products’ means products produced </w:t>
      </w:r>
      <w:r w:rsidR="4696A5D4" w:rsidRPr="008431A9">
        <w:rPr>
          <w:noProof/>
        </w:rPr>
        <w:t>either totally by hand or with the aid of manual tools or by mechanical means, whenever the direct manual contribution is the most important component of the finished product;</w:t>
      </w:r>
    </w:p>
    <w:p w:rsidR="00E775BE" w:rsidRPr="008431A9" w:rsidRDefault="00B34B72" w:rsidP="00B34B72">
      <w:pPr>
        <w:pStyle w:val="Point0"/>
        <w:rPr>
          <w:rFonts w:eastAsia="Calibri"/>
          <w:noProof/>
        </w:rPr>
      </w:pPr>
      <w:r w:rsidRPr="00B34B72">
        <w:t>(b)</w:t>
      </w:r>
      <w:r w:rsidRPr="00B34B72">
        <w:tab/>
      </w:r>
      <w:r w:rsidR="4696A5D4" w:rsidRPr="008431A9">
        <w:rPr>
          <w:noProof/>
        </w:rPr>
        <w:t>‘industrial products’ means products produced in a standardised way, typically on mass scale and through the use of machines;</w:t>
      </w:r>
    </w:p>
    <w:p w:rsidR="00E775BE" w:rsidRPr="008431A9" w:rsidRDefault="00B34B72" w:rsidP="00B34B72">
      <w:pPr>
        <w:pStyle w:val="Point0"/>
        <w:rPr>
          <w:rFonts w:eastAsia="Calibri"/>
          <w:noProof/>
        </w:rPr>
      </w:pPr>
      <w:r w:rsidRPr="00B34B72">
        <w:t>(c)</w:t>
      </w:r>
      <w:r w:rsidRPr="00B34B72">
        <w:tab/>
      </w:r>
      <w:r w:rsidR="4696A5D4" w:rsidRPr="008431A9">
        <w:rPr>
          <w:noProof/>
        </w:rPr>
        <w:t xml:space="preserve">'combined nomenclature' </w:t>
      </w:r>
      <w:r w:rsidR="0002052E" w:rsidRPr="008431A9">
        <w:rPr>
          <w:noProof/>
        </w:rPr>
        <w:t>means combined nomenclature as established</w:t>
      </w:r>
      <w:r w:rsidR="4696A5D4" w:rsidRPr="008431A9">
        <w:rPr>
          <w:noProof/>
        </w:rPr>
        <w:t xml:space="preserve"> in Article 1 of Regulation (EEC) No 2658/87;</w:t>
      </w:r>
    </w:p>
    <w:p w:rsidR="00E775BE" w:rsidRPr="008431A9" w:rsidRDefault="00B34B72" w:rsidP="00B34B72">
      <w:pPr>
        <w:pStyle w:val="Point0"/>
        <w:rPr>
          <w:rFonts w:eastAsia="Calibri"/>
          <w:noProof/>
        </w:rPr>
      </w:pPr>
      <w:r w:rsidRPr="00B34B72">
        <w:t>(d)</w:t>
      </w:r>
      <w:r w:rsidRPr="00B34B72">
        <w:tab/>
      </w:r>
      <w:r w:rsidR="4696A5D4" w:rsidRPr="008431A9">
        <w:rPr>
          <w:noProof/>
        </w:rPr>
        <w:t>‘producer group’ means any association, irrespective of its legal form, mainly composed of producers or processors working with the same product;</w:t>
      </w:r>
    </w:p>
    <w:p w:rsidR="00E775BE" w:rsidRPr="008431A9" w:rsidRDefault="00B34B72" w:rsidP="00B34B72">
      <w:pPr>
        <w:pStyle w:val="Point0"/>
        <w:rPr>
          <w:rFonts w:eastAsia="Calibri"/>
          <w:noProof/>
        </w:rPr>
      </w:pPr>
      <w:r w:rsidRPr="00B34B72">
        <w:t>(e)</w:t>
      </w:r>
      <w:r w:rsidRPr="00B34B72">
        <w:tab/>
      </w:r>
      <w:r w:rsidR="4696A5D4" w:rsidRPr="008431A9">
        <w:rPr>
          <w:rFonts w:eastAsia="Calibri"/>
          <w:noProof/>
        </w:rPr>
        <w:t xml:space="preserve">‘production step’ </w:t>
      </w:r>
      <w:r w:rsidR="4696A5D4" w:rsidRPr="008431A9">
        <w:rPr>
          <w:noProof/>
        </w:rPr>
        <w:t>means any stage of production, processing or preparation, up to the point</w:t>
      </w:r>
      <w:r w:rsidR="002E27BD" w:rsidRPr="008431A9">
        <w:rPr>
          <w:noProof/>
        </w:rPr>
        <w:t>, where</w:t>
      </w:r>
      <w:r w:rsidR="4696A5D4" w:rsidRPr="008431A9">
        <w:rPr>
          <w:noProof/>
        </w:rPr>
        <w:t xml:space="preserve"> the product is in a form to be placed on the internal market;</w:t>
      </w:r>
      <w:r w:rsidR="4696A5D4" w:rsidRPr="008431A9">
        <w:rPr>
          <w:rFonts w:eastAsia="Calibri"/>
          <w:noProof/>
        </w:rPr>
        <w:t xml:space="preserve"> </w:t>
      </w:r>
    </w:p>
    <w:p w:rsidR="00E775BE" w:rsidRPr="008431A9" w:rsidRDefault="00B34B72" w:rsidP="00B34B72">
      <w:pPr>
        <w:pStyle w:val="Point0"/>
        <w:rPr>
          <w:noProof/>
        </w:rPr>
      </w:pPr>
      <w:r w:rsidRPr="00B34B72">
        <w:t>(f)</w:t>
      </w:r>
      <w:r w:rsidRPr="00B34B72">
        <w:tab/>
      </w:r>
      <w:r w:rsidR="4696A5D4" w:rsidRPr="008431A9">
        <w:rPr>
          <w:noProof/>
        </w:rPr>
        <w:t>‘traditional’ and 'tradition'</w:t>
      </w:r>
      <w:r w:rsidR="002E27BD" w:rsidRPr="008431A9">
        <w:rPr>
          <w:noProof/>
        </w:rPr>
        <w:t>,</w:t>
      </w:r>
      <w:r w:rsidR="4696A5D4" w:rsidRPr="008431A9">
        <w:rPr>
          <w:noProof/>
        </w:rPr>
        <w:t xml:space="preserve"> when associated with a product originating in a geographical area</w:t>
      </w:r>
      <w:r w:rsidR="002E27BD" w:rsidRPr="008431A9">
        <w:rPr>
          <w:noProof/>
        </w:rPr>
        <w:t>,</w:t>
      </w:r>
      <w:r w:rsidR="4696A5D4" w:rsidRPr="008431A9">
        <w:rPr>
          <w:noProof/>
        </w:rPr>
        <w:t xml:space="preserve"> means proven historical usage by producers in a community for a period that allows transmission between generations;</w:t>
      </w:r>
    </w:p>
    <w:p w:rsidR="00E775BE" w:rsidRPr="008431A9" w:rsidRDefault="00B34B72" w:rsidP="00B34B72">
      <w:pPr>
        <w:pStyle w:val="Point0"/>
        <w:rPr>
          <w:rFonts w:eastAsia="Calibri"/>
          <w:noProof/>
        </w:rPr>
      </w:pPr>
      <w:r w:rsidRPr="00B34B72">
        <w:t>(g)</w:t>
      </w:r>
      <w:r w:rsidRPr="00B34B72">
        <w:tab/>
      </w:r>
      <w:r w:rsidR="4696A5D4" w:rsidRPr="008431A9">
        <w:rPr>
          <w:noProof/>
        </w:rPr>
        <w:t>'producer' means an operator engaged in any production step of a product the name of which is protected as a geographical indication, including processing activities, covered by the product specification;</w:t>
      </w:r>
    </w:p>
    <w:p w:rsidR="00BF2702" w:rsidRPr="008431A9" w:rsidRDefault="00B34B72" w:rsidP="00B34B72">
      <w:pPr>
        <w:pStyle w:val="Point0"/>
        <w:rPr>
          <w:noProof/>
        </w:rPr>
      </w:pPr>
      <w:r w:rsidRPr="00B34B72">
        <w:t>(h)</w:t>
      </w:r>
      <w:r w:rsidRPr="00B34B72">
        <w:tab/>
      </w:r>
      <w:r w:rsidR="4696A5D4" w:rsidRPr="008431A9">
        <w:rPr>
          <w:noProof/>
        </w:rPr>
        <w:t>‘generic terms’ means</w:t>
      </w:r>
      <w:r w:rsidR="00BF2702" w:rsidRPr="008431A9">
        <w:rPr>
          <w:noProof/>
        </w:rPr>
        <w:t>:</w:t>
      </w:r>
      <w:r w:rsidR="4696A5D4" w:rsidRPr="008431A9">
        <w:rPr>
          <w:noProof/>
        </w:rPr>
        <w:t xml:space="preserve"> </w:t>
      </w:r>
    </w:p>
    <w:p w:rsidR="00BF2702" w:rsidRPr="008431A9" w:rsidRDefault="00BF2702" w:rsidP="009069F9">
      <w:pPr>
        <w:pStyle w:val="Text2"/>
        <w:rPr>
          <w:noProof/>
        </w:rPr>
      </w:pPr>
      <w:r w:rsidRPr="008431A9">
        <w:rPr>
          <w:noProof/>
        </w:rPr>
        <w:t xml:space="preserve">(i) </w:t>
      </w:r>
      <w:r w:rsidR="4696A5D4" w:rsidRPr="008431A9">
        <w:rPr>
          <w:noProof/>
        </w:rPr>
        <w:t>the names of products which, although relating to the place, region or country where the product was originally produced or marketed, have become the common name of a product in the Union or</w:t>
      </w:r>
    </w:p>
    <w:p w:rsidR="00E775BE" w:rsidRPr="008431A9" w:rsidRDefault="00BF2702" w:rsidP="009069F9">
      <w:pPr>
        <w:pStyle w:val="Text2"/>
        <w:rPr>
          <w:noProof/>
        </w:rPr>
      </w:pPr>
      <w:r w:rsidRPr="008431A9">
        <w:rPr>
          <w:noProof/>
        </w:rPr>
        <w:t xml:space="preserve">(ii) </w:t>
      </w:r>
      <w:r w:rsidR="4696A5D4" w:rsidRPr="008431A9">
        <w:rPr>
          <w:noProof/>
        </w:rPr>
        <w:t xml:space="preserve">a common term </w:t>
      </w:r>
      <w:r w:rsidRPr="008431A9">
        <w:rPr>
          <w:noProof/>
        </w:rPr>
        <w:t>descriptive of the type of product, product attributes or other terms that do not refer to specific product</w:t>
      </w:r>
      <w:r w:rsidR="4696A5D4" w:rsidRPr="008431A9">
        <w:rPr>
          <w:noProof/>
        </w:rPr>
        <w:t>;</w:t>
      </w:r>
    </w:p>
    <w:p w:rsidR="00E775BE" w:rsidRPr="008431A9" w:rsidRDefault="00B34B72" w:rsidP="00B34B72">
      <w:pPr>
        <w:pStyle w:val="Point0"/>
        <w:rPr>
          <w:noProof/>
        </w:rPr>
      </w:pPr>
      <w:r w:rsidRPr="00B34B72">
        <w:t>(i)</w:t>
      </w:r>
      <w:r w:rsidRPr="00B34B72">
        <w:tab/>
      </w:r>
      <w:r w:rsidR="4696A5D4" w:rsidRPr="008431A9">
        <w:rPr>
          <w:noProof/>
        </w:rPr>
        <w:t>‘product certification body’ means a legal person which certifies that products designated by geographical indications comply with the product specification, whether in performance of a delegated official control task or any other mandate</w:t>
      </w:r>
      <w:r w:rsidR="002E27BD" w:rsidRPr="008431A9">
        <w:rPr>
          <w:noProof/>
        </w:rPr>
        <w:t>;</w:t>
      </w:r>
    </w:p>
    <w:p w:rsidR="00E775BE" w:rsidRPr="008431A9" w:rsidRDefault="00B34B72" w:rsidP="00B34B72">
      <w:pPr>
        <w:pStyle w:val="Point0"/>
        <w:rPr>
          <w:rFonts w:eastAsia="Calibri"/>
          <w:noProof/>
        </w:rPr>
      </w:pPr>
      <w:r w:rsidRPr="00B34B72">
        <w:t>(j)</w:t>
      </w:r>
      <w:r w:rsidRPr="00B34B72">
        <w:tab/>
      </w:r>
      <w:r w:rsidR="4696A5D4" w:rsidRPr="008431A9">
        <w:rPr>
          <w:noProof/>
        </w:rPr>
        <w:t>‘self-declaration’ means a document in which a producer</w:t>
      </w:r>
      <w:r w:rsidR="002E27BD" w:rsidRPr="008431A9">
        <w:rPr>
          <w:noProof/>
        </w:rPr>
        <w:t>,</w:t>
      </w:r>
      <w:r w:rsidR="4696A5D4" w:rsidRPr="008431A9">
        <w:rPr>
          <w:noProof/>
        </w:rPr>
        <w:t xml:space="preserve"> or </w:t>
      </w:r>
      <w:r w:rsidR="002E27BD" w:rsidRPr="008431A9">
        <w:rPr>
          <w:noProof/>
        </w:rPr>
        <w:t xml:space="preserve">an </w:t>
      </w:r>
      <w:r w:rsidR="4696A5D4" w:rsidRPr="008431A9">
        <w:rPr>
          <w:noProof/>
        </w:rPr>
        <w:t>authorised representative</w:t>
      </w:r>
      <w:r w:rsidR="002E27BD" w:rsidRPr="008431A9">
        <w:rPr>
          <w:noProof/>
        </w:rPr>
        <w:t>,</w:t>
      </w:r>
      <w:r w:rsidR="4696A5D4" w:rsidRPr="008431A9">
        <w:rPr>
          <w:noProof/>
        </w:rPr>
        <w:t xml:space="preserve"> indicates on his or her sole responsibility that the product is compliant with the corresponding product specification and that all necessary controls and checks for the proper determination of conformity have been carried out in order to demonstrate the lawful use of the geographical indication to the competent authorities of Member States.</w:t>
      </w:r>
    </w:p>
    <w:p w:rsidR="00E775BE" w:rsidRPr="008431A9" w:rsidRDefault="00B34B72" w:rsidP="00B34B72">
      <w:pPr>
        <w:pStyle w:val="Point0"/>
        <w:rPr>
          <w:rFonts w:eastAsia="Calibri"/>
          <w:noProof/>
        </w:rPr>
      </w:pPr>
      <w:r w:rsidRPr="00B34B72">
        <w:lastRenderedPageBreak/>
        <w:t>(k)</w:t>
      </w:r>
      <w:r w:rsidRPr="00B34B72">
        <w:tab/>
      </w:r>
      <w:r w:rsidR="4696A5D4" w:rsidRPr="008431A9">
        <w:rPr>
          <w:noProof/>
        </w:rPr>
        <w:t xml:space="preserve">‘notice of comment’ means a written observation lodged with </w:t>
      </w:r>
      <w:r w:rsidR="002E27BD" w:rsidRPr="008431A9">
        <w:rPr>
          <w:rFonts w:eastAsia="Times New Roman"/>
          <w:noProof/>
          <w:szCs w:val="24"/>
          <w:lang w:val="en-US"/>
        </w:rPr>
        <w:t xml:space="preserve">the European Union Intellectual Property Office (‘the </w:t>
      </w:r>
      <w:r w:rsidR="4696A5D4" w:rsidRPr="008431A9">
        <w:rPr>
          <w:noProof/>
        </w:rPr>
        <w:t>Office</w:t>
      </w:r>
      <w:r w:rsidR="002E27BD" w:rsidRPr="008431A9">
        <w:rPr>
          <w:noProof/>
        </w:rPr>
        <w:t>)</w:t>
      </w:r>
      <w:r w:rsidR="4696A5D4" w:rsidRPr="008431A9">
        <w:rPr>
          <w:noProof/>
        </w:rPr>
        <w:t xml:space="preserve"> </w:t>
      </w:r>
      <w:r w:rsidR="002E27BD" w:rsidRPr="008431A9">
        <w:rPr>
          <w:noProof/>
        </w:rPr>
        <w:t xml:space="preserve">indicating </w:t>
      </w:r>
      <w:r w:rsidR="4696A5D4" w:rsidRPr="008431A9">
        <w:rPr>
          <w:noProof/>
        </w:rPr>
        <w:t xml:space="preserve">at inaccuracies in the application without triggering the opposition procedure. </w:t>
      </w:r>
    </w:p>
    <w:p w:rsidR="00E775BE" w:rsidRPr="008431A9" w:rsidRDefault="00E775BE" w:rsidP="00263658">
      <w:pPr>
        <w:pStyle w:val="Titrearticle"/>
        <w:rPr>
          <w:noProof/>
        </w:rPr>
      </w:pPr>
      <w:r w:rsidRPr="008431A9">
        <w:rPr>
          <w:noProof/>
        </w:rPr>
        <w:t>Article 4</w:t>
      </w:r>
    </w:p>
    <w:p w:rsidR="00E775BE" w:rsidRPr="008431A9" w:rsidRDefault="00E775BE" w:rsidP="00843D97">
      <w:pPr>
        <w:pStyle w:val="NormalCentered"/>
        <w:rPr>
          <w:b/>
          <w:noProof/>
        </w:rPr>
      </w:pPr>
      <w:r w:rsidRPr="008431A9">
        <w:rPr>
          <w:b/>
          <w:noProof/>
        </w:rPr>
        <w:t>Data protection</w:t>
      </w:r>
    </w:p>
    <w:p w:rsidR="00E775BE" w:rsidRPr="008431A9" w:rsidRDefault="00B34B72" w:rsidP="00B34B72">
      <w:pPr>
        <w:pStyle w:val="ManualNumPar1"/>
        <w:rPr>
          <w:noProof/>
        </w:rPr>
      </w:pPr>
      <w:r w:rsidRPr="00B34B72">
        <w:t>1.</w:t>
      </w:r>
      <w:r w:rsidRPr="00B34B72">
        <w:tab/>
      </w:r>
      <w:r w:rsidR="0DEE9BAD" w:rsidRPr="008431A9">
        <w:rPr>
          <w:noProof/>
        </w:rPr>
        <w:t xml:space="preserve">The Commission and the Office shall be considered controllers within the meaning of </w:t>
      </w:r>
      <w:r w:rsidR="0DEE9BAD" w:rsidRPr="008431A9">
        <w:rPr>
          <w:rFonts w:eastAsia="Times New Roman"/>
          <w:noProof/>
        </w:rPr>
        <w:t xml:space="preserve">Article 3, point </w:t>
      </w:r>
      <w:r w:rsidR="002E27BD" w:rsidRPr="008431A9">
        <w:rPr>
          <w:rFonts w:eastAsia="Times New Roman"/>
          <w:noProof/>
        </w:rPr>
        <w:t>(</w:t>
      </w:r>
      <w:r w:rsidR="0DEE9BAD" w:rsidRPr="008431A9">
        <w:rPr>
          <w:rFonts w:eastAsia="Times New Roman"/>
          <w:noProof/>
        </w:rPr>
        <w:t>9</w:t>
      </w:r>
      <w:r w:rsidR="002E27BD" w:rsidRPr="008431A9">
        <w:rPr>
          <w:rFonts w:eastAsia="Times New Roman"/>
          <w:noProof/>
        </w:rPr>
        <w:t>)</w:t>
      </w:r>
      <w:r w:rsidR="0DEE9BAD" w:rsidRPr="008431A9">
        <w:rPr>
          <w:rFonts w:eastAsia="Times New Roman"/>
          <w:noProof/>
        </w:rPr>
        <w:t xml:space="preserve">, </w:t>
      </w:r>
      <w:r w:rsidR="0DEE9BAD" w:rsidRPr="008431A9">
        <w:rPr>
          <w:noProof/>
        </w:rPr>
        <w:t>of Regulation (EU) 2018/1725 of the European Parliament and of the Council</w:t>
      </w:r>
      <w:r w:rsidR="00E775BE" w:rsidRPr="008431A9">
        <w:rPr>
          <w:rStyle w:val="FootnoteReference"/>
          <w:rFonts w:eastAsiaTheme="minorEastAsia"/>
          <w:noProof/>
        </w:rPr>
        <w:footnoteReference w:id="30"/>
      </w:r>
      <w:r w:rsidR="0DEE9BAD" w:rsidRPr="008431A9">
        <w:rPr>
          <w:noProof/>
        </w:rPr>
        <w:t xml:space="preserve"> in relation to the processing of personal data in the procedure it is competent for in accordance with this Regulation.</w:t>
      </w:r>
    </w:p>
    <w:p w:rsidR="00E775BE" w:rsidRPr="008431A9" w:rsidRDefault="00B34B72" w:rsidP="00B34B72">
      <w:pPr>
        <w:pStyle w:val="ManualNumPar1"/>
        <w:rPr>
          <w:noProof/>
        </w:rPr>
      </w:pPr>
      <w:r w:rsidRPr="00B34B72">
        <w:t>2.</w:t>
      </w:r>
      <w:r w:rsidRPr="00B34B72">
        <w:tab/>
      </w:r>
      <w:r w:rsidR="4696A5D4" w:rsidRPr="008431A9">
        <w:rPr>
          <w:noProof/>
        </w:rPr>
        <w:t xml:space="preserve">The competent authorities of Member States shall be considered controllers within the meaning of </w:t>
      </w:r>
      <w:r w:rsidR="4696A5D4" w:rsidRPr="008431A9">
        <w:rPr>
          <w:rFonts w:eastAsia="Times New Roman"/>
          <w:noProof/>
        </w:rPr>
        <w:t xml:space="preserve">Article 4, point </w:t>
      </w:r>
      <w:r w:rsidR="002E27BD" w:rsidRPr="008431A9">
        <w:rPr>
          <w:rFonts w:eastAsia="Times New Roman"/>
          <w:noProof/>
        </w:rPr>
        <w:t>(</w:t>
      </w:r>
      <w:r w:rsidR="4696A5D4" w:rsidRPr="008431A9">
        <w:rPr>
          <w:rFonts w:eastAsia="Times New Roman"/>
          <w:noProof/>
        </w:rPr>
        <w:t>7</w:t>
      </w:r>
      <w:r w:rsidR="002E27BD" w:rsidRPr="008431A9">
        <w:rPr>
          <w:rFonts w:eastAsia="Times New Roman"/>
          <w:noProof/>
        </w:rPr>
        <w:t>)</w:t>
      </w:r>
      <w:r w:rsidR="4696A5D4" w:rsidRPr="008431A9">
        <w:rPr>
          <w:rFonts w:eastAsia="Times New Roman"/>
          <w:noProof/>
        </w:rPr>
        <w:t xml:space="preserve">, of </w:t>
      </w:r>
      <w:r w:rsidR="4696A5D4" w:rsidRPr="008431A9">
        <w:rPr>
          <w:noProof/>
        </w:rPr>
        <w:t>Regulation (EU) 2016/679 of the European Parliament and of the Council</w:t>
      </w:r>
      <w:r w:rsidR="00E775BE" w:rsidRPr="008431A9">
        <w:rPr>
          <w:rStyle w:val="FootnoteReference"/>
          <w:rFonts w:eastAsiaTheme="minorEastAsia"/>
          <w:noProof/>
        </w:rPr>
        <w:footnoteReference w:id="31"/>
      </w:r>
      <w:r w:rsidR="4696A5D4" w:rsidRPr="008431A9">
        <w:rPr>
          <w:noProof/>
        </w:rPr>
        <w:t xml:space="preserve"> in relation to the processing of personal data in the procedures </w:t>
      </w:r>
      <w:r w:rsidR="002E27BD" w:rsidRPr="008431A9">
        <w:rPr>
          <w:noProof/>
        </w:rPr>
        <w:t xml:space="preserve">for which </w:t>
      </w:r>
      <w:r w:rsidR="4696A5D4" w:rsidRPr="008431A9">
        <w:rPr>
          <w:noProof/>
        </w:rPr>
        <w:t>they are competent in accordance with this Regulation</w:t>
      </w:r>
      <w:r w:rsidR="4696A5D4" w:rsidRPr="008431A9">
        <w:rPr>
          <w:noProof/>
          <w:szCs w:val="24"/>
        </w:rPr>
        <w:t>.</w:t>
      </w:r>
    </w:p>
    <w:p w:rsidR="00E775BE" w:rsidRPr="008431A9" w:rsidRDefault="00E775BE" w:rsidP="00263658">
      <w:pPr>
        <w:pStyle w:val="Titrearticle"/>
        <w:rPr>
          <w:iCs/>
          <w:noProof/>
        </w:rPr>
      </w:pPr>
      <w:r w:rsidRPr="008431A9">
        <w:rPr>
          <w:noProof/>
        </w:rPr>
        <w:t>Article 5</w:t>
      </w:r>
    </w:p>
    <w:p w:rsidR="00E775BE" w:rsidRPr="008431A9" w:rsidRDefault="00E775BE" w:rsidP="00843D97">
      <w:pPr>
        <w:pStyle w:val="NormalCentered"/>
        <w:rPr>
          <w:b/>
          <w:noProof/>
        </w:rPr>
      </w:pPr>
      <w:r w:rsidRPr="008431A9">
        <w:rPr>
          <w:b/>
          <w:noProof/>
        </w:rPr>
        <w:t>Requirements for a geographical indication</w:t>
      </w:r>
    </w:p>
    <w:p w:rsidR="00E775BE" w:rsidRPr="008431A9" w:rsidRDefault="00F65F32" w:rsidP="5E05DC57">
      <w:pPr>
        <w:rPr>
          <w:rFonts w:eastAsia="Times New Roman"/>
          <w:noProof/>
        </w:rPr>
      </w:pPr>
      <w:r w:rsidRPr="008431A9">
        <w:rPr>
          <w:rFonts w:eastAsia="Times New Roman"/>
          <w:noProof/>
        </w:rPr>
        <w:t xml:space="preserve">For the name of a craft and industrial product to qualify for “geographical indication” protection, the product shall </w:t>
      </w:r>
      <w:r w:rsidR="6F4C1365" w:rsidRPr="008431A9">
        <w:rPr>
          <w:rFonts w:eastAsia="Times New Roman"/>
          <w:noProof/>
        </w:rPr>
        <w:t>compl</w:t>
      </w:r>
      <w:r w:rsidRPr="008431A9">
        <w:rPr>
          <w:rFonts w:eastAsia="Times New Roman"/>
          <w:noProof/>
        </w:rPr>
        <w:t>y</w:t>
      </w:r>
      <w:r w:rsidR="6F4C1365" w:rsidRPr="008431A9">
        <w:rPr>
          <w:rFonts w:eastAsia="Times New Roman"/>
          <w:noProof/>
        </w:rPr>
        <w:t xml:space="preserve"> with the following requirements:</w:t>
      </w:r>
    </w:p>
    <w:p w:rsidR="00E775BE" w:rsidRPr="008431A9" w:rsidRDefault="00B34B72" w:rsidP="00B34B72">
      <w:pPr>
        <w:pStyle w:val="Point0"/>
        <w:rPr>
          <w:noProof/>
        </w:rPr>
      </w:pPr>
      <w:r w:rsidRPr="00B34B72">
        <w:t>(a)</w:t>
      </w:r>
      <w:r w:rsidRPr="00B34B72">
        <w:tab/>
      </w:r>
      <w:r w:rsidR="00F76F39" w:rsidRPr="008431A9">
        <w:rPr>
          <w:noProof/>
        </w:rPr>
        <w:t xml:space="preserve">The product </w:t>
      </w:r>
      <w:r w:rsidR="67833288" w:rsidRPr="008431A9">
        <w:rPr>
          <w:noProof/>
        </w:rPr>
        <w:t>originat</w:t>
      </w:r>
      <w:r w:rsidR="00F76F39" w:rsidRPr="008431A9">
        <w:rPr>
          <w:noProof/>
        </w:rPr>
        <w:t>es</w:t>
      </w:r>
      <w:r w:rsidR="67833288" w:rsidRPr="008431A9">
        <w:rPr>
          <w:noProof/>
        </w:rPr>
        <w:t xml:space="preserve"> in a specific place, region or country;</w:t>
      </w:r>
    </w:p>
    <w:p w:rsidR="00E775BE" w:rsidRPr="008431A9" w:rsidRDefault="00B34B72" w:rsidP="00B34B72">
      <w:pPr>
        <w:pStyle w:val="Point0"/>
        <w:rPr>
          <w:noProof/>
        </w:rPr>
      </w:pPr>
      <w:r w:rsidRPr="00B34B72">
        <w:t>(b)</w:t>
      </w:r>
      <w:r w:rsidRPr="00B34B72">
        <w:tab/>
      </w:r>
      <w:r w:rsidR="00F76F39" w:rsidRPr="008431A9">
        <w:rPr>
          <w:noProof/>
        </w:rPr>
        <w:t xml:space="preserve">Its </w:t>
      </w:r>
      <w:r w:rsidR="67833288" w:rsidRPr="008431A9">
        <w:rPr>
          <w:noProof/>
        </w:rPr>
        <w:t>given quality, reputation or other characteristic is essentially attributable to its geographical origin; and</w:t>
      </w:r>
    </w:p>
    <w:p w:rsidR="00F76F39" w:rsidRPr="008431A9" w:rsidRDefault="00B34B72" w:rsidP="00B34B72">
      <w:pPr>
        <w:pStyle w:val="Point0"/>
        <w:rPr>
          <w:noProof/>
        </w:rPr>
      </w:pPr>
      <w:r w:rsidRPr="00B34B72">
        <w:t>(c)</w:t>
      </w:r>
      <w:r w:rsidRPr="00B34B72">
        <w:tab/>
      </w:r>
      <w:r w:rsidR="67833288" w:rsidRPr="008431A9">
        <w:rPr>
          <w:noProof/>
        </w:rPr>
        <w:t xml:space="preserve">at least one of the production steps </w:t>
      </w:r>
      <w:r w:rsidR="00F76F39" w:rsidRPr="008431A9">
        <w:rPr>
          <w:noProof/>
        </w:rPr>
        <w:t xml:space="preserve">of the product </w:t>
      </w:r>
      <w:r w:rsidR="67833288" w:rsidRPr="008431A9">
        <w:rPr>
          <w:noProof/>
        </w:rPr>
        <w:t>takes place in the defined geographical area.</w:t>
      </w:r>
    </w:p>
    <w:p w:rsidR="00E775BE" w:rsidRPr="008431A9" w:rsidRDefault="00E775BE" w:rsidP="00425C71">
      <w:pPr>
        <w:pStyle w:val="PartTitle"/>
        <w:rPr>
          <w:b w:val="0"/>
          <w:bCs/>
          <w:noProof/>
          <w:szCs w:val="24"/>
        </w:rPr>
      </w:pPr>
      <w:r w:rsidRPr="008431A9">
        <w:rPr>
          <w:noProof/>
        </w:rPr>
        <w:lastRenderedPageBreak/>
        <w:t>TITLE II</w:t>
      </w:r>
      <w:r w:rsidR="00425C71" w:rsidRPr="008431A9">
        <w:rPr>
          <w:noProof/>
        </w:rPr>
        <w:br/>
      </w:r>
      <w:r w:rsidRPr="008431A9">
        <w:rPr>
          <w:bCs/>
          <w:noProof/>
        </w:rPr>
        <w:t>REGISTRATION OF GEOGRAPHICAL INDICATIONS</w:t>
      </w:r>
    </w:p>
    <w:p w:rsidR="00E775BE" w:rsidRPr="008431A9" w:rsidRDefault="00E775BE" w:rsidP="00425C71">
      <w:pPr>
        <w:pStyle w:val="ChapterTitle"/>
        <w:rPr>
          <w:noProof/>
        </w:rPr>
      </w:pPr>
      <w:r w:rsidRPr="008431A9">
        <w:rPr>
          <w:noProof/>
        </w:rPr>
        <w:t>Chapter 1</w:t>
      </w:r>
      <w:r w:rsidR="00425C71" w:rsidRPr="008431A9">
        <w:rPr>
          <w:noProof/>
        </w:rPr>
        <w:br/>
      </w:r>
      <w:r w:rsidRPr="008431A9">
        <w:rPr>
          <w:noProof/>
        </w:rPr>
        <w:t>General Provisions</w:t>
      </w:r>
    </w:p>
    <w:p w:rsidR="00E775BE" w:rsidRPr="008431A9" w:rsidRDefault="00E775BE" w:rsidP="00263658">
      <w:pPr>
        <w:pStyle w:val="Titrearticle"/>
        <w:rPr>
          <w:noProof/>
        </w:rPr>
      </w:pPr>
      <w:r w:rsidRPr="008431A9">
        <w:rPr>
          <w:noProof/>
        </w:rPr>
        <w:t>Article 6</w:t>
      </w:r>
    </w:p>
    <w:p w:rsidR="00E775BE" w:rsidRPr="008431A9" w:rsidRDefault="00E775BE" w:rsidP="00843D97">
      <w:pPr>
        <w:pStyle w:val="NormalCentered"/>
        <w:rPr>
          <w:b/>
          <w:noProof/>
        </w:rPr>
      </w:pPr>
      <w:r w:rsidRPr="008431A9">
        <w:rPr>
          <w:b/>
          <w:noProof/>
        </w:rPr>
        <w:t>Applicant</w:t>
      </w:r>
    </w:p>
    <w:p w:rsidR="00E775BE" w:rsidRPr="008431A9" w:rsidRDefault="00B34B72" w:rsidP="00B34B72">
      <w:pPr>
        <w:pStyle w:val="ManualNumPar1"/>
        <w:rPr>
          <w:rFonts w:eastAsiaTheme="minorEastAsia"/>
          <w:noProof/>
          <w:szCs w:val="24"/>
        </w:rPr>
      </w:pPr>
      <w:r w:rsidRPr="00B34B72">
        <w:t>1.</w:t>
      </w:r>
      <w:r w:rsidRPr="00B34B72">
        <w:tab/>
      </w:r>
      <w:r w:rsidR="4696A5D4" w:rsidRPr="008431A9">
        <w:rPr>
          <w:noProof/>
        </w:rPr>
        <w:t xml:space="preserve">Applications for </w:t>
      </w:r>
      <w:r w:rsidR="002E27BD" w:rsidRPr="008431A9">
        <w:rPr>
          <w:noProof/>
        </w:rPr>
        <w:t xml:space="preserve">the </w:t>
      </w:r>
      <w:r w:rsidR="4696A5D4" w:rsidRPr="008431A9">
        <w:rPr>
          <w:noProof/>
        </w:rPr>
        <w:t xml:space="preserve">registration of geographical indications </w:t>
      </w:r>
      <w:r w:rsidR="00D93055" w:rsidRPr="008431A9">
        <w:rPr>
          <w:noProof/>
        </w:rPr>
        <w:t xml:space="preserve">shall </w:t>
      </w:r>
      <w:r w:rsidR="4696A5D4" w:rsidRPr="008431A9">
        <w:rPr>
          <w:noProof/>
        </w:rPr>
        <w:t xml:space="preserve">only be submitted by a producer group </w:t>
      </w:r>
      <w:r w:rsidR="7790580A" w:rsidRPr="008431A9">
        <w:rPr>
          <w:noProof/>
        </w:rPr>
        <w:t xml:space="preserve">of a </w:t>
      </w:r>
      <w:r w:rsidR="4696A5D4" w:rsidRPr="008431A9">
        <w:rPr>
          <w:noProof/>
        </w:rPr>
        <w:t>product</w:t>
      </w:r>
      <w:r w:rsidR="7790580A" w:rsidRPr="008431A9">
        <w:rPr>
          <w:noProof/>
        </w:rPr>
        <w:t xml:space="preserve"> (‘applicant producer group’)</w:t>
      </w:r>
      <w:r w:rsidR="4696A5D4" w:rsidRPr="008431A9">
        <w:rPr>
          <w:noProof/>
        </w:rPr>
        <w:t xml:space="preserve">, </w:t>
      </w:r>
      <w:r w:rsidR="7790580A" w:rsidRPr="008431A9">
        <w:rPr>
          <w:noProof/>
        </w:rPr>
        <w:t xml:space="preserve">the </w:t>
      </w:r>
      <w:r w:rsidR="4696A5D4" w:rsidRPr="008431A9">
        <w:rPr>
          <w:noProof/>
        </w:rPr>
        <w:t>name</w:t>
      </w:r>
      <w:r w:rsidR="7790580A" w:rsidRPr="008431A9">
        <w:rPr>
          <w:noProof/>
        </w:rPr>
        <w:t xml:space="preserve"> of which</w:t>
      </w:r>
      <w:r w:rsidR="4696A5D4" w:rsidRPr="008431A9">
        <w:rPr>
          <w:noProof/>
        </w:rPr>
        <w:t xml:space="preserve"> is proposed for registration. </w:t>
      </w:r>
      <w:r w:rsidR="4696A5D4" w:rsidRPr="008431A9">
        <w:rPr>
          <w:rFonts w:eastAsia="Times New Roman"/>
          <w:noProof/>
        </w:rPr>
        <w:t>Regional or local public entities may help in the preparation of the application and in the related procedure.</w:t>
      </w:r>
    </w:p>
    <w:p w:rsidR="00E775BE" w:rsidRPr="008431A9" w:rsidRDefault="00B34B72" w:rsidP="00B34B72">
      <w:pPr>
        <w:pStyle w:val="ManualNumPar1"/>
        <w:rPr>
          <w:noProof/>
        </w:rPr>
      </w:pPr>
      <w:r w:rsidRPr="00B34B72">
        <w:t>2.</w:t>
      </w:r>
      <w:r w:rsidRPr="00B34B72">
        <w:tab/>
      </w:r>
      <w:r w:rsidR="4696A5D4" w:rsidRPr="008431A9">
        <w:rPr>
          <w:noProof/>
        </w:rPr>
        <w:t xml:space="preserve">An authority designated by a Member State may </w:t>
      </w:r>
      <w:r w:rsidR="74EEC77F" w:rsidRPr="008431A9">
        <w:rPr>
          <w:noProof/>
        </w:rPr>
        <w:t xml:space="preserve">be deemed to be </w:t>
      </w:r>
      <w:r w:rsidR="4696A5D4" w:rsidRPr="008431A9">
        <w:rPr>
          <w:noProof/>
        </w:rPr>
        <w:t>a</w:t>
      </w:r>
      <w:r w:rsidR="74EEC77F" w:rsidRPr="008431A9">
        <w:rPr>
          <w:noProof/>
        </w:rPr>
        <w:t>n applicant</w:t>
      </w:r>
      <w:r w:rsidR="4696A5D4" w:rsidRPr="008431A9">
        <w:rPr>
          <w:noProof/>
        </w:rPr>
        <w:t xml:space="preserve"> producer group for the purposes of </w:t>
      </w:r>
      <w:r w:rsidR="74EEC77F" w:rsidRPr="008431A9">
        <w:rPr>
          <w:noProof/>
        </w:rPr>
        <w:t>this Title,</w:t>
      </w:r>
      <w:r w:rsidR="4696A5D4" w:rsidRPr="008431A9">
        <w:rPr>
          <w:noProof/>
        </w:rPr>
        <w:t xml:space="preserve"> if it is not feasible for the producers concerned to form a group by reason of their number, geographical location or organisational characteristics.</w:t>
      </w:r>
      <w:r w:rsidR="0077323F" w:rsidRPr="008431A9">
        <w:rPr>
          <w:noProof/>
        </w:rPr>
        <w:t xml:space="preserve"> Where such representation takes place,</w:t>
      </w:r>
      <w:r w:rsidR="4696A5D4" w:rsidRPr="008431A9">
        <w:rPr>
          <w:noProof/>
        </w:rPr>
        <w:t xml:space="preserve"> the application referred to in Article 11(3) shall state these reasons</w:t>
      </w:r>
      <w:r w:rsidR="0077323F" w:rsidRPr="008431A9">
        <w:rPr>
          <w:noProof/>
        </w:rPr>
        <w:t xml:space="preserve"> for such representation</w:t>
      </w:r>
      <w:r w:rsidR="4696A5D4" w:rsidRPr="008431A9">
        <w:rPr>
          <w:noProof/>
        </w:rPr>
        <w:t>.</w:t>
      </w:r>
    </w:p>
    <w:p w:rsidR="00E775BE" w:rsidRPr="008431A9" w:rsidRDefault="00B34B72" w:rsidP="00B34B72">
      <w:pPr>
        <w:pStyle w:val="ManualNumPar1"/>
        <w:rPr>
          <w:noProof/>
        </w:rPr>
      </w:pPr>
      <w:r w:rsidRPr="00B34B72">
        <w:t>3.</w:t>
      </w:r>
      <w:r w:rsidRPr="00B34B72">
        <w:tab/>
      </w:r>
      <w:r w:rsidR="4696A5D4" w:rsidRPr="008431A9">
        <w:rPr>
          <w:noProof/>
        </w:rPr>
        <w:t xml:space="preserve">A </w:t>
      </w:r>
      <w:r w:rsidR="74EEC77F" w:rsidRPr="008431A9">
        <w:rPr>
          <w:noProof/>
        </w:rPr>
        <w:t>single</w:t>
      </w:r>
      <w:r w:rsidR="4696A5D4" w:rsidRPr="008431A9">
        <w:rPr>
          <w:noProof/>
        </w:rPr>
        <w:t xml:space="preserve"> </w:t>
      </w:r>
      <w:r w:rsidR="74EEC77F" w:rsidRPr="008431A9">
        <w:rPr>
          <w:noProof/>
        </w:rPr>
        <w:t>producer</w:t>
      </w:r>
      <w:r w:rsidR="4696A5D4" w:rsidRPr="008431A9">
        <w:rPr>
          <w:noProof/>
        </w:rPr>
        <w:t xml:space="preserve"> may be deemed to be an applicant producer group </w:t>
      </w:r>
      <w:r w:rsidR="74EEC77F" w:rsidRPr="008431A9">
        <w:rPr>
          <w:noProof/>
        </w:rPr>
        <w:t xml:space="preserve">for the purposes of this Title, </w:t>
      </w:r>
      <w:r w:rsidR="4696A5D4" w:rsidRPr="008431A9">
        <w:rPr>
          <w:noProof/>
        </w:rPr>
        <w:t>where both of the following conditions are fulfilled:</w:t>
      </w:r>
    </w:p>
    <w:p w:rsidR="00E775BE" w:rsidRPr="008431A9" w:rsidRDefault="00B34B72" w:rsidP="00B34B72">
      <w:pPr>
        <w:pStyle w:val="Point1"/>
        <w:rPr>
          <w:noProof/>
        </w:rPr>
      </w:pPr>
      <w:r w:rsidRPr="00B34B72">
        <w:t>(a)</w:t>
      </w:r>
      <w:r w:rsidRPr="00B34B72">
        <w:tab/>
      </w:r>
      <w:r w:rsidR="67833288" w:rsidRPr="008431A9">
        <w:rPr>
          <w:noProof/>
        </w:rPr>
        <w:t>the person concerned is the only producer willing to submit an application</w:t>
      </w:r>
      <w:r w:rsidR="180C46F8" w:rsidRPr="008431A9">
        <w:rPr>
          <w:noProof/>
        </w:rPr>
        <w:t xml:space="preserve"> for the registration of a geographical indication</w:t>
      </w:r>
      <w:r w:rsidR="67833288" w:rsidRPr="008431A9">
        <w:rPr>
          <w:noProof/>
        </w:rPr>
        <w:t>;</w:t>
      </w:r>
    </w:p>
    <w:p w:rsidR="00E775BE" w:rsidRPr="008431A9" w:rsidRDefault="00B34B72" w:rsidP="00B34B72">
      <w:pPr>
        <w:pStyle w:val="Point1"/>
        <w:rPr>
          <w:noProof/>
        </w:rPr>
      </w:pPr>
      <w:r w:rsidRPr="00B34B72">
        <w:t>(b)</w:t>
      </w:r>
      <w:r w:rsidRPr="00B34B72">
        <w:tab/>
      </w:r>
      <w:r w:rsidR="180C46F8" w:rsidRPr="008431A9">
        <w:rPr>
          <w:noProof/>
        </w:rPr>
        <w:t>the geographical area concerned is defined by natural features without reference to property boundaries and has characteristics which differ appreciably from those of neighbouring areas or the characteristics of the product are different from those produced in neighbouring areas</w:t>
      </w:r>
      <w:r w:rsidR="67833288" w:rsidRPr="008431A9">
        <w:rPr>
          <w:noProof/>
        </w:rPr>
        <w:t xml:space="preserve">. </w:t>
      </w:r>
    </w:p>
    <w:p w:rsidR="00E775BE" w:rsidRPr="008431A9" w:rsidRDefault="00B34B72" w:rsidP="00B34B72">
      <w:pPr>
        <w:pStyle w:val="ManualNumPar1"/>
        <w:rPr>
          <w:rFonts w:eastAsiaTheme="minorEastAsia"/>
          <w:noProof/>
          <w:szCs w:val="24"/>
        </w:rPr>
      </w:pPr>
      <w:r w:rsidRPr="00B34B72">
        <w:t>4.</w:t>
      </w:r>
      <w:r w:rsidRPr="00B34B72">
        <w:tab/>
      </w:r>
      <w:r w:rsidR="4696A5D4" w:rsidRPr="008431A9">
        <w:rPr>
          <w:noProof/>
        </w:rPr>
        <w:t xml:space="preserve">In the case of a geographical indication that designates a cross-border geographical area, </w:t>
      </w:r>
      <w:r w:rsidR="00963D1C" w:rsidRPr="008431A9">
        <w:rPr>
          <w:noProof/>
        </w:rPr>
        <w:t xml:space="preserve">producer </w:t>
      </w:r>
      <w:r w:rsidR="4696A5D4" w:rsidRPr="008431A9">
        <w:rPr>
          <w:noProof/>
        </w:rPr>
        <w:t xml:space="preserve">groups from different Member States may lodge a joint application for </w:t>
      </w:r>
      <w:r w:rsidR="36E70896" w:rsidRPr="008431A9">
        <w:rPr>
          <w:noProof/>
        </w:rPr>
        <w:t xml:space="preserve">the </w:t>
      </w:r>
      <w:r w:rsidR="4696A5D4" w:rsidRPr="008431A9">
        <w:rPr>
          <w:noProof/>
        </w:rPr>
        <w:t>registration</w:t>
      </w:r>
      <w:r w:rsidR="36E70896" w:rsidRPr="008431A9">
        <w:rPr>
          <w:noProof/>
        </w:rPr>
        <w:t xml:space="preserve"> of a geographical indication</w:t>
      </w:r>
      <w:r w:rsidR="00963D1C" w:rsidRPr="008431A9">
        <w:rPr>
          <w:noProof/>
        </w:rPr>
        <w:t xml:space="preserve"> from either Member State</w:t>
      </w:r>
      <w:r w:rsidR="4696A5D4" w:rsidRPr="008431A9">
        <w:rPr>
          <w:noProof/>
        </w:rPr>
        <w:t xml:space="preserve">. </w:t>
      </w:r>
      <w:r w:rsidR="00963D1C" w:rsidRPr="008431A9">
        <w:rPr>
          <w:noProof/>
        </w:rPr>
        <w:t>When the cross-border geographical area concerns a Member State and a third country, the</w:t>
      </w:r>
      <w:r w:rsidR="00FD77B3" w:rsidRPr="008431A9">
        <w:rPr>
          <w:noProof/>
        </w:rPr>
        <w:t>y</w:t>
      </w:r>
      <w:r w:rsidR="00963D1C" w:rsidRPr="008431A9">
        <w:rPr>
          <w:noProof/>
        </w:rPr>
        <w:t xml:space="preserve"> may lodge a joint application for registration with the national authority of the Member State concerned. When the cross-border geographical area concerns several third countries, several producer groups may lodge a joint application</w:t>
      </w:r>
      <w:r w:rsidR="00376AB1" w:rsidRPr="008431A9">
        <w:rPr>
          <w:noProof/>
        </w:rPr>
        <w:t xml:space="preserve"> with the Office</w:t>
      </w:r>
      <w:r w:rsidR="00963D1C" w:rsidRPr="008431A9">
        <w:rPr>
          <w:noProof/>
        </w:rPr>
        <w:t xml:space="preserve">. </w:t>
      </w:r>
    </w:p>
    <w:p w:rsidR="00E775BE" w:rsidRPr="008431A9" w:rsidRDefault="00E775BE" w:rsidP="00263658">
      <w:pPr>
        <w:pStyle w:val="Titrearticle"/>
        <w:rPr>
          <w:noProof/>
        </w:rPr>
      </w:pPr>
      <w:r w:rsidRPr="008431A9">
        <w:rPr>
          <w:noProof/>
        </w:rPr>
        <w:t xml:space="preserve">Article </w:t>
      </w:r>
      <w:r w:rsidRPr="008431A9">
        <w:rPr>
          <w:iCs/>
          <w:noProof/>
        </w:rPr>
        <w:t>7</w:t>
      </w:r>
    </w:p>
    <w:p w:rsidR="00E775BE" w:rsidRPr="008431A9" w:rsidRDefault="00E775BE" w:rsidP="00843D97">
      <w:pPr>
        <w:pStyle w:val="NormalCentered"/>
        <w:rPr>
          <w:b/>
          <w:noProof/>
        </w:rPr>
      </w:pPr>
      <w:r w:rsidRPr="008431A9">
        <w:rPr>
          <w:b/>
          <w:noProof/>
        </w:rPr>
        <w:t>Product specification</w:t>
      </w:r>
    </w:p>
    <w:p w:rsidR="00E775BE" w:rsidRPr="008431A9" w:rsidRDefault="00B34B72" w:rsidP="00B34B72">
      <w:pPr>
        <w:pStyle w:val="ManualNumPar1"/>
        <w:rPr>
          <w:rFonts w:eastAsiaTheme="minorEastAsia"/>
          <w:noProof/>
          <w:szCs w:val="24"/>
        </w:rPr>
      </w:pPr>
      <w:r w:rsidRPr="00B34B72">
        <w:t>1.</w:t>
      </w:r>
      <w:r w:rsidRPr="00B34B72">
        <w:tab/>
      </w:r>
      <w:r w:rsidR="00963D1C" w:rsidRPr="008431A9">
        <w:rPr>
          <w:noProof/>
        </w:rPr>
        <w:t>Craft and industrial p</w:t>
      </w:r>
      <w:r w:rsidR="4696A5D4" w:rsidRPr="008431A9">
        <w:rPr>
          <w:noProof/>
        </w:rPr>
        <w:t xml:space="preserve">roducts </w:t>
      </w:r>
      <w:r w:rsidR="32EC2B6D" w:rsidRPr="008431A9">
        <w:rPr>
          <w:noProof/>
        </w:rPr>
        <w:t xml:space="preserve">the names of which are registered as </w:t>
      </w:r>
      <w:r w:rsidR="4696A5D4" w:rsidRPr="008431A9">
        <w:rPr>
          <w:noProof/>
        </w:rPr>
        <w:t xml:space="preserve">a geographical indication shall comply with a product specification, which </w:t>
      </w:r>
      <w:r w:rsidR="32EC2B6D" w:rsidRPr="008431A9">
        <w:rPr>
          <w:noProof/>
        </w:rPr>
        <w:t xml:space="preserve">shall </w:t>
      </w:r>
      <w:r w:rsidR="4696A5D4" w:rsidRPr="008431A9">
        <w:rPr>
          <w:noProof/>
        </w:rPr>
        <w:t>include</w:t>
      </w:r>
      <w:r w:rsidR="32EC2B6D" w:rsidRPr="008431A9">
        <w:rPr>
          <w:noProof/>
        </w:rPr>
        <w:t xml:space="preserve"> at least</w:t>
      </w:r>
      <w:r w:rsidR="4696A5D4" w:rsidRPr="008431A9">
        <w:rPr>
          <w:noProof/>
        </w:rPr>
        <w:t>:</w:t>
      </w:r>
    </w:p>
    <w:p w:rsidR="00E775BE" w:rsidRPr="008431A9" w:rsidRDefault="00B34B72" w:rsidP="00B34B72">
      <w:pPr>
        <w:pStyle w:val="Point1"/>
        <w:rPr>
          <w:noProof/>
        </w:rPr>
      </w:pPr>
      <w:r w:rsidRPr="00B34B72">
        <w:t>(a)</w:t>
      </w:r>
      <w:r w:rsidRPr="00B34B72">
        <w:tab/>
      </w:r>
      <w:r w:rsidR="67833288" w:rsidRPr="008431A9">
        <w:rPr>
          <w:noProof/>
        </w:rPr>
        <w:t>the name to be protected as geographical indication</w:t>
      </w:r>
      <w:r w:rsidR="10574339" w:rsidRPr="008431A9">
        <w:rPr>
          <w:noProof/>
        </w:rPr>
        <w:t xml:space="preserve"> which may be either a geographical name of the place of production of a specific product, or a name used in trade or in common language to describe the specific product in the defined geographical area</w:t>
      </w:r>
      <w:r w:rsidR="67833288" w:rsidRPr="008431A9">
        <w:rPr>
          <w:noProof/>
        </w:rPr>
        <w:t>;</w:t>
      </w:r>
    </w:p>
    <w:p w:rsidR="00E775BE" w:rsidRPr="008431A9" w:rsidRDefault="00B34B72" w:rsidP="00B34B72">
      <w:pPr>
        <w:pStyle w:val="Point1"/>
        <w:rPr>
          <w:noProof/>
        </w:rPr>
      </w:pPr>
      <w:r w:rsidRPr="00B34B72">
        <w:t>(b)</w:t>
      </w:r>
      <w:r w:rsidRPr="00B34B72">
        <w:tab/>
      </w:r>
      <w:r w:rsidR="67833288" w:rsidRPr="008431A9">
        <w:rPr>
          <w:noProof/>
        </w:rPr>
        <w:t xml:space="preserve">a description of the product, including, if appropriate, the raw materials; </w:t>
      </w:r>
    </w:p>
    <w:p w:rsidR="00AB25E3" w:rsidRPr="008431A9" w:rsidRDefault="00B34B72" w:rsidP="00B34B72">
      <w:pPr>
        <w:pStyle w:val="Point1"/>
        <w:rPr>
          <w:noProof/>
        </w:rPr>
      </w:pPr>
      <w:r w:rsidRPr="00B34B72">
        <w:lastRenderedPageBreak/>
        <w:t>(c)</w:t>
      </w:r>
      <w:r w:rsidRPr="00B34B72">
        <w:tab/>
      </w:r>
      <w:r w:rsidR="67833288" w:rsidRPr="008431A9">
        <w:rPr>
          <w:noProof/>
        </w:rPr>
        <w:t xml:space="preserve">the specification of the </w:t>
      </w:r>
      <w:r w:rsidR="00725A7B" w:rsidRPr="008431A9">
        <w:rPr>
          <w:noProof/>
        </w:rPr>
        <w:t xml:space="preserve">defined </w:t>
      </w:r>
      <w:r w:rsidR="67833288" w:rsidRPr="008431A9">
        <w:rPr>
          <w:noProof/>
        </w:rPr>
        <w:t>geographical area creating the link referred to in point (</w:t>
      </w:r>
      <w:r w:rsidR="00935737" w:rsidRPr="008431A9">
        <w:rPr>
          <w:noProof/>
        </w:rPr>
        <w:t>g</w:t>
      </w:r>
      <w:r w:rsidR="67833288" w:rsidRPr="008431A9">
        <w:rPr>
          <w:noProof/>
        </w:rPr>
        <w:t>)</w:t>
      </w:r>
      <w:r w:rsidR="00A351A5" w:rsidRPr="008431A9">
        <w:rPr>
          <w:noProof/>
        </w:rPr>
        <w:t xml:space="preserve">, </w:t>
      </w:r>
    </w:p>
    <w:p w:rsidR="00AB25E3" w:rsidRPr="008431A9" w:rsidRDefault="00B34B72" w:rsidP="00B34B72">
      <w:pPr>
        <w:pStyle w:val="Point1"/>
        <w:rPr>
          <w:noProof/>
        </w:rPr>
      </w:pPr>
      <w:r w:rsidRPr="00B34B72">
        <w:t>(d)</w:t>
      </w:r>
      <w:r w:rsidRPr="00B34B72">
        <w:tab/>
      </w:r>
      <w:r w:rsidR="00AB25E3" w:rsidRPr="008431A9">
        <w:rPr>
          <w:noProof/>
        </w:rPr>
        <w:t>evidence that the product originates in the defined geograp</w:t>
      </w:r>
      <w:r w:rsidR="00935737" w:rsidRPr="008431A9">
        <w:rPr>
          <w:noProof/>
        </w:rPr>
        <w:t xml:space="preserve">hical area specified in </w:t>
      </w:r>
      <w:r w:rsidR="00AB25E3" w:rsidRPr="008431A9">
        <w:rPr>
          <w:noProof/>
        </w:rPr>
        <w:t>Article 5</w:t>
      </w:r>
      <w:r w:rsidR="00F01DB1" w:rsidRPr="008431A9">
        <w:rPr>
          <w:noProof/>
        </w:rPr>
        <w:t>, point (c)</w:t>
      </w:r>
      <w:r w:rsidR="00AB25E3" w:rsidRPr="008431A9">
        <w:rPr>
          <w:noProof/>
        </w:rPr>
        <w:t>;</w:t>
      </w:r>
    </w:p>
    <w:p w:rsidR="00E264A8" w:rsidRPr="008431A9" w:rsidRDefault="00B34B72" w:rsidP="00B34B72">
      <w:pPr>
        <w:pStyle w:val="Point1"/>
        <w:rPr>
          <w:noProof/>
        </w:rPr>
      </w:pPr>
      <w:r w:rsidRPr="00B34B72">
        <w:t>(e)</w:t>
      </w:r>
      <w:r w:rsidRPr="00B34B72">
        <w:tab/>
      </w:r>
      <w:r w:rsidR="00E775BE" w:rsidRPr="008431A9">
        <w:rPr>
          <w:noProof/>
        </w:rPr>
        <w:t xml:space="preserve">a description of the method of </w:t>
      </w:r>
      <w:r w:rsidR="0077323F" w:rsidRPr="008431A9">
        <w:rPr>
          <w:noProof/>
        </w:rPr>
        <w:t xml:space="preserve">producing or </w:t>
      </w:r>
      <w:r w:rsidR="00E775BE" w:rsidRPr="008431A9">
        <w:rPr>
          <w:noProof/>
        </w:rPr>
        <w:t xml:space="preserve">obtaining the product and, where appropriate, the traditional methods and specific practices used; </w:t>
      </w:r>
    </w:p>
    <w:p w:rsidR="00E264A8" w:rsidRPr="008431A9" w:rsidRDefault="00B34B72" w:rsidP="00B34B72">
      <w:pPr>
        <w:pStyle w:val="Point1"/>
        <w:rPr>
          <w:noProof/>
        </w:rPr>
      </w:pPr>
      <w:r w:rsidRPr="00B34B72">
        <w:t>(f)</w:t>
      </w:r>
      <w:r w:rsidRPr="00B34B72">
        <w:tab/>
      </w:r>
      <w:r w:rsidR="00E775BE" w:rsidRPr="008431A9">
        <w:rPr>
          <w:noProof/>
        </w:rPr>
        <w:t xml:space="preserve">information concerning packaging, </w:t>
      </w:r>
      <w:r w:rsidR="0077323F" w:rsidRPr="008431A9">
        <w:rPr>
          <w:noProof/>
        </w:rPr>
        <w:t xml:space="preserve">where </w:t>
      </w:r>
      <w:r w:rsidR="00E775BE" w:rsidRPr="008431A9">
        <w:rPr>
          <w:noProof/>
        </w:rPr>
        <w:t xml:space="preserve">the applicant </w:t>
      </w:r>
      <w:r w:rsidR="000C2430" w:rsidRPr="008431A9">
        <w:rPr>
          <w:noProof/>
        </w:rPr>
        <w:t xml:space="preserve">producer </w:t>
      </w:r>
      <w:r w:rsidR="00E775BE" w:rsidRPr="008431A9">
        <w:rPr>
          <w:noProof/>
        </w:rPr>
        <w:t xml:space="preserve">group </w:t>
      </w:r>
      <w:r w:rsidR="00D313AF" w:rsidRPr="008431A9">
        <w:rPr>
          <w:noProof/>
        </w:rPr>
        <w:t xml:space="preserve">so </w:t>
      </w:r>
      <w:r w:rsidR="00E775BE" w:rsidRPr="008431A9">
        <w:rPr>
          <w:noProof/>
        </w:rPr>
        <w:t xml:space="preserve">determines and gives sufficient product-specific justification as to why the packaging must take place in the defined geographical area to safeguard quality, to ensure the origin or to ensure control, taking into account Union law, in particular </w:t>
      </w:r>
      <w:r w:rsidR="00D313AF" w:rsidRPr="008431A9">
        <w:rPr>
          <w:noProof/>
        </w:rPr>
        <w:t xml:space="preserve">that on </w:t>
      </w:r>
      <w:r w:rsidR="00E775BE" w:rsidRPr="008431A9">
        <w:rPr>
          <w:noProof/>
        </w:rPr>
        <w:t xml:space="preserve">the free movement of goods and the free movement of services; </w:t>
      </w:r>
    </w:p>
    <w:p w:rsidR="00440D64" w:rsidRPr="008431A9" w:rsidRDefault="00B34B72" w:rsidP="00B34B72">
      <w:pPr>
        <w:pStyle w:val="Point1"/>
        <w:rPr>
          <w:noProof/>
        </w:rPr>
      </w:pPr>
      <w:r w:rsidRPr="00B34B72">
        <w:t>(g)</w:t>
      </w:r>
      <w:r w:rsidRPr="00B34B72">
        <w:tab/>
      </w:r>
      <w:r w:rsidR="00440D64" w:rsidRPr="008431A9">
        <w:rPr>
          <w:noProof/>
        </w:rPr>
        <w:t xml:space="preserve">details establishing the link between a given quality, the reputation or other characteristic of the product and the geographical origin as referred to in Article </w:t>
      </w:r>
      <w:r w:rsidR="009C7F94" w:rsidRPr="008431A9">
        <w:rPr>
          <w:noProof/>
        </w:rPr>
        <w:t>5</w:t>
      </w:r>
      <w:r w:rsidR="007D0BBC" w:rsidRPr="008431A9">
        <w:rPr>
          <w:noProof/>
        </w:rPr>
        <w:t>, point (b)</w:t>
      </w:r>
      <w:r w:rsidR="00440D64" w:rsidRPr="008431A9">
        <w:rPr>
          <w:noProof/>
        </w:rPr>
        <w:t xml:space="preserve">; </w:t>
      </w:r>
    </w:p>
    <w:p w:rsidR="00112E7A" w:rsidRPr="008431A9" w:rsidRDefault="00B34B72" w:rsidP="00B34B72">
      <w:pPr>
        <w:pStyle w:val="Point1"/>
        <w:rPr>
          <w:noProof/>
        </w:rPr>
      </w:pPr>
      <w:r w:rsidRPr="00B34B72">
        <w:t>(h)</w:t>
      </w:r>
      <w:r w:rsidRPr="00B34B72">
        <w:tab/>
      </w:r>
      <w:r w:rsidR="00440D64" w:rsidRPr="008431A9">
        <w:rPr>
          <w:noProof/>
        </w:rPr>
        <w:t>any specific labelling rule for the product in question;</w:t>
      </w:r>
      <w:r w:rsidR="00AB25E3" w:rsidRPr="008431A9">
        <w:rPr>
          <w:noProof/>
        </w:rPr>
        <w:t xml:space="preserve"> </w:t>
      </w:r>
    </w:p>
    <w:p w:rsidR="00E775BE" w:rsidRPr="008431A9" w:rsidRDefault="00B34B72" w:rsidP="00B34B72">
      <w:pPr>
        <w:pStyle w:val="Point1"/>
        <w:rPr>
          <w:noProof/>
        </w:rPr>
      </w:pPr>
      <w:r w:rsidRPr="00B34B72">
        <w:t>(i)</w:t>
      </w:r>
      <w:r w:rsidRPr="00B34B72">
        <w:tab/>
      </w:r>
      <w:r w:rsidR="00440D64" w:rsidRPr="008431A9">
        <w:rPr>
          <w:noProof/>
        </w:rPr>
        <w:t xml:space="preserve">other applicable requirements where provided for by Member States or by a producer group, if applicable, having regard to the fact that such requirements must be objective, non-discriminatory and compatible with Union law. </w:t>
      </w:r>
    </w:p>
    <w:p w:rsidR="00E775BE" w:rsidRPr="008431A9" w:rsidDel="00F91827" w:rsidRDefault="00B34B72" w:rsidP="00B34B72">
      <w:pPr>
        <w:pStyle w:val="ManualNumPar1"/>
        <w:rPr>
          <w:rFonts w:eastAsiaTheme="minorEastAsia"/>
          <w:noProof/>
          <w:szCs w:val="24"/>
          <w:lang w:val="en-US"/>
        </w:rPr>
      </w:pPr>
      <w:r w:rsidRPr="00B34B72">
        <w:t>2.</w:t>
      </w:r>
      <w:r w:rsidRPr="00B34B72">
        <w:tab/>
      </w:r>
      <w:r w:rsidR="00725A7B" w:rsidRPr="008431A9">
        <w:rPr>
          <w:noProof/>
        </w:rPr>
        <w:t>T</w:t>
      </w:r>
      <w:r w:rsidR="4696A5D4" w:rsidRPr="008431A9">
        <w:rPr>
          <w:noProof/>
        </w:rPr>
        <w:t>he Commission may adopt implementing acts laying down rules</w:t>
      </w:r>
      <w:r w:rsidR="19414BB8" w:rsidRPr="008431A9">
        <w:rPr>
          <w:noProof/>
        </w:rPr>
        <w:t>,</w:t>
      </w:r>
      <w:r w:rsidR="4696A5D4" w:rsidRPr="008431A9">
        <w:rPr>
          <w:noProof/>
        </w:rPr>
        <w:t xml:space="preserve"> which limit the information contained in the product specification referred to in paragraph 1, where such a limitation is necessary to avoid excessively voluminous applications for registration</w:t>
      </w:r>
      <w:r w:rsidR="00620E05" w:rsidRPr="008431A9">
        <w:rPr>
          <w:noProof/>
        </w:rPr>
        <w:t xml:space="preserve"> </w:t>
      </w:r>
      <w:r w:rsidR="006D0115" w:rsidRPr="008431A9">
        <w:rPr>
          <w:noProof/>
        </w:rPr>
        <w:t>and</w:t>
      </w:r>
      <w:r w:rsidR="00620E05" w:rsidRPr="008431A9">
        <w:rPr>
          <w:noProof/>
        </w:rPr>
        <w:t xml:space="preserve"> rules on the form of the product specification</w:t>
      </w:r>
      <w:r w:rsidR="4696A5D4" w:rsidRPr="008431A9">
        <w:rPr>
          <w:noProof/>
        </w:rPr>
        <w:t xml:space="preserve">. </w:t>
      </w:r>
      <w:r w:rsidR="4696A5D4" w:rsidRPr="008431A9">
        <w:rPr>
          <w:rFonts w:eastAsia="Times New Roman"/>
          <w:noProof/>
        </w:rPr>
        <w:t>Those implementing acts shall be adopted in accordance with the examination pro</w:t>
      </w:r>
      <w:r w:rsidR="00596A93" w:rsidRPr="008431A9">
        <w:rPr>
          <w:rFonts w:eastAsia="Times New Roman"/>
          <w:noProof/>
        </w:rPr>
        <w:t>cedure referred to in Article 65</w:t>
      </w:r>
      <w:r w:rsidR="4696A5D4" w:rsidRPr="008431A9">
        <w:rPr>
          <w:rFonts w:eastAsia="Times New Roman"/>
          <w:noProof/>
        </w:rPr>
        <w:t xml:space="preserve">(2). </w:t>
      </w:r>
    </w:p>
    <w:p w:rsidR="00E775BE" w:rsidRPr="008431A9" w:rsidRDefault="00E775BE" w:rsidP="00263658">
      <w:pPr>
        <w:pStyle w:val="Titrearticle"/>
        <w:rPr>
          <w:noProof/>
        </w:rPr>
      </w:pPr>
      <w:r w:rsidRPr="008431A9">
        <w:rPr>
          <w:noProof/>
        </w:rPr>
        <w:t xml:space="preserve">Article </w:t>
      </w:r>
      <w:r w:rsidRPr="008431A9">
        <w:rPr>
          <w:iCs/>
          <w:noProof/>
        </w:rPr>
        <w:t>8</w:t>
      </w:r>
    </w:p>
    <w:p w:rsidR="00E775BE" w:rsidRPr="008431A9" w:rsidRDefault="00E775BE" w:rsidP="00843D97">
      <w:pPr>
        <w:pStyle w:val="NormalCentered"/>
        <w:rPr>
          <w:b/>
          <w:noProof/>
        </w:rPr>
      </w:pPr>
      <w:r w:rsidRPr="008431A9">
        <w:rPr>
          <w:b/>
          <w:noProof/>
        </w:rPr>
        <w:t>Single document</w:t>
      </w:r>
    </w:p>
    <w:p w:rsidR="00E775BE" w:rsidRPr="008431A9" w:rsidRDefault="00B34B72" w:rsidP="00B34B72">
      <w:pPr>
        <w:pStyle w:val="ManualNumPar1"/>
        <w:rPr>
          <w:rFonts w:eastAsiaTheme="minorEastAsia"/>
          <w:noProof/>
          <w:szCs w:val="24"/>
        </w:rPr>
      </w:pPr>
      <w:r w:rsidRPr="00B34B72">
        <w:t>1.</w:t>
      </w:r>
      <w:r w:rsidRPr="00B34B72">
        <w:tab/>
      </w:r>
      <w:r w:rsidR="4696A5D4" w:rsidRPr="008431A9">
        <w:rPr>
          <w:noProof/>
        </w:rPr>
        <w:t xml:space="preserve">The single document shall </w:t>
      </w:r>
      <w:r w:rsidR="4696A5D4" w:rsidRPr="008431A9">
        <w:rPr>
          <w:rFonts w:eastAsia="Times New Roman"/>
          <w:noProof/>
        </w:rPr>
        <w:t>comprise</w:t>
      </w:r>
      <w:r w:rsidR="00A64F88" w:rsidRPr="008431A9">
        <w:rPr>
          <w:rFonts w:eastAsia="Times New Roman"/>
          <w:noProof/>
        </w:rPr>
        <w:t>:</w:t>
      </w:r>
    </w:p>
    <w:p w:rsidR="00725A7B" w:rsidRPr="008431A9" w:rsidRDefault="00B34B72" w:rsidP="00B34B72">
      <w:pPr>
        <w:pStyle w:val="Point1"/>
        <w:rPr>
          <w:noProof/>
        </w:rPr>
      </w:pPr>
      <w:r w:rsidRPr="00B34B72">
        <w:t>(a)</w:t>
      </w:r>
      <w:r w:rsidRPr="00B34B72">
        <w:tab/>
      </w:r>
      <w:r w:rsidR="00725A7B" w:rsidRPr="008431A9">
        <w:rPr>
          <w:noProof/>
        </w:rPr>
        <w:t xml:space="preserve">the following </w:t>
      </w:r>
      <w:r w:rsidR="67833288" w:rsidRPr="008431A9">
        <w:rPr>
          <w:noProof/>
        </w:rPr>
        <w:t>main points of the product specification</w:t>
      </w:r>
      <w:r w:rsidR="00A64F88" w:rsidRPr="008431A9">
        <w:rPr>
          <w:noProof/>
        </w:rPr>
        <w:t>:</w:t>
      </w:r>
    </w:p>
    <w:p w:rsidR="00725A7B" w:rsidRPr="008431A9" w:rsidRDefault="004221EC" w:rsidP="00ED6B86">
      <w:pPr>
        <w:pStyle w:val="Point2"/>
        <w:rPr>
          <w:noProof/>
        </w:rPr>
      </w:pPr>
      <w:r w:rsidRPr="008431A9">
        <w:rPr>
          <w:noProof/>
        </w:rPr>
        <w:t>(</w:t>
      </w:r>
      <w:r w:rsidR="00ED6B86" w:rsidRPr="008431A9">
        <w:rPr>
          <w:noProof/>
        </w:rPr>
        <w:t>i)</w:t>
      </w:r>
      <w:r w:rsidR="00ED6B86" w:rsidRPr="008431A9">
        <w:rPr>
          <w:noProof/>
        </w:rPr>
        <w:tab/>
      </w:r>
      <w:r w:rsidR="67833288" w:rsidRPr="008431A9">
        <w:rPr>
          <w:noProof/>
        </w:rPr>
        <w:t>the name</w:t>
      </w:r>
      <w:r w:rsidR="00725A7B" w:rsidRPr="008431A9">
        <w:rPr>
          <w:noProof/>
        </w:rPr>
        <w:t>;</w:t>
      </w:r>
    </w:p>
    <w:p w:rsidR="00A64F88" w:rsidRPr="008431A9" w:rsidRDefault="004221EC" w:rsidP="00ED6B86">
      <w:pPr>
        <w:pStyle w:val="Point2"/>
        <w:rPr>
          <w:noProof/>
        </w:rPr>
      </w:pPr>
      <w:r w:rsidRPr="008431A9">
        <w:rPr>
          <w:rFonts w:eastAsia="Times New Roman"/>
          <w:noProof/>
        </w:rPr>
        <w:t>(ii)</w:t>
      </w:r>
      <w:r w:rsidR="00ED6B86" w:rsidRPr="008431A9">
        <w:rPr>
          <w:rFonts w:eastAsia="Times New Roman"/>
          <w:noProof/>
        </w:rPr>
        <w:tab/>
      </w:r>
      <w:r w:rsidR="67833288" w:rsidRPr="008431A9">
        <w:rPr>
          <w:rFonts w:eastAsia="Times New Roman"/>
          <w:noProof/>
        </w:rPr>
        <w:t xml:space="preserve">a description of the </w:t>
      </w:r>
      <w:r w:rsidR="67833288" w:rsidRPr="008431A9">
        <w:rPr>
          <w:noProof/>
        </w:rPr>
        <w:t xml:space="preserve">product, including, where appropriate, specific rules concerning packaging and labelling, </w:t>
      </w:r>
    </w:p>
    <w:p w:rsidR="00E775BE" w:rsidRPr="008431A9" w:rsidRDefault="00ED6B86" w:rsidP="00ED6B86">
      <w:pPr>
        <w:pStyle w:val="Point2"/>
        <w:rPr>
          <w:noProof/>
        </w:rPr>
      </w:pPr>
      <w:r w:rsidRPr="008431A9">
        <w:rPr>
          <w:noProof/>
        </w:rPr>
        <w:t>(iii)</w:t>
      </w:r>
      <w:r w:rsidRPr="008431A9">
        <w:rPr>
          <w:noProof/>
        </w:rPr>
        <w:tab/>
      </w:r>
      <w:r w:rsidR="0A5F1B05" w:rsidRPr="008431A9">
        <w:rPr>
          <w:noProof/>
        </w:rPr>
        <w:t xml:space="preserve">a concise </w:t>
      </w:r>
      <w:r w:rsidR="73285D41" w:rsidRPr="008431A9">
        <w:rPr>
          <w:noProof/>
        </w:rPr>
        <w:t xml:space="preserve">definition </w:t>
      </w:r>
      <w:r w:rsidR="0A5F1B05" w:rsidRPr="008431A9">
        <w:rPr>
          <w:noProof/>
        </w:rPr>
        <w:t xml:space="preserve">of the geographical area; </w:t>
      </w:r>
    </w:p>
    <w:p w:rsidR="00CD3D48" w:rsidRPr="008431A9" w:rsidRDefault="00B34B72" w:rsidP="00B34B72">
      <w:pPr>
        <w:pStyle w:val="Point1"/>
        <w:rPr>
          <w:noProof/>
        </w:rPr>
      </w:pPr>
      <w:r w:rsidRPr="00B34B72">
        <w:t>(b)</w:t>
      </w:r>
      <w:r w:rsidRPr="00B34B72">
        <w:tab/>
      </w:r>
      <w:r w:rsidR="0A5F1B05" w:rsidRPr="008431A9">
        <w:rPr>
          <w:noProof/>
        </w:rPr>
        <w:t>a description of the link between the product and the geographical origin referred to in Article 7</w:t>
      </w:r>
      <w:r w:rsidR="007D0BBC" w:rsidRPr="008431A9">
        <w:rPr>
          <w:noProof/>
        </w:rPr>
        <w:t>(1), point (</w:t>
      </w:r>
      <w:r w:rsidR="00F01DB1" w:rsidRPr="008431A9">
        <w:rPr>
          <w:noProof/>
        </w:rPr>
        <w:t>g</w:t>
      </w:r>
      <w:r w:rsidR="007D0BBC" w:rsidRPr="008431A9">
        <w:rPr>
          <w:noProof/>
        </w:rPr>
        <w:t>)</w:t>
      </w:r>
      <w:r w:rsidR="0A5F1B05" w:rsidRPr="008431A9">
        <w:rPr>
          <w:noProof/>
        </w:rPr>
        <w:t>, including, where appropriate, the specific elements of the product description or production method justifying that link.</w:t>
      </w:r>
    </w:p>
    <w:p w:rsidR="00E775BE" w:rsidRPr="008431A9" w:rsidRDefault="00B34B72" w:rsidP="00B34B72">
      <w:pPr>
        <w:pStyle w:val="ManualNumPar1"/>
        <w:rPr>
          <w:rFonts w:eastAsia="Calibri"/>
          <w:noProof/>
        </w:rPr>
      </w:pPr>
      <w:r w:rsidRPr="00B34B72">
        <w:t>2.</w:t>
      </w:r>
      <w:r w:rsidRPr="00B34B72">
        <w:tab/>
      </w:r>
      <w:r w:rsidR="4696A5D4" w:rsidRPr="008431A9">
        <w:rPr>
          <w:noProof/>
        </w:rPr>
        <w:t xml:space="preserve">The Commission may adopt implementing acts setting out the format and online presentation of the single document provided for in paragraph 1. </w:t>
      </w:r>
      <w:r w:rsidR="4696A5D4" w:rsidRPr="008431A9">
        <w:rPr>
          <w:rFonts w:eastAsia="Times New Roman"/>
          <w:noProof/>
        </w:rPr>
        <w:t>Those implementing acts shall be adopted in accordance with the examination procedure referred to in Article 6</w:t>
      </w:r>
      <w:r w:rsidR="00596A93" w:rsidRPr="008431A9">
        <w:rPr>
          <w:rFonts w:eastAsia="Times New Roman"/>
          <w:noProof/>
        </w:rPr>
        <w:t>5</w:t>
      </w:r>
      <w:r w:rsidR="4696A5D4" w:rsidRPr="008431A9">
        <w:rPr>
          <w:rFonts w:eastAsia="Times New Roman"/>
          <w:noProof/>
        </w:rPr>
        <w:t>(2).</w:t>
      </w:r>
    </w:p>
    <w:p w:rsidR="00E775BE" w:rsidRPr="008431A9" w:rsidRDefault="00E775BE" w:rsidP="00263658">
      <w:pPr>
        <w:pStyle w:val="Titrearticle"/>
        <w:rPr>
          <w:noProof/>
          <w:lang w:val="en-US"/>
        </w:rPr>
      </w:pPr>
      <w:r w:rsidRPr="008431A9">
        <w:rPr>
          <w:noProof/>
          <w:lang w:val="en-US"/>
        </w:rPr>
        <w:lastRenderedPageBreak/>
        <w:t xml:space="preserve">Article </w:t>
      </w:r>
      <w:r w:rsidRPr="008431A9">
        <w:rPr>
          <w:iCs/>
          <w:noProof/>
          <w:lang w:val="en-US"/>
        </w:rPr>
        <w:t>9</w:t>
      </w:r>
    </w:p>
    <w:p w:rsidR="00E775BE" w:rsidRPr="008431A9" w:rsidRDefault="00842577" w:rsidP="00843D97">
      <w:pPr>
        <w:pStyle w:val="NormalCentered"/>
        <w:rPr>
          <w:b/>
          <w:noProof/>
        </w:rPr>
      </w:pPr>
      <w:r w:rsidRPr="008431A9">
        <w:rPr>
          <w:b/>
          <w:noProof/>
        </w:rPr>
        <w:t>D</w:t>
      </w:r>
      <w:r w:rsidR="00E775BE" w:rsidRPr="008431A9">
        <w:rPr>
          <w:b/>
          <w:noProof/>
        </w:rPr>
        <w:t>ocumentation</w:t>
      </w:r>
      <w:r w:rsidRPr="008431A9">
        <w:rPr>
          <w:b/>
          <w:noProof/>
        </w:rPr>
        <w:t xml:space="preserve"> accompanying the application for registration</w:t>
      </w:r>
    </w:p>
    <w:p w:rsidR="00E775BE" w:rsidRPr="008431A9" w:rsidRDefault="00B34B72" w:rsidP="00B34B72">
      <w:pPr>
        <w:pStyle w:val="ManualNumPar1"/>
        <w:rPr>
          <w:rFonts w:eastAsiaTheme="minorEastAsia"/>
          <w:noProof/>
          <w:szCs w:val="24"/>
        </w:rPr>
      </w:pPr>
      <w:r w:rsidRPr="00B34B72">
        <w:t>1.</w:t>
      </w:r>
      <w:r w:rsidRPr="00B34B72">
        <w:tab/>
      </w:r>
      <w:r w:rsidR="4696A5D4" w:rsidRPr="008431A9">
        <w:rPr>
          <w:noProof/>
        </w:rPr>
        <w:t xml:space="preserve">The documentation </w:t>
      </w:r>
      <w:r w:rsidR="58949DC7" w:rsidRPr="008431A9">
        <w:rPr>
          <w:noProof/>
        </w:rPr>
        <w:t xml:space="preserve">accompanying the application for registration </w:t>
      </w:r>
      <w:r w:rsidR="00842577" w:rsidRPr="008431A9">
        <w:rPr>
          <w:noProof/>
        </w:rPr>
        <w:t>(‘accompanying documentation’)</w:t>
      </w:r>
      <w:r w:rsidR="58949DC7" w:rsidRPr="008431A9">
        <w:rPr>
          <w:noProof/>
        </w:rPr>
        <w:t xml:space="preserve"> </w:t>
      </w:r>
      <w:r w:rsidR="4696A5D4" w:rsidRPr="008431A9">
        <w:rPr>
          <w:noProof/>
        </w:rPr>
        <w:t xml:space="preserve">shall comprise: </w:t>
      </w:r>
    </w:p>
    <w:p w:rsidR="00E775BE" w:rsidRPr="008431A9" w:rsidRDefault="00B34B72" w:rsidP="00B34B72">
      <w:pPr>
        <w:pStyle w:val="Point1"/>
        <w:rPr>
          <w:noProof/>
        </w:rPr>
      </w:pPr>
      <w:r w:rsidRPr="00B34B72">
        <w:t>(a)</w:t>
      </w:r>
      <w:r w:rsidRPr="00B34B72">
        <w:tab/>
      </w:r>
      <w:r w:rsidR="67833288" w:rsidRPr="008431A9">
        <w:rPr>
          <w:noProof/>
        </w:rPr>
        <w:t xml:space="preserve">information concerning any proposed limitations on the use or protection of the geographical indication, </w:t>
      </w:r>
      <w:r w:rsidR="00842577" w:rsidRPr="008431A9">
        <w:rPr>
          <w:noProof/>
        </w:rPr>
        <w:t xml:space="preserve">as well as </w:t>
      </w:r>
      <w:r w:rsidR="67833288" w:rsidRPr="008431A9">
        <w:rPr>
          <w:noProof/>
        </w:rPr>
        <w:t>any transitional measures proposed by the applicant</w:t>
      </w:r>
      <w:r w:rsidR="76F57B0A" w:rsidRPr="008431A9">
        <w:rPr>
          <w:noProof/>
        </w:rPr>
        <w:t xml:space="preserve"> producer group</w:t>
      </w:r>
      <w:r w:rsidR="67833288" w:rsidRPr="008431A9">
        <w:rPr>
          <w:noProof/>
        </w:rPr>
        <w:t xml:space="preserve"> or by the national authorities </w:t>
      </w:r>
      <w:r w:rsidR="76F57B0A" w:rsidRPr="008431A9">
        <w:rPr>
          <w:noProof/>
        </w:rPr>
        <w:t>notably</w:t>
      </w:r>
      <w:r w:rsidR="67833288" w:rsidRPr="008431A9">
        <w:rPr>
          <w:noProof/>
        </w:rPr>
        <w:t xml:space="preserve"> following the </w:t>
      </w:r>
      <w:r w:rsidR="76F57B0A" w:rsidRPr="008431A9">
        <w:rPr>
          <w:noProof/>
        </w:rPr>
        <w:t xml:space="preserve">national </w:t>
      </w:r>
      <w:r w:rsidR="002A468A" w:rsidRPr="008431A9">
        <w:rPr>
          <w:noProof/>
        </w:rPr>
        <w:t xml:space="preserve">examination </w:t>
      </w:r>
      <w:r w:rsidR="67833288" w:rsidRPr="008431A9">
        <w:rPr>
          <w:noProof/>
        </w:rPr>
        <w:t xml:space="preserve">and opposition procedure; </w:t>
      </w:r>
    </w:p>
    <w:p w:rsidR="00E775BE" w:rsidRPr="008431A9" w:rsidRDefault="00B34B72" w:rsidP="00B34B72">
      <w:pPr>
        <w:pStyle w:val="Point1"/>
        <w:rPr>
          <w:noProof/>
        </w:rPr>
      </w:pPr>
      <w:r w:rsidRPr="00B34B72">
        <w:t>(b)</w:t>
      </w:r>
      <w:r w:rsidRPr="00B34B72">
        <w:tab/>
      </w:r>
      <w:r w:rsidR="67833288" w:rsidRPr="008431A9">
        <w:rPr>
          <w:noProof/>
        </w:rPr>
        <w:t>the name and contact details of the applicant</w:t>
      </w:r>
      <w:r w:rsidR="76F57B0A" w:rsidRPr="008431A9">
        <w:rPr>
          <w:noProof/>
        </w:rPr>
        <w:t xml:space="preserve"> producer group</w:t>
      </w:r>
      <w:r w:rsidR="67833288" w:rsidRPr="008431A9">
        <w:rPr>
          <w:noProof/>
        </w:rPr>
        <w:t xml:space="preserve">; </w:t>
      </w:r>
    </w:p>
    <w:p w:rsidR="00E775BE" w:rsidRPr="008431A9" w:rsidRDefault="00B34B72" w:rsidP="00B34B72">
      <w:pPr>
        <w:pStyle w:val="Point1"/>
        <w:rPr>
          <w:noProof/>
        </w:rPr>
      </w:pPr>
      <w:r w:rsidRPr="00B34B72">
        <w:t>(c)</w:t>
      </w:r>
      <w:r w:rsidRPr="00B34B72">
        <w:tab/>
      </w:r>
      <w:r w:rsidR="67833288" w:rsidRPr="008431A9">
        <w:rPr>
          <w:noProof/>
        </w:rPr>
        <w:t xml:space="preserve">the name and contact details of the competent authority </w:t>
      </w:r>
      <w:r w:rsidR="76F57B0A" w:rsidRPr="008431A9">
        <w:rPr>
          <w:noProof/>
        </w:rPr>
        <w:t xml:space="preserve">and/or product certification body </w:t>
      </w:r>
      <w:r w:rsidR="67833288" w:rsidRPr="008431A9">
        <w:rPr>
          <w:noProof/>
        </w:rPr>
        <w:t>verifying compliance with the provisions of the product specification;</w:t>
      </w:r>
    </w:p>
    <w:p w:rsidR="00E775BE" w:rsidRPr="008431A9" w:rsidRDefault="00B34B72" w:rsidP="00B34B72">
      <w:pPr>
        <w:pStyle w:val="Point1"/>
        <w:rPr>
          <w:noProof/>
        </w:rPr>
      </w:pPr>
      <w:r w:rsidRPr="00B34B72">
        <w:t>(d)</w:t>
      </w:r>
      <w:r w:rsidRPr="00B34B72">
        <w:tab/>
      </w:r>
      <w:r w:rsidR="67833288" w:rsidRPr="008431A9">
        <w:rPr>
          <w:noProof/>
        </w:rPr>
        <w:t>a statement as to whether the applicant wants to receive domain name alerts within the meaning of Article 31;</w:t>
      </w:r>
    </w:p>
    <w:p w:rsidR="00E775BE" w:rsidRPr="008431A9" w:rsidRDefault="00B34B72" w:rsidP="00B34B72">
      <w:pPr>
        <w:pStyle w:val="Point1"/>
        <w:rPr>
          <w:noProof/>
        </w:rPr>
      </w:pPr>
      <w:r w:rsidRPr="00B34B72">
        <w:t>(e)</w:t>
      </w:r>
      <w:r w:rsidRPr="00B34B72">
        <w:tab/>
      </w:r>
      <w:r w:rsidR="67833288" w:rsidRPr="008431A9">
        <w:rPr>
          <w:noProof/>
        </w:rPr>
        <w:t>any other information deemed appropriate by the Member State, or</w:t>
      </w:r>
      <w:r w:rsidR="76F57B0A" w:rsidRPr="008431A9">
        <w:rPr>
          <w:noProof/>
        </w:rPr>
        <w:t xml:space="preserve"> </w:t>
      </w:r>
      <w:r w:rsidR="67833288" w:rsidRPr="008431A9">
        <w:rPr>
          <w:noProof/>
        </w:rPr>
        <w:t xml:space="preserve">by </w:t>
      </w:r>
      <w:r w:rsidR="76F57B0A" w:rsidRPr="008431A9">
        <w:rPr>
          <w:noProof/>
        </w:rPr>
        <w:t>the applicant.</w:t>
      </w:r>
      <w:r w:rsidR="67833288" w:rsidRPr="008431A9">
        <w:rPr>
          <w:noProof/>
        </w:rPr>
        <w:t xml:space="preserve"> </w:t>
      </w:r>
    </w:p>
    <w:p w:rsidR="00E775BE" w:rsidRPr="008431A9" w:rsidRDefault="00B34B72" w:rsidP="00B34B72">
      <w:pPr>
        <w:pStyle w:val="ManualNumPar1"/>
        <w:rPr>
          <w:rFonts w:eastAsia="Calibri"/>
          <w:noProof/>
          <w:lang w:val="en-US"/>
        </w:rPr>
      </w:pPr>
      <w:r w:rsidRPr="00B34B72">
        <w:t>2.</w:t>
      </w:r>
      <w:r w:rsidRPr="00B34B72">
        <w:tab/>
      </w:r>
      <w:r w:rsidR="410A350A" w:rsidRPr="008431A9">
        <w:rPr>
          <w:noProof/>
        </w:rPr>
        <w:t xml:space="preserve">The Commission shall be empowered to adopt delegated acts supplementing this Regulation by provisions clarifying the requirements or listing additional items of the accompanying documentation to be supplied. </w:t>
      </w:r>
    </w:p>
    <w:p w:rsidR="00E775BE" w:rsidRPr="008431A9" w:rsidRDefault="00B34B72" w:rsidP="00B34B72">
      <w:pPr>
        <w:pStyle w:val="ManualNumPar1"/>
        <w:rPr>
          <w:rFonts w:eastAsia="Times New Roman"/>
          <w:noProof/>
        </w:rPr>
      </w:pPr>
      <w:r w:rsidRPr="00B34B72">
        <w:t>3.</w:t>
      </w:r>
      <w:r w:rsidRPr="00B34B72">
        <w:tab/>
      </w:r>
      <w:r w:rsidR="4696A5D4" w:rsidRPr="008431A9">
        <w:rPr>
          <w:noProof/>
        </w:rPr>
        <w:t xml:space="preserve">The Commission may adopt implementing acts defining the format and online presentation of the accompanying documentation. </w:t>
      </w:r>
      <w:r w:rsidR="4696A5D4" w:rsidRPr="008431A9">
        <w:rPr>
          <w:rFonts w:eastAsia="Times New Roman"/>
          <w:noProof/>
        </w:rPr>
        <w:t>Those implementing acts shall be adopted in accordance with the examination procedure referred to in Article 6</w:t>
      </w:r>
      <w:r w:rsidR="00596A93" w:rsidRPr="008431A9">
        <w:rPr>
          <w:rFonts w:eastAsia="Times New Roman"/>
          <w:noProof/>
        </w:rPr>
        <w:t>5</w:t>
      </w:r>
      <w:r w:rsidR="4696A5D4" w:rsidRPr="008431A9">
        <w:rPr>
          <w:rFonts w:eastAsia="Times New Roman"/>
          <w:noProof/>
        </w:rPr>
        <w:t xml:space="preserve">(2). </w:t>
      </w:r>
    </w:p>
    <w:p w:rsidR="00E775BE" w:rsidRPr="008431A9" w:rsidRDefault="00E775BE" w:rsidP="00263658">
      <w:pPr>
        <w:pStyle w:val="Titrearticle"/>
        <w:rPr>
          <w:noProof/>
          <w:lang w:val="en-US"/>
        </w:rPr>
      </w:pPr>
      <w:r w:rsidRPr="008431A9">
        <w:rPr>
          <w:noProof/>
          <w:lang w:val="en-US"/>
        </w:rPr>
        <w:t>Article 10</w:t>
      </w:r>
    </w:p>
    <w:p w:rsidR="00E775BE" w:rsidRPr="008431A9" w:rsidRDefault="00E775BE" w:rsidP="00843D97">
      <w:pPr>
        <w:pStyle w:val="NormalCentered"/>
        <w:rPr>
          <w:b/>
          <w:noProof/>
        </w:rPr>
      </w:pPr>
      <w:r w:rsidRPr="008431A9">
        <w:rPr>
          <w:b/>
          <w:noProof/>
        </w:rPr>
        <w:t>Registration fees</w:t>
      </w:r>
    </w:p>
    <w:p w:rsidR="00E775BE" w:rsidRPr="008431A9" w:rsidRDefault="00B34B72" w:rsidP="00B34B72">
      <w:pPr>
        <w:pStyle w:val="ManualNumPar1"/>
        <w:rPr>
          <w:rFonts w:eastAsiaTheme="minorEastAsia"/>
          <w:noProof/>
          <w:szCs w:val="24"/>
        </w:rPr>
      </w:pPr>
      <w:r w:rsidRPr="00B34B72">
        <w:t>1.</w:t>
      </w:r>
      <w:r w:rsidRPr="00B34B72">
        <w:tab/>
      </w:r>
      <w:r w:rsidR="4696A5D4" w:rsidRPr="008431A9">
        <w:rPr>
          <w:noProof/>
        </w:rPr>
        <w:t>Member States may charge a fee to cover the costs of managing the geographical indication system for craft and industrial products</w:t>
      </w:r>
      <w:r w:rsidR="00FF4158" w:rsidRPr="008431A9">
        <w:rPr>
          <w:noProof/>
        </w:rPr>
        <w:t xml:space="preserve"> provided for in this Regulation</w:t>
      </w:r>
      <w:r w:rsidR="4696A5D4" w:rsidRPr="008431A9">
        <w:rPr>
          <w:noProof/>
        </w:rPr>
        <w:t xml:space="preserve">, including those incurred in processing applications, statements of opposition, applications for amendments and requests for cancellations. </w:t>
      </w:r>
    </w:p>
    <w:p w:rsidR="00E775BE" w:rsidRPr="008431A9" w:rsidRDefault="00B34B72" w:rsidP="00B34B72">
      <w:pPr>
        <w:pStyle w:val="ManualNumPar1"/>
        <w:rPr>
          <w:noProof/>
        </w:rPr>
      </w:pPr>
      <w:r w:rsidRPr="00B34B72">
        <w:t>2.</w:t>
      </w:r>
      <w:r w:rsidRPr="00B34B72">
        <w:tab/>
      </w:r>
      <w:r w:rsidR="4696A5D4" w:rsidRPr="008431A9">
        <w:rPr>
          <w:noProof/>
        </w:rPr>
        <w:t xml:space="preserve">Where a Member State charges a fee, the level of the fees shall be reasonable, </w:t>
      </w:r>
      <w:r w:rsidR="00161830" w:rsidRPr="008431A9">
        <w:rPr>
          <w:noProof/>
        </w:rPr>
        <w:t xml:space="preserve">foster </w:t>
      </w:r>
      <w:r w:rsidR="4696A5D4" w:rsidRPr="008431A9">
        <w:rPr>
          <w:noProof/>
        </w:rPr>
        <w:t xml:space="preserve">the competitiveness of the producers of the geographical indications and shall take into account the situation of micro, small and medium-sized enterprises. </w:t>
      </w:r>
    </w:p>
    <w:p w:rsidR="00E775BE" w:rsidRPr="008431A9" w:rsidRDefault="00B34B72" w:rsidP="00B34B72">
      <w:pPr>
        <w:pStyle w:val="ManualNumPar1"/>
        <w:rPr>
          <w:noProof/>
          <w:lang w:val="en-US"/>
        </w:rPr>
      </w:pPr>
      <w:r w:rsidRPr="00B34B72">
        <w:t>3.</w:t>
      </w:r>
      <w:r w:rsidRPr="00B34B72">
        <w:tab/>
      </w:r>
      <w:r w:rsidR="00960BAC" w:rsidRPr="008431A9">
        <w:rPr>
          <w:noProof/>
          <w:lang w:val="en-US"/>
        </w:rPr>
        <w:t>T</w:t>
      </w:r>
      <w:r w:rsidR="4696A5D4" w:rsidRPr="008431A9">
        <w:rPr>
          <w:noProof/>
          <w:lang w:val="en-US"/>
        </w:rPr>
        <w:t xml:space="preserve">he Office shall not charge any fee </w:t>
      </w:r>
      <w:r w:rsidR="008F64AB" w:rsidRPr="008431A9">
        <w:rPr>
          <w:noProof/>
          <w:lang w:val="en-US"/>
        </w:rPr>
        <w:t>for any</w:t>
      </w:r>
      <w:r w:rsidR="4696A5D4" w:rsidRPr="008431A9">
        <w:rPr>
          <w:noProof/>
          <w:lang w:val="en-US"/>
        </w:rPr>
        <w:t xml:space="preserve"> procedure </w:t>
      </w:r>
      <w:r w:rsidR="008F64AB" w:rsidRPr="008431A9">
        <w:rPr>
          <w:noProof/>
          <w:lang w:val="en-US"/>
        </w:rPr>
        <w:t>under this Regulation</w:t>
      </w:r>
      <w:r w:rsidR="4696A5D4" w:rsidRPr="008431A9">
        <w:rPr>
          <w:noProof/>
          <w:lang w:val="en-US"/>
        </w:rPr>
        <w:t xml:space="preserve">. </w:t>
      </w:r>
    </w:p>
    <w:p w:rsidR="00E775BE" w:rsidRPr="008431A9" w:rsidRDefault="00B34B72" w:rsidP="00B34B72">
      <w:pPr>
        <w:pStyle w:val="ManualNumPar1"/>
        <w:rPr>
          <w:noProof/>
        </w:rPr>
      </w:pPr>
      <w:r w:rsidRPr="00B34B72">
        <w:t>4.</w:t>
      </w:r>
      <w:r w:rsidRPr="00B34B72">
        <w:tab/>
      </w:r>
      <w:r w:rsidR="00E62779" w:rsidRPr="008431A9">
        <w:rPr>
          <w:noProof/>
        </w:rPr>
        <w:t>By way of derogation to paragraph 3 of this Article, t</w:t>
      </w:r>
      <w:r w:rsidR="4696A5D4" w:rsidRPr="008431A9">
        <w:rPr>
          <w:noProof/>
        </w:rPr>
        <w:t xml:space="preserve">he Office </w:t>
      </w:r>
      <w:r w:rsidR="00960BAC" w:rsidRPr="008431A9">
        <w:rPr>
          <w:noProof/>
        </w:rPr>
        <w:t xml:space="preserve">shall </w:t>
      </w:r>
      <w:r w:rsidR="4696A5D4" w:rsidRPr="008431A9">
        <w:rPr>
          <w:noProof/>
        </w:rPr>
        <w:t xml:space="preserve">charge a fee in the direct registration </w:t>
      </w:r>
      <w:r w:rsidR="006D0115" w:rsidRPr="008431A9">
        <w:rPr>
          <w:noProof/>
        </w:rPr>
        <w:t xml:space="preserve">procedure </w:t>
      </w:r>
      <w:r w:rsidR="4696A5D4" w:rsidRPr="008431A9">
        <w:rPr>
          <w:noProof/>
        </w:rPr>
        <w:t>referred to in Article 15</w:t>
      </w:r>
      <w:r w:rsidR="0033010F" w:rsidRPr="008431A9">
        <w:rPr>
          <w:noProof/>
        </w:rPr>
        <w:t>,</w:t>
      </w:r>
      <w:r w:rsidR="002503D2" w:rsidRPr="008431A9">
        <w:rPr>
          <w:noProof/>
        </w:rPr>
        <w:t xml:space="preserve"> </w:t>
      </w:r>
      <w:r w:rsidR="0033010F" w:rsidRPr="008431A9">
        <w:rPr>
          <w:noProof/>
        </w:rPr>
        <w:t xml:space="preserve">in the </w:t>
      </w:r>
      <w:r w:rsidR="006D0115" w:rsidRPr="008431A9">
        <w:rPr>
          <w:noProof/>
        </w:rPr>
        <w:t>procedure</w:t>
      </w:r>
      <w:r w:rsidR="0033010F" w:rsidRPr="008431A9">
        <w:rPr>
          <w:noProof/>
        </w:rPr>
        <w:t xml:space="preserve"> referred to in </w:t>
      </w:r>
      <w:r w:rsidR="002503D2" w:rsidRPr="008431A9">
        <w:rPr>
          <w:noProof/>
        </w:rPr>
        <w:t>Article 17(3)</w:t>
      </w:r>
      <w:r w:rsidR="0033010F" w:rsidRPr="008431A9">
        <w:rPr>
          <w:noProof/>
        </w:rPr>
        <w:t xml:space="preserve"> and for the appeals before the Board</w:t>
      </w:r>
      <w:r w:rsidR="00960BAC" w:rsidRPr="008431A9">
        <w:rPr>
          <w:noProof/>
        </w:rPr>
        <w:t>s</w:t>
      </w:r>
      <w:r w:rsidR="0033010F" w:rsidRPr="008431A9">
        <w:rPr>
          <w:noProof/>
        </w:rPr>
        <w:t xml:space="preserve"> of Appeal referred</w:t>
      </w:r>
      <w:r w:rsidR="006D0115" w:rsidRPr="008431A9">
        <w:rPr>
          <w:noProof/>
        </w:rPr>
        <w:t xml:space="preserve"> to</w:t>
      </w:r>
      <w:r w:rsidR="0033010F" w:rsidRPr="008431A9">
        <w:rPr>
          <w:noProof/>
        </w:rPr>
        <w:t xml:space="preserve"> in Article </w:t>
      </w:r>
      <w:r w:rsidR="00360DCF" w:rsidRPr="008431A9">
        <w:rPr>
          <w:noProof/>
        </w:rPr>
        <w:t>30</w:t>
      </w:r>
      <w:r w:rsidR="4696A5D4" w:rsidRPr="008431A9">
        <w:rPr>
          <w:noProof/>
        </w:rPr>
        <w:t xml:space="preserve">. </w:t>
      </w:r>
      <w:r w:rsidR="0033010F" w:rsidRPr="008431A9">
        <w:rPr>
          <w:noProof/>
        </w:rPr>
        <w:t>F</w:t>
      </w:r>
      <w:r w:rsidR="00E62779" w:rsidRPr="008431A9">
        <w:rPr>
          <w:noProof/>
        </w:rPr>
        <w:t>ee</w:t>
      </w:r>
      <w:r w:rsidR="0033010F" w:rsidRPr="008431A9">
        <w:rPr>
          <w:noProof/>
        </w:rPr>
        <w:t>s</w:t>
      </w:r>
      <w:r w:rsidR="00E62779" w:rsidRPr="008431A9">
        <w:rPr>
          <w:noProof/>
        </w:rPr>
        <w:t xml:space="preserve"> may be charged</w:t>
      </w:r>
      <w:r w:rsidR="4696A5D4" w:rsidRPr="008431A9">
        <w:rPr>
          <w:noProof/>
        </w:rPr>
        <w:t xml:space="preserve"> also for the amendment of the product specification and cancellation if the procedure concerns a name that was registered </w:t>
      </w:r>
      <w:r w:rsidR="00E62779" w:rsidRPr="008431A9">
        <w:rPr>
          <w:noProof/>
        </w:rPr>
        <w:t>under</w:t>
      </w:r>
      <w:r w:rsidR="4696A5D4" w:rsidRPr="008431A9">
        <w:rPr>
          <w:noProof/>
        </w:rPr>
        <w:t xml:space="preserve"> Article 15</w:t>
      </w:r>
      <w:r w:rsidR="002503D2" w:rsidRPr="008431A9">
        <w:rPr>
          <w:noProof/>
        </w:rPr>
        <w:t xml:space="preserve"> or Article 17(3)</w:t>
      </w:r>
      <w:r w:rsidR="4696A5D4" w:rsidRPr="008431A9">
        <w:rPr>
          <w:noProof/>
        </w:rPr>
        <w:t xml:space="preserve">. </w:t>
      </w:r>
    </w:p>
    <w:p w:rsidR="00181217" w:rsidRPr="008431A9" w:rsidRDefault="00B34B72" w:rsidP="00B34B72">
      <w:pPr>
        <w:pStyle w:val="ManualNumPar1"/>
        <w:rPr>
          <w:noProof/>
        </w:rPr>
      </w:pPr>
      <w:r w:rsidRPr="00B34B72">
        <w:t>5.</w:t>
      </w:r>
      <w:r w:rsidRPr="00B34B72">
        <w:tab/>
      </w:r>
      <w:r w:rsidR="008F64AB" w:rsidRPr="008431A9">
        <w:rPr>
          <w:noProof/>
        </w:rPr>
        <w:t>The Commission shall adopt implementing acts to determine the amounts of the fees charged by the Office and the ways in which they are to be paid</w:t>
      </w:r>
      <w:r w:rsidR="00960BAC" w:rsidRPr="008431A9">
        <w:rPr>
          <w:noProof/>
        </w:rPr>
        <w:t xml:space="preserve"> or, in case of the fee for appeals before the Boards of Appeal, reimbursed</w:t>
      </w:r>
      <w:r w:rsidR="008F64AB" w:rsidRPr="008431A9">
        <w:rPr>
          <w:noProof/>
        </w:rPr>
        <w:t xml:space="preserve">. Those implementing </w:t>
      </w:r>
      <w:r w:rsidR="008F64AB" w:rsidRPr="008431A9">
        <w:rPr>
          <w:rFonts w:eastAsia="Times New Roman"/>
          <w:noProof/>
        </w:rPr>
        <w:t>acts shall be adopted in accordance with the examination procedure referred to in Article 6</w:t>
      </w:r>
      <w:r w:rsidR="00596A93" w:rsidRPr="008431A9">
        <w:rPr>
          <w:rFonts w:eastAsia="Times New Roman"/>
          <w:noProof/>
        </w:rPr>
        <w:t>5</w:t>
      </w:r>
      <w:r w:rsidR="008F64AB" w:rsidRPr="008431A9">
        <w:rPr>
          <w:rFonts w:eastAsia="Times New Roman"/>
          <w:noProof/>
        </w:rPr>
        <w:t>(2).</w:t>
      </w:r>
      <w:r w:rsidR="00ED6B86" w:rsidRPr="008431A9">
        <w:rPr>
          <w:rStyle w:val="CommentReference"/>
          <w:noProof/>
        </w:rPr>
        <w:t xml:space="preserve"> </w:t>
      </w:r>
    </w:p>
    <w:p w:rsidR="00E775BE" w:rsidRPr="008431A9" w:rsidRDefault="00E775BE" w:rsidP="00181217">
      <w:pPr>
        <w:pStyle w:val="ChapterTitle"/>
        <w:rPr>
          <w:rFonts w:eastAsia="Times New Roman"/>
          <w:b w:val="0"/>
          <w:bCs/>
          <w:noProof/>
          <w:szCs w:val="32"/>
        </w:rPr>
      </w:pPr>
      <w:r w:rsidRPr="008431A9">
        <w:rPr>
          <w:noProof/>
        </w:rPr>
        <w:lastRenderedPageBreak/>
        <w:t>Chapter 2</w:t>
      </w:r>
      <w:r w:rsidR="00181217" w:rsidRPr="008431A9">
        <w:rPr>
          <w:rFonts w:eastAsia="Calibri"/>
          <w:noProof/>
        </w:rPr>
        <w:br/>
      </w:r>
      <w:r w:rsidRPr="008431A9">
        <w:rPr>
          <w:rFonts w:eastAsia="Times New Roman"/>
          <w:bCs/>
          <w:noProof/>
          <w:szCs w:val="32"/>
        </w:rPr>
        <w:t>National stage of the registration</w:t>
      </w:r>
    </w:p>
    <w:p w:rsidR="00E775BE" w:rsidRPr="008431A9" w:rsidRDefault="00E775BE" w:rsidP="00263658">
      <w:pPr>
        <w:pStyle w:val="Titrearticle"/>
        <w:rPr>
          <w:noProof/>
        </w:rPr>
      </w:pPr>
      <w:r w:rsidRPr="008431A9">
        <w:rPr>
          <w:noProof/>
        </w:rPr>
        <w:t>Article 11</w:t>
      </w:r>
    </w:p>
    <w:p w:rsidR="00E775BE" w:rsidRPr="008431A9" w:rsidRDefault="00E775BE" w:rsidP="00843D97">
      <w:pPr>
        <w:pStyle w:val="NormalCentered"/>
        <w:rPr>
          <w:b/>
          <w:noProof/>
        </w:rPr>
      </w:pPr>
      <w:r w:rsidRPr="008431A9">
        <w:rPr>
          <w:b/>
          <w:noProof/>
        </w:rPr>
        <w:t xml:space="preserve">Designation of competent authority and procedure for national application </w:t>
      </w:r>
    </w:p>
    <w:p w:rsidR="00E775BE" w:rsidRPr="008431A9" w:rsidRDefault="00B34B72" w:rsidP="00B34B72">
      <w:pPr>
        <w:pStyle w:val="ManualNumPar1"/>
        <w:rPr>
          <w:rFonts w:eastAsiaTheme="minorEastAsia"/>
          <w:noProof/>
          <w:szCs w:val="24"/>
        </w:rPr>
      </w:pPr>
      <w:r w:rsidRPr="00B34B72">
        <w:t>1.</w:t>
      </w:r>
      <w:r w:rsidRPr="00B34B72">
        <w:tab/>
      </w:r>
      <w:r w:rsidR="4696A5D4" w:rsidRPr="008431A9">
        <w:rPr>
          <w:noProof/>
        </w:rPr>
        <w:t xml:space="preserve">Without </w:t>
      </w:r>
      <w:r w:rsidR="005A50BE" w:rsidRPr="008431A9">
        <w:rPr>
          <w:noProof/>
        </w:rPr>
        <w:t xml:space="preserve">prejudice to paragraph </w:t>
      </w:r>
      <w:r w:rsidR="00E775BE" w:rsidRPr="008431A9">
        <w:rPr>
          <w:noProof/>
        </w:rPr>
        <w:t>4</w:t>
      </w:r>
      <w:r w:rsidR="009A00A3" w:rsidRPr="008431A9">
        <w:rPr>
          <w:noProof/>
        </w:rPr>
        <w:t xml:space="preserve"> </w:t>
      </w:r>
      <w:r w:rsidR="4696A5D4" w:rsidRPr="008431A9">
        <w:rPr>
          <w:noProof/>
        </w:rPr>
        <w:t xml:space="preserve">of this Article and Article 15, each Member State shall maintain or designate a competent authority for the management of </w:t>
      </w:r>
      <w:r w:rsidR="0ABF642F" w:rsidRPr="008431A9">
        <w:rPr>
          <w:noProof/>
        </w:rPr>
        <w:t xml:space="preserve">the national phase of the registration and other procedures for </w:t>
      </w:r>
      <w:r w:rsidR="4696A5D4" w:rsidRPr="008431A9">
        <w:rPr>
          <w:noProof/>
        </w:rPr>
        <w:t xml:space="preserve">geographical indications for craft and industrial products. </w:t>
      </w:r>
    </w:p>
    <w:p w:rsidR="00E775BE" w:rsidRPr="008431A9" w:rsidRDefault="00B34B72" w:rsidP="00B34B72">
      <w:pPr>
        <w:pStyle w:val="ManualNumPar1"/>
        <w:rPr>
          <w:noProof/>
        </w:rPr>
      </w:pPr>
      <w:r w:rsidRPr="00B34B72">
        <w:t>2.</w:t>
      </w:r>
      <w:r w:rsidRPr="00B34B72">
        <w:tab/>
      </w:r>
      <w:r w:rsidR="005A50BE" w:rsidRPr="008431A9">
        <w:rPr>
          <w:noProof/>
        </w:rPr>
        <w:t xml:space="preserve">Without prejudice to paragraph </w:t>
      </w:r>
      <w:r w:rsidR="00E775BE" w:rsidRPr="008431A9">
        <w:rPr>
          <w:noProof/>
        </w:rPr>
        <w:t>4</w:t>
      </w:r>
      <w:r w:rsidR="009A00A3" w:rsidRPr="008431A9">
        <w:rPr>
          <w:noProof/>
        </w:rPr>
        <w:t xml:space="preserve"> </w:t>
      </w:r>
      <w:r w:rsidR="4696A5D4" w:rsidRPr="008431A9">
        <w:rPr>
          <w:noProof/>
        </w:rPr>
        <w:t>of this Article and Article 15, an application for registration of a geographical indication originating in the Union shall be addressed to the competent authorit</w:t>
      </w:r>
      <w:r w:rsidR="23D55D45" w:rsidRPr="008431A9">
        <w:rPr>
          <w:noProof/>
        </w:rPr>
        <w:t>ies</w:t>
      </w:r>
      <w:r w:rsidR="0016756A" w:rsidRPr="008431A9">
        <w:rPr>
          <w:noProof/>
        </w:rPr>
        <w:t xml:space="preserve"> of the Member State in which the </w:t>
      </w:r>
      <w:r w:rsidR="4696A5D4" w:rsidRPr="008431A9">
        <w:rPr>
          <w:noProof/>
        </w:rPr>
        <w:t xml:space="preserve">product </w:t>
      </w:r>
      <w:r w:rsidR="0016756A" w:rsidRPr="008431A9">
        <w:rPr>
          <w:noProof/>
        </w:rPr>
        <w:t xml:space="preserve">concerned </w:t>
      </w:r>
      <w:r w:rsidR="4696A5D4" w:rsidRPr="008431A9">
        <w:rPr>
          <w:noProof/>
        </w:rPr>
        <w:t xml:space="preserve">originates. </w:t>
      </w:r>
    </w:p>
    <w:p w:rsidR="00E775BE" w:rsidRPr="008431A9" w:rsidRDefault="00B34B72" w:rsidP="00B34B72">
      <w:pPr>
        <w:pStyle w:val="ManualNumPar1"/>
        <w:rPr>
          <w:noProof/>
        </w:rPr>
      </w:pPr>
      <w:r w:rsidRPr="00B34B72">
        <w:t>3.</w:t>
      </w:r>
      <w:r w:rsidRPr="00B34B72">
        <w:tab/>
      </w:r>
      <w:r w:rsidR="4696A5D4" w:rsidRPr="008431A9">
        <w:rPr>
          <w:noProof/>
        </w:rPr>
        <w:t xml:space="preserve">Applications shall comprise: </w:t>
      </w:r>
    </w:p>
    <w:p w:rsidR="009A00A3" w:rsidRPr="008431A9" w:rsidRDefault="00B34B72" w:rsidP="00B34B72">
      <w:pPr>
        <w:pStyle w:val="Point1"/>
        <w:rPr>
          <w:noProof/>
        </w:rPr>
      </w:pPr>
      <w:r w:rsidRPr="00B34B72">
        <w:t>(a)</w:t>
      </w:r>
      <w:r w:rsidRPr="00B34B72">
        <w:tab/>
      </w:r>
      <w:r w:rsidR="67833288" w:rsidRPr="008431A9">
        <w:rPr>
          <w:noProof/>
        </w:rPr>
        <w:t>the product specification referred to in Article 7</w:t>
      </w:r>
      <w:r w:rsidR="009A00A3" w:rsidRPr="008431A9">
        <w:rPr>
          <w:noProof/>
        </w:rPr>
        <w:t xml:space="preserve">, </w:t>
      </w:r>
    </w:p>
    <w:p w:rsidR="009A00A3" w:rsidRPr="008431A9" w:rsidRDefault="00B34B72" w:rsidP="00B34B72">
      <w:pPr>
        <w:pStyle w:val="Point1"/>
        <w:rPr>
          <w:noProof/>
        </w:rPr>
      </w:pPr>
      <w:r w:rsidRPr="00B34B72">
        <w:t>(b)</w:t>
      </w:r>
      <w:r w:rsidRPr="00B34B72">
        <w:tab/>
      </w:r>
      <w:r w:rsidR="67833288" w:rsidRPr="008431A9">
        <w:rPr>
          <w:noProof/>
        </w:rPr>
        <w:t>the single do</w:t>
      </w:r>
      <w:r w:rsidR="009A00A3" w:rsidRPr="008431A9">
        <w:rPr>
          <w:noProof/>
        </w:rPr>
        <w:t>cument referred to in Article 8</w:t>
      </w:r>
      <w:r w:rsidR="67833288" w:rsidRPr="008431A9">
        <w:rPr>
          <w:noProof/>
        </w:rPr>
        <w:t xml:space="preserve"> </w:t>
      </w:r>
    </w:p>
    <w:p w:rsidR="00E775BE" w:rsidRPr="008431A9" w:rsidRDefault="00B34B72" w:rsidP="00B34B72">
      <w:pPr>
        <w:pStyle w:val="Point1"/>
        <w:rPr>
          <w:noProof/>
        </w:rPr>
      </w:pPr>
      <w:r w:rsidRPr="00B34B72">
        <w:t>(c)</w:t>
      </w:r>
      <w:r w:rsidRPr="00B34B72">
        <w:tab/>
      </w:r>
      <w:r w:rsidR="67833288" w:rsidRPr="008431A9">
        <w:rPr>
          <w:noProof/>
        </w:rPr>
        <w:t>the accompanying document</w:t>
      </w:r>
      <w:r w:rsidR="0016756A" w:rsidRPr="008431A9">
        <w:rPr>
          <w:noProof/>
        </w:rPr>
        <w:t>ation</w:t>
      </w:r>
      <w:r w:rsidR="67833288" w:rsidRPr="008431A9">
        <w:rPr>
          <w:noProof/>
        </w:rPr>
        <w:t xml:space="preserve"> referred to in Article 9. </w:t>
      </w:r>
    </w:p>
    <w:p w:rsidR="00E775BE" w:rsidRPr="008431A9" w:rsidRDefault="00B34B72" w:rsidP="00B34B72">
      <w:pPr>
        <w:pStyle w:val="ManualNumPar1"/>
        <w:rPr>
          <w:noProof/>
        </w:rPr>
      </w:pPr>
      <w:r w:rsidRPr="00B34B72">
        <w:t>4.</w:t>
      </w:r>
      <w:r w:rsidRPr="00B34B72">
        <w:tab/>
      </w:r>
      <w:r w:rsidR="4696A5D4" w:rsidRPr="008431A9">
        <w:rPr>
          <w:noProof/>
        </w:rPr>
        <w:t xml:space="preserve">Two or more Member States may agree that the </w:t>
      </w:r>
      <w:r w:rsidR="0016756A" w:rsidRPr="008431A9">
        <w:rPr>
          <w:noProof/>
        </w:rPr>
        <w:t xml:space="preserve">competent </w:t>
      </w:r>
      <w:r w:rsidR="4696A5D4" w:rsidRPr="008431A9">
        <w:rPr>
          <w:noProof/>
        </w:rPr>
        <w:t xml:space="preserve">authority of one Member State </w:t>
      </w:r>
      <w:r w:rsidR="23D55D45" w:rsidRPr="008431A9">
        <w:rPr>
          <w:noProof/>
        </w:rPr>
        <w:t>is in charge of the</w:t>
      </w:r>
      <w:r w:rsidR="4696A5D4" w:rsidRPr="008431A9">
        <w:rPr>
          <w:noProof/>
        </w:rPr>
        <w:t xml:space="preserve"> </w:t>
      </w:r>
      <w:r w:rsidR="23D55D45" w:rsidRPr="008431A9">
        <w:rPr>
          <w:noProof/>
        </w:rPr>
        <w:t xml:space="preserve">national phase of the registration and other </w:t>
      </w:r>
      <w:r w:rsidR="4696A5D4" w:rsidRPr="008431A9">
        <w:rPr>
          <w:noProof/>
        </w:rPr>
        <w:t>procedure</w:t>
      </w:r>
      <w:r w:rsidR="23D55D45" w:rsidRPr="008431A9">
        <w:rPr>
          <w:noProof/>
        </w:rPr>
        <w:t>s, including the submission of the Union application to the Office,</w:t>
      </w:r>
      <w:r w:rsidR="4696A5D4" w:rsidRPr="008431A9">
        <w:rPr>
          <w:noProof/>
        </w:rPr>
        <w:t xml:space="preserve"> also on behalf of the other Member State</w:t>
      </w:r>
      <w:r w:rsidR="00227ED8" w:rsidRPr="008431A9">
        <w:rPr>
          <w:noProof/>
        </w:rPr>
        <w:t>,</w:t>
      </w:r>
      <w:r w:rsidR="0016756A" w:rsidRPr="008431A9">
        <w:rPr>
          <w:noProof/>
        </w:rPr>
        <w:t xml:space="preserve"> or Member States</w:t>
      </w:r>
      <w:r w:rsidR="4696A5D4" w:rsidRPr="008431A9">
        <w:rPr>
          <w:noProof/>
        </w:rPr>
        <w:t xml:space="preserve">. </w:t>
      </w:r>
    </w:p>
    <w:p w:rsidR="00E775BE" w:rsidRPr="008431A9" w:rsidRDefault="00E775BE" w:rsidP="00B23E88">
      <w:pPr>
        <w:pStyle w:val="Titrearticle"/>
        <w:rPr>
          <w:noProof/>
        </w:rPr>
      </w:pPr>
      <w:r w:rsidRPr="008431A9">
        <w:rPr>
          <w:noProof/>
        </w:rPr>
        <w:t>Article 12</w:t>
      </w:r>
    </w:p>
    <w:p w:rsidR="00E775BE" w:rsidRPr="008431A9" w:rsidRDefault="002A468A" w:rsidP="00843D97">
      <w:pPr>
        <w:pStyle w:val="NormalCentered"/>
        <w:rPr>
          <w:b/>
          <w:noProof/>
        </w:rPr>
      </w:pPr>
      <w:r w:rsidRPr="008431A9">
        <w:rPr>
          <w:b/>
          <w:noProof/>
        </w:rPr>
        <w:t>Examination</w:t>
      </w:r>
      <w:r w:rsidR="001F5CAC" w:rsidRPr="008431A9">
        <w:rPr>
          <w:b/>
          <w:noProof/>
        </w:rPr>
        <w:t xml:space="preserve"> </w:t>
      </w:r>
      <w:r w:rsidR="00E775BE" w:rsidRPr="008431A9">
        <w:rPr>
          <w:b/>
          <w:noProof/>
        </w:rPr>
        <w:t>by competent authorities</w:t>
      </w:r>
    </w:p>
    <w:p w:rsidR="00E775BE" w:rsidRPr="008431A9" w:rsidRDefault="4696A5D4" w:rsidP="00D55927">
      <w:pPr>
        <w:rPr>
          <w:rFonts w:eastAsiaTheme="minorEastAsia"/>
          <w:noProof/>
          <w:szCs w:val="24"/>
        </w:rPr>
      </w:pPr>
      <w:r w:rsidRPr="008431A9">
        <w:rPr>
          <w:noProof/>
        </w:rPr>
        <w:t xml:space="preserve">The competent authority shall </w:t>
      </w:r>
      <w:r w:rsidR="002A468A" w:rsidRPr="008431A9">
        <w:rPr>
          <w:noProof/>
        </w:rPr>
        <w:t>examine</w:t>
      </w:r>
      <w:r w:rsidR="002A468A" w:rsidRPr="008431A9" w:rsidDel="00E61A5D">
        <w:rPr>
          <w:noProof/>
        </w:rPr>
        <w:t xml:space="preserve"> </w:t>
      </w:r>
      <w:r w:rsidRPr="008431A9">
        <w:rPr>
          <w:noProof/>
        </w:rPr>
        <w:t xml:space="preserve">the application </w:t>
      </w:r>
      <w:r w:rsidR="001F5CAC" w:rsidRPr="008431A9">
        <w:rPr>
          <w:noProof/>
        </w:rPr>
        <w:t>and shall</w:t>
      </w:r>
      <w:r w:rsidRPr="008431A9">
        <w:rPr>
          <w:noProof/>
        </w:rPr>
        <w:t xml:space="preserve"> check that the product complies with the requirements for geographical indications referred to in Article 5 and </w:t>
      </w:r>
      <w:r w:rsidR="001E20C5" w:rsidRPr="008431A9">
        <w:rPr>
          <w:noProof/>
        </w:rPr>
        <w:t>provides the necessary information</w:t>
      </w:r>
      <w:r w:rsidRPr="008431A9">
        <w:rPr>
          <w:noProof/>
        </w:rPr>
        <w:t xml:space="preserve"> for registration referred to in Articles 7</w:t>
      </w:r>
      <w:r w:rsidR="001F5CAC" w:rsidRPr="008431A9">
        <w:rPr>
          <w:noProof/>
        </w:rPr>
        <w:t>, 8 and</w:t>
      </w:r>
      <w:r w:rsidRPr="008431A9">
        <w:rPr>
          <w:noProof/>
        </w:rPr>
        <w:t xml:space="preserve"> 9.</w:t>
      </w:r>
    </w:p>
    <w:p w:rsidR="00E775BE" w:rsidRPr="008431A9" w:rsidRDefault="00E775BE" w:rsidP="00B23E88">
      <w:pPr>
        <w:pStyle w:val="Titrearticle"/>
        <w:rPr>
          <w:noProof/>
        </w:rPr>
      </w:pPr>
      <w:r w:rsidRPr="008431A9">
        <w:rPr>
          <w:noProof/>
        </w:rPr>
        <w:t>Article 13</w:t>
      </w:r>
    </w:p>
    <w:p w:rsidR="00E775BE" w:rsidRPr="008431A9" w:rsidRDefault="00E775BE" w:rsidP="00843D97">
      <w:pPr>
        <w:pStyle w:val="NormalCentered"/>
        <w:rPr>
          <w:b/>
          <w:noProof/>
        </w:rPr>
      </w:pPr>
      <w:r w:rsidRPr="008431A9">
        <w:rPr>
          <w:b/>
          <w:noProof/>
        </w:rPr>
        <w:t>National opposition procedure</w:t>
      </w:r>
    </w:p>
    <w:p w:rsidR="00E775BE" w:rsidRPr="008431A9" w:rsidRDefault="00B34B72" w:rsidP="00B34B72">
      <w:pPr>
        <w:pStyle w:val="ManualNumPar1"/>
        <w:rPr>
          <w:rFonts w:eastAsiaTheme="minorEastAsia"/>
          <w:noProof/>
          <w:szCs w:val="24"/>
        </w:rPr>
      </w:pPr>
      <w:r w:rsidRPr="00B34B72">
        <w:t>1.</w:t>
      </w:r>
      <w:r w:rsidRPr="00B34B72">
        <w:tab/>
      </w:r>
      <w:r w:rsidR="4696A5D4" w:rsidRPr="008431A9">
        <w:rPr>
          <w:noProof/>
        </w:rPr>
        <w:t xml:space="preserve">After the conclusion of the </w:t>
      </w:r>
      <w:r w:rsidR="00B33DCC" w:rsidRPr="008431A9">
        <w:rPr>
          <w:noProof/>
        </w:rPr>
        <w:t xml:space="preserve">examination </w:t>
      </w:r>
      <w:r w:rsidR="4696A5D4" w:rsidRPr="008431A9">
        <w:rPr>
          <w:noProof/>
        </w:rPr>
        <w:t xml:space="preserve">referred to in Article 12, the competent authority shall conduct a national opposition procedure. That procedure shall ensure publication of the application and provide for a period of at least </w:t>
      </w:r>
      <w:r w:rsidR="00270033" w:rsidRPr="008431A9">
        <w:rPr>
          <w:noProof/>
        </w:rPr>
        <w:t>60 days</w:t>
      </w:r>
      <w:r w:rsidR="4696A5D4" w:rsidRPr="008431A9">
        <w:rPr>
          <w:noProof/>
        </w:rPr>
        <w:t xml:space="preserve"> from the date of publication within which any person having a legitimate interest and established or resident on the territory of </w:t>
      </w:r>
      <w:r w:rsidR="00CE2D24" w:rsidRPr="008431A9">
        <w:rPr>
          <w:noProof/>
        </w:rPr>
        <w:t xml:space="preserve">the </w:t>
      </w:r>
      <w:r w:rsidR="4696A5D4" w:rsidRPr="008431A9">
        <w:rPr>
          <w:noProof/>
        </w:rPr>
        <w:t>Member State</w:t>
      </w:r>
      <w:r w:rsidR="003D038D" w:rsidRPr="008431A9">
        <w:rPr>
          <w:noProof/>
        </w:rPr>
        <w:t xml:space="preserve"> in charge of the national phase of the registration</w:t>
      </w:r>
      <w:r w:rsidR="00EC061A" w:rsidRPr="008431A9">
        <w:rPr>
          <w:noProof/>
        </w:rPr>
        <w:t xml:space="preserve"> or of the Member State</w:t>
      </w:r>
      <w:r w:rsidR="003D038D" w:rsidRPr="008431A9">
        <w:rPr>
          <w:noProof/>
        </w:rPr>
        <w:t>s</w:t>
      </w:r>
      <w:r w:rsidR="00EC061A" w:rsidRPr="008431A9">
        <w:rPr>
          <w:noProof/>
        </w:rPr>
        <w:t xml:space="preserve"> </w:t>
      </w:r>
      <w:r w:rsidR="00CE2D24" w:rsidRPr="008431A9">
        <w:rPr>
          <w:noProof/>
        </w:rPr>
        <w:t xml:space="preserve">in which the product </w:t>
      </w:r>
      <w:r w:rsidR="00EC061A" w:rsidRPr="008431A9">
        <w:rPr>
          <w:noProof/>
        </w:rPr>
        <w:t xml:space="preserve">concerned </w:t>
      </w:r>
      <w:r w:rsidR="00CE2D24" w:rsidRPr="008431A9">
        <w:rPr>
          <w:noProof/>
        </w:rPr>
        <w:t>originates</w:t>
      </w:r>
      <w:r w:rsidR="00D82F71" w:rsidRPr="008431A9">
        <w:rPr>
          <w:noProof/>
        </w:rPr>
        <w:t xml:space="preserve"> </w:t>
      </w:r>
      <w:r w:rsidR="00F11C86" w:rsidRPr="008431A9">
        <w:rPr>
          <w:noProof/>
        </w:rPr>
        <w:t>(</w:t>
      </w:r>
      <w:r w:rsidR="00CE2D24" w:rsidRPr="008431A9">
        <w:rPr>
          <w:noProof/>
        </w:rPr>
        <w:t>‘</w:t>
      </w:r>
      <w:r w:rsidR="00F11C86" w:rsidRPr="008431A9">
        <w:rPr>
          <w:noProof/>
        </w:rPr>
        <w:t>national opponent</w:t>
      </w:r>
      <w:r w:rsidR="00CE2D24" w:rsidRPr="008431A9">
        <w:rPr>
          <w:noProof/>
        </w:rPr>
        <w:t>’</w:t>
      </w:r>
      <w:r w:rsidR="00F11C86" w:rsidRPr="008431A9">
        <w:rPr>
          <w:noProof/>
        </w:rPr>
        <w:t>)</w:t>
      </w:r>
      <w:r w:rsidR="4696A5D4" w:rsidRPr="008431A9">
        <w:rPr>
          <w:noProof/>
        </w:rPr>
        <w:t xml:space="preserve"> may lodge an opposition to the application with </w:t>
      </w:r>
      <w:r w:rsidR="00F30599" w:rsidRPr="008431A9">
        <w:rPr>
          <w:noProof/>
        </w:rPr>
        <w:t xml:space="preserve">the competent authority of </w:t>
      </w:r>
      <w:r w:rsidR="00135A55" w:rsidRPr="008431A9">
        <w:rPr>
          <w:noProof/>
        </w:rPr>
        <w:t>the</w:t>
      </w:r>
      <w:r w:rsidR="4696A5D4" w:rsidRPr="008431A9">
        <w:rPr>
          <w:noProof/>
        </w:rPr>
        <w:t xml:space="preserve"> Member State</w:t>
      </w:r>
      <w:r w:rsidR="00135A55" w:rsidRPr="008431A9">
        <w:rPr>
          <w:noProof/>
        </w:rPr>
        <w:t xml:space="preserve"> in charge of the national phase of the registration</w:t>
      </w:r>
      <w:r w:rsidR="4696A5D4" w:rsidRPr="008431A9">
        <w:rPr>
          <w:noProof/>
        </w:rPr>
        <w:t xml:space="preserve">. </w:t>
      </w:r>
    </w:p>
    <w:p w:rsidR="00E775BE" w:rsidRPr="008431A9" w:rsidRDefault="00B34B72" w:rsidP="00B34B72">
      <w:pPr>
        <w:pStyle w:val="ManualNumPar1"/>
        <w:rPr>
          <w:noProof/>
        </w:rPr>
      </w:pPr>
      <w:r w:rsidRPr="00B34B72">
        <w:t>2.</w:t>
      </w:r>
      <w:r w:rsidRPr="00B34B72">
        <w:tab/>
      </w:r>
      <w:r w:rsidR="4696A5D4" w:rsidRPr="008431A9">
        <w:rPr>
          <w:noProof/>
        </w:rPr>
        <w:t xml:space="preserve">The competent authority shall establish the detailed arrangements of the opposition procedure. Those detailed arrangements may include criteria for the admissibility of an opposition, a period of consultation between the applicant and each </w:t>
      </w:r>
      <w:r w:rsidR="00F11C86" w:rsidRPr="008431A9">
        <w:rPr>
          <w:noProof/>
        </w:rPr>
        <w:t xml:space="preserve">national </w:t>
      </w:r>
      <w:r w:rsidR="4696A5D4" w:rsidRPr="008431A9">
        <w:rPr>
          <w:noProof/>
        </w:rPr>
        <w:lastRenderedPageBreak/>
        <w:t xml:space="preserve">opponent, and submission of a report from the applicant on the outcome of the consultations including any changes the applicant has made to the application. </w:t>
      </w:r>
    </w:p>
    <w:p w:rsidR="00E775BE" w:rsidRPr="008431A9" w:rsidRDefault="00E775BE" w:rsidP="00B23E88">
      <w:pPr>
        <w:pStyle w:val="Titrearticle"/>
        <w:rPr>
          <w:noProof/>
        </w:rPr>
      </w:pPr>
      <w:r w:rsidRPr="008431A9">
        <w:rPr>
          <w:noProof/>
        </w:rPr>
        <w:t xml:space="preserve">Article 14 </w:t>
      </w:r>
    </w:p>
    <w:p w:rsidR="00E775BE" w:rsidRPr="008431A9" w:rsidRDefault="00E775BE" w:rsidP="00843D97">
      <w:pPr>
        <w:pStyle w:val="NormalCentered"/>
        <w:rPr>
          <w:b/>
          <w:noProof/>
        </w:rPr>
      </w:pPr>
      <w:r w:rsidRPr="008431A9">
        <w:rPr>
          <w:b/>
          <w:noProof/>
        </w:rPr>
        <w:t>Decision on national application</w:t>
      </w:r>
    </w:p>
    <w:p w:rsidR="00E775BE" w:rsidRPr="008431A9" w:rsidRDefault="00B34B72" w:rsidP="00B34B72">
      <w:pPr>
        <w:pStyle w:val="ManualNumPar1"/>
        <w:rPr>
          <w:rFonts w:eastAsiaTheme="minorEastAsia"/>
          <w:noProof/>
          <w:szCs w:val="24"/>
        </w:rPr>
      </w:pPr>
      <w:r w:rsidRPr="00B34B72">
        <w:t>1.</w:t>
      </w:r>
      <w:r w:rsidRPr="00B34B72">
        <w:tab/>
      </w:r>
      <w:r w:rsidR="4696A5D4" w:rsidRPr="008431A9">
        <w:rPr>
          <w:noProof/>
        </w:rPr>
        <w:t xml:space="preserve">If the competent authority, after </w:t>
      </w:r>
      <w:r w:rsidR="00CE2D24" w:rsidRPr="008431A9">
        <w:rPr>
          <w:noProof/>
        </w:rPr>
        <w:t xml:space="preserve">the </w:t>
      </w:r>
      <w:r w:rsidR="002A468A" w:rsidRPr="008431A9">
        <w:rPr>
          <w:noProof/>
        </w:rPr>
        <w:t>examination</w:t>
      </w:r>
      <w:r w:rsidR="002A468A" w:rsidRPr="008431A9" w:rsidDel="0042279B">
        <w:rPr>
          <w:noProof/>
        </w:rPr>
        <w:t xml:space="preserve"> </w:t>
      </w:r>
      <w:r w:rsidR="4696A5D4" w:rsidRPr="008431A9">
        <w:rPr>
          <w:noProof/>
        </w:rPr>
        <w:t xml:space="preserve">of the application and </w:t>
      </w:r>
      <w:r w:rsidR="00CE2D24" w:rsidRPr="008431A9">
        <w:rPr>
          <w:noProof/>
        </w:rPr>
        <w:t xml:space="preserve">the </w:t>
      </w:r>
      <w:r w:rsidR="4696A5D4" w:rsidRPr="008431A9">
        <w:rPr>
          <w:noProof/>
        </w:rPr>
        <w:t xml:space="preserve">assessment of the results of any oppositions received, and any changes to the application agreed with the applicant, </w:t>
      </w:r>
      <w:r w:rsidR="00CE2D24" w:rsidRPr="008431A9">
        <w:rPr>
          <w:noProof/>
        </w:rPr>
        <w:t>find</w:t>
      </w:r>
      <w:r w:rsidR="00F30599" w:rsidRPr="008431A9">
        <w:rPr>
          <w:noProof/>
        </w:rPr>
        <w:t>s</w:t>
      </w:r>
      <w:r w:rsidR="00CE2D24" w:rsidRPr="008431A9">
        <w:rPr>
          <w:noProof/>
        </w:rPr>
        <w:t xml:space="preserve"> </w:t>
      </w:r>
      <w:r w:rsidR="4696A5D4" w:rsidRPr="008431A9">
        <w:rPr>
          <w:noProof/>
        </w:rPr>
        <w:t xml:space="preserve">that the requirements of this Regulation are met, it </w:t>
      </w:r>
      <w:r w:rsidR="00780191" w:rsidRPr="008431A9">
        <w:rPr>
          <w:noProof/>
        </w:rPr>
        <w:t>shall</w:t>
      </w:r>
      <w:r w:rsidR="4B4E2810" w:rsidRPr="008431A9">
        <w:rPr>
          <w:noProof/>
        </w:rPr>
        <w:t xml:space="preserve"> </w:t>
      </w:r>
      <w:r w:rsidR="4696A5D4" w:rsidRPr="008431A9">
        <w:rPr>
          <w:noProof/>
        </w:rPr>
        <w:t xml:space="preserve">take a favourable decision and lodge a Union application </w:t>
      </w:r>
      <w:r w:rsidR="00CE2D24" w:rsidRPr="008431A9">
        <w:rPr>
          <w:noProof/>
        </w:rPr>
        <w:t>for registration in accordance with</w:t>
      </w:r>
      <w:r w:rsidR="00CE2D24" w:rsidRPr="008431A9" w:rsidDel="00CE2D24">
        <w:rPr>
          <w:noProof/>
        </w:rPr>
        <w:t xml:space="preserve"> </w:t>
      </w:r>
      <w:r w:rsidR="4696A5D4" w:rsidRPr="008431A9">
        <w:rPr>
          <w:noProof/>
        </w:rPr>
        <w:t xml:space="preserve">Article 17. </w:t>
      </w:r>
    </w:p>
    <w:p w:rsidR="00E775BE" w:rsidRPr="008431A9" w:rsidRDefault="00B34B72" w:rsidP="00B34B72">
      <w:pPr>
        <w:pStyle w:val="ManualNumPar1"/>
        <w:rPr>
          <w:noProof/>
        </w:rPr>
      </w:pPr>
      <w:r w:rsidRPr="00B34B72">
        <w:t>2.</w:t>
      </w:r>
      <w:r w:rsidRPr="00B34B72">
        <w:tab/>
      </w:r>
      <w:r w:rsidR="4696A5D4" w:rsidRPr="008431A9">
        <w:rPr>
          <w:noProof/>
        </w:rPr>
        <w:t>The competent authority shall ensure that its de</w:t>
      </w:r>
      <w:r w:rsidR="00BD3AAB" w:rsidRPr="008431A9">
        <w:rPr>
          <w:noProof/>
        </w:rPr>
        <w:t>cision</w:t>
      </w:r>
      <w:r w:rsidR="4696A5D4" w:rsidRPr="008431A9">
        <w:rPr>
          <w:noProof/>
        </w:rPr>
        <w:t xml:space="preserve"> is made public and that any person having a legitimate interest has an opportunity to </w:t>
      </w:r>
      <w:r w:rsidR="00CE2D24" w:rsidRPr="008431A9">
        <w:rPr>
          <w:noProof/>
        </w:rPr>
        <w:t>lodge an</w:t>
      </w:r>
      <w:r w:rsidR="4696A5D4" w:rsidRPr="008431A9">
        <w:rPr>
          <w:noProof/>
        </w:rPr>
        <w:t xml:space="preserve"> appeal. The </w:t>
      </w:r>
      <w:r w:rsidR="00CE2D24" w:rsidRPr="008431A9">
        <w:rPr>
          <w:noProof/>
        </w:rPr>
        <w:t>competent authority</w:t>
      </w:r>
      <w:r w:rsidR="4696A5D4" w:rsidRPr="008431A9">
        <w:rPr>
          <w:noProof/>
        </w:rPr>
        <w:t xml:space="preserve"> shall ensure that </w:t>
      </w:r>
      <w:r w:rsidR="00CE2D24" w:rsidRPr="008431A9">
        <w:rPr>
          <w:noProof/>
        </w:rPr>
        <w:t>the</w:t>
      </w:r>
      <w:r w:rsidR="4696A5D4" w:rsidRPr="008431A9">
        <w:rPr>
          <w:noProof/>
        </w:rPr>
        <w:t xml:space="preserve"> product specification on which its favourable decision is based is published, and shall provide electronic access to the product specification. </w:t>
      </w:r>
    </w:p>
    <w:p w:rsidR="00E775BE" w:rsidRPr="008431A9" w:rsidRDefault="00E775BE" w:rsidP="00B23E88">
      <w:pPr>
        <w:pStyle w:val="Titrearticle"/>
        <w:rPr>
          <w:noProof/>
        </w:rPr>
      </w:pPr>
      <w:r w:rsidRPr="008431A9">
        <w:rPr>
          <w:noProof/>
        </w:rPr>
        <w:t xml:space="preserve">Article 15 </w:t>
      </w:r>
    </w:p>
    <w:p w:rsidR="00E775BE" w:rsidRPr="008431A9" w:rsidRDefault="00E775BE" w:rsidP="00843D97">
      <w:pPr>
        <w:pStyle w:val="NormalCentered"/>
        <w:rPr>
          <w:b/>
          <w:noProof/>
        </w:rPr>
      </w:pPr>
      <w:r w:rsidRPr="008431A9">
        <w:rPr>
          <w:b/>
          <w:noProof/>
        </w:rPr>
        <w:t xml:space="preserve">Direct registration </w:t>
      </w:r>
    </w:p>
    <w:p w:rsidR="00E775BE" w:rsidRPr="008431A9" w:rsidRDefault="00B34B72" w:rsidP="00B34B72">
      <w:pPr>
        <w:pStyle w:val="ManualNumPar1"/>
        <w:rPr>
          <w:rFonts w:eastAsiaTheme="minorEastAsia"/>
          <w:noProof/>
          <w:szCs w:val="24"/>
        </w:rPr>
      </w:pPr>
      <w:r w:rsidRPr="00B34B72">
        <w:t>1.</w:t>
      </w:r>
      <w:r w:rsidRPr="00B34B72">
        <w:tab/>
      </w:r>
      <w:r w:rsidR="00C04958" w:rsidRPr="008431A9">
        <w:rPr>
          <w:noProof/>
        </w:rPr>
        <w:t>By way of derogation from Article 11</w:t>
      </w:r>
      <w:r w:rsidR="4696A5D4" w:rsidRPr="008431A9">
        <w:rPr>
          <w:noProof/>
        </w:rPr>
        <w:t xml:space="preserve">, the Commission shall be empowered to exempt a Member State from the obligation to designate a competent authority </w:t>
      </w:r>
      <w:r w:rsidR="00C04958" w:rsidRPr="008431A9">
        <w:rPr>
          <w:noProof/>
        </w:rPr>
        <w:t xml:space="preserve">in accordance with Article 11(1) </w:t>
      </w:r>
      <w:r w:rsidR="4696A5D4" w:rsidRPr="008431A9">
        <w:rPr>
          <w:noProof/>
        </w:rPr>
        <w:t>and to handle the management of the applications of geographical indications for craft and industrial products at national level, if the Member State</w:t>
      </w:r>
      <w:r w:rsidR="00764CE9" w:rsidRPr="008431A9">
        <w:rPr>
          <w:noProof/>
        </w:rPr>
        <w:t>,</w:t>
      </w:r>
      <w:r w:rsidR="4696A5D4" w:rsidRPr="008431A9">
        <w:rPr>
          <w:noProof/>
        </w:rPr>
        <w:t xml:space="preserve"> </w:t>
      </w:r>
      <w:r w:rsidR="00764CE9" w:rsidRPr="008431A9">
        <w:rPr>
          <w:noProof/>
        </w:rPr>
        <w:t xml:space="preserve">by </w:t>
      </w:r>
      <w:r w:rsidR="00B01EB7" w:rsidRPr="008431A9">
        <w:rPr>
          <w:noProof/>
        </w:rPr>
        <w:t xml:space="preserve">6 months from </w:t>
      </w:r>
      <w:r w:rsidR="00764CE9" w:rsidRPr="008431A9">
        <w:rPr>
          <w:noProof/>
        </w:rPr>
        <w:t xml:space="preserve">the </w:t>
      </w:r>
      <w:r w:rsidR="00921C0B" w:rsidRPr="008431A9">
        <w:rPr>
          <w:noProof/>
        </w:rPr>
        <w:t xml:space="preserve">date of </w:t>
      </w:r>
      <w:r w:rsidR="00764CE9" w:rsidRPr="008431A9">
        <w:rPr>
          <w:noProof/>
        </w:rPr>
        <w:t xml:space="preserve">entry into force of this Regulation, </w:t>
      </w:r>
      <w:r w:rsidR="4696A5D4" w:rsidRPr="008431A9">
        <w:rPr>
          <w:noProof/>
        </w:rPr>
        <w:t xml:space="preserve">provides the Commission with evidence that shows that </w:t>
      </w:r>
      <w:r w:rsidR="001D0912" w:rsidRPr="008431A9">
        <w:rPr>
          <w:noProof/>
        </w:rPr>
        <w:t xml:space="preserve">the </w:t>
      </w:r>
      <w:r w:rsidR="00C04958" w:rsidRPr="008431A9">
        <w:rPr>
          <w:noProof/>
        </w:rPr>
        <w:t xml:space="preserve">following conditions </w:t>
      </w:r>
      <w:r w:rsidR="001D0912" w:rsidRPr="008431A9">
        <w:rPr>
          <w:noProof/>
        </w:rPr>
        <w:t>are</w:t>
      </w:r>
      <w:r w:rsidR="00C04958" w:rsidRPr="008431A9">
        <w:rPr>
          <w:noProof/>
        </w:rPr>
        <w:t xml:space="preserve"> met:</w:t>
      </w:r>
      <w:r w:rsidR="4696A5D4" w:rsidRPr="008431A9">
        <w:rPr>
          <w:noProof/>
        </w:rPr>
        <w:t xml:space="preserve"> </w:t>
      </w:r>
    </w:p>
    <w:p w:rsidR="00E775BE" w:rsidRPr="008431A9" w:rsidRDefault="00B34B72" w:rsidP="00B34B72">
      <w:pPr>
        <w:pStyle w:val="Point1"/>
        <w:rPr>
          <w:noProof/>
        </w:rPr>
      </w:pPr>
      <w:r w:rsidRPr="00B34B72">
        <w:t>(a)</w:t>
      </w:r>
      <w:r w:rsidRPr="00B34B72">
        <w:tab/>
      </w:r>
      <w:r w:rsidR="00B17746" w:rsidRPr="008431A9">
        <w:rPr>
          <w:noProof/>
        </w:rPr>
        <w:t>t</w:t>
      </w:r>
      <w:r w:rsidR="00D90914" w:rsidRPr="008431A9">
        <w:rPr>
          <w:noProof/>
        </w:rPr>
        <w:t xml:space="preserve">he Member State concerned </w:t>
      </w:r>
      <w:r w:rsidR="001D0912" w:rsidRPr="008431A9">
        <w:rPr>
          <w:noProof/>
        </w:rPr>
        <w:t>does</w:t>
      </w:r>
      <w:r w:rsidR="00FD3DF4" w:rsidRPr="008431A9">
        <w:rPr>
          <w:noProof/>
        </w:rPr>
        <w:t xml:space="preserve"> </w:t>
      </w:r>
      <w:r w:rsidR="67833288" w:rsidRPr="008431A9">
        <w:rPr>
          <w:noProof/>
        </w:rPr>
        <w:t xml:space="preserve">not have a national </w:t>
      </w:r>
      <w:r w:rsidR="00D90914" w:rsidRPr="008431A9">
        <w:rPr>
          <w:i/>
          <w:noProof/>
        </w:rPr>
        <w:t>sui</w:t>
      </w:r>
      <w:r w:rsidR="31155171" w:rsidRPr="008431A9" w:rsidDel="67833288">
        <w:rPr>
          <w:i/>
          <w:noProof/>
        </w:rPr>
        <w:t xml:space="preserve"> generis</w:t>
      </w:r>
      <w:r w:rsidR="67833288" w:rsidRPr="008431A9">
        <w:rPr>
          <w:noProof/>
        </w:rPr>
        <w:t xml:space="preserve"> system in place for the management of geographical indications for craft and industrial products; and</w:t>
      </w:r>
    </w:p>
    <w:p w:rsidR="00E775BE" w:rsidRPr="008431A9" w:rsidRDefault="00B34B72" w:rsidP="00B34B72">
      <w:pPr>
        <w:pStyle w:val="Point1"/>
        <w:rPr>
          <w:noProof/>
        </w:rPr>
      </w:pPr>
      <w:r w:rsidRPr="00B34B72">
        <w:t>(b)</w:t>
      </w:r>
      <w:r w:rsidRPr="00B34B72">
        <w:tab/>
      </w:r>
      <w:r w:rsidR="00B17746" w:rsidRPr="008431A9">
        <w:rPr>
          <w:noProof/>
        </w:rPr>
        <w:t>t</w:t>
      </w:r>
      <w:r w:rsidR="4351DE88" w:rsidRPr="008431A9">
        <w:rPr>
          <w:noProof/>
        </w:rPr>
        <w:t xml:space="preserve">he Member State concerned </w:t>
      </w:r>
      <w:r w:rsidR="0A5F1B05" w:rsidRPr="008431A9">
        <w:rPr>
          <w:noProof/>
        </w:rPr>
        <w:t xml:space="preserve">submits a request for </w:t>
      </w:r>
      <w:r w:rsidR="4351DE88" w:rsidRPr="008431A9">
        <w:rPr>
          <w:noProof/>
        </w:rPr>
        <w:t xml:space="preserve">an </w:t>
      </w:r>
      <w:r w:rsidR="0A5F1B05" w:rsidRPr="008431A9">
        <w:rPr>
          <w:noProof/>
        </w:rPr>
        <w:t xml:space="preserve">opt-out accompanied </w:t>
      </w:r>
      <w:r w:rsidR="4351DE88" w:rsidRPr="008431A9">
        <w:rPr>
          <w:noProof/>
        </w:rPr>
        <w:t xml:space="preserve">by </w:t>
      </w:r>
      <w:r w:rsidR="0A5F1B05" w:rsidRPr="008431A9">
        <w:rPr>
          <w:noProof/>
        </w:rPr>
        <w:t xml:space="preserve">an assessment to the Commission demonstrating that the local interest for protecting craft and industrial products by a geographical indication is low. </w:t>
      </w:r>
    </w:p>
    <w:p w:rsidR="00E775BE" w:rsidRPr="008431A9" w:rsidRDefault="00B34B72" w:rsidP="00B34B72">
      <w:pPr>
        <w:pStyle w:val="ManualNumPar1"/>
        <w:rPr>
          <w:noProof/>
        </w:rPr>
      </w:pPr>
      <w:r w:rsidRPr="00B34B72">
        <w:t>2.</w:t>
      </w:r>
      <w:r w:rsidRPr="00B34B72">
        <w:tab/>
      </w:r>
      <w:r w:rsidR="4696A5D4" w:rsidRPr="008431A9">
        <w:rPr>
          <w:noProof/>
        </w:rPr>
        <w:t xml:space="preserve">The Commission may request further information from the Member State before adopting a Commission Decision on the </w:t>
      </w:r>
      <w:r w:rsidR="00D90914" w:rsidRPr="008431A9">
        <w:rPr>
          <w:noProof/>
        </w:rPr>
        <w:t xml:space="preserve">derogation </w:t>
      </w:r>
      <w:r w:rsidR="4696A5D4" w:rsidRPr="008431A9">
        <w:rPr>
          <w:noProof/>
        </w:rPr>
        <w:t>referred in paragraph 1.</w:t>
      </w:r>
    </w:p>
    <w:p w:rsidR="00E775BE" w:rsidRPr="008431A9" w:rsidRDefault="00B34B72" w:rsidP="00B34B72">
      <w:pPr>
        <w:pStyle w:val="ManualNumPar1"/>
        <w:rPr>
          <w:noProof/>
        </w:rPr>
      </w:pPr>
      <w:r w:rsidRPr="00B34B72">
        <w:t>3.</w:t>
      </w:r>
      <w:r w:rsidRPr="00B34B72">
        <w:tab/>
      </w:r>
      <w:r w:rsidR="4696A5D4" w:rsidRPr="008431A9">
        <w:rPr>
          <w:noProof/>
        </w:rPr>
        <w:t xml:space="preserve">When a Member State </w:t>
      </w:r>
      <w:r w:rsidR="00D90914" w:rsidRPr="008431A9">
        <w:rPr>
          <w:noProof/>
        </w:rPr>
        <w:t>makes use of the derogation in accordance with</w:t>
      </w:r>
      <w:r w:rsidR="4696A5D4" w:rsidRPr="008431A9">
        <w:rPr>
          <w:noProof/>
        </w:rPr>
        <w:t xml:space="preserve"> paragraph 1, the application from a producer group of that Member State for registration</w:t>
      </w:r>
      <w:r w:rsidR="00950F3F" w:rsidRPr="008431A9">
        <w:rPr>
          <w:noProof/>
        </w:rPr>
        <w:t>, cancellation or amendment of the product specification</w:t>
      </w:r>
      <w:r w:rsidR="4696A5D4" w:rsidRPr="008431A9">
        <w:rPr>
          <w:noProof/>
        </w:rPr>
        <w:t xml:space="preserve"> of a geographical indication originating in the Union shall be addressed directly to the Office. </w:t>
      </w:r>
    </w:p>
    <w:p w:rsidR="00E775BE" w:rsidRPr="008431A9" w:rsidRDefault="00B34B72" w:rsidP="00B34B72">
      <w:pPr>
        <w:pStyle w:val="ManualNumPar1"/>
        <w:rPr>
          <w:noProof/>
        </w:rPr>
      </w:pPr>
      <w:r w:rsidRPr="00B34B72">
        <w:t>4.</w:t>
      </w:r>
      <w:r w:rsidRPr="00B34B72">
        <w:tab/>
      </w:r>
      <w:r w:rsidR="4696A5D4" w:rsidRPr="008431A9">
        <w:rPr>
          <w:noProof/>
        </w:rPr>
        <w:t xml:space="preserve">A Member State that </w:t>
      </w:r>
      <w:r w:rsidR="00D90914" w:rsidRPr="008431A9">
        <w:rPr>
          <w:noProof/>
        </w:rPr>
        <w:t xml:space="preserve">has applied the derogation in accordance with </w:t>
      </w:r>
      <w:r w:rsidR="4696A5D4" w:rsidRPr="008431A9">
        <w:rPr>
          <w:noProof/>
        </w:rPr>
        <w:t xml:space="preserve">paragraph 1, may decide to withdraw its opt-out and designate a </w:t>
      </w:r>
      <w:r w:rsidR="003911E6" w:rsidRPr="008431A9">
        <w:rPr>
          <w:noProof/>
        </w:rPr>
        <w:t xml:space="preserve">competent </w:t>
      </w:r>
      <w:r w:rsidR="4696A5D4" w:rsidRPr="008431A9">
        <w:rPr>
          <w:noProof/>
        </w:rPr>
        <w:t xml:space="preserve">authority for the management of the applications of geographical indications for craft and industrial products. Such decision shall not affect </w:t>
      </w:r>
      <w:r w:rsidR="003911E6" w:rsidRPr="008431A9">
        <w:rPr>
          <w:noProof/>
        </w:rPr>
        <w:t xml:space="preserve">any </w:t>
      </w:r>
      <w:r w:rsidR="4696A5D4" w:rsidRPr="008431A9">
        <w:rPr>
          <w:noProof/>
        </w:rPr>
        <w:t xml:space="preserve">ongoing registration procedures. The Member State shall inform in writing the Commission </w:t>
      </w:r>
      <w:r w:rsidR="003911E6" w:rsidRPr="008431A9">
        <w:rPr>
          <w:noProof/>
        </w:rPr>
        <w:t xml:space="preserve">of </w:t>
      </w:r>
      <w:r w:rsidR="4696A5D4" w:rsidRPr="008431A9">
        <w:rPr>
          <w:noProof/>
        </w:rPr>
        <w:t xml:space="preserve">its decision to withdraw the opt-out. </w:t>
      </w:r>
    </w:p>
    <w:p w:rsidR="00E775BE" w:rsidRPr="008431A9" w:rsidRDefault="00B34B72" w:rsidP="00B34B72">
      <w:pPr>
        <w:pStyle w:val="ManualNumPar1"/>
        <w:rPr>
          <w:noProof/>
        </w:rPr>
      </w:pPr>
      <w:r w:rsidRPr="00B34B72">
        <w:t>5.</w:t>
      </w:r>
      <w:r w:rsidRPr="00B34B72">
        <w:tab/>
      </w:r>
      <w:r w:rsidR="4696A5D4" w:rsidRPr="008431A9">
        <w:rPr>
          <w:noProof/>
        </w:rPr>
        <w:t xml:space="preserve">If the number of direct applications submitted by applicants from a Member State that </w:t>
      </w:r>
      <w:r w:rsidR="003911E6" w:rsidRPr="008431A9">
        <w:rPr>
          <w:noProof/>
        </w:rPr>
        <w:t xml:space="preserve">has </w:t>
      </w:r>
      <w:r w:rsidR="4696A5D4" w:rsidRPr="008431A9">
        <w:rPr>
          <w:noProof/>
        </w:rPr>
        <w:t xml:space="preserve">opted out substantially exceeds the estimate </w:t>
      </w:r>
      <w:r w:rsidR="003911E6" w:rsidRPr="008431A9">
        <w:rPr>
          <w:noProof/>
        </w:rPr>
        <w:t>given</w:t>
      </w:r>
      <w:r w:rsidR="4696A5D4" w:rsidRPr="008431A9">
        <w:rPr>
          <w:noProof/>
        </w:rPr>
        <w:t xml:space="preserve"> in the assessment </w:t>
      </w:r>
      <w:r w:rsidR="4696A5D4" w:rsidRPr="008431A9">
        <w:rPr>
          <w:noProof/>
        </w:rPr>
        <w:lastRenderedPageBreak/>
        <w:t xml:space="preserve">submitted by the Member State pursuant to </w:t>
      </w:r>
      <w:r w:rsidR="003911E6" w:rsidRPr="008431A9">
        <w:rPr>
          <w:noProof/>
        </w:rPr>
        <w:t>p</w:t>
      </w:r>
      <w:r w:rsidR="4696A5D4" w:rsidRPr="008431A9">
        <w:rPr>
          <w:noProof/>
        </w:rPr>
        <w:t>aragraph 1, the Commission may withdraw its decision</w:t>
      </w:r>
      <w:r w:rsidR="004D1CDB" w:rsidRPr="008431A9">
        <w:rPr>
          <w:noProof/>
        </w:rPr>
        <w:t xml:space="preserve"> referred to in paragraph 2</w:t>
      </w:r>
      <w:r w:rsidR="4696A5D4" w:rsidRPr="008431A9">
        <w:rPr>
          <w:noProof/>
        </w:rPr>
        <w:t xml:space="preserve">. </w:t>
      </w:r>
    </w:p>
    <w:p w:rsidR="00E775BE" w:rsidRPr="008431A9" w:rsidRDefault="00B34B72" w:rsidP="00B34B72">
      <w:pPr>
        <w:pStyle w:val="ManualNumPar1"/>
        <w:rPr>
          <w:noProof/>
        </w:rPr>
      </w:pPr>
      <w:r w:rsidRPr="00B34B72">
        <w:t>6.</w:t>
      </w:r>
      <w:r w:rsidRPr="00B34B72">
        <w:tab/>
      </w:r>
      <w:r w:rsidR="4696A5D4" w:rsidRPr="008431A9">
        <w:rPr>
          <w:noProof/>
        </w:rPr>
        <w:t xml:space="preserve">The Member State shall provide the Commission and the Office </w:t>
      </w:r>
      <w:r w:rsidR="003911E6" w:rsidRPr="008431A9">
        <w:rPr>
          <w:noProof/>
        </w:rPr>
        <w:t xml:space="preserve">with the </w:t>
      </w:r>
      <w:r w:rsidR="00D057AD" w:rsidRPr="008431A9">
        <w:rPr>
          <w:noProof/>
        </w:rPr>
        <w:t>details of</w:t>
      </w:r>
      <w:r w:rsidR="003911E6" w:rsidRPr="008431A9">
        <w:rPr>
          <w:noProof/>
        </w:rPr>
        <w:t xml:space="preserve"> </w:t>
      </w:r>
      <w:r w:rsidR="4696A5D4" w:rsidRPr="008431A9">
        <w:rPr>
          <w:noProof/>
        </w:rPr>
        <w:t xml:space="preserve">a point of contact, independent from the applicant, for any technical issues relating to the product and the application. </w:t>
      </w:r>
    </w:p>
    <w:p w:rsidR="00E775BE" w:rsidRPr="008431A9" w:rsidRDefault="00B34B72" w:rsidP="00B34B72">
      <w:pPr>
        <w:pStyle w:val="ManualNumPar1"/>
        <w:rPr>
          <w:noProof/>
        </w:rPr>
      </w:pPr>
      <w:r w:rsidRPr="00B34B72">
        <w:t>7.</w:t>
      </w:r>
      <w:r w:rsidRPr="00B34B72">
        <w:tab/>
      </w:r>
      <w:r w:rsidR="4696A5D4" w:rsidRPr="008431A9">
        <w:rPr>
          <w:noProof/>
        </w:rPr>
        <w:t xml:space="preserve">The Office shall communicate with both the applicant and the point of contact referred to in paragraph 6 on any technical issues relating to the application. </w:t>
      </w:r>
    </w:p>
    <w:p w:rsidR="00E775BE" w:rsidRPr="008431A9" w:rsidRDefault="00B34B72" w:rsidP="00B34B72">
      <w:pPr>
        <w:pStyle w:val="ManualNumPar1"/>
        <w:rPr>
          <w:noProof/>
        </w:rPr>
      </w:pPr>
      <w:r w:rsidRPr="00B34B72">
        <w:t>8.</w:t>
      </w:r>
      <w:r w:rsidRPr="00B34B72">
        <w:tab/>
      </w:r>
      <w:r w:rsidR="4696A5D4" w:rsidRPr="008431A9">
        <w:rPr>
          <w:noProof/>
        </w:rPr>
        <w:t xml:space="preserve">Upon request by the Office, within </w:t>
      </w:r>
      <w:r w:rsidR="00270033" w:rsidRPr="008431A9">
        <w:rPr>
          <w:noProof/>
        </w:rPr>
        <w:t>60 days</w:t>
      </w:r>
      <w:r w:rsidR="4696A5D4" w:rsidRPr="008431A9">
        <w:rPr>
          <w:noProof/>
        </w:rPr>
        <w:t xml:space="preserve"> from such request, the Member State, through the contact point, shall provide assistance in particular for the </w:t>
      </w:r>
      <w:r w:rsidR="002A468A" w:rsidRPr="008431A9">
        <w:rPr>
          <w:noProof/>
        </w:rPr>
        <w:t xml:space="preserve">examination </w:t>
      </w:r>
      <w:r w:rsidR="4696A5D4" w:rsidRPr="008431A9">
        <w:rPr>
          <w:noProof/>
        </w:rPr>
        <w:t xml:space="preserve">process. </w:t>
      </w:r>
      <w:r w:rsidR="00620E05" w:rsidRPr="008431A9">
        <w:rPr>
          <w:noProof/>
        </w:rPr>
        <w:t xml:space="preserve">Upon request by the </w:t>
      </w:r>
      <w:r w:rsidR="00D04360" w:rsidRPr="008431A9">
        <w:rPr>
          <w:noProof/>
        </w:rPr>
        <w:t>Member State</w:t>
      </w:r>
      <w:r w:rsidR="00620E05" w:rsidRPr="008431A9">
        <w:rPr>
          <w:noProof/>
        </w:rPr>
        <w:t xml:space="preserve">, </w:t>
      </w:r>
      <w:r w:rsidR="00D04360" w:rsidRPr="008431A9">
        <w:rPr>
          <w:noProof/>
        </w:rPr>
        <w:t>the time limit may be extended by 60 days</w:t>
      </w:r>
      <w:r w:rsidR="00620E05" w:rsidRPr="008431A9">
        <w:rPr>
          <w:noProof/>
        </w:rPr>
        <w:t xml:space="preserve">. </w:t>
      </w:r>
      <w:r w:rsidR="4696A5D4" w:rsidRPr="008431A9">
        <w:rPr>
          <w:noProof/>
        </w:rPr>
        <w:t xml:space="preserve">Such assistance shall include examining certain specific aspects of the applications lodged by the applicant </w:t>
      </w:r>
      <w:r w:rsidR="00D057AD" w:rsidRPr="008431A9">
        <w:rPr>
          <w:noProof/>
        </w:rPr>
        <w:t xml:space="preserve">with </w:t>
      </w:r>
      <w:r w:rsidR="4696A5D4" w:rsidRPr="008431A9">
        <w:rPr>
          <w:noProof/>
        </w:rPr>
        <w:t xml:space="preserve">the Office, verifying certain information in the applications, issuing declarations concerning such information and replying to other requests for clarifications made by the Office in relation to the applications. </w:t>
      </w:r>
    </w:p>
    <w:p w:rsidR="00E775BE" w:rsidRPr="008431A9" w:rsidRDefault="00B34B72" w:rsidP="00B34B72">
      <w:pPr>
        <w:pStyle w:val="ManualNumPar1"/>
        <w:rPr>
          <w:noProof/>
        </w:rPr>
      </w:pPr>
      <w:r w:rsidRPr="00B34B72">
        <w:t>9.</w:t>
      </w:r>
      <w:r w:rsidRPr="00B34B72">
        <w:tab/>
      </w:r>
      <w:r w:rsidR="004C1413" w:rsidRPr="008431A9">
        <w:rPr>
          <w:noProof/>
        </w:rPr>
        <w:t>I</w:t>
      </w:r>
      <w:r w:rsidR="4696A5D4" w:rsidRPr="008431A9">
        <w:rPr>
          <w:noProof/>
        </w:rPr>
        <w:t>f the Member State, through the contact point, do</w:t>
      </w:r>
      <w:r w:rsidR="29F5A505" w:rsidRPr="008431A9">
        <w:rPr>
          <w:noProof/>
        </w:rPr>
        <w:t>es</w:t>
      </w:r>
      <w:r w:rsidR="4696A5D4" w:rsidRPr="008431A9">
        <w:rPr>
          <w:noProof/>
        </w:rPr>
        <w:t xml:space="preserve"> not provide assistance within the </w:t>
      </w:r>
      <w:r w:rsidR="00D04360" w:rsidRPr="008431A9">
        <w:rPr>
          <w:noProof/>
        </w:rPr>
        <w:t xml:space="preserve">time limit </w:t>
      </w:r>
      <w:r w:rsidR="4696A5D4" w:rsidRPr="008431A9">
        <w:rPr>
          <w:noProof/>
        </w:rPr>
        <w:t xml:space="preserve">referred to in paragraph 8, the application shall </w:t>
      </w:r>
      <w:r w:rsidR="0063040D" w:rsidRPr="008431A9">
        <w:rPr>
          <w:noProof/>
        </w:rPr>
        <w:t xml:space="preserve">be </w:t>
      </w:r>
      <w:r w:rsidR="4696A5D4" w:rsidRPr="008431A9">
        <w:rPr>
          <w:noProof/>
        </w:rPr>
        <w:t xml:space="preserve">deemed </w:t>
      </w:r>
      <w:r w:rsidR="77066339" w:rsidRPr="008431A9">
        <w:rPr>
          <w:noProof/>
        </w:rPr>
        <w:t xml:space="preserve">not </w:t>
      </w:r>
      <w:r w:rsidR="4696A5D4" w:rsidRPr="008431A9">
        <w:rPr>
          <w:noProof/>
        </w:rPr>
        <w:t xml:space="preserve">to be </w:t>
      </w:r>
      <w:r w:rsidR="77066339" w:rsidRPr="008431A9">
        <w:rPr>
          <w:noProof/>
        </w:rPr>
        <w:t>filed</w:t>
      </w:r>
      <w:r w:rsidR="4696A5D4" w:rsidRPr="008431A9">
        <w:rPr>
          <w:noProof/>
        </w:rPr>
        <w:t xml:space="preserve">. </w:t>
      </w:r>
    </w:p>
    <w:p w:rsidR="00E775BE" w:rsidRPr="008431A9" w:rsidRDefault="00B34B72" w:rsidP="00B34B72">
      <w:pPr>
        <w:pStyle w:val="ManualNumPar1"/>
        <w:rPr>
          <w:noProof/>
        </w:rPr>
      </w:pPr>
      <w:r w:rsidRPr="00B34B72">
        <w:t>10.</w:t>
      </w:r>
      <w:r w:rsidRPr="00B34B72">
        <w:tab/>
      </w:r>
      <w:r w:rsidR="4696A5D4" w:rsidRPr="008431A9">
        <w:rPr>
          <w:noProof/>
        </w:rPr>
        <w:t xml:space="preserve">Registration fees may be applicable and paid to the Office. </w:t>
      </w:r>
      <w:r w:rsidR="0063040D" w:rsidRPr="008431A9">
        <w:rPr>
          <w:noProof/>
        </w:rPr>
        <w:t>Such</w:t>
      </w:r>
      <w:r w:rsidR="4696A5D4" w:rsidRPr="008431A9">
        <w:rPr>
          <w:noProof/>
        </w:rPr>
        <w:t xml:space="preserve"> fees shall be laid down according to the procedure referred to in Article 10(</w:t>
      </w:r>
      <w:r w:rsidR="4B4388E3" w:rsidRPr="008431A9">
        <w:rPr>
          <w:noProof/>
        </w:rPr>
        <w:t>5</w:t>
      </w:r>
      <w:r w:rsidR="4696A5D4" w:rsidRPr="008431A9">
        <w:rPr>
          <w:noProof/>
        </w:rPr>
        <w:t>).</w:t>
      </w:r>
    </w:p>
    <w:p w:rsidR="00A44849" w:rsidRPr="008431A9" w:rsidRDefault="00B34B72" w:rsidP="00B34B72">
      <w:pPr>
        <w:pStyle w:val="ManualNumPar1"/>
        <w:rPr>
          <w:noProof/>
        </w:rPr>
      </w:pPr>
      <w:r w:rsidRPr="00B34B72">
        <w:t>11.</w:t>
      </w:r>
      <w:r w:rsidRPr="00B34B72">
        <w:tab/>
      </w:r>
      <w:r w:rsidR="00B17746" w:rsidRPr="008431A9">
        <w:rPr>
          <w:noProof/>
        </w:rPr>
        <w:t>Articles 6 to 9, Articles 11 to 14 and</w:t>
      </w:r>
      <w:r w:rsidR="1183C621" w:rsidRPr="008431A9">
        <w:rPr>
          <w:noProof/>
        </w:rPr>
        <w:t xml:space="preserve"> Article</w:t>
      </w:r>
      <w:r w:rsidR="00B17746" w:rsidRPr="008431A9">
        <w:rPr>
          <w:noProof/>
        </w:rPr>
        <w:t>s</w:t>
      </w:r>
      <w:r w:rsidR="1183C621" w:rsidRPr="008431A9">
        <w:rPr>
          <w:noProof/>
        </w:rPr>
        <w:t xml:space="preserve"> 16 to 30</w:t>
      </w:r>
      <w:r w:rsidR="68E60C88" w:rsidRPr="008431A9">
        <w:rPr>
          <w:noProof/>
        </w:rPr>
        <w:t xml:space="preserve"> </w:t>
      </w:r>
      <w:r w:rsidR="1183C621" w:rsidRPr="008431A9">
        <w:rPr>
          <w:noProof/>
        </w:rPr>
        <w:t xml:space="preserve">shall apply to </w:t>
      </w:r>
      <w:r w:rsidR="250B36F6" w:rsidRPr="008431A9">
        <w:rPr>
          <w:noProof/>
        </w:rPr>
        <w:t xml:space="preserve">the </w:t>
      </w:r>
      <w:r w:rsidR="004902C4" w:rsidRPr="008431A9">
        <w:rPr>
          <w:noProof/>
        </w:rPr>
        <w:t xml:space="preserve">direct registration </w:t>
      </w:r>
      <w:r w:rsidR="250B36F6" w:rsidRPr="008431A9">
        <w:rPr>
          <w:noProof/>
        </w:rPr>
        <w:t xml:space="preserve">procedure </w:t>
      </w:r>
      <w:r w:rsidR="00E86A9F" w:rsidRPr="008431A9">
        <w:rPr>
          <w:noProof/>
        </w:rPr>
        <w:t>referred to in</w:t>
      </w:r>
      <w:r w:rsidR="00AC58C3" w:rsidRPr="008431A9">
        <w:rPr>
          <w:noProof/>
        </w:rPr>
        <w:t xml:space="preserve"> this Article </w:t>
      </w:r>
      <w:r w:rsidR="1183C621" w:rsidRPr="008431A9">
        <w:rPr>
          <w:i/>
          <w:iCs/>
          <w:noProof/>
        </w:rPr>
        <w:t xml:space="preserve">mutatis mutandis, </w:t>
      </w:r>
      <w:r w:rsidR="1183C621" w:rsidRPr="008431A9">
        <w:rPr>
          <w:noProof/>
        </w:rPr>
        <w:t xml:space="preserve">with the exception of </w:t>
      </w:r>
      <w:r w:rsidR="250B36F6" w:rsidRPr="008431A9">
        <w:rPr>
          <w:noProof/>
        </w:rPr>
        <w:t xml:space="preserve">any </w:t>
      </w:r>
      <w:r w:rsidR="7EC9F755" w:rsidRPr="008431A9">
        <w:rPr>
          <w:noProof/>
        </w:rPr>
        <w:t>examination</w:t>
      </w:r>
      <w:r w:rsidR="1183C621" w:rsidRPr="008431A9">
        <w:rPr>
          <w:noProof/>
        </w:rPr>
        <w:t xml:space="preserve"> periods </w:t>
      </w:r>
      <w:r w:rsidR="00B17746" w:rsidRPr="008431A9">
        <w:rPr>
          <w:noProof/>
        </w:rPr>
        <w:t xml:space="preserve">referred to in Article 19(2) </w:t>
      </w:r>
      <w:r w:rsidR="1183C621" w:rsidRPr="008431A9">
        <w:rPr>
          <w:noProof/>
        </w:rPr>
        <w:t>and the obligation to conduct a national opposition procedure</w:t>
      </w:r>
      <w:r w:rsidR="00B17746" w:rsidRPr="008431A9">
        <w:rPr>
          <w:noProof/>
        </w:rPr>
        <w:t xml:space="preserve"> referred to in Article 13</w:t>
      </w:r>
      <w:r w:rsidR="1183C621" w:rsidRPr="008431A9">
        <w:rPr>
          <w:noProof/>
        </w:rPr>
        <w:t xml:space="preserve">, which </w:t>
      </w:r>
      <w:r w:rsidR="250B36F6" w:rsidRPr="008431A9">
        <w:rPr>
          <w:noProof/>
        </w:rPr>
        <w:t>shall</w:t>
      </w:r>
      <w:r w:rsidR="002F4AE6" w:rsidRPr="008431A9">
        <w:rPr>
          <w:noProof/>
        </w:rPr>
        <w:t xml:space="preserve"> not apply.</w:t>
      </w:r>
      <w:r w:rsidR="250B36F6" w:rsidRPr="008431A9">
        <w:rPr>
          <w:noProof/>
        </w:rPr>
        <w:t xml:space="preserve"> </w:t>
      </w:r>
    </w:p>
    <w:p w:rsidR="00E775BE" w:rsidRPr="008431A9" w:rsidRDefault="00B34B72" w:rsidP="00B34B72">
      <w:pPr>
        <w:pStyle w:val="ManualNumPar1"/>
        <w:rPr>
          <w:noProof/>
        </w:rPr>
      </w:pPr>
      <w:r w:rsidRPr="00B34B72">
        <w:t>12.</w:t>
      </w:r>
      <w:r w:rsidRPr="00B34B72">
        <w:tab/>
      </w:r>
      <w:r w:rsidR="4696A5D4" w:rsidRPr="008431A9">
        <w:rPr>
          <w:noProof/>
        </w:rPr>
        <w:t>For the applications seeking direct registrat</w:t>
      </w:r>
      <w:r w:rsidR="0B9FFE29" w:rsidRPr="008431A9">
        <w:rPr>
          <w:noProof/>
        </w:rPr>
        <w:t xml:space="preserve">ion, </w:t>
      </w:r>
      <w:r w:rsidR="00161E63" w:rsidRPr="008431A9">
        <w:rPr>
          <w:noProof/>
        </w:rPr>
        <w:t>consulting the Advisory Board</w:t>
      </w:r>
      <w:r w:rsidR="0B9FFE29" w:rsidRPr="008431A9">
        <w:rPr>
          <w:noProof/>
        </w:rPr>
        <w:t xml:space="preserve"> referred to in Article </w:t>
      </w:r>
      <w:r w:rsidR="00161E63" w:rsidRPr="008431A9">
        <w:rPr>
          <w:noProof/>
        </w:rPr>
        <w:t xml:space="preserve">33 </w:t>
      </w:r>
      <w:r w:rsidR="4696A5D4" w:rsidRPr="008431A9">
        <w:rPr>
          <w:noProof/>
        </w:rPr>
        <w:t xml:space="preserve">shall be </w:t>
      </w:r>
      <w:r w:rsidR="000665DA" w:rsidRPr="008431A9">
        <w:rPr>
          <w:noProof/>
        </w:rPr>
        <w:t>required</w:t>
      </w:r>
      <w:r w:rsidR="4696A5D4" w:rsidRPr="008431A9">
        <w:rPr>
          <w:noProof/>
        </w:rPr>
        <w:t>.</w:t>
      </w:r>
    </w:p>
    <w:p w:rsidR="00064846" w:rsidRPr="008431A9" w:rsidRDefault="00B34B72" w:rsidP="00B34B72">
      <w:pPr>
        <w:pStyle w:val="ManualNumPar1"/>
        <w:rPr>
          <w:noProof/>
        </w:rPr>
      </w:pPr>
      <w:r w:rsidRPr="00B34B72">
        <w:t>13.</w:t>
      </w:r>
      <w:r w:rsidRPr="00B34B72">
        <w:tab/>
      </w:r>
      <w:r w:rsidR="4696A5D4" w:rsidRPr="008431A9">
        <w:rPr>
          <w:noProof/>
        </w:rPr>
        <w:t>In the direct registration procedure, any person having a legitimate interest may lodge an opposition with the Office</w:t>
      </w:r>
      <w:r w:rsidR="00D339F5" w:rsidRPr="008431A9">
        <w:rPr>
          <w:noProof/>
        </w:rPr>
        <w:t xml:space="preserve"> </w:t>
      </w:r>
      <w:r w:rsidR="00DF36EB" w:rsidRPr="008431A9">
        <w:rPr>
          <w:noProof/>
        </w:rPr>
        <w:t>in accordance with</w:t>
      </w:r>
      <w:r w:rsidR="00D339F5" w:rsidRPr="008431A9">
        <w:rPr>
          <w:noProof/>
        </w:rPr>
        <w:t xml:space="preserve"> Article 21</w:t>
      </w:r>
      <w:r w:rsidR="4696A5D4" w:rsidRPr="008431A9">
        <w:rPr>
          <w:noProof/>
        </w:rPr>
        <w:t>.</w:t>
      </w:r>
    </w:p>
    <w:p w:rsidR="00950F3F" w:rsidRPr="008431A9" w:rsidRDefault="00B34B72" w:rsidP="00B34B72">
      <w:pPr>
        <w:pStyle w:val="ManualNumPar1"/>
        <w:rPr>
          <w:noProof/>
        </w:rPr>
      </w:pPr>
      <w:r w:rsidRPr="00B34B72">
        <w:t>14.</w:t>
      </w:r>
      <w:r w:rsidRPr="00B34B72">
        <w:tab/>
      </w:r>
      <w:r w:rsidR="5DC66CFE" w:rsidRPr="008431A9">
        <w:rPr>
          <w:noProof/>
        </w:rPr>
        <w:t xml:space="preserve">This article shall not apply to applications for registration from third countries. </w:t>
      </w:r>
    </w:p>
    <w:p w:rsidR="00E775BE" w:rsidRPr="008431A9" w:rsidRDefault="00B34B72" w:rsidP="00B34B72">
      <w:pPr>
        <w:pStyle w:val="ManualNumPar1"/>
        <w:rPr>
          <w:rFonts w:eastAsia="Times New Roman"/>
          <w:noProof/>
        </w:rPr>
      </w:pPr>
      <w:r w:rsidRPr="00B34B72">
        <w:t>15.</w:t>
      </w:r>
      <w:r w:rsidRPr="00B34B72">
        <w:tab/>
      </w:r>
      <w:r w:rsidR="4696A5D4" w:rsidRPr="008431A9">
        <w:rPr>
          <w:noProof/>
        </w:rPr>
        <w:t xml:space="preserve">Member States applying the procedure </w:t>
      </w:r>
      <w:r w:rsidR="006646F9" w:rsidRPr="008431A9">
        <w:rPr>
          <w:noProof/>
        </w:rPr>
        <w:t xml:space="preserve">set out in </w:t>
      </w:r>
      <w:r w:rsidR="4696A5D4" w:rsidRPr="008431A9">
        <w:rPr>
          <w:noProof/>
        </w:rPr>
        <w:t xml:space="preserve">this Article shall not be exempted from the </w:t>
      </w:r>
      <w:r w:rsidR="4696A5D4" w:rsidRPr="008431A9">
        <w:rPr>
          <w:rFonts w:eastAsia="Times New Roman"/>
          <w:noProof/>
        </w:rPr>
        <w:t xml:space="preserve">obligations laid down in Articles 45 to 58 </w:t>
      </w:r>
      <w:r w:rsidR="002E5CF6" w:rsidRPr="008431A9">
        <w:rPr>
          <w:rFonts w:eastAsia="Times New Roman"/>
          <w:noProof/>
        </w:rPr>
        <w:t xml:space="preserve">as regards </w:t>
      </w:r>
      <w:r w:rsidR="4696A5D4" w:rsidRPr="008431A9">
        <w:rPr>
          <w:rFonts w:eastAsia="Times New Roman"/>
          <w:noProof/>
        </w:rPr>
        <w:t xml:space="preserve">checks and enforcement. </w:t>
      </w:r>
    </w:p>
    <w:p w:rsidR="00E775BE" w:rsidRPr="008431A9" w:rsidRDefault="00B34B72" w:rsidP="00B34B72">
      <w:pPr>
        <w:pStyle w:val="ManualNumPar1"/>
        <w:rPr>
          <w:noProof/>
        </w:rPr>
      </w:pPr>
      <w:r w:rsidRPr="00B34B72">
        <w:t>16.</w:t>
      </w:r>
      <w:r w:rsidRPr="00B34B72">
        <w:tab/>
      </w:r>
      <w:r w:rsidR="1DE01804" w:rsidRPr="008431A9">
        <w:rPr>
          <w:rFonts w:eastAsia="Times New Roman"/>
          <w:noProof/>
        </w:rPr>
        <w:t>T</w:t>
      </w:r>
      <w:r w:rsidR="1183C621" w:rsidRPr="008431A9">
        <w:rPr>
          <w:rFonts w:eastAsia="Times New Roman"/>
          <w:noProof/>
        </w:rPr>
        <w:t>he Commission may adopt</w:t>
      </w:r>
      <w:r w:rsidR="1183C621" w:rsidRPr="008431A9">
        <w:rPr>
          <w:noProof/>
        </w:rPr>
        <w:t xml:space="preserve"> implementing acts </w:t>
      </w:r>
      <w:r w:rsidR="1DE01804" w:rsidRPr="008431A9">
        <w:rPr>
          <w:noProof/>
        </w:rPr>
        <w:t xml:space="preserve">setting out </w:t>
      </w:r>
      <w:r w:rsidR="1183C621" w:rsidRPr="008431A9">
        <w:rPr>
          <w:noProof/>
        </w:rPr>
        <w:t xml:space="preserve">further details on the criteria for the application of direct </w:t>
      </w:r>
      <w:r w:rsidR="106C6A5F" w:rsidRPr="008431A9">
        <w:rPr>
          <w:noProof/>
        </w:rPr>
        <w:t xml:space="preserve">registration </w:t>
      </w:r>
      <w:r w:rsidR="1183C621" w:rsidRPr="008431A9">
        <w:rPr>
          <w:noProof/>
        </w:rPr>
        <w:t xml:space="preserve">and on the procedures for the preparation and submission of the direct applications. </w:t>
      </w:r>
      <w:r w:rsidR="1183C621" w:rsidRPr="008431A9">
        <w:rPr>
          <w:rFonts w:eastAsia="Times New Roman"/>
          <w:noProof/>
        </w:rPr>
        <w:t>Those implementing acts shall be adopted in accordance with the examination procedure referred t</w:t>
      </w:r>
      <w:r w:rsidR="00596A93" w:rsidRPr="008431A9">
        <w:rPr>
          <w:rFonts w:eastAsia="Times New Roman"/>
          <w:noProof/>
        </w:rPr>
        <w:t>o in Article 65</w:t>
      </w:r>
      <w:r w:rsidR="1183C621" w:rsidRPr="008431A9">
        <w:rPr>
          <w:rFonts w:eastAsia="Times New Roman"/>
          <w:noProof/>
        </w:rPr>
        <w:t>(2).</w:t>
      </w:r>
    </w:p>
    <w:p w:rsidR="00E775BE" w:rsidRPr="008431A9" w:rsidRDefault="00E775BE" w:rsidP="00B23E88">
      <w:pPr>
        <w:pStyle w:val="Titrearticle"/>
        <w:rPr>
          <w:noProof/>
          <w:lang w:val="en-US"/>
        </w:rPr>
      </w:pPr>
      <w:r w:rsidRPr="008431A9">
        <w:rPr>
          <w:noProof/>
          <w:lang w:val="en-US"/>
        </w:rPr>
        <w:t>Article 16</w:t>
      </w:r>
    </w:p>
    <w:p w:rsidR="00E775BE" w:rsidRPr="008431A9" w:rsidRDefault="003A7839" w:rsidP="00843D97">
      <w:pPr>
        <w:pStyle w:val="NormalCentered"/>
        <w:rPr>
          <w:b/>
          <w:noProof/>
          <w:lang w:val="en-US"/>
        </w:rPr>
      </w:pPr>
      <w:r w:rsidRPr="008431A9">
        <w:rPr>
          <w:b/>
          <w:noProof/>
          <w:lang w:val="en-US"/>
        </w:rPr>
        <w:t>Temporary</w:t>
      </w:r>
      <w:r w:rsidR="00EC061A" w:rsidRPr="008431A9">
        <w:rPr>
          <w:b/>
          <w:noProof/>
          <w:lang w:val="en-US"/>
        </w:rPr>
        <w:t xml:space="preserve"> </w:t>
      </w:r>
      <w:r w:rsidR="00E775BE" w:rsidRPr="008431A9">
        <w:rPr>
          <w:b/>
          <w:noProof/>
          <w:lang w:val="en-US"/>
        </w:rPr>
        <w:t>national protection</w:t>
      </w:r>
    </w:p>
    <w:p w:rsidR="00E775BE" w:rsidRPr="008431A9" w:rsidRDefault="00B34B72" w:rsidP="00B34B72">
      <w:pPr>
        <w:pStyle w:val="ManualNumPar1"/>
        <w:rPr>
          <w:rFonts w:eastAsiaTheme="minorEastAsia"/>
          <w:noProof/>
          <w:szCs w:val="24"/>
        </w:rPr>
      </w:pPr>
      <w:r w:rsidRPr="00B34B72">
        <w:t>1.</w:t>
      </w:r>
      <w:r w:rsidRPr="00B34B72">
        <w:tab/>
      </w:r>
      <w:r w:rsidR="4696A5D4" w:rsidRPr="008431A9">
        <w:rPr>
          <w:noProof/>
        </w:rPr>
        <w:t xml:space="preserve">A Member State may, on a </w:t>
      </w:r>
      <w:r w:rsidR="003A7839" w:rsidRPr="008431A9">
        <w:rPr>
          <w:noProof/>
        </w:rPr>
        <w:t>temporary</w:t>
      </w:r>
      <w:r w:rsidR="00EC061A" w:rsidRPr="008431A9">
        <w:rPr>
          <w:noProof/>
        </w:rPr>
        <w:t xml:space="preserve"> </w:t>
      </w:r>
      <w:r w:rsidR="4696A5D4" w:rsidRPr="008431A9">
        <w:rPr>
          <w:noProof/>
        </w:rPr>
        <w:t xml:space="preserve">basis, grant </w:t>
      </w:r>
      <w:r w:rsidR="003A7839" w:rsidRPr="008431A9">
        <w:rPr>
          <w:noProof/>
        </w:rPr>
        <w:t xml:space="preserve">transitional </w:t>
      </w:r>
      <w:r w:rsidR="4696A5D4" w:rsidRPr="008431A9">
        <w:rPr>
          <w:noProof/>
        </w:rPr>
        <w:t xml:space="preserve">protection to the geographical indications at national level, with effect from the date on which an </w:t>
      </w:r>
      <w:r w:rsidR="4696A5D4" w:rsidRPr="008431A9">
        <w:rPr>
          <w:rFonts w:eastAsia="Times New Roman"/>
          <w:noProof/>
        </w:rPr>
        <w:t xml:space="preserve">application for registration is lodged with the Office. </w:t>
      </w:r>
    </w:p>
    <w:p w:rsidR="00E775BE" w:rsidRPr="008431A9" w:rsidRDefault="00B34B72" w:rsidP="00B34B72">
      <w:pPr>
        <w:pStyle w:val="ManualNumPar1"/>
        <w:rPr>
          <w:noProof/>
        </w:rPr>
      </w:pPr>
      <w:r w:rsidRPr="00B34B72">
        <w:t>2.</w:t>
      </w:r>
      <w:r w:rsidRPr="00B34B72">
        <w:tab/>
      </w:r>
      <w:r w:rsidR="4696A5D4" w:rsidRPr="008431A9">
        <w:rPr>
          <w:rFonts w:eastAsia="Times New Roman"/>
          <w:noProof/>
        </w:rPr>
        <w:t xml:space="preserve">The </w:t>
      </w:r>
      <w:r w:rsidR="003A7839" w:rsidRPr="008431A9">
        <w:rPr>
          <w:rFonts w:eastAsia="Times New Roman"/>
          <w:noProof/>
        </w:rPr>
        <w:t>temporary</w:t>
      </w:r>
      <w:r w:rsidR="00736388" w:rsidRPr="008431A9">
        <w:rPr>
          <w:rFonts w:eastAsia="Times New Roman"/>
          <w:noProof/>
        </w:rPr>
        <w:t xml:space="preserve"> national protection </w:t>
      </w:r>
      <w:r w:rsidR="4696A5D4" w:rsidRPr="008431A9">
        <w:rPr>
          <w:rFonts w:eastAsia="Times New Roman"/>
          <w:noProof/>
        </w:rPr>
        <w:t>shall cease on the date on which either a</w:t>
      </w:r>
      <w:r w:rsidR="4696A5D4" w:rsidRPr="008431A9">
        <w:rPr>
          <w:noProof/>
        </w:rPr>
        <w:t xml:space="preserve"> decision on the application for registration is adopted or the application is withdrawn. </w:t>
      </w:r>
    </w:p>
    <w:p w:rsidR="00E775BE" w:rsidRPr="008431A9" w:rsidRDefault="00B34B72" w:rsidP="00B34B72">
      <w:pPr>
        <w:pStyle w:val="ManualNumPar1"/>
        <w:rPr>
          <w:noProof/>
        </w:rPr>
      </w:pPr>
      <w:r w:rsidRPr="00B34B72">
        <w:lastRenderedPageBreak/>
        <w:t>3.</w:t>
      </w:r>
      <w:r w:rsidRPr="00B34B72">
        <w:tab/>
      </w:r>
      <w:r w:rsidR="4696A5D4" w:rsidRPr="008431A9">
        <w:rPr>
          <w:noProof/>
        </w:rPr>
        <w:t xml:space="preserve">Where a geographical indication is not registered under this Regulation, the consequences of the </w:t>
      </w:r>
      <w:r w:rsidR="003A7839" w:rsidRPr="008431A9">
        <w:rPr>
          <w:noProof/>
        </w:rPr>
        <w:t xml:space="preserve">temporary </w:t>
      </w:r>
      <w:r w:rsidR="4696A5D4" w:rsidRPr="008431A9">
        <w:rPr>
          <w:noProof/>
        </w:rPr>
        <w:t xml:space="preserve">national protection shall be the sole responsibility of the Member State concerned. </w:t>
      </w:r>
    </w:p>
    <w:p w:rsidR="00E775BE" w:rsidRPr="008431A9" w:rsidRDefault="00B34B72" w:rsidP="00B34B72">
      <w:pPr>
        <w:pStyle w:val="ManualNumPar1"/>
        <w:rPr>
          <w:noProof/>
        </w:rPr>
      </w:pPr>
      <w:r w:rsidRPr="00B34B72">
        <w:t>4.</w:t>
      </w:r>
      <w:r w:rsidRPr="00B34B72">
        <w:tab/>
      </w:r>
      <w:r w:rsidR="4696A5D4" w:rsidRPr="008431A9">
        <w:rPr>
          <w:noProof/>
        </w:rPr>
        <w:t xml:space="preserve">The measures taken by Member States </w:t>
      </w:r>
      <w:r w:rsidR="003A7839" w:rsidRPr="008431A9">
        <w:rPr>
          <w:noProof/>
        </w:rPr>
        <w:t xml:space="preserve">in accordance with this Article </w:t>
      </w:r>
      <w:r w:rsidR="4696A5D4" w:rsidRPr="008431A9">
        <w:rPr>
          <w:noProof/>
        </w:rPr>
        <w:t xml:space="preserve">shall produce effects at national level only, and they shall have no effect on </w:t>
      </w:r>
      <w:r w:rsidR="0FCAB14F" w:rsidRPr="008431A9">
        <w:rPr>
          <w:noProof/>
        </w:rPr>
        <w:t>the internal market</w:t>
      </w:r>
      <w:r w:rsidR="4696A5D4" w:rsidRPr="008431A9">
        <w:rPr>
          <w:noProof/>
        </w:rPr>
        <w:t xml:space="preserve"> </w:t>
      </w:r>
      <w:r w:rsidR="003A7839" w:rsidRPr="008431A9">
        <w:rPr>
          <w:noProof/>
        </w:rPr>
        <w:t xml:space="preserve">of the Union </w:t>
      </w:r>
      <w:r w:rsidR="4696A5D4" w:rsidRPr="008431A9">
        <w:rPr>
          <w:noProof/>
        </w:rPr>
        <w:t>or international trade.</w:t>
      </w:r>
    </w:p>
    <w:p w:rsidR="00E775BE" w:rsidRPr="008431A9" w:rsidRDefault="00E775BE" w:rsidP="00425C71">
      <w:pPr>
        <w:pStyle w:val="ChapterTitle"/>
        <w:rPr>
          <w:rFonts w:eastAsia="Calibri"/>
          <w:b w:val="0"/>
          <w:bCs/>
          <w:noProof/>
          <w:szCs w:val="24"/>
        </w:rPr>
      </w:pPr>
      <w:r w:rsidRPr="008431A9">
        <w:rPr>
          <w:noProof/>
        </w:rPr>
        <w:t>Chapter 3</w:t>
      </w:r>
      <w:r w:rsidR="00425C71" w:rsidRPr="008431A9">
        <w:rPr>
          <w:noProof/>
        </w:rPr>
        <w:br/>
      </w:r>
      <w:r w:rsidRPr="008431A9">
        <w:rPr>
          <w:rFonts w:eastAsia="Times New Roman"/>
          <w:bCs/>
          <w:noProof/>
          <w:szCs w:val="32"/>
        </w:rPr>
        <w:t>Union stage of the registration</w:t>
      </w:r>
    </w:p>
    <w:p w:rsidR="00360DCF" w:rsidRPr="008431A9" w:rsidRDefault="00360DCF" w:rsidP="00425C71">
      <w:pPr>
        <w:pStyle w:val="SectionTitle"/>
        <w:rPr>
          <w:rFonts w:eastAsia="Calibri"/>
          <w:i/>
          <w:noProof/>
        </w:rPr>
      </w:pPr>
      <w:r w:rsidRPr="008431A9">
        <w:rPr>
          <w:i/>
          <w:noProof/>
        </w:rPr>
        <w:t xml:space="preserve">Section 1 </w:t>
      </w:r>
      <w:r w:rsidR="00425C71" w:rsidRPr="008431A9">
        <w:rPr>
          <w:i/>
          <w:noProof/>
        </w:rPr>
        <w:br/>
      </w:r>
      <w:r w:rsidRPr="008431A9">
        <w:rPr>
          <w:i/>
          <w:noProof/>
        </w:rPr>
        <w:t xml:space="preserve">Procedure at the Union stage </w:t>
      </w:r>
    </w:p>
    <w:p w:rsidR="00E775BE" w:rsidRPr="008431A9" w:rsidRDefault="00E775BE" w:rsidP="00B23E88">
      <w:pPr>
        <w:pStyle w:val="Titrearticle"/>
        <w:rPr>
          <w:noProof/>
          <w:lang w:val="en-US"/>
        </w:rPr>
      </w:pPr>
      <w:r w:rsidRPr="008431A9">
        <w:rPr>
          <w:noProof/>
          <w:lang w:val="en-US"/>
        </w:rPr>
        <w:t xml:space="preserve">Article </w:t>
      </w:r>
      <w:r w:rsidRPr="008431A9">
        <w:rPr>
          <w:iCs/>
          <w:noProof/>
          <w:lang w:val="en-US"/>
        </w:rPr>
        <w:t>17</w:t>
      </w:r>
    </w:p>
    <w:p w:rsidR="00E775BE" w:rsidRPr="008431A9" w:rsidRDefault="00E775BE" w:rsidP="00843D97">
      <w:pPr>
        <w:pStyle w:val="NormalCentered"/>
        <w:rPr>
          <w:b/>
          <w:noProof/>
          <w:lang w:val="en-US"/>
        </w:rPr>
      </w:pPr>
      <w:r w:rsidRPr="008431A9">
        <w:rPr>
          <w:b/>
          <w:noProof/>
          <w:lang w:val="en-US"/>
        </w:rPr>
        <w:t>Union application</w:t>
      </w:r>
    </w:p>
    <w:p w:rsidR="00E775BE" w:rsidRPr="008431A9" w:rsidRDefault="00B34B72" w:rsidP="00B34B72">
      <w:pPr>
        <w:pStyle w:val="ManualNumPar1"/>
        <w:rPr>
          <w:rFonts w:eastAsiaTheme="minorEastAsia"/>
          <w:noProof/>
          <w:szCs w:val="24"/>
        </w:rPr>
      </w:pPr>
      <w:r w:rsidRPr="00B34B72">
        <w:t>1.</w:t>
      </w:r>
      <w:r w:rsidRPr="00B34B72">
        <w:tab/>
      </w:r>
      <w:r w:rsidR="410A350A" w:rsidRPr="008431A9">
        <w:rPr>
          <w:noProof/>
        </w:rPr>
        <w:t>For geographical indications concerning products originating in the Union, the Union</w:t>
      </w:r>
      <w:r w:rsidR="4696A5D4" w:rsidRPr="008431A9">
        <w:rPr>
          <w:noProof/>
        </w:rPr>
        <w:t xml:space="preserve"> application for registration </w:t>
      </w:r>
      <w:r w:rsidR="4EE1ACDE" w:rsidRPr="008431A9">
        <w:rPr>
          <w:noProof/>
        </w:rPr>
        <w:t xml:space="preserve">submitted </w:t>
      </w:r>
      <w:r w:rsidR="4696A5D4" w:rsidRPr="008431A9">
        <w:rPr>
          <w:noProof/>
        </w:rPr>
        <w:t xml:space="preserve">by a Member </w:t>
      </w:r>
      <w:r w:rsidR="4696A5D4" w:rsidRPr="008431A9">
        <w:rPr>
          <w:rFonts w:eastAsia="Times New Roman"/>
          <w:noProof/>
        </w:rPr>
        <w:t xml:space="preserve">State to the Office, shall comprise: </w:t>
      </w:r>
    </w:p>
    <w:p w:rsidR="00E775BE" w:rsidRPr="008431A9" w:rsidRDefault="00B34B72" w:rsidP="00B34B72">
      <w:pPr>
        <w:pStyle w:val="Point1"/>
        <w:rPr>
          <w:noProof/>
        </w:rPr>
      </w:pPr>
      <w:r w:rsidRPr="00B34B72">
        <w:t>(a)</w:t>
      </w:r>
      <w:r w:rsidRPr="00B34B72">
        <w:tab/>
      </w:r>
      <w:r w:rsidR="67833288" w:rsidRPr="008431A9">
        <w:rPr>
          <w:noProof/>
        </w:rPr>
        <w:t>the single document referred to in Article 8</w:t>
      </w:r>
      <w:r w:rsidR="009D2462" w:rsidRPr="008431A9">
        <w:rPr>
          <w:noProof/>
        </w:rPr>
        <w:t>;</w:t>
      </w:r>
    </w:p>
    <w:p w:rsidR="00E775BE" w:rsidRPr="008431A9" w:rsidRDefault="00B34B72" w:rsidP="00B34B72">
      <w:pPr>
        <w:pStyle w:val="Point1"/>
        <w:rPr>
          <w:noProof/>
        </w:rPr>
      </w:pPr>
      <w:r w:rsidRPr="00B34B72">
        <w:t>(b)</w:t>
      </w:r>
      <w:r w:rsidRPr="00B34B72">
        <w:tab/>
      </w:r>
      <w:r w:rsidR="67833288" w:rsidRPr="008431A9">
        <w:rPr>
          <w:noProof/>
        </w:rPr>
        <w:t>the accompanying documentation referred to in Article 9</w:t>
      </w:r>
      <w:r w:rsidR="009D2462" w:rsidRPr="008431A9">
        <w:rPr>
          <w:noProof/>
        </w:rPr>
        <w:t>;</w:t>
      </w:r>
      <w:r w:rsidR="67833288" w:rsidRPr="008431A9">
        <w:rPr>
          <w:noProof/>
        </w:rPr>
        <w:t xml:space="preserve"> </w:t>
      </w:r>
    </w:p>
    <w:p w:rsidR="00E775BE" w:rsidRPr="008431A9" w:rsidRDefault="00B34B72" w:rsidP="00B34B72">
      <w:pPr>
        <w:pStyle w:val="Point1"/>
        <w:rPr>
          <w:noProof/>
        </w:rPr>
      </w:pPr>
      <w:r w:rsidRPr="00B34B72">
        <w:t>(c)</w:t>
      </w:r>
      <w:r w:rsidRPr="00B34B72">
        <w:tab/>
      </w:r>
      <w:r w:rsidR="67833288" w:rsidRPr="008431A9">
        <w:rPr>
          <w:noProof/>
        </w:rPr>
        <w:t xml:space="preserve">declaration by the Member State </w:t>
      </w:r>
      <w:r w:rsidR="72E49F93" w:rsidRPr="008431A9">
        <w:rPr>
          <w:noProof/>
        </w:rPr>
        <w:t xml:space="preserve">to which the application was initially addressed, </w:t>
      </w:r>
      <w:r w:rsidR="67833288" w:rsidRPr="008431A9">
        <w:rPr>
          <w:noProof/>
        </w:rPr>
        <w:t>confirming that the application meets the conditions for registration</w:t>
      </w:r>
      <w:r w:rsidR="00196C0B" w:rsidRPr="008431A9">
        <w:rPr>
          <w:noProof/>
        </w:rPr>
        <w:t xml:space="preserve"> </w:t>
      </w:r>
      <w:r w:rsidR="0085227F" w:rsidRPr="008431A9">
        <w:rPr>
          <w:noProof/>
        </w:rPr>
        <w:t>under this Regulation</w:t>
      </w:r>
      <w:r w:rsidR="009D2462" w:rsidRPr="008431A9">
        <w:rPr>
          <w:noProof/>
        </w:rPr>
        <w:t>;</w:t>
      </w:r>
      <w:r w:rsidR="67833288" w:rsidRPr="008431A9">
        <w:rPr>
          <w:noProof/>
        </w:rPr>
        <w:t xml:space="preserve"> </w:t>
      </w:r>
    </w:p>
    <w:p w:rsidR="00E775BE" w:rsidRPr="008431A9" w:rsidRDefault="00B34B72" w:rsidP="00B34B72">
      <w:pPr>
        <w:pStyle w:val="Point1"/>
        <w:rPr>
          <w:noProof/>
        </w:rPr>
      </w:pPr>
      <w:r w:rsidRPr="00B34B72">
        <w:t>(d)</w:t>
      </w:r>
      <w:r w:rsidRPr="00B34B72">
        <w:tab/>
      </w:r>
      <w:r w:rsidR="67833288" w:rsidRPr="008431A9">
        <w:rPr>
          <w:noProof/>
        </w:rPr>
        <w:t>the electronic publication reference of the product specification</w:t>
      </w:r>
      <w:r w:rsidR="0085227F" w:rsidRPr="008431A9">
        <w:rPr>
          <w:noProof/>
        </w:rPr>
        <w:t xml:space="preserve"> referred to in Article 7</w:t>
      </w:r>
      <w:r w:rsidR="67833288" w:rsidRPr="008431A9">
        <w:rPr>
          <w:noProof/>
        </w:rPr>
        <w:t xml:space="preserve">. </w:t>
      </w:r>
    </w:p>
    <w:p w:rsidR="00E775BE" w:rsidRPr="008431A9" w:rsidRDefault="00B34B72" w:rsidP="00B34B72">
      <w:pPr>
        <w:pStyle w:val="ManualNumPar1"/>
        <w:rPr>
          <w:noProof/>
        </w:rPr>
      </w:pPr>
      <w:r w:rsidRPr="00B34B72">
        <w:t>2.</w:t>
      </w:r>
      <w:r w:rsidRPr="00B34B72">
        <w:tab/>
      </w:r>
      <w:r w:rsidR="4696A5D4" w:rsidRPr="008431A9">
        <w:rPr>
          <w:noProof/>
        </w:rPr>
        <w:t xml:space="preserve">The electronic publication referred to in </w:t>
      </w:r>
      <w:r w:rsidR="002C3A82" w:rsidRPr="008431A9">
        <w:rPr>
          <w:noProof/>
        </w:rPr>
        <w:t>paragraph 1,</w:t>
      </w:r>
      <w:r w:rsidR="4696A5D4" w:rsidRPr="008431A9">
        <w:rPr>
          <w:noProof/>
        </w:rPr>
        <w:t xml:space="preserve"> point (d)</w:t>
      </w:r>
      <w:r w:rsidR="00DF36EB" w:rsidRPr="008431A9">
        <w:rPr>
          <w:noProof/>
        </w:rPr>
        <w:t>,</w:t>
      </w:r>
      <w:r w:rsidR="4696A5D4" w:rsidRPr="008431A9">
        <w:rPr>
          <w:noProof/>
        </w:rPr>
        <w:t xml:space="preserve"> shall be kept up to date.</w:t>
      </w:r>
    </w:p>
    <w:p w:rsidR="00E775BE" w:rsidRPr="008431A9" w:rsidRDefault="00B34B72" w:rsidP="00B34B72">
      <w:pPr>
        <w:pStyle w:val="ManualNumPar1"/>
        <w:rPr>
          <w:noProof/>
        </w:rPr>
      </w:pPr>
      <w:r w:rsidRPr="00B34B72">
        <w:t>3.</w:t>
      </w:r>
      <w:r w:rsidRPr="00B34B72">
        <w:tab/>
      </w:r>
      <w:r w:rsidR="4696A5D4" w:rsidRPr="008431A9">
        <w:rPr>
          <w:noProof/>
        </w:rPr>
        <w:t xml:space="preserve">For </w:t>
      </w:r>
      <w:r w:rsidR="410A350A" w:rsidRPr="008431A9">
        <w:rPr>
          <w:noProof/>
        </w:rPr>
        <w:t xml:space="preserve">geographical indications concerning products originating </w:t>
      </w:r>
      <w:r w:rsidR="00977820" w:rsidRPr="008431A9">
        <w:rPr>
          <w:noProof/>
        </w:rPr>
        <w:t>in a third country</w:t>
      </w:r>
      <w:r w:rsidR="00062327" w:rsidRPr="008431A9">
        <w:rPr>
          <w:noProof/>
        </w:rPr>
        <w:t xml:space="preserve"> or countries the application for registration is submitted to the Office</w:t>
      </w:r>
      <w:r w:rsidR="00360DCF" w:rsidRPr="008431A9">
        <w:rPr>
          <w:noProof/>
        </w:rPr>
        <w:t>,</w:t>
      </w:r>
      <w:r w:rsidR="00062327" w:rsidRPr="008431A9">
        <w:rPr>
          <w:noProof/>
        </w:rPr>
        <w:t xml:space="preserve"> </w:t>
      </w:r>
      <w:r w:rsidR="00360DCF" w:rsidRPr="008431A9">
        <w:rPr>
          <w:noProof/>
        </w:rPr>
        <w:t>s</w:t>
      </w:r>
      <w:r w:rsidR="00062327" w:rsidRPr="008431A9">
        <w:rPr>
          <w:noProof/>
        </w:rPr>
        <w:t>uch</w:t>
      </w:r>
      <w:r w:rsidR="410A350A" w:rsidRPr="008431A9">
        <w:rPr>
          <w:noProof/>
        </w:rPr>
        <w:t xml:space="preserve"> </w:t>
      </w:r>
      <w:r w:rsidR="4696A5D4" w:rsidRPr="008431A9">
        <w:rPr>
          <w:noProof/>
        </w:rPr>
        <w:t xml:space="preserve">application for registration shall comprise: </w:t>
      </w:r>
    </w:p>
    <w:p w:rsidR="00E775BE" w:rsidRPr="008431A9" w:rsidRDefault="00B34B72" w:rsidP="00B34B72">
      <w:pPr>
        <w:pStyle w:val="Point1"/>
        <w:rPr>
          <w:noProof/>
        </w:rPr>
      </w:pPr>
      <w:r w:rsidRPr="00B34B72">
        <w:t>(a)</w:t>
      </w:r>
      <w:r w:rsidRPr="00B34B72">
        <w:tab/>
      </w:r>
      <w:r w:rsidR="67833288" w:rsidRPr="008431A9">
        <w:rPr>
          <w:noProof/>
        </w:rPr>
        <w:t>the product specification referred to in Article 7 together with its publication reference</w:t>
      </w:r>
      <w:r w:rsidR="002C3A82" w:rsidRPr="008431A9">
        <w:rPr>
          <w:noProof/>
        </w:rPr>
        <w:t>;</w:t>
      </w:r>
    </w:p>
    <w:p w:rsidR="00E775BE" w:rsidRPr="008431A9" w:rsidRDefault="00B34B72" w:rsidP="00B34B72">
      <w:pPr>
        <w:pStyle w:val="Point1"/>
        <w:rPr>
          <w:noProof/>
        </w:rPr>
      </w:pPr>
      <w:r w:rsidRPr="00B34B72">
        <w:t>(b)</w:t>
      </w:r>
      <w:r w:rsidRPr="00B34B72">
        <w:tab/>
      </w:r>
      <w:r w:rsidR="67833288" w:rsidRPr="008431A9">
        <w:rPr>
          <w:noProof/>
        </w:rPr>
        <w:t>the single document referred to in Article 8</w:t>
      </w:r>
      <w:r w:rsidR="002C3A82" w:rsidRPr="008431A9">
        <w:rPr>
          <w:noProof/>
        </w:rPr>
        <w:t>;</w:t>
      </w:r>
      <w:r w:rsidR="67833288" w:rsidRPr="008431A9">
        <w:rPr>
          <w:noProof/>
        </w:rPr>
        <w:t xml:space="preserve"> </w:t>
      </w:r>
    </w:p>
    <w:p w:rsidR="00E775BE" w:rsidRPr="008431A9" w:rsidRDefault="00B34B72" w:rsidP="00B34B72">
      <w:pPr>
        <w:pStyle w:val="Point1"/>
        <w:rPr>
          <w:noProof/>
        </w:rPr>
      </w:pPr>
      <w:r w:rsidRPr="00B34B72">
        <w:t>(c)</w:t>
      </w:r>
      <w:r w:rsidRPr="00B34B72">
        <w:tab/>
      </w:r>
      <w:r w:rsidR="67833288" w:rsidRPr="008431A9">
        <w:rPr>
          <w:noProof/>
        </w:rPr>
        <w:t>the accompanying documentation referred to in Article 9</w:t>
      </w:r>
      <w:r w:rsidR="002C3A82" w:rsidRPr="008431A9">
        <w:rPr>
          <w:noProof/>
        </w:rPr>
        <w:t>;</w:t>
      </w:r>
      <w:r w:rsidR="67833288" w:rsidRPr="008431A9">
        <w:rPr>
          <w:noProof/>
        </w:rPr>
        <w:t xml:space="preserve"> </w:t>
      </w:r>
    </w:p>
    <w:p w:rsidR="00E775BE" w:rsidRPr="008431A9" w:rsidRDefault="00B34B72" w:rsidP="00B34B72">
      <w:pPr>
        <w:pStyle w:val="Point1"/>
        <w:rPr>
          <w:noProof/>
        </w:rPr>
      </w:pPr>
      <w:r w:rsidRPr="00B34B72">
        <w:t>(d)</w:t>
      </w:r>
      <w:r w:rsidRPr="00B34B72">
        <w:tab/>
      </w:r>
      <w:r w:rsidR="72E49F93" w:rsidRPr="008431A9">
        <w:rPr>
          <w:noProof/>
        </w:rPr>
        <w:t xml:space="preserve">legal </w:t>
      </w:r>
      <w:r w:rsidR="67833288" w:rsidRPr="008431A9">
        <w:rPr>
          <w:noProof/>
        </w:rPr>
        <w:t>proof of protection of the geographical indication in its country of origin</w:t>
      </w:r>
      <w:r w:rsidR="002C3A82" w:rsidRPr="008431A9">
        <w:rPr>
          <w:noProof/>
        </w:rPr>
        <w:t>;</w:t>
      </w:r>
      <w:r w:rsidR="67833288" w:rsidRPr="008431A9">
        <w:rPr>
          <w:noProof/>
        </w:rPr>
        <w:t xml:space="preserve"> </w:t>
      </w:r>
    </w:p>
    <w:p w:rsidR="00E775BE" w:rsidRPr="008431A9" w:rsidRDefault="00B34B72" w:rsidP="00B34B72">
      <w:pPr>
        <w:pStyle w:val="Point1"/>
        <w:rPr>
          <w:rFonts w:eastAsia="Times New Roman"/>
          <w:noProof/>
        </w:rPr>
      </w:pPr>
      <w:r w:rsidRPr="00B34B72">
        <w:t>(e)</w:t>
      </w:r>
      <w:r w:rsidRPr="00B34B72">
        <w:tab/>
      </w:r>
      <w:r w:rsidR="67833288" w:rsidRPr="008431A9">
        <w:rPr>
          <w:noProof/>
        </w:rPr>
        <w:t xml:space="preserve">a power of attorney </w:t>
      </w:r>
      <w:r w:rsidR="00620E05" w:rsidRPr="008431A9">
        <w:rPr>
          <w:noProof/>
        </w:rPr>
        <w:t>where</w:t>
      </w:r>
      <w:r w:rsidR="67833288" w:rsidRPr="008431A9">
        <w:rPr>
          <w:noProof/>
        </w:rPr>
        <w:t xml:space="preserve"> the applicant is represented by a</w:t>
      </w:r>
      <w:r w:rsidR="7769707F" w:rsidRPr="008431A9">
        <w:rPr>
          <w:noProof/>
        </w:rPr>
        <w:t>n agent</w:t>
      </w:r>
      <w:r w:rsidR="67833288" w:rsidRPr="008431A9">
        <w:rPr>
          <w:rFonts w:eastAsia="Times New Roman"/>
          <w:noProof/>
        </w:rPr>
        <w:t xml:space="preserve">. </w:t>
      </w:r>
    </w:p>
    <w:p w:rsidR="00E775BE" w:rsidRPr="008431A9" w:rsidRDefault="00B34B72" w:rsidP="00B34B72">
      <w:pPr>
        <w:pStyle w:val="ManualNumPar1"/>
        <w:rPr>
          <w:noProof/>
        </w:rPr>
      </w:pPr>
      <w:r w:rsidRPr="00B34B72">
        <w:t>4.</w:t>
      </w:r>
      <w:r w:rsidRPr="00B34B72">
        <w:tab/>
      </w:r>
      <w:r w:rsidR="17CA01F9" w:rsidRPr="008431A9">
        <w:rPr>
          <w:noProof/>
        </w:rPr>
        <w:t>A</w:t>
      </w:r>
      <w:r w:rsidR="4696A5D4" w:rsidRPr="008431A9">
        <w:rPr>
          <w:noProof/>
        </w:rPr>
        <w:t xml:space="preserve"> joint application for registration</w:t>
      </w:r>
      <w:r w:rsidR="17CA01F9" w:rsidRPr="008431A9">
        <w:rPr>
          <w:noProof/>
        </w:rPr>
        <w:t xml:space="preserve"> </w:t>
      </w:r>
      <w:r w:rsidR="00D92B36" w:rsidRPr="008431A9">
        <w:rPr>
          <w:noProof/>
        </w:rPr>
        <w:t>referred to in Article 6(4</w:t>
      </w:r>
      <w:r w:rsidR="4696A5D4" w:rsidRPr="008431A9">
        <w:rPr>
          <w:noProof/>
        </w:rPr>
        <w:t>)</w:t>
      </w:r>
      <w:r w:rsidR="00977820" w:rsidRPr="008431A9">
        <w:rPr>
          <w:noProof/>
        </w:rPr>
        <w:t xml:space="preserve"> </w:t>
      </w:r>
      <w:r w:rsidR="4696A5D4" w:rsidRPr="008431A9">
        <w:rPr>
          <w:noProof/>
        </w:rPr>
        <w:t xml:space="preserve">shall be submitted </w:t>
      </w:r>
      <w:r w:rsidR="002C3A82" w:rsidRPr="008431A9">
        <w:rPr>
          <w:noProof/>
        </w:rPr>
        <w:t xml:space="preserve">to the Office </w:t>
      </w:r>
      <w:r w:rsidR="4696A5D4" w:rsidRPr="008431A9">
        <w:rPr>
          <w:noProof/>
        </w:rPr>
        <w:t xml:space="preserve">by </w:t>
      </w:r>
      <w:r w:rsidR="00167826" w:rsidRPr="008431A9">
        <w:rPr>
          <w:noProof/>
        </w:rPr>
        <w:t xml:space="preserve">one of </w:t>
      </w:r>
      <w:r w:rsidR="4696A5D4" w:rsidRPr="008431A9">
        <w:rPr>
          <w:noProof/>
        </w:rPr>
        <w:t>the Member State</w:t>
      </w:r>
      <w:r w:rsidR="00167826" w:rsidRPr="008431A9">
        <w:rPr>
          <w:noProof/>
        </w:rPr>
        <w:t>s</w:t>
      </w:r>
      <w:r w:rsidR="4696A5D4" w:rsidRPr="008431A9">
        <w:rPr>
          <w:noProof/>
        </w:rPr>
        <w:t xml:space="preserve"> concerned or by the </w:t>
      </w:r>
      <w:r w:rsidR="17CA01F9" w:rsidRPr="008431A9">
        <w:rPr>
          <w:noProof/>
        </w:rPr>
        <w:t xml:space="preserve">applicant </w:t>
      </w:r>
      <w:r w:rsidR="4696A5D4" w:rsidRPr="008431A9">
        <w:rPr>
          <w:noProof/>
        </w:rPr>
        <w:t>producer group in a third country, directly or by the competent authority of th</w:t>
      </w:r>
      <w:r w:rsidR="00167826" w:rsidRPr="008431A9">
        <w:rPr>
          <w:noProof/>
        </w:rPr>
        <w:t xml:space="preserve">at </w:t>
      </w:r>
      <w:r w:rsidR="4696A5D4" w:rsidRPr="008431A9">
        <w:rPr>
          <w:noProof/>
        </w:rPr>
        <w:t xml:space="preserve">third country. If the cross-border area concerns </w:t>
      </w:r>
      <w:r w:rsidR="00DF36EB" w:rsidRPr="008431A9">
        <w:rPr>
          <w:noProof/>
        </w:rPr>
        <w:t>any</w:t>
      </w:r>
      <w:r w:rsidR="00167826" w:rsidRPr="008431A9">
        <w:rPr>
          <w:noProof/>
        </w:rPr>
        <w:t xml:space="preserve"> </w:t>
      </w:r>
      <w:r w:rsidR="4696A5D4" w:rsidRPr="008431A9">
        <w:rPr>
          <w:noProof/>
        </w:rPr>
        <w:t>Member State and a third country, the joint application shall be submitted by the Member State</w:t>
      </w:r>
      <w:r w:rsidR="009E4357" w:rsidRPr="008431A9">
        <w:rPr>
          <w:noProof/>
        </w:rPr>
        <w:t xml:space="preserve"> concerned</w:t>
      </w:r>
      <w:r w:rsidR="4696A5D4" w:rsidRPr="008431A9">
        <w:rPr>
          <w:noProof/>
        </w:rPr>
        <w:t xml:space="preserve">. </w:t>
      </w:r>
    </w:p>
    <w:p w:rsidR="00E775BE" w:rsidRPr="008431A9" w:rsidRDefault="00B34B72" w:rsidP="00B34B72">
      <w:pPr>
        <w:pStyle w:val="ManualNumPar1"/>
        <w:rPr>
          <w:rFonts w:eastAsia="Times New Roman"/>
          <w:noProof/>
        </w:rPr>
      </w:pPr>
      <w:r w:rsidRPr="00B34B72">
        <w:t>5.</w:t>
      </w:r>
      <w:r w:rsidRPr="00B34B72">
        <w:tab/>
      </w:r>
      <w:r w:rsidR="4696A5D4" w:rsidRPr="008431A9">
        <w:rPr>
          <w:noProof/>
        </w:rPr>
        <w:t>The joint application</w:t>
      </w:r>
      <w:r w:rsidR="00D92B36" w:rsidRPr="008431A9">
        <w:rPr>
          <w:noProof/>
        </w:rPr>
        <w:t xml:space="preserve"> referred to in Article 6(4</w:t>
      </w:r>
      <w:r w:rsidR="5179E598" w:rsidRPr="008431A9">
        <w:rPr>
          <w:noProof/>
        </w:rPr>
        <w:t>)</w:t>
      </w:r>
      <w:r w:rsidR="4696A5D4" w:rsidRPr="008431A9">
        <w:rPr>
          <w:noProof/>
        </w:rPr>
        <w:t xml:space="preserve"> shall include, </w:t>
      </w:r>
      <w:r w:rsidR="00E775BE" w:rsidRPr="008431A9" w:rsidDel="4696A5D4">
        <w:rPr>
          <w:noProof/>
        </w:rPr>
        <w:t xml:space="preserve">where </w:t>
      </w:r>
      <w:r w:rsidR="4696A5D4" w:rsidRPr="008431A9">
        <w:rPr>
          <w:noProof/>
        </w:rPr>
        <w:t xml:space="preserve">relevant, the </w:t>
      </w:r>
      <w:r w:rsidR="00B916FF" w:rsidRPr="008431A9">
        <w:rPr>
          <w:noProof/>
        </w:rPr>
        <w:t xml:space="preserve">documents </w:t>
      </w:r>
      <w:r w:rsidR="4696A5D4" w:rsidRPr="008431A9">
        <w:rPr>
          <w:noProof/>
        </w:rPr>
        <w:t>listed in paragraphs 1 and 2</w:t>
      </w:r>
      <w:r w:rsidR="00B916FF" w:rsidRPr="008431A9">
        <w:rPr>
          <w:noProof/>
        </w:rPr>
        <w:t xml:space="preserve"> of this Article</w:t>
      </w:r>
      <w:r w:rsidR="4696A5D4" w:rsidRPr="008431A9">
        <w:rPr>
          <w:noProof/>
        </w:rPr>
        <w:t xml:space="preserve">, from the Member States </w:t>
      </w:r>
      <w:r w:rsidR="5179E598" w:rsidRPr="008431A9">
        <w:rPr>
          <w:noProof/>
        </w:rPr>
        <w:t xml:space="preserve">or </w:t>
      </w:r>
      <w:r w:rsidR="5179E598" w:rsidRPr="008431A9">
        <w:rPr>
          <w:noProof/>
        </w:rPr>
        <w:lastRenderedPageBreak/>
        <w:t xml:space="preserve">third countries </w:t>
      </w:r>
      <w:r w:rsidR="4696A5D4" w:rsidRPr="008431A9">
        <w:rPr>
          <w:noProof/>
        </w:rPr>
        <w:t>concerned. The related national procedure for application, the examination and opposition proc</w:t>
      </w:r>
      <w:r w:rsidR="00D92B36" w:rsidRPr="008431A9">
        <w:rPr>
          <w:noProof/>
        </w:rPr>
        <w:t>edure referred to in Articles 11, 12</w:t>
      </w:r>
      <w:r w:rsidR="00B916FF" w:rsidRPr="008431A9">
        <w:rPr>
          <w:noProof/>
        </w:rPr>
        <w:t xml:space="preserve"> and</w:t>
      </w:r>
      <w:r w:rsidR="4696A5D4" w:rsidRPr="008431A9">
        <w:rPr>
          <w:noProof/>
        </w:rPr>
        <w:t xml:space="preserve"> 13 shall be carried out in all </w:t>
      </w:r>
      <w:r w:rsidR="4696A5D4" w:rsidRPr="008431A9">
        <w:rPr>
          <w:rFonts w:eastAsia="Times New Roman"/>
          <w:noProof/>
        </w:rPr>
        <w:t xml:space="preserve">the Member States and third countries concerned. </w:t>
      </w:r>
    </w:p>
    <w:p w:rsidR="00151F66" w:rsidRPr="008431A9" w:rsidRDefault="00B34B72" w:rsidP="00B34B72">
      <w:pPr>
        <w:pStyle w:val="ManualNumPar1"/>
        <w:rPr>
          <w:rFonts w:eastAsia="Times New Roman"/>
          <w:noProof/>
        </w:rPr>
      </w:pPr>
      <w:r w:rsidRPr="00B34B72">
        <w:t>6.</w:t>
      </w:r>
      <w:r w:rsidRPr="00B34B72">
        <w:tab/>
      </w:r>
      <w:r w:rsidR="6B93052E" w:rsidRPr="008431A9">
        <w:rPr>
          <w:noProof/>
        </w:rPr>
        <w:t>The Commission shall be empowered to adopt delegated acts defining procedures and conditions applicable to the preparation and submission</w:t>
      </w:r>
      <w:r w:rsidR="00D92B36" w:rsidRPr="008431A9">
        <w:rPr>
          <w:noProof/>
        </w:rPr>
        <w:t xml:space="preserve"> </w:t>
      </w:r>
      <w:r w:rsidR="6B93052E" w:rsidRPr="008431A9">
        <w:rPr>
          <w:noProof/>
        </w:rPr>
        <w:t>of Union applications for registration.</w:t>
      </w:r>
    </w:p>
    <w:p w:rsidR="00E775BE" w:rsidRPr="008431A9" w:rsidRDefault="00B34B72" w:rsidP="00B34B72">
      <w:pPr>
        <w:pStyle w:val="ManualNumPar1"/>
        <w:rPr>
          <w:rFonts w:eastAsia="Calibri"/>
          <w:noProof/>
          <w:lang w:val="en-US"/>
        </w:rPr>
      </w:pPr>
      <w:r w:rsidRPr="00B34B72">
        <w:t>7.</w:t>
      </w:r>
      <w:r w:rsidRPr="00B34B72">
        <w:tab/>
      </w:r>
      <w:r w:rsidR="6B93052E" w:rsidRPr="008431A9">
        <w:rPr>
          <w:noProof/>
        </w:rPr>
        <w:t xml:space="preserve">The Commission may adopt implementing acts laying down detailed rules on procedures, the form and presentation of Union applications for registration, including for applications concerning more than one national territory. Those implementing acts shall be adopted in accordance with the examination procedure referred to in </w:t>
      </w:r>
      <w:r w:rsidR="00596A93" w:rsidRPr="008431A9">
        <w:rPr>
          <w:noProof/>
        </w:rPr>
        <w:t>Article 65</w:t>
      </w:r>
      <w:r w:rsidR="183835EF" w:rsidRPr="008431A9">
        <w:rPr>
          <w:noProof/>
        </w:rPr>
        <w:t>(2)</w:t>
      </w:r>
      <w:r w:rsidR="183835EF" w:rsidRPr="008431A9">
        <w:rPr>
          <w:rFonts w:eastAsia="Times New Roman"/>
          <w:noProof/>
        </w:rPr>
        <w:t xml:space="preserve">. </w:t>
      </w:r>
    </w:p>
    <w:p w:rsidR="00E775BE" w:rsidRPr="008431A9" w:rsidRDefault="00E775BE" w:rsidP="00B23E88">
      <w:pPr>
        <w:pStyle w:val="Titrearticle"/>
        <w:rPr>
          <w:noProof/>
        </w:rPr>
      </w:pPr>
      <w:r w:rsidRPr="008431A9">
        <w:rPr>
          <w:noProof/>
        </w:rPr>
        <w:t xml:space="preserve">Article </w:t>
      </w:r>
      <w:r w:rsidRPr="008431A9">
        <w:rPr>
          <w:iCs/>
          <w:noProof/>
        </w:rPr>
        <w:t>18</w:t>
      </w:r>
    </w:p>
    <w:p w:rsidR="00E775BE" w:rsidRPr="008431A9" w:rsidRDefault="00E775BE" w:rsidP="00843D97">
      <w:pPr>
        <w:pStyle w:val="NormalCentered"/>
        <w:rPr>
          <w:b/>
          <w:noProof/>
          <w:lang w:val="en-US"/>
        </w:rPr>
      </w:pPr>
      <w:r w:rsidRPr="008431A9">
        <w:rPr>
          <w:b/>
          <w:noProof/>
          <w:lang w:val="en-US"/>
        </w:rPr>
        <w:t xml:space="preserve">Submission of the Union application </w:t>
      </w:r>
    </w:p>
    <w:p w:rsidR="00E775BE" w:rsidRPr="008431A9" w:rsidRDefault="00B34B72" w:rsidP="00B34B72">
      <w:pPr>
        <w:pStyle w:val="ManualNumPar1"/>
        <w:rPr>
          <w:rFonts w:eastAsiaTheme="minorEastAsia"/>
          <w:noProof/>
          <w:szCs w:val="24"/>
        </w:rPr>
      </w:pPr>
      <w:r w:rsidRPr="00B34B72">
        <w:t>1.</w:t>
      </w:r>
      <w:r w:rsidRPr="00B34B72">
        <w:tab/>
      </w:r>
      <w:r w:rsidR="183835EF" w:rsidRPr="008431A9">
        <w:rPr>
          <w:noProof/>
        </w:rPr>
        <w:t>A</w:t>
      </w:r>
      <w:r w:rsidR="796EE741" w:rsidRPr="008431A9">
        <w:rPr>
          <w:noProof/>
        </w:rPr>
        <w:t xml:space="preserve"> Union</w:t>
      </w:r>
      <w:r w:rsidR="183835EF" w:rsidRPr="008431A9">
        <w:rPr>
          <w:noProof/>
        </w:rPr>
        <w:t xml:space="preserve"> application for the registration of a geographical indication, including the direct </w:t>
      </w:r>
      <w:r w:rsidR="1CDAE439" w:rsidRPr="008431A9">
        <w:rPr>
          <w:noProof/>
        </w:rPr>
        <w:t xml:space="preserve">registration </w:t>
      </w:r>
      <w:r w:rsidR="183835EF" w:rsidRPr="008431A9">
        <w:rPr>
          <w:noProof/>
        </w:rPr>
        <w:t xml:space="preserve">referred to in Article 15, shall be </w:t>
      </w:r>
      <w:r w:rsidR="796EE741" w:rsidRPr="008431A9">
        <w:rPr>
          <w:noProof/>
        </w:rPr>
        <w:t xml:space="preserve">submitted </w:t>
      </w:r>
      <w:r w:rsidR="183835EF" w:rsidRPr="008431A9">
        <w:rPr>
          <w:noProof/>
        </w:rPr>
        <w:t xml:space="preserve">to the Office electronically, </w:t>
      </w:r>
      <w:r w:rsidR="796EE741" w:rsidRPr="008431A9">
        <w:rPr>
          <w:noProof/>
        </w:rPr>
        <w:t xml:space="preserve">through </w:t>
      </w:r>
      <w:r w:rsidR="183835EF" w:rsidRPr="008431A9">
        <w:rPr>
          <w:noProof/>
        </w:rPr>
        <w:t>a digital system</w:t>
      </w:r>
      <w:r w:rsidR="00E726F7" w:rsidRPr="008431A9">
        <w:rPr>
          <w:noProof/>
        </w:rPr>
        <w:t xml:space="preserve"> by the competent authority of the Member State or where Article 15 applies, by the producer group concerned</w:t>
      </w:r>
      <w:r w:rsidR="183835EF" w:rsidRPr="008431A9">
        <w:rPr>
          <w:noProof/>
        </w:rPr>
        <w:t>. The digital system shall have the capacity to allow the submission of applications to competent authorities of a Member State, and to be used by the Member State in its national procedure.</w:t>
      </w:r>
      <w:r w:rsidR="00E726F7" w:rsidRPr="008431A9">
        <w:rPr>
          <w:noProof/>
        </w:rPr>
        <w:t xml:space="preserve"> </w:t>
      </w:r>
    </w:p>
    <w:p w:rsidR="00E775BE" w:rsidRPr="008431A9" w:rsidRDefault="00B34B72" w:rsidP="00B34B72">
      <w:pPr>
        <w:pStyle w:val="ManualNumPar1"/>
        <w:rPr>
          <w:noProof/>
        </w:rPr>
      </w:pPr>
      <w:r w:rsidRPr="00B34B72">
        <w:t>2.</w:t>
      </w:r>
      <w:r w:rsidRPr="00B34B72">
        <w:tab/>
      </w:r>
      <w:r w:rsidR="183835EF" w:rsidRPr="008431A9">
        <w:rPr>
          <w:noProof/>
        </w:rPr>
        <w:t xml:space="preserve">Where the application for registration relates to a geographical area </w:t>
      </w:r>
      <w:r w:rsidR="001A2FD8" w:rsidRPr="008431A9">
        <w:rPr>
          <w:noProof/>
        </w:rPr>
        <w:t>in a third country</w:t>
      </w:r>
      <w:r w:rsidR="183835EF" w:rsidRPr="008431A9">
        <w:rPr>
          <w:noProof/>
        </w:rPr>
        <w:t xml:space="preserve">, the application shall be </w:t>
      </w:r>
      <w:r w:rsidR="13463994" w:rsidRPr="008431A9">
        <w:rPr>
          <w:noProof/>
        </w:rPr>
        <w:t xml:space="preserve">submitted to </w:t>
      </w:r>
      <w:r w:rsidR="183835EF" w:rsidRPr="008431A9">
        <w:rPr>
          <w:noProof/>
        </w:rPr>
        <w:t xml:space="preserve">the Office, either directly by the </w:t>
      </w:r>
      <w:r w:rsidR="13463994" w:rsidRPr="008431A9">
        <w:rPr>
          <w:noProof/>
        </w:rPr>
        <w:t xml:space="preserve">applicant </w:t>
      </w:r>
      <w:r w:rsidR="183835EF" w:rsidRPr="008431A9">
        <w:rPr>
          <w:noProof/>
        </w:rPr>
        <w:t xml:space="preserve">producer group or </w:t>
      </w:r>
      <w:r w:rsidR="001A2FD8" w:rsidRPr="008431A9">
        <w:rPr>
          <w:noProof/>
        </w:rPr>
        <w:t>by</w:t>
      </w:r>
      <w:r w:rsidR="13463994" w:rsidRPr="008431A9">
        <w:rPr>
          <w:noProof/>
        </w:rPr>
        <w:t xml:space="preserve"> </w:t>
      </w:r>
      <w:r w:rsidR="183835EF" w:rsidRPr="008431A9">
        <w:rPr>
          <w:noProof/>
        </w:rPr>
        <w:t xml:space="preserve">the </w:t>
      </w:r>
      <w:r w:rsidR="001A2FD8" w:rsidRPr="008431A9">
        <w:rPr>
          <w:noProof/>
        </w:rPr>
        <w:t xml:space="preserve">competent authority of the </w:t>
      </w:r>
      <w:r w:rsidR="183835EF" w:rsidRPr="008431A9">
        <w:rPr>
          <w:noProof/>
        </w:rPr>
        <w:t>third country concerned. The digital system</w:t>
      </w:r>
      <w:r w:rsidR="13463994" w:rsidRPr="008431A9">
        <w:rPr>
          <w:noProof/>
        </w:rPr>
        <w:t>, referred to in paragraph 1,</w:t>
      </w:r>
      <w:r w:rsidR="183835EF" w:rsidRPr="008431A9">
        <w:rPr>
          <w:noProof/>
        </w:rPr>
        <w:t xml:space="preserve"> shall have capacity to allow the </w:t>
      </w:r>
      <w:r w:rsidR="13463994" w:rsidRPr="008431A9">
        <w:rPr>
          <w:noProof/>
        </w:rPr>
        <w:t xml:space="preserve">submission </w:t>
      </w:r>
      <w:r w:rsidR="183835EF" w:rsidRPr="008431A9">
        <w:rPr>
          <w:noProof/>
        </w:rPr>
        <w:t xml:space="preserve">of </w:t>
      </w:r>
      <w:r w:rsidR="001A2FD8" w:rsidRPr="008431A9">
        <w:rPr>
          <w:noProof/>
        </w:rPr>
        <w:t xml:space="preserve">those </w:t>
      </w:r>
      <w:r w:rsidR="183835EF" w:rsidRPr="008431A9">
        <w:rPr>
          <w:noProof/>
        </w:rPr>
        <w:t xml:space="preserve">applications by an applicant </w:t>
      </w:r>
      <w:r w:rsidR="13463994" w:rsidRPr="008431A9">
        <w:rPr>
          <w:noProof/>
        </w:rPr>
        <w:t xml:space="preserve">producer group </w:t>
      </w:r>
      <w:r w:rsidR="183835EF" w:rsidRPr="008431A9">
        <w:rPr>
          <w:noProof/>
        </w:rPr>
        <w:t xml:space="preserve">established </w:t>
      </w:r>
      <w:r w:rsidR="00DF36EB" w:rsidRPr="008431A9">
        <w:rPr>
          <w:noProof/>
        </w:rPr>
        <w:t>in a third country</w:t>
      </w:r>
      <w:r w:rsidR="183835EF" w:rsidRPr="008431A9">
        <w:rPr>
          <w:noProof/>
        </w:rPr>
        <w:t xml:space="preserve"> and by the competent authorities in the third country concerned. </w:t>
      </w:r>
      <w:r w:rsidR="001A2FD8" w:rsidRPr="008431A9">
        <w:rPr>
          <w:noProof/>
        </w:rPr>
        <w:t>T</w:t>
      </w:r>
      <w:r w:rsidR="183835EF" w:rsidRPr="008431A9">
        <w:rPr>
          <w:noProof/>
        </w:rPr>
        <w:t xml:space="preserve">he </w:t>
      </w:r>
      <w:r w:rsidR="13463994" w:rsidRPr="008431A9">
        <w:rPr>
          <w:noProof/>
        </w:rPr>
        <w:t xml:space="preserve">applicant </w:t>
      </w:r>
      <w:r w:rsidR="183835EF" w:rsidRPr="008431A9">
        <w:rPr>
          <w:noProof/>
        </w:rPr>
        <w:t>producer group</w:t>
      </w:r>
      <w:r w:rsidR="00DD1E5C" w:rsidRPr="008431A9">
        <w:rPr>
          <w:noProof/>
        </w:rPr>
        <w:t xml:space="preserve"> </w:t>
      </w:r>
      <w:r w:rsidR="001A2FD8" w:rsidRPr="008431A9">
        <w:rPr>
          <w:noProof/>
        </w:rPr>
        <w:t>and</w:t>
      </w:r>
      <w:r w:rsidR="00DD1E5C" w:rsidRPr="008431A9">
        <w:rPr>
          <w:noProof/>
        </w:rPr>
        <w:t xml:space="preserve"> the </w:t>
      </w:r>
      <w:r w:rsidR="1CDAE439" w:rsidRPr="008431A9">
        <w:rPr>
          <w:noProof/>
        </w:rPr>
        <w:t xml:space="preserve">competent authorities of the </w:t>
      </w:r>
      <w:r w:rsidR="001A2FD8" w:rsidRPr="008431A9">
        <w:rPr>
          <w:noProof/>
        </w:rPr>
        <w:t xml:space="preserve">third country concerned </w:t>
      </w:r>
      <w:r w:rsidR="183835EF" w:rsidRPr="008431A9">
        <w:rPr>
          <w:noProof/>
        </w:rPr>
        <w:t xml:space="preserve">shall be considered </w:t>
      </w:r>
      <w:r w:rsidR="00DD1E5C" w:rsidRPr="008431A9">
        <w:rPr>
          <w:noProof/>
        </w:rPr>
        <w:t xml:space="preserve">a </w:t>
      </w:r>
      <w:r w:rsidR="183835EF" w:rsidRPr="008431A9">
        <w:rPr>
          <w:noProof/>
        </w:rPr>
        <w:t xml:space="preserve">party to the procedure. </w:t>
      </w:r>
    </w:p>
    <w:p w:rsidR="00E775BE" w:rsidRPr="008431A9" w:rsidRDefault="00B34B72" w:rsidP="00B34B72">
      <w:pPr>
        <w:pStyle w:val="ManualNumPar1"/>
        <w:rPr>
          <w:noProof/>
        </w:rPr>
      </w:pPr>
      <w:r w:rsidRPr="00B34B72">
        <w:t>3.</w:t>
      </w:r>
      <w:r w:rsidRPr="00B34B72">
        <w:tab/>
      </w:r>
      <w:r w:rsidR="00DD1E5C" w:rsidRPr="008431A9">
        <w:rPr>
          <w:noProof/>
        </w:rPr>
        <w:t>Upon submission, the Office shall publish t</w:t>
      </w:r>
      <w:r w:rsidR="183835EF" w:rsidRPr="008431A9">
        <w:rPr>
          <w:noProof/>
        </w:rPr>
        <w:t xml:space="preserve">he </w:t>
      </w:r>
      <w:r w:rsidR="764BF253" w:rsidRPr="008431A9">
        <w:rPr>
          <w:noProof/>
        </w:rPr>
        <w:t xml:space="preserve">Union </w:t>
      </w:r>
      <w:r w:rsidR="183835EF" w:rsidRPr="008431A9">
        <w:rPr>
          <w:noProof/>
        </w:rPr>
        <w:t>application</w:t>
      </w:r>
      <w:r w:rsidR="00DD1E5C" w:rsidRPr="008431A9">
        <w:rPr>
          <w:noProof/>
        </w:rPr>
        <w:t xml:space="preserve"> </w:t>
      </w:r>
      <w:r w:rsidR="0085227F" w:rsidRPr="008431A9">
        <w:rPr>
          <w:noProof/>
        </w:rPr>
        <w:t>in the Union register of geographical indications</w:t>
      </w:r>
      <w:r w:rsidR="005F6945" w:rsidRPr="008431A9">
        <w:rPr>
          <w:noProof/>
        </w:rPr>
        <w:t xml:space="preserve"> for craft and industrial products</w:t>
      </w:r>
      <w:r w:rsidR="183835EF" w:rsidRPr="008431A9">
        <w:rPr>
          <w:noProof/>
        </w:rPr>
        <w:t xml:space="preserve">. </w:t>
      </w:r>
    </w:p>
    <w:p w:rsidR="00E775BE" w:rsidRPr="008431A9" w:rsidRDefault="00E775BE" w:rsidP="00B23E88">
      <w:pPr>
        <w:pStyle w:val="Titrearticle"/>
        <w:rPr>
          <w:noProof/>
          <w:lang w:val="en-US"/>
        </w:rPr>
      </w:pPr>
      <w:r w:rsidRPr="008431A9">
        <w:rPr>
          <w:noProof/>
          <w:lang w:val="en-US"/>
        </w:rPr>
        <w:t xml:space="preserve">Article </w:t>
      </w:r>
      <w:r w:rsidRPr="008431A9">
        <w:rPr>
          <w:iCs/>
          <w:noProof/>
          <w:lang w:val="en-US"/>
        </w:rPr>
        <w:t>19</w:t>
      </w:r>
    </w:p>
    <w:p w:rsidR="00E775BE" w:rsidRPr="008431A9" w:rsidRDefault="00DA5FEA" w:rsidP="00843D97">
      <w:pPr>
        <w:pStyle w:val="NormalCentered"/>
        <w:rPr>
          <w:b/>
          <w:noProof/>
          <w:lang w:val="en-US"/>
        </w:rPr>
      </w:pPr>
      <w:r w:rsidRPr="008431A9">
        <w:rPr>
          <w:b/>
          <w:noProof/>
          <w:lang w:val="en-US"/>
        </w:rPr>
        <w:t xml:space="preserve">Examination </w:t>
      </w:r>
      <w:r w:rsidR="00E775BE" w:rsidRPr="008431A9">
        <w:rPr>
          <w:b/>
          <w:noProof/>
          <w:lang w:val="en-US"/>
        </w:rPr>
        <w:t>and publication for opposition</w:t>
      </w:r>
    </w:p>
    <w:p w:rsidR="00DF36EB" w:rsidRPr="008431A9" w:rsidRDefault="00B34B72" w:rsidP="00B34B72">
      <w:pPr>
        <w:pStyle w:val="ManualNumPar1"/>
        <w:rPr>
          <w:rFonts w:eastAsiaTheme="minorEastAsia"/>
          <w:noProof/>
          <w:szCs w:val="24"/>
        </w:rPr>
      </w:pPr>
      <w:r w:rsidRPr="00B34B72">
        <w:t>1.</w:t>
      </w:r>
      <w:r w:rsidRPr="00B34B72">
        <w:tab/>
      </w:r>
      <w:r w:rsidR="183835EF" w:rsidRPr="008431A9">
        <w:rPr>
          <w:noProof/>
        </w:rPr>
        <w:t xml:space="preserve">The Office shall </w:t>
      </w:r>
      <w:r w:rsidR="00DA5FEA" w:rsidRPr="008431A9">
        <w:rPr>
          <w:noProof/>
        </w:rPr>
        <w:t xml:space="preserve">examine </w:t>
      </w:r>
      <w:r w:rsidR="183835EF" w:rsidRPr="008431A9">
        <w:rPr>
          <w:noProof/>
        </w:rPr>
        <w:t xml:space="preserve">any application </w:t>
      </w:r>
      <w:r w:rsidR="38D07275" w:rsidRPr="008431A9">
        <w:rPr>
          <w:noProof/>
        </w:rPr>
        <w:t xml:space="preserve">for registration </w:t>
      </w:r>
      <w:r w:rsidR="183835EF" w:rsidRPr="008431A9">
        <w:rPr>
          <w:noProof/>
        </w:rPr>
        <w:t xml:space="preserve">that it receives </w:t>
      </w:r>
      <w:r w:rsidR="00143D6B" w:rsidRPr="008431A9">
        <w:rPr>
          <w:noProof/>
        </w:rPr>
        <w:t>under</w:t>
      </w:r>
      <w:r w:rsidR="183835EF" w:rsidRPr="008431A9">
        <w:rPr>
          <w:noProof/>
        </w:rPr>
        <w:t xml:space="preserve"> Article 17</w:t>
      </w:r>
      <w:r w:rsidR="00143D6B" w:rsidRPr="008431A9">
        <w:rPr>
          <w:noProof/>
        </w:rPr>
        <w:t>(1)</w:t>
      </w:r>
      <w:r w:rsidR="183835EF" w:rsidRPr="008431A9">
        <w:rPr>
          <w:noProof/>
        </w:rPr>
        <w:t xml:space="preserve">. Such </w:t>
      </w:r>
      <w:r w:rsidR="00DA5FEA" w:rsidRPr="008431A9">
        <w:rPr>
          <w:noProof/>
        </w:rPr>
        <w:t xml:space="preserve">examination </w:t>
      </w:r>
      <w:r w:rsidR="183835EF" w:rsidRPr="008431A9">
        <w:rPr>
          <w:noProof/>
        </w:rPr>
        <w:t xml:space="preserve">shall consist of a check </w:t>
      </w:r>
      <w:r w:rsidR="00A0102B" w:rsidRPr="008431A9">
        <w:rPr>
          <w:noProof/>
        </w:rPr>
        <w:t>that</w:t>
      </w:r>
      <w:r w:rsidR="007E2649" w:rsidRPr="008431A9">
        <w:rPr>
          <w:noProof/>
        </w:rPr>
        <w:t>:</w:t>
      </w:r>
    </w:p>
    <w:p w:rsidR="00DF36EB" w:rsidRPr="008431A9" w:rsidRDefault="00B34B72" w:rsidP="00B34B72">
      <w:pPr>
        <w:pStyle w:val="Point1"/>
        <w:rPr>
          <w:rFonts w:eastAsiaTheme="minorEastAsia"/>
          <w:noProof/>
          <w:szCs w:val="24"/>
        </w:rPr>
      </w:pPr>
      <w:r w:rsidRPr="00B34B72">
        <w:t>(a)</w:t>
      </w:r>
      <w:r w:rsidRPr="00B34B72">
        <w:tab/>
      </w:r>
      <w:r w:rsidR="00BD52BA" w:rsidRPr="008431A9">
        <w:rPr>
          <w:noProof/>
        </w:rPr>
        <w:t>there are no manifest errors;</w:t>
      </w:r>
    </w:p>
    <w:p w:rsidR="00BD52BA" w:rsidRPr="008431A9" w:rsidRDefault="00B34B72" w:rsidP="00B34B72">
      <w:pPr>
        <w:pStyle w:val="Point1"/>
        <w:rPr>
          <w:rFonts w:eastAsiaTheme="minorEastAsia"/>
          <w:noProof/>
          <w:szCs w:val="24"/>
        </w:rPr>
      </w:pPr>
      <w:r w:rsidRPr="00B34B72">
        <w:t>(b)</w:t>
      </w:r>
      <w:r w:rsidRPr="00B34B72">
        <w:tab/>
      </w:r>
      <w:r w:rsidR="183835EF" w:rsidRPr="008431A9">
        <w:rPr>
          <w:noProof/>
        </w:rPr>
        <w:t>the information provided in accordance with Article 17 is complete</w:t>
      </w:r>
      <w:r w:rsidR="00BD52BA" w:rsidRPr="008431A9">
        <w:rPr>
          <w:noProof/>
        </w:rPr>
        <w:t>;</w:t>
      </w:r>
      <w:r w:rsidR="183835EF" w:rsidRPr="008431A9">
        <w:rPr>
          <w:noProof/>
        </w:rPr>
        <w:t xml:space="preserve"> and </w:t>
      </w:r>
    </w:p>
    <w:p w:rsidR="007E2649" w:rsidRPr="008431A9" w:rsidRDefault="00B34B72" w:rsidP="00B34B72">
      <w:pPr>
        <w:pStyle w:val="Point1"/>
        <w:rPr>
          <w:noProof/>
        </w:rPr>
      </w:pPr>
      <w:r w:rsidRPr="00B34B72">
        <w:t>(c)</w:t>
      </w:r>
      <w:r w:rsidRPr="00B34B72">
        <w:tab/>
      </w:r>
      <w:r w:rsidR="183835EF" w:rsidRPr="008431A9">
        <w:rPr>
          <w:noProof/>
        </w:rPr>
        <w:t xml:space="preserve">the </w:t>
      </w:r>
      <w:r w:rsidR="00D03761" w:rsidRPr="008431A9">
        <w:rPr>
          <w:noProof/>
        </w:rPr>
        <w:t>single document</w:t>
      </w:r>
      <w:r w:rsidR="183835EF" w:rsidRPr="008431A9">
        <w:rPr>
          <w:noProof/>
        </w:rPr>
        <w:t xml:space="preserve"> is precise and technical</w:t>
      </w:r>
      <w:r w:rsidR="38D07275" w:rsidRPr="008431A9">
        <w:rPr>
          <w:noProof/>
        </w:rPr>
        <w:t xml:space="preserve"> in nature</w:t>
      </w:r>
      <w:r w:rsidR="006D0115" w:rsidRPr="008431A9">
        <w:rPr>
          <w:noProof/>
        </w:rPr>
        <w:t xml:space="preserve"> and in accordance with Article 8</w:t>
      </w:r>
      <w:r w:rsidR="183835EF" w:rsidRPr="008431A9">
        <w:rPr>
          <w:noProof/>
        </w:rPr>
        <w:t xml:space="preserve">. </w:t>
      </w:r>
    </w:p>
    <w:p w:rsidR="00E775BE" w:rsidRPr="008431A9" w:rsidRDefault="00B34B72" w:rsidP="00B34B72">
      <w:pPr>
        <w:pStyle w:val="ManualNumPar1"/>
        <w:rPr>
          <w:noProof/>
        </w:rPr>
      </w:pPr>
      <w:r w:rsidRPr="00B34B72">
        <w:t>2.</w:t>
      </w:r>
      <w:r w:rsidRPr="00B34B72">
        <w:tab/>
      </w:r>
      <w:r w:rsidR="00BD52BA" w:rsidRPr="008431A9">
        <w:rPr>
          <w:noProof/>
        </w:rPr>
        <w:t>The examination</w:t>
      </w:r>
      <w:r w:rsidR="183835EF" w:rsidRPr="008431A9">
        <w:rPr>
          <w:noProof/>
        </w:rPr>
        <w:t xml:space="preserve"> shall take into account the outcome of the preliminary national procedure carried out by the Member State concerned, unless Article 15 is applied.</w:t>
      </w:r>
    </w:p>
    <w:p w:rsidR="00E775BE" w:rsidRPr="008431A9" w:rsidRDefault="00B34B72" w:rsidP="00B34B72">
      <w:pPr>
        <w:pStyle w:val="ManualNumPar1"/>
        <w:rPr>
          <w:noProof/>
        </w:rPr>
      </w:pPr>
      <w:r w:rsidRPr="00B34B72">
        <w:lastRenderedPageBreak/>
        <w:t>3.</w:t>
      </w:r>
      <w:r w:rsidRPr="00B34B72">
        <w:tab/>
      </w:r>
      <w:r w:rsidR="00DA5FEA" w:rsidRPr="008431A9">
        <w:rPr>
          <w:noProof/>
        </w:rPr>
        <w:t xml:space="preserve">The examination </w:t>
      </w:r>
      <w:r w:rsidR="00143D6B" w:rsidRPr="008431A9">
        <w:rPr>
          <w:noProof/>
        </w:rPr>
        <w:t>carried out pursuant to paragraph 1</w:t>
      </w:r>
      <w:r w:rsidR="00DA5FEA" w:rsidRPr="008431A9">
        <w:rPr>
          <w:noProof/>
        </w:rPr>
        <w:t xml:space="preserve"> </w:t>
      </w:r>
      <w:r w:rsidR="001711D9" w:rsidRPr="008431A9">
        <w:rPr>
          <w:noProof/>
        </w:rPr>
        <w:t xml:space="preserve">shall </w:t>
      </w:r>
      <w:r w:rsidR="183835EF" w:rsidRPr="008431A9">
        <w:rPr>
          <w:noProof/>
        </w:rPr>
        <w:t xml:space="preserve">not exceed a period of 6 months. </w:t>
      </w:r>
      <w:r w:rsidR="00143D6B" w:rsidRPr="008431A9">
        <w:rPr>
          <w:noProof/>
        </w:rPr>
        <w:t>Where</w:t>
      </w:r>
      <w:r w:rsidR="183835EF" w:rsidRPr="008431A9">
        <w:rPr>
          <w:noProof/>
        </w:rPr>
        <w:t xml:space="preserve"> the </w:t>
      </w:r>
      <w:r w:rsidR="00143D6B" w:rsidRPr="008431A9">
        <w:rPr>
          <w:noProof/>
        </w:rPr>
        <w:t>examination</w:t>
      </w:r>
      <w:r w:rsidR="183835EF" w:rsidRPr="008431A9">
        <w:rPr>
          <w:noProof/>
        </w:rPr>
        <w:t xml:space="preserve"> period exceeds or is likely to exceed 6 months</w:t>
      </w:r>
      <w:r w:rsidR="38D07275" w:rsidRPr="008431A9">
        <w:rPr>
          <w:noProof/>
        </w:rPr>
        <w:t>,</w:t>
      </w:r>
      <w:r w:rsidR="183835EF" w:rsidRPr="008431A9">
        <w:rPr>
          <w:noProof/>
        </w:rPr>
        <w:t xml:space="preserve"> the Office shall inform the applicant of the reasons for the delay</w:t>
      </w:r>
      <w:r w:rsidR="38D07275" w:rsidRPr="008431A9">
        <w:rPr>
          <w:noProof/>
        </w:rPr>
        <w:t xml:space="preserve"> in writing</w:t>
      </w:r>
      <w:r w:rsidR="183835EF" w:rsidRPr="008431A9">
        <w:rPr>
          <w:noProof/>
        </w:rPr>
        <w:t xml:space="preserve">. </w:t>
      </w:r>
    </w:p>
    <w:p w:rsidR="00E775BE" w:rsidRPr="008431A9" w:rsidRDefault="00B34B72" w:rsidP="00B34B72">
      <w:pPr>
        <w:pStyle w:val="ManualNumPar1"/>
        <w:rPr>
          <w:noProof/>
        </w:rPr>
      </w:pPr>
      <w:r w:rsidRPr="00B34B72">
        <w:t>4.</w:t>
      </w:r>
      <w:r w:rsidRPr="00B34B72">
        <w:tab/>
      </w:r>
      <w:r w:rsidR="183835EF" w:rsidRPr="008431A9">
        <w:rPr>
          <w:noProof/>
        </w:rPr>
        <w:t>The Office may seek supplementary information from the Member State</w:t>
      </w:r>
      <w:r w:rsidR="00143D6B" w:rsidRPr="008431A9">
        <w:rPr>
          <w:noProof/>
        </w:rPr>
        <w:t xml:space="preserve"> concerned</w:t>
      </w:r>
      <w:r w:rsidR="183835EF" w:rsidRPr="008431A9">
        <w:rPr>
          <w:noProof/>
        </w:rPr>
        <w:t xml:space="preserve">. If the application is lodged by a producer group from a third country or by the competent authority of </w:t>
      </w:r>
      <w:r w:rsidR="00143D6B" w:rsidRPr="008431A9">
        <w:rPr>
          <w:noProof/>
        </w:rPr>
        <w:t xml:space="preserve">a </w:t>
      </w:r>
      <w:r w:rsidR="183835EF" w:rsidRPr="008431A9">
        <w:rPr>
          <w:noProof/>
        </w:rPr>
        <w:t xml:space="preserve">third country, </w:t>
      </w:r>
      <w:r w:rsidR="00143D6B" w:rsidRPr="008431A9">
        <w:rPr>
          <w:noProof/>
        </w:rPr>
        <w:t>such producer group or competent authority</w:t>
      </w:r>
      <w:r w:rsidR="183835EF" w:rsidRPr="008431A9">
        <w:rPr>
          <w:noProof/>
        </w:rPr>
        <w:t xml:space="preserve"> </w:t>
      </w:r>
      <w:r w:rsidR="00143D6B" w:rsidRPr="008431A9">
        <w:rPr>
          <w:noProof/>
        </w:rPr>
        <w:t xml:space="preserve">shall provide </w:t>
      </w:r>
      <w:r w:rsidR="183835EF" w:rsidRPr="008431A9">
        <w:rPr>
          <w:noProof/>
        </w:rPr>
        <w:t>supplementary information</w:t>
      </w:r>
      <w:r w:rsidR="00143D6B" w:rsidRPr="008431A9">
        <w:rPr>
          <w:noProof/>
        </w:rPr>
        <w:t xml:space="preserve"> where requested to do so by the Office</w:t>
      </w:r>
      <w:r w:rsidR="183835EF" w:rsidRPr="008431A9">
        <w:rPr>
          <w:noProof/>
        </w:rPr>
        <w:t xml:space="preserve">. </w:t>
      </w:r>
    </w:p>
    <w:p w:rsidR="00E775BE" w:rsidRPr="008431A9" w:rsidRDefault="00B34B72" w:rsidP="00B34B72">
      <w:pPr>
        <w:pStyle w:val="ManualNumPar1"/>
        <w:rPr>
          <w:noProof/>
        </w:rPr>
      </w:pPr>
      <w:r w:rsidRPr="00B34B72">
        <w:t>5.</w:t>
      </w:r>
      <w:r w:rsidRPr="00B34B72">
        <w:tab/>
      </w:r>
      <w:r w:rsidR="00634812" w:rsidRPr="008431A9">
        <w:rPr>
          <w:noProof/>
        </w:rPr>
        <w:t>When t</w:t>
      </w:r>
      <w:r w:rsidR="183835EF" w:rsidRPr="008431A9">
        <w:rPr>
          <w:noProof/>
        </w:rPr>
        <w:t xml:space="preserve">he Office </w:t>
      </w:r>
      <w:r w:rsidR="00634812" w:rsidRPr="008431A9">
        <w:rPr>
          <w:noProof/>
        </w:rPr>
        <w:t xml:space="preserve">consults the Advisory Board as referred to in Article </w:t>
      </w:r>
      <w:r w:rsidR="00CA0584" w:rsidRPr="008431A9">
        <w:rPr>
          <w:noProof/>
        </w:rPr>
        <w:t>33</w:t>
      </w:r>
      <w:r w:rsidR="183835EF" w:rsidRPr="008431A9">
        <w:rPr>
          <w:noProof/>
        </w:rPr>
        <w:t xml:space="preserve">, the applicant shall be notified </w:t>
      </w:r>
      <w:r w:rsidR="00E612D6" w:rsidRPr="008431A9">
        <w:rPr>
          <w:noProof/>
        </w:rPr>
        <w:t>thereof</w:t>
      </w:r>
      <w:r w:rsidR="183835EF" w:rsidRPr="008431A9">
        <w:rPr>
          <w:noProof/>
        </w:rPr>
        <w:t xml:space="preserve"> </w:t>
      </w:r>
      <w:r w:rsidR="00E612D6" w:rsidRPr="008431A9">
        <w:rPr>
          <w:noProof/>
        </w:rPr>
        <w:t xml:space="preserve">and </w:t>
      </w:r>
      <w:r w:rsidR="183835EF" w:rsidRPr="008431A9">
        <w:rPr>
          <w:noProof/>
        </w:rPr>
        <w:t>the period referred to in paragraph 2</w:t>
      </w:r>
      <w:r w:rsidR="00143D6B" w:rsidRPr="008431A9">
        <w:rPr>
          <w:noProof/>
        </w:rPr>
        <w:t xml:space="preserve"> of this </w:t>
      </w:r>
      <w:r w:rsidR="00634812" w:rsidRPr="008431A9">
        <w:rPr>
          <w:noProof/>
        </w:rPr>
        <w:t>A</w:t>
      </w:r>
      <w:r w:rsidR="00143D6B" w:rsidRPr="008431A9">
        <w:rPr>
          <w:noProof/>
        </w:rPr>
        <w:t>rticle</w:t>
      </w:r>
      <w:r w:rsidR="183835EF" w:rsidRPr="008431A9">
        <w:rPr>
          <w:noProof/>
        </w:rPr>
        <w:t xml:space="preserve"> shall be suspended.</w:t>
      </w:r>
    </w:p>
    <w:p w:rsidR="00E775BE" w:rsidRPr="008431A9" w:rsidRDefault="00B34B72" w:rsidP="00B34B72">
      <w:pPr>
        <w:pStyle w:val="ManualNumPar1"/>
        <w:rPr>
          <w:noProof/>
        </w:rPr>
      </w:pPr>
      <w:r w:rsidRPr="00B34B72">
        <w:t>6.</w:t>
      </w:r>
      <w:r w:rsidRPr="00B34B72">
        <w:tab/>
      </w:r>
      <w:r w:rsidR="183835EF" w:rsidRPr="008431A9">
        <w:rPr>
          <w:noProof/>
        </w:rPr>
        <w:t xml:space="preserve">Where, based on the </w:t>
      </w:r>
      <w:r w:rsidR="00DA5FEA" w:rsidRPr="008431A9">
        <w:rPr>
          <w:noProof/>
        </w:rPr>
        <w:t xml:space="preserve">examination </w:t>
      </w:r>
      <w:r w:rsidR="183835EF" w:rsidRPr="008431A9">
        <w:rPr>
          <w:noProof/>
        </w:rPr>
        <w:t>carried out pursuant to paragraph 1, the Office finds that the application is incomplete</w:t>
      </w:r>
      <w:r w:rsidR="29401E6F" w:rsidRPr="008431A9">
        <w:rPr>
          <w:noProof/>
        </w:rPr>
        <w:t xml:space="preserve"> or incorrect</w:t>
      </w:r>
      <w:r w:rsidR="183835EF" w:rsidRPr="008431A9">
        <w:rPr>
          <w:noProof/>
        </w:rPr>
        <w:t xml:space="preserve">, </w:t>
      </w:r>
      <w:r w:rsidR="00143D6B" w:rsidRPr="008431A9">
        <w:rPr>
          <w:noProof/>
        </w:rPr>
        <w:t xml:space="preserve">the Office </w:t>
      </w:r>
      <w:r w:rsidR="001711D9" w:rsidRPr="008431A9">
        <w:rPr>
          <w:noProof/>
        </w:rPr>
        <w:t xml:space="preserve">shall </w:t>
      </w:r>
      <w:r w:rsidR="183835EF" w:rsidRPr="008431A9">
        <w:rPr>
          <w:noProof/>
        </w:rPr>
        <w:t xml:space="preserve">send its observations to the Member State </w:t>
      </w:r>
      <w:r w:rsidR="00B606B4" w:rsidRPr="008431A9">
        <w:rPr>
          <w:noProof/>
        </w:rPr>
        <w:t>or in case of third country applications, to the relevant producer group or competent authority</w:t>
      </w:r>
      <w:r w:rsidR="00A0102B" w:rsidRPr="008431A9">
        <w:rPr>
          <w:noProof/>
        </w:rPr>
        <w:t xml:space="preserve"> that has submitted the Union application</w:t>
      </w:r>
      <w:r w:rsidR="00E05EDB" w:rsidRPr="008431A9">
        <w:rPr>
          <w:noProof/>
        </w:rPr>
        <w:t>,</w:t>
      </w:r>
      <w:r w:rsidR="009B647C" w:rsidRPr="008431A9">
        <w:rPr>
          <w:noProof/>
        </w:rPr>
        <w:t xml:space="preserve"> </w:t>
      </w:r>
      <w:r w:rsidR="183835EF" w:rsidRPr="008431A9">
        <w:rPr>
          <w:noProof/>
        </w:rPr>
        <w:t>from where th</w:t>
      </w:r>
      <w:r w:rsidR="00143D6B" w:rsidRPr="008431A9">
        <w:rPr>
          <w:noProof/>
        </w:rPr>
        <w:t>at application</w:t>
      </w:r>
      <w:r w:rsidR="183835EF" w:rsidRPr="008431A9">
        <w:rPr>
          <w:noProof/>
        </w:rPr>
        <w:t xml:space="preserve"> originates and request to </w:t>
      </w:r>
      <w:r w:rsidR="29401E6F" w:rsidRPr="008431A9">
        <w:rPr>
          <w:noProof/>
        </w:rPr>
        <w:t xml:space="preserve">complete or to </w:t>
      </w:r>
      <w:r w:rsidR="183835EF" w:rsidRPr="008431A9">
        <w:rPr>
          <w:noProof/>
        </w:rPr>
        <w:t>correct the application within 60 days. If the Member State</w:t>
      </w:r>
      <w:r w:rsidR="00286E40" w:rsidRPr="008431A9">
        <w:rPr>
          <w:noProof/>
        </w:rPr>
        <w:t>,</w:t>
      </w:r>
      <w:r w:rsidR="183835EF" w:rsidRPr="008431A9">
        <w:rPr>
          <w:noProof/>
        </w:rPr>
        <w:t xml:space="preserve"> </w:t>
      </w:r>
      <w:r w:rsidR="00286E40" w:rsidRPr="008431A9">
        <w:rPr>
          <w:noProof/>
        </w:rPr>
        <w:t xml:space="preserve">or in case of third country applications, the relevant producer group or competent authority, </w:t>
      </w:r>
      <w:r w:rsidR="183835EF" w:rsidRPr="008431A9">
        <w:rPr>
          <w:noProof/>
        </w:rPr>
        <w:t xml:space="preserve">does not </w:t>
      </w:r>
      <w:r w:rsidR="29401E6F" w:rsidRPr="008431A9">
        <w:rPr>
          <w:noProof/>
        </w:rPr>
        <w:t xml:space="preserve">complete </w:t>
      </w:r>
      <w:r w:rsidR="183835EF" w:rsidRPr="008431A9">
        <w:rPr>
          <w:noProof/>
        </w:rPr>
        <w:t xml:space="preserve">the application within the deadline, the application shall be considered </w:t>
      </w:r>
      <w:r w:rsidR="00520C49" w:rsidRPr="008431A9">
        <w:rPr>
          <w:noProof/>
        </w:rPr>
        <w:t xml:space="preserve">to be </w:t>
      </w:r>
      <w:r w:rsidR="183835EF" w:rsidRPr="008431A9">
        <w:rPr>
          <w:noProof/>
        </w:rPr>
        <w:t>withdrawn</w:t>
      </w:r>
      <w:r w:rsidR="29401E6F" w:rsidRPr="008431A9">
        <w:rPr>
          <w:rFonts w:eastAsia="Calibri"/>
          <w:noProof/>
        </w:rPr>
        <w:t xml:space="preserve">, or if not corrected, it </w:t>
      </w:r>
      <w:r w:rsidR="00E612D6" w:rsidRPr="008431A9">
        <w:rPr>
          <w:rFonts w:eastAsia="Calibri"/>
          <w:noProof/>
        </w:rPr>
        <w:t>shall</w:t>
      </w:r>
      <w:r w:rsidR="29401E6F" w:rsidRPr="008431A9">
        <w:rPr>
          <w:rFonts w:eastAsia="Calibri"/>
          <w:noProof/>
        </w:rPr>
        <w:t xml:space="preserve"> be rejected pursuant to Article 24(2)</w:t>
      </w:r>
      <w:r w:rsidR="183835EF" w:rsidRPr="008431A9">
        <w:rPr>
          <w:noProof/>
        </w:rPr>
        <w:t xml:space="preserve">. </w:t>
      </w:r>
    </w:p>
    <w:p w:rsidR="00E775BE" w:rsidRPr="008431A9" w:rsidRDefault="00B34B72" w:rsidP="00B34B72">
      <w:pPr>
        <w:pStyle w:val="ManualNumPar1"/>
        <w:rPr>
          <w:noProof/>
        </w:rPr>
      </w:pPr>
      <w:r w:rsidRPr="00B34B72">
        <w:t>7.</w:t>
      </w:r>
      <w:r w:rsidRPr="00B34B72">
        <w:tab/>
      </w:r>
      <w:r w:rsidR="183835EF" w:rsidRPr="008431A9">
        <w:rPr>
          <w:noProof/>
        </w:rPr>
        <w:t xml:space="preserve">Where, based on the </w:t>
      </w:r>
      <w:r w:rsidR="00DA5FEA" w:rsidRPr="008431A9">
        <w:rPr>
          <w:noProof/>
        </w:rPr>
        <w:t xml:space="preserve">examination </w:t>
      </w:r>
      <w:r w:rsidR="183835EF" w:rsidRPr="008431A9">
        <w:rPr>
          <w:noProof/>
        </w:rPr>
        <w:t xml:space="preserve">carried out pursuant to paragraph 1, the Office considers that the conditions laid down in this Regulation are fulfilled, it shall publish for the purposes of opposition in the </w:t>
      </w:r>
      <w:r w:rsidR="00D03761" w:rsidRPr="008431A9">
        <w:rPr>
          <w:noProof/>
        </w:rPr>
        <w:t>Union register of geographical indications for craft and industrial products</w:t>
      </w:r>
      <w:r w:rsidR="00D03761" w:rsidRPr="008431A9" w:rsidDel="00D03761">
        <w:rPr>
          <w:noProof/>
        </w:rPr>
        <w:t xml:space="preserve"> </w:t>
      </w:r>
      <w:r w:rsidR="183835EF" w:rsidRPr="008431A9">
        <w:rPr>
          <w:noProof/>
        </w:rPr>
        <w:t xml:space="preserve">the single document and the reference to the product specification on the webpage of the Member State concerned. </w:t>
      </w:r>
      <w:r w:rsidR="00535F89" w:rsidRPr="008431A9">
        <w:rPr>
          <w:noProof/>
        </w:rPr>
        <w:t xml:space="preserve">The </w:t>
      </w:r>
      <w:r w:rsidR="183835EF" w:rsidRPr="008431A9">
        <w:rPr>
          <w:noProof/>
        </w:rPr>
        <w:t xml:space="preserve">single document </w:t>
      </w:r>
      <w:r w:rsidR="00535F89" w:rsidRPr="008431A9">
        <w:rPr>
          <w:noProof/>
        </w:rPr>
        <w:t xml:space="preserve">shall be published </w:t>
      </w:r>
      <w:r w:rsidR="183835EF" w:rsidRPr="008431A9">
        <w:rPr>
          <w:noProof/>
        </w:rPr>
        <w:t xml:space="preserve">in the official languages of the Union. </w:t>
      </w:r>
    </w:p>
    <w:p w:rsidR="00E775BE" w:rsidRPr="008431A9" w:rsidRDefault="00E775BE" w:rsidP="00B23E88">
      <w:pPr>
        <w:pStyle w:val="Titrearticle"/>
        <w:rPr>
          <w:noProof/>
        </w:rPr>
      </w:pPr>
      <w:r w:rsidRPr="008431A9">
        <w:rPr>
          <w:noProof/>
        </w:rPr>
        <w:t xml:space="preserve">Article </w:t>
      </w:r>
      <w:r w:rsidRPr="008431A9">
        <w:rPr>
          <w:iCs/>
          <w:noProof/>
        </w:rPr>
        <w:t>20</w:t>
      </w:r>
    </w:p>
    <w:p w:rsidR="00E775BE" w:rsidRPr="008431A9" w:rsidRDefault="00E775BE" w:rsidP="00843D97">
      <w:pPr>
        <w:pStyle w:val="NormalCentered"/>
        <w:rPr>
          <w:b/>
          <w:noProof/>
          <w:lang w:val="en-US"/>
        </w:rPr>
      </w:pPr>
      <w:r w:rsidRPr="008431A9">
        <w:rPr>
          <w:b/>
          <w:noProof/>
          <w:lang w:val="en-US"/>
        </w:rPr>
        <w:t>National challenge to an application</w:t>
      </w:r>
    </w:p>
    <w:p w:rsidR="00E775BE" w:rsidRPr="008431A9" w:rsidRDefault="00B34B72" w:rsidP="00B34B72">
      <w:pPr>
        <w:pStyle w:val="ManualNumPar1"/>
        <w:rPr>
          <w:rFonts w:eastAsiaTheme="minorEastAsia"/>
          <w:noProof/>
          <w:szCs w:val="24"/>
        </w:rPr>
      </w:pPr>
      <w:r w:rsidRPr="00B34B72">
        <w:t>1.</w:t>
      </w:r>
      <w:r w:rsidRPr="00B34B72">
        <w:tab/>
      </w:r>
      <w:r w:rsidR="183835EF" w:rsidRPr="008431A9">
        <w:rPr>
          <w:noProof/>
        </w:rPr>
        <w:t xml:space="preserve">Member States shall keep the Office informed of any national administrative and judicial proceedings that may affect the registration of a geographical indication. </w:t>
      </w:r>
    </w:p>
    <w:p w:rsidR="00E775BE" w:rsidRPr="008431A9" w:rsidRDefault="00B34B72" w:rsidP="00B34B72">
      <w:pPr>
        <w:pStyle w:val="ManualNumPar1"/>
        <w:rPr>
          <w:noProof/>
        </w:rPr>
      </w:pPr>
      <w:r w:rsidRPr="00B34B72">
        <w:t>2.</w:t>
      </w:r>
      <w:r w:rsidRPr="00B34B72">
        <w:tab/>
      </w:r>
      <w:r w:rsidR="183835EF" w:rsidRPr="008431A9">
        <w:rPr>
          <w:noProof/>
        </w:rPr>
        <w:t xml:space="preserve">The Office shall be exempted from the obligation to meet the deadline to perform the </w:t>
      </w:r>
      <w:r w:rsidR="00DA5FEA" w:rsidRPr="008431A9">
        <w:rPr>
          <w:noProof/>
        </w:rPr>
        <w:t xml:space="preserve">examination </w:t>
      </w:r>
      <w:r w:rsidR="005B6829" w:rsidRPr="008431A9">
        <w:rPr>
          <w:noProof/>
        </w:rPr>
        <w:t>laid down</w:t>
      </w:r>
      <w:r w:rsidR="183835EF" w:rsidRPr="008431A9">
        <w:rPr>
          <w:noProof/>
        </w:rPr>
        <w:t xml:space="preserve"> in Article 19</w:t>
      </w:r>
      <w:r w:rsidR="005B6829" w:rsidRPr="008431A9">
        <w:rPr>
          <w:noProof/>
        </w:rPr>
        <w:t>(2)</w:t>
      </w:r>
      <w:r w:rsidR="009069F9" w:rsidRPr="008431A9">
        <w:rPr>
          <w:noProof/>
        </w:rPr>
        <w:t xml:space="preserve"> </w:t>
      </w:r>
      <w:r w:rsidR="183835EF" w:rsidRPr="008431A9">
        <w:rPr>
          <w:noProof/>
        </w:rPr>
        <w:t>and to inform the applicant of the reasons for the delay</w:t>
      </w:r>
      <w:r w:rsidR="005B6829" w:rsidRPr="008431A9">
        <w:rPr>
          <w:noProof/>
        </w:rPr>
        <w:t>,</w:t>
      </w:r>
      <w:r w:rsidR="183835EF" w:rsidRPr="008431A9">
        <w:rPr>
          <w:noProof/>
        </w:rPr>
        <w:t xml:space="preserve"> where it receives a communication from a Member State, concerning an application for registrati</w:t>
      </w:r>
      <w:r w:rsidR="0089065E" w:rsidRPr="008431A9">
        <w:rPr>
          <w:noProof/>
        </w:rPr>
        <w:t>on in accordance with Article 14</w:t>
      </w:r>
      <w:hyperlink w:anchor="akn_article_yXTDOu_wHIkBE">
        <w:r w:rsidR="183835EF" w:rsidRPr="008431A9">
          <w:rPr>
            <w:noProof/>
          </w:rPr>
          <w:t>(1)</w:t>
        </w:r>
      </w:hyperlink>
      <w:r w:rsidR="183835EF" w:rsidRPr="008431A9">
        <w:rPr>
          <w:noProof/>
        </w:rPr>
        <w:t>, which:</w:t>
      </w:r>
    </w:p>
    <w:p w:rsidR="00E775BE" w:rsidRPr="008431A9" w:rsidRDefault="00B34B72" w:rsidP="00B34B72">
      <w:pPr>
        <w:pStyle w:val="Point1"/>
        <w:rPr>
          <w:noProof/>
        </w:rPr>
      </w:pPr>
      <w:r w:rsidRPr="00B34B72">
        <w:t>(a)</w:t>
      </w:r>
      <w:r w:rsidRPr="00B34B72">
        <w:tab/>
      </w:r>
      <w:r w:rsidR="67833288" w:rsidRPr="008431A9">
        <w:rPr>
          <w:noProof/>
        </w:rPr>
        <w:t xml:space="preserve">informs the Office that the </w:t>
      </w:r>
      <w:r w:rsidR="0CBA38EA" w:rsidRPr="008431A9">
        <w:rPr>
          <w:noProof/>
        </w:rPr>
        <w:t>de</w:t>
      </w:r>
      <w:r w:rsidR="0089065E" w:rsidRPr="008431A9">
        <w:rPr>
          <w:noProof/>
        </w:rPr>
        <w:t>cision referred to in Article 14</w:t>
      </w:r>
      <w:r w:rsidR="0CBA38EA" w:rsidRPr="008431A9">
        <w:rPr>
          <w:noProof/>
        </w:rPr>
        <w:t xml:space="preserve">(1) </w:t>
      </w:r>
      <w:r w:rsidR="67833288" w:rsidRPr="008431A9">
        <w:rPr>
          <w:noProof/>
        </w:rPr>
        <w:t>has been invalidated at national level by an immediately applicable</w:t>
      </w:r>
      <w:r w:rsidR="00495779" w:rsidRPr="008431A9">
        <w:rPr>
          <w:noProof/>
        </w:rPr>
        <w:t>,</w:t>
      </w:r>
      <w:r w:rsidR="67833288" w:rsidRPr="008431A9">
        <w:rPr>
          <w:noProof/>
        </w:rPr>
        <w:t xml:space="preserve"> but not final</w:t>
      </w:r>
      <w:r w:rsidR="00495779" w:rsidRPr="008431A9">
        <w:rPr>
          <w:noProof/>
        </w:rPr>
        <w:t>,</w:t>
      </w:r>
      <w:r w:rsidR="67833288" w:rsidRPr="008431A9">
        <w:rPr>
          <w:noProof/>
        </w:rPr>
        <w:t xml:space="preserve"> judicial decision; or</w:t>
      </w:r>
    </w:p>
    <w:p w:rsidR="00E775BE" w:rsidRPr="008431A9" w:rsidRDefault="00B34B72" w:rsidP="00B34B72">
      <w:pPr>
        <w:pStyle w:val="Point1"/>
        <w:rPr>
          <w:noProof/>
        </w:rPr>
      </w:pPr>
      <w:r w:rsidRPr="00B34B72">
        <w:t>(b)</w:t>
      </w:r>
      <w:r w:rsidRPr="00B34B72">
        <w:tab/>
      </w:r>
      <w:r w:rsidR="67833288" w:rsidRPr="008431A9">
        <w:rPr>
          <w:noProof/>
        </w:rPr>
        <w:t xml:space="preserve">requests the Office to suspend the </w:t>
      </w:r>
      <w:r w:rsidR="002A468A" w:rsidRPr="008431A9">
        <w:rPr>
          <w:noProof/>
        </w:rPr>
        <w:t xml:space="preserve">examination </w:t>
      </w:r>
      <w:r w:rsidR="67833288" w:rsidRPr="008431A9">
        <w:rPr>
          <w:noProof/>
        </w:rPr>
        <w:t>because national administrative or judicial proceedings have been initiated to challenge the validity of the application and the Member State considers that those proceedings are based on valid grounds.</w:t>
      </w:r>
    </w:p>
    <w:p w:rsidR="00E775BE" w:rsidRPr="008431A9" w:rsidRDefault="00B34B72" w:rsidP="00B34B72">
      <w:pPr>
        <w:pStyle w:val="ManualNumPar1"/>
        <w:rPr>
          <w:noProof/>
        </w:rPr>
      </w:pPr>
      <w:r w:rsidRPr="00B34B72">
        <w:t>3.</w:t>
      </w:r>
      <w:r w:rsidRPr="00B34B72">
        <w:tab/>
      </w:r>
      <w:r w:rsidR="183835EF" w:rsidRPr="008431A9">
        <w:rPr>
          <w:noProof/>
        </w:rPr>
        <w:t xml:space="preserve">The exemption </w:t>
      </w:r>
      <w:r w:rsidR="005B6829" w:rsidRPr="008431A9">
        <w:rPr>
          <w:noProof/>
        </w:rPr>
        <w:t xml:space="preserve">set out in paragraph 2 </w:t>
      </w:r>
      <w:r w:rsidR="183835EF" w:rsidRPr="008431A9">
        <w:rPr>
          <w:noProof/>
        </w:rPr>
        <w:t xml:space="preserve">shall have effect until the Office is informed by the Member State that the original application has been restored or that the Member State withdraws its request for suspension. </w:t>
      </w:r>
    </w:p>
    <w:p w:rsidR="00E775BE" w:rsidRPr="008431A9" w:rsidRDefault="00B34B72" w:rsidP="00B34B72">
      <w:pPr>
        <w:pStyle w:val="ManualNumPar1"/>
        <w:rPr>
          <w:noProof/>
        </w:rPr>
      </w:pPr>
      <w:r w:rsidRPr="00B34B72">
        <w:lastRenderedPageBreak/>
        <w:t>4.</w:t>
      </w:r>
      <w:r w:rsidRPr="00B34B72">
        <w:tab/>
      </w:r>
      <w:r w:rsidR="183835EF" w:rsidRPr="008431A9">
        <w:rPr>
          <w:noProof/>
        </w:rPr>
        <w:t xml:space="preserve">If the judicial decision referred to in paragraph 2 has acquired the force of </w:t>
      </w:r>
      <w:r w:rsidR="183835EF" w:rsidRPr="008431A9">
        <w:rPr>
          <w:i/>
          <w:noProof/>
        </w:rPr>
        <w:t>res judicata</w:t>
      </w:r>
      <w:r w:rsidR="005B6829" w:rsidRPr="008431A9">
        <w:rPr>
          <w:noProof/>
        </w:rPr>
        <w:t>,</w:t>
      </w:r>
      <w:r w:rsidR="183835EF" w:rsidRPr="008431A9">
        <w:rPr>
          <w:noProof/>
        </w:rPr>
        <w:t xml:space="preserve"> the Member State shall</w:t>
      </w:r>
      <w:r w:rsidR="005B6829" w:rsidRPr="008431A9">
        <w:rPr>
          <w:noProof/>
        </w:rPr>
        <w:t>, as necessary,</w:t>
      </w:r>
      <w:r w:rsidR="183835EF" w:rsidRPr="008431A9">
        <w:rPr>
          <w:noProof/>
        </w:rPr>
        <w:t xml:space="preserve"> withdraw or modify the application. </w:t>
      </w:r>
    </w:p>
    <w:p w:rsidR="00E775BE" w:rsidRPr="008431A9" w:rsidRDefault="00E775BE" w:rsidP="00B23E88">
      <w:pPr>
        <w:pStyle w:val="Titrearticle"/>
        <w:rPr>
          <w:noProof/>
        </w:rPr>
      </w:pPr>
      <w:r w:rsidRPr="008431A9">
        <w:rPr>
          <w:noProof/>
        </w:rPr>
        <w:t xml:space="preserve">Article </w:t>
      </w:r>
      <w:r w:rsidRPr="008431A9">
        <w:rPr>
          <w:iCs/>
          <w:noProof/>
        </w:rPr>
        <w:t>21</w:t>
      </w:r>
    </w:p>
    <w:p w:rsidR="00E775BE" w:rsidRPr="008431A9" w:rsidRDefault="00E775BE" w:rsidP="00843D97">
      <w:pPr>
        <w:pStyle w:val="NormalCentered"/>
        <w:rPr>
          <w:b/>
          <w:noProof/>
          <w:lang w:val="en-US"/>
        </w:rPr>
      </w:pPr>
      <w:r w:rsidRPr="008431A9">
        <w:rPr>
          <w:b/>
          <w:noProof/>
          <w:lang w:val="en-US"/>
        </w:rPr>
        <w:t>Opposition and comments procedure</w:t>
      </w:r>
    </w:p>
    <w:p w:rsidR="00D01886" w:rsidRPr="008431A9" w:rsidRDefault="00B34B72" w:rsidP="00B34B72">
      <w:pPr>
        <w:pStyle w:val="ManualNumPar1"/>
        <w:rPr>
          <w:rFonts w:eastAsiaTheme="minorEastAsia"/>
          <w:noProof/>
          <w:szCs w:val="24"/>
        </w:rPr>
      </w:pPr>
      <w:r w:rsidRPr="00B34B72">
        <w:t>1.</w:t>
      </w:r>
      <w:r w:rsidRPr="00B34B72">
        <w:tab/>
      </w:r>
      <w:r w:rsidR="183835EF" w:rsidRPr="008431A9">
        <w:rPr>
          <w:noProof/>
        </w:rPr>
        <w:t xml:space="preserve">Within 3 months from the date of publication </w:t>
      </w:r>
      <w:r w:rsidR="005B6829" w:rsidRPr="008431A9">
        <w:rPr>
          <w:noProof/>
        </w:rPr>
        <w:t xml:space="preserve">of the single document and the reference to the product specification </w:t>
      </w:r>
      <w:r w:rsidR="007F634A" w:rsidRPr="008431A9">
        <w:rPr>
          <w:noProof/>
        </w:rPr>
        <w:t>referred to in</w:t>
      </w:r>
      <w:r w:rsidR="005B6829" w:rsidRPr="008431A9">
        <w:rPr>
          <w:noProof/>
        </w:rPr>
        <w:t xml:space="preserve"> Article 7 </w:t>
      </w:r>
      <w:r w:rsidR="183835EF" w:rsidRPr="008431A9">
        <w:rPr>
          <w:noProof/>
        </w:rPr>
        <w:t xml:space="preserve">in the </w:t>
      </w:r>
      <w:r w:rsidR="000D65CD" w:rsidRPr="008431A9">
        <w:rPr>
          <w:noProof/>
        </w:rPr>
        <w:t xml:space="preserve">Union </w:t>
      </w:r>
      <w:r w:rsidR="005B6829" w:rsidRPr="008431A9">
        <w:rPr>
          <w:noProof/>
        </w:rPr>
        <w:t>r</w:t>
      </w:r>
      <w:r w:rsidR="183835EF" w:rsidRPr="008431A9">
        <w:rPr>
          <w:noProof/>
        </w:rPr>
        <w:t xml:space="preserve">egister of </w:t>
      </w:r>
      <w:r w:rsidR="005B6829" w:rsidRPr="008431A9">
        <w:rPr>
          <w:noProof/>
        </w:rPr>
        <w:t>geographical indications</w:t>
      </w:r>
      <w:r w:rsidR="00A15A7C" w:rsidRPr="008431A9">
        <w:rPr>
          <w:noProof/>
        </w:rPr>
        <w:t xml:space="preserve"> </w:t>
      </w:r>
      <w:r w:rsidR="005F6945" w:rsidRPr="008431A9">
        <w:rPr>
          <w:noProof/>
        </w:rPr>
        <w:t xml:space="preserve">for craft and industrial products </w:t>
      </w:r>
      <w:r w:rsidR="00A15A7C" w:rsidRPr="008431A9">
        <w:rPr>
          <w:noProof/>
        </w:rPr>
        <w:t xml:space="preserve">an opponent </w:t>
      </w:r>
      <w:r w:rsidR="183835EF" w:rsidRPr="008431A9">
        <w:rPr>
          <w:noProof/>
        </w:rPr>
        <w:t xml:space="preserve">may lodge an opposition </w:t>
      </w:r>
      <w:r w:rsidR="06467464" w:rsidRPr="008431A9">
        <w:rPr>
          <w:noProof/>
        </w:rPr>
        <w:t xml:space="preserve">or notice of comment </w:t>
      </w:r>
      <w:r w:rsidR="183835EF" w:rsidRPr="008431A9">
        <w:rPr>
          <w:noProof/>
        </w:rPr>
        <w:t xml:space="preserve">with the Office. The </w:t>
      </w:r>
      <w:r w:rsidR="002D63BE" w:rsidRPr="008431A9">
        <w:rPr>
          <w:noProof/>
        </w:rPr>
        <w:t xml:space="preserve">applicant and the </w:t>
      </w:r>
      <w:r w:rsidR="183835EF" w:rsidRPr="008431A9">
        <w:rPr>
          <w:noProof/>
        </w:rPr>
        <w:t xml:space="preserve">opponent shall be considered </w:t>
      </w:r>
      <w:r w:rsidR="005B6829" w:rsidRPr="008431A9">
        <w:rPr>
          <w:noProof/>
        </w:rPr>
        <w:t xml:space="preserve">a </w:t>
      </w:r>
      <w:r w:rsidR="183835EF" w:rsidRPr="008431A9">
        <w:rPr>
          <w:noProof/>
        </w:rPr>
        <w:t>party to the procedure.</w:t>
      </w:r>
    </w:p>
    <w:p w:rsidR="00EA2B2B" w:rsidRPr="008431A9" w:rsidRDefault="00B34B72" w:rsidP="00B34B72">
      <w:pPr>
        <w:pStyle w:val="ManualNumPar1"/>
        <w:rPr>
          <w:noProof/>
        </w:rPr>
      </w:pPr>
      <w:r w:rsidRPr="00B34B72">
        <w:t>2.</w:t>
      </w:r>
      <w:r w:rsidRPr="00B34B72">
        <w:tab/>
      </w:r>
      <w:r w:rsidR="003D038D" w:rsidRPr="008431A9">
        <w:rPr>
          <w:noProof/>
        </w:rPr>
        <w:t xml:space="preserve">An </w:t>
      </w:r>
      <w:r w:rsidR="00B33B67" w:rsidRPr="008431A9">
        <w:rPr>
          <w:noProof/>
        </w:rPr>
        <w:t>o</w:t>
      </w:r>
      <w:r w:rsidR="00A460D0" w:rsidRPr="008431A9">
        <w:rPr>
          <w:noProof/>
        </w:rPr>
        <w:t xml:space="preserve">pponent may be the competent authorities of a Member State, or of a third country, or a natural or legal person having legitimate interest and established or resident in a third country or in another Member State </w:t>
      </w:r>
      <w:r w:rsidR="00D36AED" w:rsidRPr="008431A9">
        <w:rPr>
          <w:noProof/>
        </w:rPr>
        <w:t xml:space="preserve">that does not qualify as </w:t>
      </w:r>
      <w:r w:rsidR="003D038D" w:rsidRPr="008431A9">
        <w:rPr>
          <w:noProof/>
        </w:rPr>
        <w:t xml:space="preserve">a </w:t>
      </w:r>
      <w:r w:rsidR="00D36AED" w:rsidRPr="008431A9">
        <w:rPr>
          <w:noProof/>
        </w:rPr>
        <w:t>national opponent pursuant</w:t>
      </w:r>
      <w:r w:rsidR="00A460D0" w:rsidRPr="008431A9">
        <w:rPr>
          <w:noProof/>
        </w:rPr>
        <w:t xml:space="preserve"> </w:t>
      </w:r>
      <w:r w:rsidR="00D36AED" w:rsidRPr="008431A9">
        <w:rPr>
          <w:noProof/>
        </w:rPr>
        <w:t xml:space="preserve">to </w:t>
      </w:r>
      <w:r w:rsidR="00A460D0" w:rsidRPr="008431A9">
        <w:rPr>
          <w:noProof/>
        </w:rPr>
        <w:t xml:space="preserve">Article 13(1). </w:t>
      </w:r>
    </w:p>
    <w:p w:rsidR="00E775BE" w:rsidRPr="008431A9" w:rsidRDefault="00B34B72" w:rsidP="00B34B72">
      <w:pPr>
        <w:pStyle w:val="ManualNumPar1"/>
        <w:rPr>
          <w:noProof/>
        </w:rPr>
      </w:pPr>
      <w:r w:rsidRPr="00B34B72">
        <w:t>3.</w:t>
      </w:r>
      <w:r w:rsidRPr="00B34B72">
        <w:tab/>
      </w:r>
      <w:r w:rsidR="745FCD1B" w:rsidRPr="008431A9">
        <w:rPr>
          <w:noProof/>
        </w:rPr>
        <w:t xml:space="preserve">The Office shall check the admissibility of the opposition. </w:t>
      </w:r>
      <w:r w:rsidR="00F952C0" w:rsidRPr="008431A9">
        <w:rPr>
          <w:noProof/>
        </w:rPr>
        <w:t>If the Office considers that the opposition is admissible, it shall, w</w:t>
      </w:r>
      <w:r w:rsidR="745FCD1B" w:rsidRPr="008431A9">
        <w:rPr>
          <w:noProof/>
        </w:rPr>
        <w:t xml:space="preserve">ithin </w:t>
      </w:r>
      <w:r w:rsidR="00D03761" w:rsidRPr="008431A9">
        <w:rPr>
          <w:noProof/>
        </w:rPr>
        <w:t>60 days</w:t>
      </w:r>
      <w:r w:rsidR="745FCD1B" w:rsidRPr="008431A9">
        <w:rPr>
          <w:noProof/>
        </w:rPr>
        <w:t xml:space="preserve"> after the receipt of </w:t>
      </w:r>
      <w:r w:rsidR="00F952C0" w:rsidRPr="008431A9">
        <w:rPr>
          <w:noProof/>
        </w:rPr>
        <w:t xml:space="preserve">that </w:t>
      </w:r>
      <w:r w:rsidR="745FCD1B" w:rsidRPr="008431A9">
        <w:rPr>
          <w:noProof/>
        </w:rPr>
        <w:t>opposition</w:t>
      </w:r>
      <w:r w:rsidR="00286E40" w:rsidRPr="008431A9">
        <w:rPr>
          <w:noProof/>
        </w:rPr>
        <w:t>,</w:t>
      </w:r>
      <w:r w:rsidR="745FCD1B" w:rsidRPr="008431A9">
        <w:rPr>
          <w:noProof/>
        </w:rPr>
        <w:t xml:space="preserve"> invite the opponent and the applicant to engage in consultations for a reasonable period not exceed</w:t>
      </w:r>
      <w:r w:rsidR="00F952C0" w:rsidRPr="008431A9">
        <w:rPr>
          <w:noProof/>
        </w:rPr>
        <w:t>ing</w:t>
      </w:r>
      <w:r w:rsidR="745FCD1B" w:rsidRPr="008431A9">
        <w:rPr>
          <w:noProof/>
        </w:rPr>
        <w:t xml:space="preserve"> 3 months. At any time during </w:t>
      </w:r>
      <w:r w:rsidR="00F952C0" w:rsidRPr="008431A9">
        <w:rPr>
          <w:noProof/>
        </w:rPr>
        <w:t>that period</w:t>
      </w:r>
      <w:r w:rsidR="745FCD1B" w:rsidRPr="008431A9">
        <w:rPr>
          <w:noProof/>
        </w:rPr>
        <w:t xml:space="preserve">, the Office may, at the request of either party, extend the </w:t>
      </w:r>
      <w:r w:rsidR="006C7459" w:rsidRPr="008431A9">
        <w:rPr>
          <w:noProof/>
        </w:rPr>
        <w:t xml:space="preserve">time limit </w:t>
      </w:r>
      <w:r w:rsidR="745FCD1B" w:rsidRPr="008431A9">
        <w:rPr>
          <w:noProof/>
        </w:rPr>
        <w:t>for the consultations by a maximum of 3 months. The Office may offer mediation for the consultations between the applicant and the opponent</w:t>
      </w:r>
      <w:r w:rsidR="00A460D0" w:rsidRPr="008431A9">
        <w:rPr>
          <w:noProof/>
        </w:rPr>
        <w:t xml:space="preserve"> pursuant to Article 170 of Regulation (EU) 2017(1001)</w:t>
      </w:r>
      <w:r w:rsidR="745FCD1B" w:rsidRPr="008431A9">
        <w:rPr>
          <w:noProof/>
        </w:rPr>
        <w:t>.</w:t>
      </w:r>
    </w:p>
    <w:p w:rsidR="00E775BE" w:rsidRPr="008431A9" w:rsidRDefault="00B34B72" w:rsidP="00B34B72">
      <w:pPr>
        <w:pStyle w:val="ManualNumPar1"/>
        <w:rPr>
          <w:noProof/>
        </w:rPr>
      </w:pPr>
      <w:r w:rsidRPr="00B34B72">
        <w:t>4.</w:t>
      </w:r>
      <w:r w:rsidRPr="00B34B72">
        <w:tab/>
      </w:r>
      <w:r w:rsidR="745FCD1B" w:rsidRPr="008431A9">
        <w:rPr>
          <w:noProof/>
        </w:rPr>
        <w:t xml:space="preserve">The </w:t>
      </w:r>
      <w:r w:rsidR="00F952C0" w:rsidRPr="008431A9">
        <w:rPr>
          <w:noProof/>
        </w:rPr>
        <w:t xml:space="preserve">applicant and the </w:t>
      </w:r>
      <w:r w:rsidR="745FCD1B" w:rsidRPr="008431A9">
        <w:rPr>
          <w:noProof/>
        </w:rPr>
        <w:t xml:space="preserve">opponent shall provide each other during the consultation with the relevant information to assess whether the application for registration complies with the conditions </w:t>
      </w:r>
      <w:r w:rsidR="00F952C0" w:rsidRPr="008431A9">
        <w:rPr>
          <w:noProof/>
        </w:rPr>
        <w:t xml:space="preserve">set out in </w:t>
      </w:r>
      <w:r w:rsidR="745FCD1B" w:rsidRPr="008431A9">
        <w:rPr>
          <w:noProof/>
        </w:rPr>
        <w:t xml:space="preserve">this Regulation. </w:t>
      </w:r>
    </w:p>
    <w:p w:rsidR="00E775BE" w:rsidRPr="008431A9" w:rsidRDefault="00B34B72" w:rsidP="00B34B72">
      <w:pPr>
        <w:pStyle w:val="ManualNumPar1"/>
        <w:rPr>
          <w:noProof/>
        </w:rPr>
      </w:pPr>
      <w:r w:rsidRPr="00B34B72">
        <w:t>5.</w:t>
      </w:r>
      <w:r w:rsidRPr="00B34B72">
        <w:tab/>
      </w:r>
      <w:r w:rsidR="745FCD1B" w:rsidRPr="008431A9">
        <w:rPr>
          <w:noProof/>
        </w:rPr>
        <w:t xml:space="preserve">The Office may at any stage of the opposition procedure </w:t>
      </w:r>
      <w:r w:rsidR="00634812" w:rsidRPr="008431A9">
        <w:rPr>
          <w:noProof/>
        </w:rPr>
        <w:t>consult the Advisory Board</w:t>
      </w:r>
      <w:r w:rsidR="00CA0584" w:rsidRPr="008431A9">
        <w:rPr>
          <w:noProof/>
        </w:rPr>
        <w:t xml:space="preserve"> as referred to in Article 33</w:t>
      </w:r>
      <w:r w:rsidR="745FCD1B" w:rsidRPr="008431A9">
        <w:rPr>
          <w:noProof/>
        </w:rPr>
        <w:t>, in which case the parties shall be notified and the period referred to in paragraph 2 shall be suspended.</w:t>
      </w:r>
    </w:p>
    <w:p w:rsidR="00E775BE" w:rsidRPr="008431A9" w:rsidRDefault="00B34B72" w:rsidP="00B34B72">
      <w:pPr>
        <w:pStyle w:val="ManualNumPar1"/>
        <w:rPr>
          <w:noProof/>
        </w:rPr>
      </w:pPr>
      <w:r w:rsidRPr="00B34B72">
        <w:t>6.</w:t>
      </w:r>
      <w:r w:rsidRPr="00B34B72">
        <w:tab/>
      </w:r>
      <w:r w:rsidR="745FCD1B" w:rsidRPr="008431A9">
        <w:rPr>
          <w:noProof/>
        </w:rPr>
        <w:t xml:space="preserve">Within 1 month from the end of the consultations referred to in paragraph 2, the applicant established in the third country or the competent authority of the Member State or of the third country from which the application for </w:t>
      </w:r>
      <w:r w:rsidR="00CE1C85" w:rsidRPr="008431A9">
        <w:rPr>
          <w:noProof/>
        </w:rPr>
        <w:t xml:space="preserve">Union </w:t>
      </w:r>
      <w:r w:rsidR="745FCD1B" w:rsidRPr="008431A9">
        <w:rPr>
          <w:noProof/>
        </w:rPr>
        <w:t xml:space="preserve">registration was lodged shall notify the Office of the result of the consultations, whether an agreement was reached with one or all of the opponents, and of any consequent changes to the application made by that applicant. The </w:t>
      </w:r>
      <w:r w:rsidR="00B141A0" w:rsidRPr="008431A9">
        <w:rPr>
          <w:noProof/>
        </w:rPr>
        <w:t xml:space="preserve">opponent </w:t>
      </w:r>
      <w:r w:rsidR="745FCD1B" w:rsidRPr="008431A9">
        <w:rPr>
          <w:noProof/>
        </w:rPr>
        <w:t xml:space="preserve">may also notify the Office of </w:t>
      </w:r>
      <w:r w:rsidR="007F634A" w:rsidRPr="008431A9">
        <w:rPr>
          <w:noProof/>
        </w:rPr>
        <w:t xml:space="preserve">its position at the end of the </w:t>
      </w:r>
      <w:r w:rsidR="745FCD1B" w:rsidRPr="008431A9">
        <w:rPr>
          <w:noProof/>
        </w:rPr>
        <w:t xml:space="preserve">consultations. </w:t>
      </w:r>
    </w:p>
    <w:p w:rsidR="00E775BE" w:rsidRPr="008431A9" w:rsidRDefault="00B34B72" w:rsidP="00B34B72">
      <w:pPr>
        <w:pStyle w:val="ManualNumPar1"/>
        <w:rPr>
          <w:noProof/>
        </w:rPr>
      </w:pPr>
      <w:r w:rsidRPr="00B34B72">
        <w:t>7.</w:t>
      </w:r>
      <w:r w:rsidRPr="00B34B72">
        <w:tab/>
      </w:r>
      <w:r w:rsidR="745FCD1B" w:rsidRPr="008431A9">
        <w:rPr>
          <w:noProof/>
        </w:rPr>
        <w:t xml:space="preserve">Where, following the end of the consultations, the </w:t>
      </w:r>
      <w:r w:rsidR="00F952C0" w:rsidRPr="008431A9">
        <w:rPr>
          <w:noProof/>
        </w:rPr>
        <w:t xml:space="preserve">data </w:t>
      </w:r>
      <w:r w:rsidR="745FCD1B" w:rsidRPr="008431A9">
        <w:rPr>
          <w:noProof/>
        </w:rPr>
        <w:t>published in accordance with Article 19(</w:t>
      </w:r>
      <w:r w:rsidR="00F952C0" w:rsidRPr="008431A9">
        <w:rPr>
          <w:noProof/>
        </w:rPr>
        <w:t>6</w:t>
      </w:r>
      <w:r w:rsidR="745FCD1B" w:rsidRPr="008431A9">
        <w:rPr>
          <w:noProof/>
        </w:rPr>
        <w:t xml:space="preserve">) have been modified, the Office shall </w:t>
      </w:r>
      <w:r w:rsidR="00F952C0" w:rsidRPr="008431A9">
        <w:rPr>
          <w:noProof/>
        </w:rPr>
        <w:t>carry out a new</w:t>
      </w:r>
      <w:r w:rsidR="745FCD1B" w:rsidRPr="008431A9">
        <w:rPr>
          <w:noProof/>
        </w:rPr>
        <w:t xml:space="preserve"> </w:t>
      </w:r>
      <w:r w:rsidR="00F952C0" w:rsidRPr="008431A9">
        <w:rPr>
          <w:noProof/>
        </w:rPr>
        <w:t xml:space="preserve">examination </w:t>
      </w:r>
      <w:r w:rsidR="745FCD1B" w:rsidRPr="008431A9">
        <w:rPr>
          <w:noProof/>
        </w:rPr>
        <w:t xml:space="preserve">of the </w:t>
      </w:r>
      <w:r w:rsidR="00F952C0" w:rsidRPr="008431A9">
        <w:rPr>
          <w:noProof/>
        </w:rPr>
        <w:t xml:space="preserve">modified </w:t>
      </w:r>
      <w:r w:rsidR="745FCD1B" w:rsidRPr="008431A9">
        <w:rPr>
          <w:noProof/>
        </w:rPr>
        <w:t xml:space="preserve">application. Where the application </w:t>
      </w:r>
      <w:r w:rsidR="00F952C0" w:rsidRPr="008431A9">
        <w:rPr>
          <w:noProof/>
        </w:rPr>
        <w:t xml:space="preserve">for registration </w:t>
      </w:r>
      <w:r w:rsidR="745FCD1B" w:rsidRPr="008431A9">
        <w:rPr>
          <w:noProof/>
        </w:rPr>
        <w:t xml:space="preserve">has been modified in a substantial </w:t>
      </w:r>
      <w:r w:rsidR="00F952C0" w:rsidRPr="008431A9">
        <w:rPr>
          <w:noProof/>
        </w:rPr>
        <w:t>manner</w:t>
      </w:r>
      <w:r w:rsidR="745FCD1B" w:rsidRPr="008431A9">
        <w:rPr>
          <w:noProof/>
        </w:rPr>
        <w:t xml:space="preserve">, and the Office considers </w:t>
      </w:r>
      <w:r w:rsidR="00F952C0" w:rsidRPr="008431A9">
        <w:rPr>
          <w:noProof/>
        </w:rPr>
        <w:t xml:space="preserve">that </w:t>
      </w:r>
      <w:r w:rsidR="745FCD1B" w:rsidRPr="008431A9">
        <w:rPr>
          <w:noProof/>
        </w:rPr>
        <w:t xml:space="preserve">the modified application meets the conditions for registration, it shall publish the </w:t>
      </w:r>
      <w:r w:rsidR="00B141A0" w:rsidRPr="008431A9">
        <w:rPr>
          <w:noProof/>
        </w:rPr>
        <w:t xml:space="preserve">modified </w:t>
      </w:r>
      <w:r w:rsidR="745FCD1B" w:rsidRPr="008431A9">
        <w:rPr>
          <w:noProof/>
        </w:rPr>
        <w:t xml:space="preserve">application in accordance with that </w:t>
      </w:r>
      <w:r w:rsidR="00F952C0" w:rsidRPr="008431A9">
        <w:rPr>
          <w:noProof/>
        </w:rPr>
        <w:t>paragraph</w:t>
      </w:r>
      <w:r w:rsidR="745FCD1B" w:rsidRPr="008431A9">
        <w:rPr>
          <w:noProof/>
        </w:rPr>
        <w:t xml:space="preserve">. </w:t>
      </w:r>
    </w:p>
    <w:p w:rsidR="00E775BE" w:rsidRPr="008431A9" w:rsidRDefault="00B34B72" w:rsidP="00B34B72">
      <w:pPr>
        <w:pStyle w:val="ManualNumPar1"/>
        <w:rPr>
          <w:noProof/>
        </w:rPr>
      </w:pPr>
      <w:r w:rsidRPr="00B34B72">
        <w:t>8.</w:t>
      </w:r>
      <w:r w:rsidRPr="00B34B72">
        <w:tab/>
      </w:r>
      <w:r w:rsidR="745FCD1B" w:rsidRPr="008431A9">
        <w:rPr>
          <w:noProof/>
        </w:rPr>
        <w:t xml:space="preserve">The </w:t>
      </w:r>
      <w:r w:rsidR="00B141A0" w:rsidRPr="008431A9">
        <w:rPr>
          <w:noProof/>
        </w:rPr>
        <w:t xml:space="preserve">authorities and persons that may act as </w:t>
      </w:r>
      <w:r w:rsidR="003D038D" w:rsidRPr="008431A9">
        <w:rPr>
          <w:noProof/>
        </w:rPr>
        <w:t xml:space="preserve">an </w:t>
      </w:r>
      <w:r w:rsidR="00B141A0" w:rsidRPr="008431A9">
        <w:rPr>
          <w:noProof/>
        </w:rPr>
        <w:t xml:space="preserve">opponent </w:t>
      </w:r>
      <w:r w:rsidR="745FCD1B" w:rsidRPr="008431A9">
        <w:rPr>
          <w:noProof/>
        </w:rPr>
        <w:t xml:space="preserve">may lodge a notice of comment with the Office. The competent authority or person that lodged a notice of comment shall not be considered </w:t>
      </w:r>
      <w:r w:rsidR="00461DF4" w:rsidRPr="008431A9">
        <w:rPr>
          <w:noProof/>
        </w:rPr>
        <w:t xml:space="preserve">to be a </w:t>
      </w:r>
      <w:r w:rsidR="745FCD1B" w:rsidRPr="008431A9">
        <w:rPr>
          <w:noProof/>
        </w:rPr>
        <w:t xml:space="preserve">party to the procedure. </w:t>
      </w:r>
    </w:p>
    <w:p w:rsidR="00E775BE" w:rsidRPr="008431A9" w:rsidRDefault="00B34B72" w:rsidP="00B34B72">
      <w:pPr>
        <w:pStyle w:val="ManualNumPar1"/>
        <w:rPr>
          <w:noProof/>
        </w:rPr>
      </w:pPr>
      <w:r w:rsidRPr="00B34B72">
        <w:t>9.</w:t>
      </w:r>
      <w:r w:rsidRPr="00B34B72">
        <w:tab/>
      </w:r>
      <w:r w:rsidR="745FCD1B" w:rsidRPr="008431A9">
        <w:rPr>
          <w:noProof/>
        </w:rPr>
        <w:t xml:space="preserve">The Office may share the notice of comment with the applicant and the opponent. </w:t>
      </w:r>
    </w:p>
    <w:p w:rsidR="00E775BE" w:rsidRPr="008431A9" w:rsidRDefault="00B34B72" w:rsidP="00B34B72">
      <w:pPr>
        <w:pStyle w:val="ManualNumPar1"/>
        <w:rPr>
          <w:rFonts w:eastAsia="Calibri"/>
          <w:noProof/>
          <w:lang w:val="en-US"/>
        </w:rPr>
      </w:pPr>
      <w:r w:rsidRPr="00B34B72">
        <w:lastRenderedPageBreak/>
        <w:t>10.</w:t>
      </w:r>
      <w:r w:rsidRPr="00B34B72">
        <w:tab/>
      </w:r>
      <w:r w:rsidR="745FCD1B" w:rsidRPr="008431A9">
        <w:rPr>
          <w:noProof/>
        </w:rPr>
        <w:t>In order to facilitate the official submission of comments and to improve management of the opposition procedure, the Commission may adopt implementing acts laying down the necessary rules to provide for the submission of such official comments</w:t>
      </w:r>
      <w:r w:rsidR="00F520E3" w:rsidRPr="008431A9">
        <w:rPr>
          <w:noProof/>
        </w:rPr>
        <w:t xml:space="preserve"> and specifying the format and online presentation of oppositions and any comments procedure</w:t>
      </w:r>
      <w:r w:rsidR="745FCD1B" w:rsidRPr="008431A9">
        <w:rPr>
          <w:noProof/>
        </w:rPr>
        <w:t>.</w:t>
      </w:r>
      <w:r w:rsidR="745FCD1B" w:rsidRPr="008431A9">
        <w:rPr>
          <w:rFonts w:eastAsia="Times New Roman"/>
          <w:noProof/>
        </w:rPr>
        <w:t xml:space="preserve"> Those implementing acts shall be adopted in accordance with the examination pro</w:t>
      </w:r>
      <w:r w:rsidR="00596A93" w:rsidRPr="008431A9">
        <w:rPr>
          <w:rFonts w:eastAsia="Times New Roman"/>
          <w:noProof/>
        </w:rPr>
        <w:t>cedure referred to in Article 65</w:t>
      </w:r>
      <w:r w:rsidR="745FCD1B" w:rsidRPr="008431A9">
        <w:rPr>
          <w:rFonts w:eastAsia="Times New Roman"/>
          <w:noProof/>
        </w:rPr>
        <w:t>(2).</w:t>
      </w:r>
    </w:p>
    <w:p w:rsidR="00E775BE" w:rsidRPr="008431A9" w:rsidRDefault="00E775BE" w:rsidP="00B23E88">
      <w:pPr>
        <w:pStyle w:val="Titrearticle"/>
        <w:rPr>
          <w:noProof/>
        </w:rPr>
      </w:pPr>
      <w:r w:rsidRPr="008431A9">
        <w:rPr>
          <w:noProof/>
        </w:rPr>
        <w:t xml:space="preserve">Article </w:t>
      </w:r>
      <w:r w:rsidRPr="008431A9">
        <w:rPr>
          <w:iCs/>
          <w:noProof/>
        </w:rPr>
        <w:t>22</w:t>
      </w:r>
    </w:p>
    <w:p w:rsidR="00E775BE" w:rsidRPr="008431A9" w:rsidRDefault="00E775BE" w:rsidP="00843D97">
      <w:pPr>
        <w:pStyle w:val="NormalCentered"/>
        <w:rPr>
          <w:b/>
          <w:noProof/>
        </w:rPr>
      </w:pPr>
      <w:r w:rsidRPr="008431A9">
        <w:rPr>
          <w:b/>
          <w:noProof/>
        </w:rPr>
        <w:t>Admissibility and grounds for opposition</w:t>
      </w:r>
    </w:p>
    <w:p w:rsidR="00E775BE" w:rsidRPr="008431A9" w:rsidRDefault="00B34B72" w:rsidP="00B34B72">
      <w:pPr>
        <w:pStyle w:val="ManualNumPar1"/>
        <w:rPr>
          <w:rFonts w:eastAsiaTheme="minorEastAsia"/>
          <w:noProof/>
          <w:szCs w:val="24"/>
        </w:rPr>
      </w:pPr>
      <w:r w:rsidRPr="00B34B72">
        <w:t>1.</w:t>
      </w:r>
      <w:r w:rsidRPr="00B34B72">
        <w:tab/>
      </w:r>
      <w:r w:rsidR="745FCD1B" w:rsidRPr="008431A9">
        <w:rPr>
          <w:noProof/>
        </w:rPr>
        <w:t xml:space="preserve">An opposition </w:t>
      </w:r>
      <w:r w:rsidR="00030FE5" w:rsidRPr="008431A9">
        <w:rPr>
          <w:noProof/>
        </w:rPr>
        <w:t>lodged in accordance with</w:t>
      </w:r>
      <w:r w:rsidR="745FCD1B" w:rsidRPr="008431A9">
        <w:rPr>
          <w:noProof/>
        </w:rPr>
        <w:t xml:space="preserve"> Article 21 shall be admissible only if </w:t>
      </w:r>
      <w:r w:rsidR="00FA2E83" w:rsidRPr="008431A9">
        <w:rPr>
          <w:noProof/>
        </w:rPr>
        <w:t>it contains a</w:t>
      </w:r>
      <w:r w:rsidR="00840C2E" w:rsidRPr="008431A9">
        <w:rPr>
          <w:noProof/>
        </w:rPr>
        <w:t xml:space="preserve"> </w:t>
      </w:r>
      <w:r w:rsidR="00FA2E83" w:rsidRPr="008431A9">
        <w:rPr>
          <w:noProof/>
        </w:rPr>
        <w:t xml:space="preserve">declaration </w:t>
      </w:r>
      <w:r w:rsidR="745FCD1B" w:rsidRPr="008431A9">
        <w:rPr>
          <w:noProof/>
        </w:rPr>
        <w:t xml:space="preserve">that the application could infringe the conditions laid down in paragraph </w:t>
      </w:r>
      <w:r w:rsidR="00BA10A0" w:rsidRPr="008431A9">
        <w:rPr>
          <w:noProof/>
        </w:rPr>
        <w:t>2</w:t>
      </w:r>
      <w:r w:rsidR="745FCD1B" w:rsidRPr="008431A9">
        <w:rPr>
          <w:noProof/>
        </w:rPr>
        <w:t xml:space="preserve"> </w:t>
      </w:r>
      <w:r w:rsidR="00030FE5" w:rsidRPr="008431A9">
        <w:rPr>
          <w:noProof/>
        </w:rPr>
        <w:t xml:space="preserve">of </w:t>
      </w:r>
      <w:r w:rsidR="00BA10A0" w:rsidRPr="008431A9">
        <w:rPr>
          <w:noProof/>
        </w:rPr>
        <w:t>this Article</w:t>
      </w:r>
      <w:r w:rsidR="00030FE5" w:rsidRPr="008431A9">
        <w:rPr>
          <w:noProof/>
        </w:rPr>
        <w:t xml:space="preserve"> </w:t>
      </w:r>
      <w:r w:rsidR="745FCD1B" w:rsidRPr="008431A9">
        <w:rPr>
          <w:noProof/>
        </w:rPr>
        <w:t xml:space="preserve">and give justification in a reasoned statement of opposition drawn up in accordance with the form set out in Annex </w:t>
      </w:r>
      <w:r w:rsidR="00654672" w:rsidRPr="008431A9">
        <w:rPr>
          <w:noProof/>
        </w:rPr>
        <w:t>3</w:t>
      </w:r>
      <w:r w:rsidR="745FCD1B" w:rsidRPr="008431A9">
        <w:rPr>
          <w:noProof/>
        </w:rPr>
        <w:t xml:space="preserve">. An opposition that does not contain the reasoned statement of opposition shall be void. </w:t>
      </w:r>
    </w:p>
    <w:p w:rsidR="00E775BE" w:rsidRPr="008431A9" w:rsidRDefault="00B34B72" w:rsidP="00B34B72">
      <w:pPr>
        <w:pStyle w:val="ManualNumPar1"/>
        <w:rPr>
          <w:noProof/>
        </w:rPr>
      </w:pPr>
      <w:r w:rsidRPr="00B34B72">
        <w:t>2.</w:t>
      </w:r>
      <w:r w:rsidRPr="00B34B72">
        <w:tab/>
      </w:r>
      <w:r w:rsidR="745FCD1B" w:rsidRPr="008431A9">
        <w:rPr>
          <w:noProof/>
        </w:rPr>
        <w:t>Upon opposition, the name</w:t>
      </w:r>
      <w:r w:rsidR="00030FE5" w:rsidRPr="008431A9">
        <w:rPr>
          <w:noProof/>
        </w:rPr>
        <w:t xml:space="preserve"> for which there has been an application for registration </w:t>
      </w:r>
      <w:r w:rsidR="745FCD1B" w:rsidRPr="008431A9">
        <w:rPr>
          <w:noProof/>
        </w:rPr>
        <w:t>shall not be registered, if:</w:t>
      </w:r>
    </w:p>
    <w:p w:rsidR="00E775BE" w:rsidRPr="008431A9" w:rsidRDefault="00B34B72" w:rsidP="00B34B72">
      <w:pPr>
        <w:pStyle w:val="Point1"/>
        <w:rPr>
          <w:noProof/>
        </w:rPr>
      </w:pPr>
      <w:r w:rsidRPr="00B34B72">
        <w:t>(a)</w:t>
      </w:r>
      <w:r w:rsidRPr="00B34B72">
        <w:tab/>
      </w:r>
      <w:r w:rsidR="67833288" w:rsidRPr="008431A9">
        <w:rPr>
          <w:noProof/>
        </w:rPr>
        <w:t xml:space="preserve">the proposed geographical indication does not </w:t>
      </w:r>
      <w:r w:rsidR="00193CA7" w:rsidRPr="008431A9">
        <w:rPr>
          <w:noProof/>
        </w:rPr>
        <w:t>comply</w:t>
      </w:r>
      <w:r w:rsidR="67833288" w:rsidRPr="008431A9">
        <w:rPr>
          <w:noProof/>
        </w:rPr>
        <w:t xml:space="preserve"> with the requirements for protection </w:t>
      </w:r>
      <w:r w:rsidR="00030FE5" w:rsidRPr="008431A9">
        <w:rPr>
          <w:noProof/>
        </w:rPr>
        <w:t>laid down</w:t>
      </w:r>
      <w:r w:rsidR="67833288" w:rsidRPr="008431A9">
        <w:rPr>
          <w:noProof/>
        </w:rPr>
        <w:t xml:space="preserve"> in this Regulation;</w:t>
      </w:r>
    </w:p>
    <w:p w:rsidR="00E775BE" w:rsidRPr="008431A9" w:rsidRDefault="00B34B72" w:rsidP="00B34B72">
      <w:pPr>
        <w:pStyle w:val="Point1"/>
        <w:rPr>
          <w:noProof/>
        </w:rPr>
      </w:pPr>
      <w:r w:rsidRPr="00B34B72">
        <w:t>(b)</w:t>
      </w:r>
      <w:r w:rsidRPr="00B34B72">
        <w:tab/>
      </w:r>
      <w:r w:rsidR="00D7212C" w:rsidRPr="008431A9">
        <w:rPr>
          <w:noProof/>
        </w:rPr>
        <w:t>t</w:t>
      </w:r>
      <w:r w:rsidR="67833288" w:rsidRPr="008431A9">
        <w:rPr>
          <w:noProof/>
        </w:rPr>
        <w:t xml:space="preserve">he registration of the proposed geographical indication would be contrary to Articles 37, 38 </w:t>
      </w:r>
      <w:r w:rsidR="00876D1B" w:rsidRPr="008431A9">
        <w:rPr>
          <w:noProof/>
        </w:rPr>
        <w:t>or</w:t>
      </w:r>
      <w:r w:rsidR="67833288" w:rsidRPr="008431A9">
        <w:rPr>
          <w:noProof/>
        </w:rPr>
        <w:t xml:space="preserve"> 39;</w:t>
      </w:r>
    </w:p>
    <w:p w:rsidR="00E775BE" w:rsidRPr="008431A9" w:rsidRDefault="00B34B72" w:rsidP="00B34B72">
      <w:pPr>
        <w:pStyle w:val="Point1"/>
        <w:rPr>
          <w:noProof/>
        </w:rPr>
      </w:pPr>
      <w:r w:rsidRPr="00B34B72">
        <w:t>(c)</w:t>
      </w:r>
      <w:r w:rsidRPr="00B34B72">
        <w:tab/>
      </w:r>
      <w:r w:rsidR="67833288" w:rsidRPr="008431A9">
        <w:rPr>
          <w:noProof/>
        </w:rPr>
        <w:t>the registration of the proposed geographical indication would jeopardise the existence of</w:t>
      </w:r>
      <w:r w:rsidR="00030FE5" w:rsidRPr="008431A9">
        <w:rPr>
          <w:noProof/>
        </w:rPr>
        <w:t>,</w:t>
      </w:r>
      <w:r w:rsidR="67833288" w:rsidRPr="008431A9">
        <w:rPr>
          <w:noProof/>
        </w:rPr>
        <w:t xml:space="preserve"> an entirely</w:t>
      </w:r>
      <w:r w:rsidR="00030FE5" w:rsidRPr="008431A9">
        <w:rPr>
          <w:noProof/>
        </w:rPr>
        <w:t>,</w:t>
      </w:r>
      <w:r w:rsidR="67833288" w:rsidRPr="008431A9">
        <w:rPr>
          <w:noProof/>
        </w:rPr>
        <w:t xml:space="preserve"> or partly identical name or of a trade mark</w:t>
      </w:r>
      <w:r w:rsidR="00030FE5" w:rsidRPr="008431A9">
        <w:rPr>
          <w:noProof/>
        </w:rPr>
        <w:t>,</w:t>
      </w:r>
      <w:r w:rsidR="67833288" w:rsidRPr="008431A9">
        <w:rPr>
          <w:noProof/>
        </w:rPr>
        <w:t xml:space="preserve"> or the existence of products which have been legally on the market for at least 5 years preceding the date of the publication provided for in Article 18(3). </w:t>
      </w:r>
    </w:p>
    <w:p w:rsidR="00E775BE" w:rsidRPr="008431A9" w:rsidRDefault="00B34B72" w:rsidP="00B34B72">
      <w:pPr>
        <w:pStyle w:val="ManualNumPar1"/>
        <w:rPr>
          <w:noProof/>
        </w:rPr>
      </w:pPr>
      <w:r w:rsidRPr="00B34B72">
        <w:t>3.</w:t>
      </w:r>
      <w:r w:rsidRPr="00B34B72">
        <w:tab/>
      </w:r>
      <w:r w:rsidR="745FCD1B" w:rsidRPr="008431A9">
        <w:rPr>
          <w:noProof/>
        </w:rPr>
        <w:t>The admissibility and the grounds of an opposition shall be assessed by the Office in relation to the territory of the Union.</w:t>
      </w:r>
    </w:p>
    <w:p w:rsidR="00E775BE" w:rsidRPr="008431A9" w:rsidRDefault="00E775BE" w:rsidP="00B23E88">
      <w:pPr>
        <w:pStyle w:val="Titrearticle"/>
        <w:rPr>
          <w:noProof/>
          <w:lang w:val="en-US"/>
        </w:rPr>
      </w:pPr>
      <w:r w:rsidRPr="008431A9">
        <w:rPr>
          <w:noProof/>
          <w:lang w:val="en-US"/>
        </w:rPr>
        <w:t>Article 23</w:t>
      </w:r>
    </w:p>
    <w:p w:rsidR="00E775BE" w:rsidRPr="008431A9" w:rsidRDefault="00E775BE" w:rsidP="00843D97">
      <w:pPr>
        <w:pStyle w:val="NormalCentered"/>
        <w:rPr>
          <w:b/>
          <w:noProof/>
        </w:rPr>
      </w:pPr>
      <w:r w:rsidRPr="008431A9">
        <w:rPr>
          <w:b/>
          <w:noProof/>
        </w:rPr>
        <w:t>Transitional period for the use of geographical indications</w:t>
      </w:r>
    </w:p>
    <w:p w:rsidR="00E775BE" w:rsidRPr="008431A9" w:rsidRDefault="00B34B72" w:rsidP="00B34B72">
      <w:pPr>
        <w:pStyle w:val="ManualNumPar1"/>
        <w:rPr>
          <w:rFonts w:eastAsiaTheme="minorEastAsia"/>
          <w:noProof/>
        </w:rPr>
      </w:pPr>
      <w:r w:rsidRPr="00B34B72">
        <w:t>1.</w:t>
      </w:r>
      <w:r w:rsidRPr="00B34B72">
        <w:tab/>
      </w:r>
      <w:r w:rsidR="745FCD1B" w:rsidRPr="008431A9">
        <w:rPr>
          <w:noProof/>
        </w:rPr>
        <w:t xml:space="preserve">Without prejudice to Article 42, at the time of registration, the Office may </w:t>
      </w:r>
      <w:r w:rsidR="00974024" w:rsidRPr="008431A9">
        <w:rPr>
          <w:noProof/>
        </w:rPr>
        <w:t xml:space="preserve">decide to </w:t>
      </w:r>
      <w:r w:rsidR="745FCD1B" w:rsidRPr="008431A9">
        <w:rPr>
          <w:noProof/>
        </w:rPr>
        <w:t xml:space="preserve">grant a transitional period of up to 5 years to enable, for products originating in a Member State or a third country </w:t>
      </w:r>
      <w:r w:rsidR="46284099" w:rsidRPr="008431A9">
        <w:rPr>
          <w:noProof/>
        </w:rPr>
        <w:t xml:space="preserve">the designation of which consists of or contains </w:t>
      </w:r>
      <w:r w:rsidR="745FCD1B" w:rsidRPr="008431A9">
        <w:rPr>
          <w:noProof/>
        </w:rPr>
        <w:t>a name</w:t>
      </w:r>
      <w:r w:rsidR="46284099" w:rsidRPr="008431A9">
        <w:rPr>
          <w:noProof/>
        </w:rPr>
        <w:t xml:space="preserve"> that contravenes Article 35</w:t>
      </w:r>
      <w:r w:rsidR="745FCD1B" w:rsidRPr="008431A9">
        <w:rPr>
          <w:noProof/>
        </w:rPr>
        <w:t xml:space="preserve">, </w:t>
      </w:r>
      <w:r w:rsidR="46284099" w:rsidRPr="008431A9">
        <w:rPr>
          <w:noProof/>
        </w:rPr>
        <w:t xml:space="preserve">the continued </w:t>
      </w:r>
      <w:r w:rsidR="745FCD1B" w:rsidRPr="008431A9">
        <w:rPr>
          <w:noProof/>
        </w:rPr>
        <w:t>use</w:t>
      </w:r>
      <w:r w:rsidR="46284099" w:rsidRPr="008431A9">
        <w:rPr>
          <w:noProof/>
        </w:rPr>
        <w:t xml:space="preserve"> of that designation</w:t>
      </w:r>
      <w:r w:rsidR="745FCD1B" w:rsidRPr="008431A9">
        <w:rPr>
          <w:noProof/>
        </w:rPr>
        <w:t>,</w:t>
      </w:r>
      <w:r w:rsidR="46284099" w:rsidRPr="008431A9">
        <w:rPr>
          <w:noProof/>
        </w:rPr>
        <w:t xml:space="preserve"> under which they were marketed</w:t>
      </w:r>
      <w:r w:rsidR="241F4AFD" w:rsidRPr="008431A9">
        <w:rPr>
          <w:noProof/>
        </w:rPr>
        <w:t xml:space="preserve">, provided that an admissible and grounded opposition, under Article </w:t>
      </w:r>
      <w:r w:rsidR="003D0DD9" w:rsidRPr="008431A9">
        <w:rPr>
          <w:noProof/>
        </w:rPr>
        <w:t xml:space="preserve">13 or </w:t>
      </w:r>
      <w:r w:rsidR="00876D1B" w:rsidRPr="008431A9">
        <w:rPr>
          <w:noProof/>
        </w:rPr>
        <w:t xml:space="preserve">Article </w:t>
      </w:r>
      <w:r w:rsidR="241F4AFD" w:rsidRPr="008431A9">
        <w:rPr>
          <w:noProof/>
        </w:rPr>
        <w:t>21,</w:t>
      </w:r>
      <w:r w:rsidR="745FCD1B" w:rsidRPr="008431A9">
        <w:rPr>
          <w:noProof/>
        </w:rPr>
        <w:t xml:space="preserve"> </w:t>
      </w:r>
      <w:r w:rsidR="241F4AFD" w:rsidRPr="008431A9">
        <w:rPr>
          <w:noProof/>
        </w:rPr>
        <w:t>to the application for registration of the geographical indication whose protection is contravened shows that</w:t>
      </w:r>
      <w:r w:rsidR="00D7212C" w:rsidRPr="008431A9">
        <w:rPr>
          <w:noProof/>
        </w:rPr>
        <w:t>:</w:t>
      </w:r>
      <w:r w:rsidR="241F4AFD" w:rsidRPr="008431A9">
        <w:rPr>
          <w:noProof/>
        </w:rPr>
        <w:t xml:space="preserve"> </w:t>
      </w:r>
    </w:p>
    <w:p w:rsidR="00E775BE" w:rsidRPr="008431A9" w:rsidRDefault="00B34B72" w:rsidP="00B34B72">
      <w:pPr>
        <w:pStyle w:val="Point1"/>
        <w:rPr>
          <w:noProof/>
        </w:rPr>
      </w:pPr>
      <w:r w:rsidRPr="00B34B72">
        <w:t>(a)</w:t>
      </w:r>
      <w:r w:rsidRPr="00B34B72">
        <w:tab/>
      </w:r>
      <w:r w:rsidR="67833288" w:rsidRPr="008431A9">
        <w:rPr>
          <w:noProof/>
        </w:rPr>
        <w:t>the registration of the geographical indication would jeopardise the existence of the entirely or partially identical name</w:t>
      </w:r>
      <w:r w:rsidR="04022417" w:rsidRPr="008431A9">
        <w:rPr>
          <w:noProof/>
        </w:rPr>
        <w:t xml:space="preserve"> in the product designation</w:t>
      </w:r>
      <w:r w:rsidR="67833288" w:rsidRPr="008431A9">
        <w:rPr>
          <w:noProof/>
        </w:rPr>
        <w:t xml:space="preserve">; </w:t>
      </w:r>
    </w:p>
    <w:p w:rsidR="00E775BE" w:rsidRPr="008431A9" w:rsidRDefault="00B34B72" w:rsidP="00B34B72">
      <w:pPr>
        <w:pStyle w:val="Point1"/>
        <w:rPr>
          <w:noProof/>
        </w:rPr>
      </w:pPr>
      <w:r w:rsidRPr="00B34B72">
        <w:t>(b)</w:t>
      </w:r>
      <w:r w:rsidRPr="00B34B72">
        <w:tab/>
      </w:r>
      <w:r w:rsidR="04022417" w:rsidRPr="008431A9">
        <w:rPr>
          <w:noProof/>
        </w:rPr>
        <w:t xml:space="preserve">such products have been legally marketed with </w:t>
      </w:r>
      <w:r w:rsidR="67833288" w:rsidRPr="008431A9">
        <w:rPr>
          <w:noProof/>
        </w:rPr>
        <w:t>th</w:t>
      </w:r>
      <w:r w:rsidR="04022417" w:rsidRPr="008431A9">
        <w:rPr>
          <w:noProof/>
        </w:rPr>
        <w:t>at</w:t>
      </w:r>
      <w:r w:rsidR="67833288" w:rsidRPr="008431A9">
        <w:rPr>
          <w:noProof/>
        </w:rPr>
        <w:t xml:space="preserve"> name </w:t>
      </w:r>
      <w:r w:rsidR="04022417" w:rsidRPr="008431A9">
        <w:rPr>
          <w:noProof/>
        </w:rPr>
        <w:t xml:space="preserve">in the product designation in the territory concerned </w:t>
      </w:r>
      <w:r w:rsidR="67833288" w:rsidRPr="008431A9">
        <w:rPr>
          <w:noProof/>
        </w:rPr>
        <w:t xml:space="preserve">for at least 5 years preceding the date of the publication provided for in Article 18(3); </w:t>
      </w:r>
    </w:p>
    <w:p w:rsidR="001B2220" w:rsidRPr="008431A9" w:rsidRDefault="00B34B72" w:rsidP="00B34B72">
      <w:pPr>
        <w:pStyle w:val="ManualNumPar1"/>
        <w:rPr>
          <w:noProof/>
        </w:rPr>
      </w:pPr>
      <w:r w:rsidRPr="00B34B72">
        <w:t>2.</w:t>
      </w:r>
      <w:r w:rsidRPr="00B34B72">
        <w:tab/>
      </w:r>
      <w:r w:rsidR="22C1488F" w:rsidRPr="008431A9">
        <w:rPr>
          <w:noProof/>
        </w:rPr>
        <w:t xml:space="preserve">The Office may </w:t>
      </w:r>
      <w:r w:rsidR="00974024" w:rsidRPr="008431A9">
        <w:rPr>
          <w:noProof/>
        </w:rPr>
        <w:t>decide to</w:t>
      </w:r>
      <w:r w:rsidR="22C1488F" w:rsidRPr="008431A9">
        <w:rPr>
          <w:noProof/>
        </w:rPr>
        <w:t xml:space="preserve"> extend the transitional period granted under paragraph </w:t>
      </w:r>
      <w:hyperlink w:anchor="akn_article_Xudya3_bbiSA2" w:tooltip="paragraph (1): (1)">
        <w:r w:rsidR="22C1488F" w:rsidRPr="008431A9">
          <w:rPr>
            <w:rStyle w:val="Hyperlink"/>
            <w:noProof/>
            <w:color w:val="auto"/>
            <w:u w:val="none"/>
          </w:rPr>
          <w:t>1</w:t>
        </w:r>
      </w:hyperlink>
      <w:r w:rsidR="22C1488F" w:rsidRPr="008431A9">
        <w:rPr>
          <w:noProof/>
        </w:rPr>
        <w:t xml:space="preserve"> up to 15 years, or allowing continued use for up to 15 years, provided it is additionally shown that:</w:t>
      </w:r>
    </w:p>
    <w:p w:rsidR="001B2220" w:rsidRPr="008431A9" w:rsidRDefault="00B34B72" w:rsidP="00B34B72">
      <w:pPr>
        <w:pStyle w:val="Point1"/>
        <w:rPr>
          <w:noProof/>
        </w:rPr>
      </w:pPr>
      <w:r w:rsidRPr="00B34B72">
        <w:lastRenderedPageBreak/>
        <w:t>(a)</w:t>
      </w:r>
      <w:r w:rsidRPr="00B34B72">
        <w:tab/>
      </w:r>
      <w:r w:rsidR="001B2220" w:rsidRPr="008431A9">
        <w:rPr>
          <w:noProof/>
        </w:rPr>
        <w:t xml:space="preserve">the name in the designation referred to in paragraph </w:t>
      </w:r>
      <w:hyperlink w:anchor="akn_article_Xudya3_bbiSA2" w:tooltip="paragraph (1): (1)">
        <w:r w:rsidR="001B2220" w:rsidRPr="008431A9">
          <w:rPr>
            <w:rStyle w:val="Hyperlink"/>
            <w:noProof/>
            <w:color w:val="auto"/>
            <w:u w:val="none"/>
          </w:rPr>
          <w:t>1</w:t>
        </w:r>
      </w:hyperlink>
      <w:r w:rsidR="001B2220" w:rsidRPr="008431A9">
        <w:rPr>
          <w:noProof/>
        </w:rPr>
        <w:t xml:space="preserve"> has been in legal use consistently and fairly for at least 25 years before the application for registration of the concerned geographical indication was submitted to the Office;</w:t>
      </w:r>
    </w:p>
    <w:p w:rsidR="001B2220" w:rsidRPr="008431A9" w:rsidRDefault="00B34B72" w:rsidP="00B34B72">
      <w:pPr>
        <w:pStyle w:val="Point1"/>
        <w:rPr>
          <w:noProof/>
        </w:rPr>
      </w:pPr>
      <w:r w:rsidRPr="00B34B72">
        <w:t>(b)</w:t>
      </w:r>
      <w:r w:rsidRPr="00B34B72">
        <w:tab/>
      </w:r>
      <w:r w:rsidR="001B2220" w:rsidRPr="008431A9">
        <w:rPr>
          <w:noProof/>
        </w:rPr>
        <w:t xml:space="preserve">the purpose of using the name in the designation referred to in paragraph </w:t>
      </w:r>
      <w:hyperlink w:anchor="akn_article_Xudya3_bbiSA2" w:tooltip="paragraph (1): (1)">
        <w:r w:rsidR="001B2220" w:rsidRPr="008431A9">
          <w:rPr>
            <w:rStyle w:val="Hyperlink"/>
            <w:noProof/>
            <w:color w:val="auto"/>
            <w:u w:val="none"/>
          </w:rPr>
          <w:t>(1)</w:t>
        </w:r>
      </w:hyperlink>
      <w:r w:rsidR="009069F9" w:rsidRPr="008431A9">
        <w:rPr>
          <w:rStyle w:val="Hyperlink"/>
          <w:noProof/>
          <w:color w:val="auto"/>
          <w:u w:val="none"/>
        </w:rPr>
        <w:t xml:space="preserve"> </w:t>
      </w:r>
      <w:r w:rsidR="001B2220" w:rsidRPr="008431A9">
        <w:rPr>
          <w:noProof/>
        </w:rPr>
        <w:t>has not, at any time, been to profit from the reputation of the name of the product that has been registered as geographical indication; and</w:t>
      </w:r>
    </w:p>
    <w:p w:rsidR="001B2220" w:rsidRPr="008431A9" w:rsidRDefault="00B34B72" w:rsidP="00B34B72">
      <w:pPr>
        <w:pStyle w:val="Point1"/>
        <w:rPr>
          <w:noProof/>
        </w:rPr>
      </w:pPr>
      <w:r w:rsidRPr="00B34B72">
        <w:t>(c)</w:t>
      </w:r>
      <w:r w:rsidRPr="00B34B72">
        <w:tab/>
      </w:r>
      <w:r w:rsidR="001B2220" w:rsidRPr="008431A9">
        <w:rPr>
          <w:noProof/>
        </w:rPr>
        <w:t>the consumer has not been or could not have been misled as to the true origin of the product.</w:t>
      </w:r>
    </w:p>
    <w:p w:rsidR="00E775BE" w:rsidRPr="008431A9" w:rsidRDefault="00B34B72" w:rsidP="00B34B72">
      <w:pPr>
        <w:pStyle w:val="ManualNumPar1"/>
        <w:rPr>
          <w:noProof/>
        </w:rPr>
      </w:pPr>
      <w:r w:rsidRPr="00B34B72">
        <w:t>3.</w:t>
      </w:r>
      <w:r w:rsidRPr="00B34B72">
        <w:tab/>
      </w:r>
      <w:r w:rsidR="183835EF" w:rsidRPr="008431A9">
        <w:rPr>
          <w:noProof/>
        </w:rPr>
        <w:t xml:space="preserve">The decision granting a transitional period referred to in paragraph 1 shall be published in the </w:t>
      </w:r>
      <w:r w:rsidR="000D65CD" w:rsidRPr="008431A9">
        <w:rPr>
          <w:noProof/>
        </w:rPr>
        <w:t xml:space="preserve">Union </w:t>
      </w:r>
      <w:r w:rsidR="00A60FAF" w:rsidRPr="008431A9">
        <w:rPr>
          <w:noProof/>
        </w:rPr>
        <w:t>r</w:t>
      </w:r>
      <w:r w:rsidR="183835EF" w:rsidRPr="008431A9">
        <w:rPr>
          <w:noProof/>
        </w:rPr>
        <w:t>egister</w:t>
      </w:r>
      <w:r w:rsidR="00A60FAF" w:rsidRPr="008431A9">
        <w:rPr>
          <w:noProof/>
        </w:rPr>
        <w:t xml:space="preserve"> of geographical indications</w:t>
      </w:r>
      <w:r w:rsidR="005F6945" w:rsidRPr="008431A9">
        <w:rPr>
          <w:noProof/>
        </w:rPr>
        <w:t xml:space="preserve"> for craft and industrial products</w:t>
      </w:r>
      <w:r w:rsidR="183835EF" w:rsidRPr="008431A9">
        <w:rPr>
          <w:noProof/>
        </w:rPr>
        <w:t xml:space="preserve">. </w:t>
      </w:r>
    </w:p>
    <w:p w:rsidR="00E775BE" w:rsidRPr="008431A9" w:rsidRDefault="00B34B72" w:rsidP="00B34B72">
      <w:pPr>
        <w:pStyle w:val="ManualNumPar1"/>
        <w:rPr>
          <w:noProof/>
        </w:rPr>
      </w:pPr>
      <w:r w:rsidRPr="00B34B72">
        <w:t>4.</w:t>
      </w:r>
      <w:r w:rsidRPr="00B34B72">
        <w:tab/>
      </w:r>
      <w:r w:rsidR="4696A5D4" w:rsidRPr="008431A9">
        <w:rPr>
          <w:noProof/>
        </w:rPr>
        <w:t xml:space="preserve">When using a designation referred to in paragraph 1, the indication of the country of origin shall clearly and visibly appear on the labelling. </w:t>
      </w:r>
    </w:p>
    <w:p w:rsidR="001B2220" w:rsidRPr="008431A9" w:rsidRDefault="00B34B72" w:rsidP="00B34B72">
      <w:pPr>
        <w:pStyle w:val="ManualNumPar1"/>
        <w:rPr>
          <w:noProof/>
        </w:rPr>
      </w:pPr>
      <w:r w:rsidRPr="00B34B72">
        <w:t>5.</w:t>
      </w:r>
      <w:r w:rsidRPr="00B34B72">
        <w:tab/>
      </w:r>
      <w:r w:rsidR="22C1488F" w:rsidRPr="008431A9">
        <w:rPr>
          <w:noProof/>
        </w:rPr>
        <w:t>To overcome temporary difficulties with the long-term objective of ensuring that all producers of a product designated under a geographical indication in the area concerned comply with the related product specification, a Member State may grant a transitional period for compliance, of up to 10 years, with effect from the date on which the application is lodged with the Office, provided that the operators concerned have legally marketed the products in question, using the names concerned continuously for at least 5 years preceding the lodging of the application to the authorities of that Member State and have referred to that fact in the national opposition procedure referred to in Article 13.</w:t>
      </w:r>
    </w:p>
    <w:p w:rsidR="001B2220" w:rsidRPr="008431A9" w:rsidRDefault="00B34B72" w:rsidP="00B34B72">
      <w:pPr>
        <w:pStyle w:val="ManualNumPar1"/>
        <w:rPr>
          <w:noProof/>
        </w:rPr>
      </w:pPr>
      <w:r w:rsidRPr="00B34B72">
        <w:t>6.</w:t>
      </w:r>
      <w:r w:rsidRPr="00B34B72">
        <w:tab/>
      </w:r>
      <w:r w:rsidR="6F8E5CE9" w:rsidRPr="008431A9">
        <w:rPr>
          <w:noProof/>
        </w:rPr>
        <w:t xml:space="preserve">Paragraph </w:t>
      </w:r>
      <w:hyperlink w:anchor="akn_article_Xudya3_7G5MUs" w:tooltip="paragraph (6): (6)">
        <w:r w:rsidR="6F8E5CE9" w:rsidRPr="008431A9">
          <w:rPr>
            <w:rStyle w:val="Hyperlink"/>
            <w:noProof/>
            <w:color w:val="auto"/>
            <w:u w:val="none"/>
          </w:rPr>
          <w:t>5</w:t>
        </w:r>
      </w:hyperlink>
      <w:r w:rsidR="00104F17" w:rsidRPr="008431A9">
        <w:rPr>
          <w:noProof/>
        </w:rPr>
        <w:t xml:space="preserve"> </w:t>
      </w:r>
      <w:r w:rsidR="6F8E5CE9" w:rsidRPr="008431A9">
        <w:rPr>
          <w:noProof/>
        </w:rPr>
        <w:t xml:space="preserve">shall apply </w:t>
      </w:r>
      <w:r w:rsidR="6F8E5CE9" w:rsidRPr="008431A9">
        <w:rPr>
          <w:i/>
          <w:iCs/>
          <w:noProof/>
        </w:rPr>
        <w:t>mutatis mutandis</w:t>
      </w:r>
      <w:r w:rsidR="6F8E5CE9" w:rsidRPr="008431A9">
        <w:rPr>
          <w:noProof/>
        </w:rPr>
        <w:t xml:space="preserve"> to a geographical indication referring to a geographical area situated in a third country, with the exception of the opposition procedure.</w:t>
      </w:r>
    </w:p>
    <w:p w:rsidR="00E775BE" w:rsidRPr="008431A9" w:rsidRDefault="00E775BE" w:rsidP="00B23E88">
      <w:pPr>
        <w:pStyle w:val="Titrearticle"/>
        <w:rPr>
          <w:noProof/>
          <w:lang w:val="en-US"/>
        </w:rPr>
      </w:pPr>
      <w:r w:rsidRPr="008431A9">
        <w:rPr>
          <w:noProof/>
          <w:lang w:val="en-US"/>
        </w:rPr>
        <w:t xml:space="preserve">Article </w:t>
      </w:r>
      <w:r w:rsidRPr="008431A9">
        <w:rPr>
          <w:iCs/>
          <w:noProof/>
          <w:lang w:val="en-US"/>
        </w:rPr>
        <w:t>24</w:t>
      </w:r>
    </w:p>
    <w:p w:rsidR="00E775BE" w:rsidRPr="008431A9" w:rsidRDefault="002A2B6F" w:rsidP="00843D97">
      <w:pPr>
        <w:pStyle w:val="NormalCentered"/>
        <w:rPr>
          <w:b/>
          <w:noProof/>
        </w:rPr>
      </w:pPr>
      <w:r w:rsidRPr="008431A9">
        <w:rPr>
          <w:b/>
          <w:noProof/>
        </w:rPr>
        <w:t>D</w:t>
      </w:r>
      <w:r w:rsidR="00E775BE" w:rsidRPr="008431A9">
        <w:rPr>
          <w:b/>
          <w:noProof/>
        </w:rPr>
        <w:t>ecision</w:t>
      </w:r>
      <w:r w:rsidR="00B33B67" w:rsidRPr="008431A9">
        <w:rPr>
          <w:b/>
          <w:noProof/>
        </w:rPr>
        <w:t>s</w:t>
      </w:r>
      <w:r w:rsidR="00E775BE" w:rsidRPr="008431A9">
        <w:rPr>
          <w:b/>
          <w:noProof/>
        </w:rPr>
        <w:t xml:space="preserve"> </w:t>
      </w:r>
      <w:r w:rsidR="0084446E" w:rsidRPr="008431A9">
        <w:rPr>
          <w:b/>
          <w:noProof/>
        </w:rPr>
        <w:t xml:space="preserve">by the Office </w:t>
      </w:r>
      <w:r w:rsidR="00E775BE" w:rsidRPr="008431A9">
        <w:rPr>
          <w:b/>
          <w:noProof/>
        </w:rPr>
        <w:t>on</w:t>
      </w:r>
      <w:r w:rsidR="009A7384" w:rsidRPr="008431A9">
        <w:rPr>
          <w:b/>
          <w:noProof/>
        </w:rPr>
        <w:t xml:space="preserve"> the application for</w:t>
      </w:r>
      <w:r w:rsidR="00E775BE" w:rsidRPr="008431A9">
        <w:rPr>
          <w:b/>
          <w:noProof/>
        </w:rPr>
        <w:t xml:space="preserve"> registration</w:t>
      </w:r>
    </w:p>
    <w:p w:rsidR="00E775BE" w:rsidRPr="008431A9" w:rsidRDefault="00B34B72" w:rsidP="00B34B72">
      <w:pPr>
        <w:pStyle w:val="ManualNumPar1"/>
        <w:rPr>
          <w:rFonts w:eastAsiaTheme="minorEastAsia"/>
          <w:noProof/>
          <w:szCs w:val="24"/>
        </w:rPr>
      </w:pPr>
      <w:r w:rsidRPr="00B34B72">
        <w:t>1.</w:t>
      </w:r>
      <w:r w:rsidRPr="00B34B72">
        <w:tab/>
      </w:r>
      <w:r w:rsidR="183835EF" w:rsidRPr="008431A9">
        <w:rPr>
          <w:noProof/>
        </w:rPr>
        <w:t xml:space="preserve">After completion of the opposition and notice of comments procedure, the Office shall finalise its </w:t>
      </w:r>
      <w:r w:rsidR="00AF37A6" w:rsidRPr="008431A9">
        <w:rPr>
          <w:noProof/>
        </w:rPr>
        <w:t>examination</w:t>
      </w:r>
      <w:r w:rsidR="183835EF" w:rsidRPr="008431A9">
        <w:rPr>
          <w:noProof/>
        </w:rPr>
        <w:t xml:space="preserve">, taking into account any </w:t>
      </w:r>
      <w:r w:rsidR="008A628E" w:rsidRPr="008431A9">
        <w:rPr>
          <w:noProof/>
        </w:rPr>
        <w:t xml:space="preserve">provisional </w:t>
      </w:r>
      <w:r w:rsidR="183835EF" w:rsidRPr="008431A9">
        <w:rPr>
          <w:noProof/>
        </w:rPr>
        <w:t xml:space="preserve">periods, the outcome of any opposition procedure, any notice of comments received and any other matters that come to light in the course of the </w:t>
      </w:r>
      <w:r w:rsidR="002A2B6F" w:rsidRPr="008431A9">
        <w:rPr>
          <w:noProof/>
        </w:rPr>
        <w:t xml:space="preserve">examination </w:t>
      </w:r>
      <w:r w:rsidR="183835EF" w:rsidRPr="008431A9">
        <w:rPr>
          <w:noProof/>
        </w:rPr>
        <w:t xml:space="preserve">that may </w:t>
      </w:r>
      <w:r w:rsidR="008A628E" w:rsidRPr="008431A9">
        <w:rPr>
          <w:noProof/>
        </w:rPr>
        <w:t xml:space="preserve">give rise to </w:t>
      </w:r>
      <w:r w:rsidR="183835EF" w:rsidRPr="008431A9">
        <w:rPr>
          <w:noProof/>
        </w:rPr>
        <w:t xml:space="preserve">a change in the single document. </w:t>
      </w:r>
    </w:p>
    <w:p w:rsidR="00E775BE" w:rsidRPr="008431A9" w:rsidRDefault="00B34B72" w:rsidP="00B34B72">
      <w:pPr>
        <w:pStyle w:val="ManualNumPar1"/>
        <w:rPr>
          <w:noProof/>
        </w:rPr>
      </w:pPr>
      <w:r w:rsidRPr="00B34B72">
        <w:t>2.</w:t>
      </w:r>
      <w:r w:rsidRPr="00B34B72">
        <w:tab/>
      </w:r>
      <w:r w:rsidR="183835EF" w:rsidRPr="008431A9">
        <w:rPr>
          <w:noProof/>
        </w:rPr>
        <w:t xml:space="preserve">Where, on the basis of the information available to the Office from the </w:t>
      </w:r>
      <w:r w:rsidR="6F8C5E31" w:rsidRPr="008431A9">
        <w:rPr>
          <w:noProof/>
        </w:rPr>
        <w:t xml:space="preserve">examination </w:t>
      </w:r>
      <w:r w:rsidR="183835EF" w:rsidRPr="008431A9">
        <w:rPr>
          <w:noProof/>
        </w:rPr>
        <w:t>ca</w:t>
      </w:r>
      <w:r w:rsidR="003265E8" w:rsidRPr="008431A9">
        <w:rPr>
          <w:noProof/>
        </w:rPr>
        <w:t>rried out pursuant to Article 19</w:t>
      </w:r>
      <w:r w:rsidR="183835EF" w:rsidRPr="008431A9">
        <w:rPr>
          <w:noProof/>
        </w:rPr>
        <w:t xml:space="preserve">, the Office considers that any of the requirements referred </w:t>
      </w:r>
      <w:r w:rsidR="3213290F" w:rsidRPr="008431A9">
        <w:rPr>
          <w:noProof/>
        </w:rPr>
        <w:t xml:space="preserve">to in that Article </w:t>
      </w:r>
      <w:r w:rsidR="183835EF" w:rsidRPr="008431A9">
        <w:rPr>
          <w:noProof/>
        </w:rPr>
        <w:t xml:space="preserve">is not fulfilled, it shall </w:t>
      </w:r>
      <w:r w:rsidR="00A819B1" w:rsidRPr="008431A9">
        <w:rPr>
          <w:noProof/>
        </w:rPr>
        <w:t xml:space="preserve">adopt a decision </w:t>
      </w:r>
      <w:r w:rsidR="183835EF" w:rsidRPr="008431A9">
        <w:rPr>
          <w:noProof/>
        </w:rPr>
        <w:t>reject</w:t>
      </w:r>
      <w:r w:rsidR="00A819B1" w:rsidRPr="008431A9">
        <w:rPr>
          <w:noProof/>
        </w:rPr>
        <w:t>ing</w:t>
      </w:r>
      <w:r w:rsidR="183835EF" w:rsidRPr="008431A9">
        <w:rPr>
          <w:noProof/>
        </w:rPr>
        <w:t xml:space="preserve"> the application</w:t>
      </w:r>
      <w:r w:rsidR="7ADF40C5" w:rsidRPr="008431A9">
        <w:rPr>
          <w:noProof/>
        </w:rPr>
        <w:t xml:space="preserve"> for registration</w:t>
      </w:r>
      <w:r w:rsidR="183835EF" w:rsidRPr="008431A9">
        <w:rPr>
          <w:noProof/>
        </w:rPr>
        <w:t xml:space="preserve">. </w:t>
      </w:r>
    </w:p>
    <w:p w:rsidR="00E775BE" w:rsidRPr="008431A9" w:rsidRDefault="00B34B72" w:rsidP="00B34B72">
      <w:pPr>
        <w:pStyle w:val="ManualNumPar1"/>
        <w:rPr>
          <w:noProof/>
        </w:rPr>
      </w:pPr>
      <w:r w:rsidRPr="00B34B72">
        <w:t>3.</w:t>
      </w:r>
      <w:r w:rsidRPr="00B34B72">
        <w:tab/>
      </w:r>
      <w:r w:rsidR="183835EF" w:rsidRPr="008431A9">
        <w:rPr>
          <w:noProof/>
        </w:rPr>
        <w:t xml:space="preserve">Where </w:t>
      </w:r>
      <w:r w:rsidR="002A32F4" w:rsidRPr="008431A9">
        <w:rPr>
          <w:noProof/>
        </w:rPr>
        <w:t xml:space="preserve">the application meets the requirements laid down in Article 17 and </w:t>
      </w:r>
      <w:r w:rsidR="681D50EB" w:rsidRPr="008431A9">
        <w:rPr>
          <w:noProof/>
        </w:rPr>
        <w:t>the Office</w:t>
      </w:r>
      <w:r w:rsidR="7ADF40C5" w:rsidRPr="008431A9">
        <w:rPr>
          <w:noProof/>
        </w:rPr>
        <w:t xml:space="preserve"> receives </w:t>
      </w:r>
      <w:r w:rsidR="183835EF" w:rsidRPr="008431A9">
        <w:rPr>
          <w:noProof/>
        </w:rPr>
        <w:t xml:space="preserve">no admissible </w:t>
      </w:r>
      <w:r w:rsidR="002A32F4" w:rsidRPr="008431A9">
        <w:rPr>
          <w:noProof/>
        </w:rPr>
        <w:t xml:space="preserve">and </w:t>
      </w:r>
      <w:r w:rsidR="183835EF" w:rsidRPr="008431A9">
        <w:rPr>
          <w:noProof/>
        </w:rPr>
        <w:t>grounded</w:t>
      </w:r>
      <w:r w:rsidR="00EF0496" w:rsidRPr="008431A9">
        <w:rPr>
          <w:noProof/>
        </w:rPr>
        <w:t xml:space="preserve"> </w:t>
      </w:r>
      <w:r w:rsidR="183835EF" w:rsidRPr="008431A9">
        <w:rPr>
          <w:noProof/>
        </w:rPr>
        <w:t xml:space="preserve">opposition, the Office shall </w:t>
      </w:r>
      <w:r w:rsidR="00A819B1" w:rsidRPr="008431A9">
        <w:rPr>
          <w:noProof/>
        </w:rPr>
        <w:t xml:space="preserve">adopt a decision </w:t>
      </w:r>
      <w:r w:rsidR="183835EF" w:rsidRPr="008431A9">
        <w:rPr>
          <w:noProof/>
        </w:rPr>
        <w:t>register</w:t>
      </w:r>
      <w:r w:rsidR="00A819B1" w:rsidRPr="008431A9">
        <w:rPr>
          <w:noProof/>
        </w:rPr>
        <w:t>ing</w:t>
      </w:r>
      <w:r w:rsidR="183835EF" w:rsidRPr="008431A9">
        <w:rPr>
          <w:noProof/>
        </w:rPr>
        <w:t xml:space="preserve"> the name</w:t>
      </w:r>
      <w:r w:rsidR="6F8C5E31" w:rsidRPr="008431A9">
        <w:rPr>
          <w:noProof/>
        </w:rPr>
        <w:t>.</w:t>
      </w:r>
      <w:r w:rsidR="183835EF" w:rsidRPr="008431A9">
        <w:rPr>
          <w:noProof/>
        </w:rPr>
        <w:t xml:space="preserve"> </w:t>
      </w:r>
    </w:p>
    <w:p w:rsidR="00E775BE" w:rsidRPr="008431A9" w:rsidRDefault="00B34B72" w:rsidP="00B34B72">
      <w:pPr>
        <w:pStyle w:val="ManualNumPar1"/>
        <w:rPr>
          <w:noProof/>
        </w:rPr>
      </w:pPr>
      <w:r w:rsidRPr="00B34B72">
        <w:t>4.</w:t>
      </w:r>
      <w:r w:rsidRPr="00B34B72">
        <w:tab/>
      </w:r>
      <w:r w:rsidR="183835EF" w:rsidRPr="008431A9">
        <w:rPr>
          <w:noProof/>
        </w:rPr>
        <w:t xml:space="preserve">Where </w:t>
      </w:r>
      <w:r w:rsidR="681D50EB" w:rsidRPr="008431A9">
        <w:rPr>
          <w:noProof/>
        </w:rPr>
        <w:t>the Office</w:t>
      </w:r>
      <w:r w:rsidR="7ADF40C5" w:rsidRPr="008431A9">
        <w:rPr>
          <w:noProof/>
        </w:rPr>
        <w:t xml:space="preserve"> receives </w:t>
      </w:r>
      <w:r w:rsidR="183835EF" w:rsidRPr="008431A9">
        <w:rPr>
          <w:noProof/>
        </w:rPr>
        <w:t>an admissible and grounded opposition,</w:t>
      </w:r>
      <w:r w:rsidR="681D50EB" w:rsidRPr="008431A9">
        <w:rPr>
          <w:noProof/>
        </w:rPr>
        <w:t xml:space="preserve"> and</w:t>
      </w:r>
      <w:r w:rsidR="1C29FB1E" w:rsidRPr="008431A9">
        <w:rPr>
          <w:noProof/>
        </w:rPr>
        <w:t xml:space="preserve"> following the consultations referred to in Article 21</w:t>
      </w:r>
      <w:hyperlink w:anchor="akn_article_Hx1Uem_07wzFG" w:tooltip="Article 19(4): (4)">
        <w:r w:rsidR="1C29FB1E" w:rsidRPr="008431A9">
          <w:rPr>
            <w:rStyle w:val="Hyperlink"/>
            <w:noProof/>
            <w:color w:val="auto"/>
            <w:u w:val="none"/>
          </w:rPr>
          <w:t>(3)</w:t>
        </w:r>
      </w:hyperlink>
      <w:r w:rsidR="00974024" w:rsidRPr="008431A9">
        <w:rPr>
          <w:rStyle w:val="Hyperlink"/>
          <w:noProof/>
          <w:color w:val="auto"/>
          <w:u w:val="none"/>
        </w:rPr>
        <w:t xml:space="preserve"> </w:t>
      </w:r>
      <w:r w:rsidR="183835EF" w:rsidRPr="008431A9">
        <w:rPr>
          <w:noProof/>
        </w:rPr>
        <w:t>an agreement has been reached, the Office, after checking that the agreement complies with Union law, shall</w:t>
      </w:r>
      <w:r w:rsidR="00A819B1" w:rsidRPr="008431A9">
        <w:rPr>
          <w:noProof/>
        </w:rPr>
        <w:t xml:space="preserve"> adopt a decision</w:t>
      </w:r>
      <w:r w:rsidR="183835EF" w:rsidRPr="008431A9">
        <w:rPr>
          <w:noProof/>
        </w:rPr>
        <w:t xml:space="preserve"> register</w:t>
      </w:r>
      <w:r w:rsidR="00A819B1" w:rsidRPr="008431A9">
        <w:rPr>
          <w:noProof/>
        </w:rPr>
        <w:t>ing</w:t>
      </w:r>
      <w:r w:rsidR="183835EF" w:rsidRPr="008431A9">
        <w:rPr>
          <w:noProof/>
        </w:rPr>
        <w:t xml:space="preserve"> the name</w:t>
      </w:r>
      <w:r w:rsidR="008015E2" w:rsidRPr="008431A9">
        <w:rPr>
          <w:noProof/>
        </w:rPr>
        <w:t>.</w:t>
      </w:r>
      <w:r w:rsidR="005E4CE4" w:rsidRPr="008431A9">
        <w:rPr>
          <w:noProof/>
        </w:rPr>
        <w:t xml:space="preserve"> If</w:t>
      </w:r>
      <w:r w:rsidR="183835EF" w:rsidRPr="008431A9">
        <w:rPr>
          <w:noProof/>
        </w:rPr>
        <w:t xml:space="preserve"> necessary, </w:t>
      </w:r>
      <w:r w:rsidR="00A819B1" w:rsidRPr="008431A9">
        <w:rPr>
          <w:noProof/>
        </w:rPr>
        <w:t xml:space="preserve">in case of standard amendments referred to in </w:t>
      </w:r>
      <w:r w:rsidR="00A819B1" w:rsidRPr="008431A9">
        <w:rPr>
          <w:noProof/>
        </w:rPr>
        <w:lastRenderedPageBreak/>
        <w:t xml:space="preserve">Article 28(2), point (b), </w:t>
      </w:r>
      <w:r w:rsidR="005E4CE4" w:rsidRPr="008431A9">
        <w:rPr>
          <w:noProof/>
        </w:rPr>
        <w:t xml:space="preserve">the Office </w:t>
      </w:r>
      <w:r w:rsidR="65BD669B" w:rsidRPr="008431A9">
        <w:rPr>
          <w:noProof/>
        </w:rPr>
        <w:t>shall</w:t>
      </w:r>
      <w:r w:rsidR="00A819B1" w:rsidRPr="008431A9">
        <w:rPr>
          <w:noProof/>
        </w:rPr>
        <w:t xml:space="preserve"> adopt a decision</w:t>
      </w:r>
      <w:r w:rsidR="65BD669B" w:rsidRPr="008431A9">
        <w:rPr>
          <w:noProof/>
        </w:rPr>
        <w:t xml:space="preserve"> </w:t>
      </w:r>
      <w:r w:rsidR="183835EF" w:rsidRPr="008431A9">
        <w:rPr>
          <w:noProof/>
        </w:rPr>
        <w:t>amend</w:t>
      </w:r>
      <w:r w:rsidR="00A819B1" w:rsidRPr="008431A9">
        <w:rPr>
          <w:noProof/>
        </w:rPr>
        <w:t>ing</w:t>
      </w:r>
      <w:r w:rsidR="6A99688C" w:rsidRPr="008431A9">
        <w:rPr>
          <w:noProof/>
        </w:rPr>
        <w:t xml:space="preserve"> </w:t>
      </w:r>
      <w:r w:rsidR="005E4CE4" w:rsidRPr="008431A9">
        <w:rPr>
          <w:noProof/>
        </w:rPr>
        <w:t>the information published pursuant to Article 19(6)</w:t>
      </w:r>
      <w:r w:rsidR="00A819B1" w:rsidRPr="008431A9">
        <w:rPr>
          <w:noProof/>
        </w:rPr>
        <w:t>.</w:t>
      </w:r>
    </w:p>
    <w:p w:rsidR="00104F17" w:rsidRPr="008431A9" w:rsidRDefault="00B34B72" w:rsidP="00B34B72">
      <w:pPr>
        <w:pStyle w:val="ManualNumPar1"/>
        <w:rPr>
          <w:noProof/>
        </w:rPr>
      </w:pPr>
      <w:r w:rsidRPr="00B34B72">
        <w:t>5.</w:t>
      </w:r>
      <w:r w:rsidRPr="00B34B72">
        <w:tab/>
      </w:r>
      <w:r w:rsidR="183835EF" w:rsidRPr="008431A9">
        <w:rPr>
          <w:noProof/>
        </w:rPr>
        <w:t xml:space="preserve">Where an admissible </w:t>
      </w:r>
      <w:r w:rsidR="1C29FB1E" w:rsidRPr="008431A9">
        <w:rPr>
          <w:noProof/>
        </w:rPr>
        <w:t>and grounded</w:t>
      </w:r>
      <w:r w:rsidR="00EF0496" w:rsidRPr="008431A9">
        <w:rPr>
          <w:noProof/>
        </w:rPr>
        <w:t xml:space="preserve"> </w:t>
      </w:r>
      <w:r w:rsidR="183835EF" w:rsidRPr="008431A9">
        <w:rPr>
          <w:noProof/>
        </w:rPr>
        <w:t>opposition had been received but no agreement has been reached</w:t>
      </w:r>
      <w:r w:rsidR="1C29FB1E" w:rsidRPr="008431A9">
        <w:rPr>
          <w:noProof/>
        </w:rPr>
        <w:t xml:space="preserve"> following the consultations referred to in Article 21</w:t>
      </w:r>
      <w:hyperlink w:anchor="akn_article_Hx1Uem_07wzFG" w:tooltip="Article 19(4): (4)">
        <w:r w:rsidR="1C29FB1E" w:rsidRPr="008431A9">
          <w:rPr>
            <w:rStyle w:val="Hyperlink"/>
            <w:noProof/>
            <w:color w:val="auto"/>
            <w:u w:val="none"/>
          </w:rPr>
          <w:t>(3)</w:t>
        </w:r>
      </w:hyperlink>
      <w:r w:rsidR="183835EF" w:rsidRPr="008431A9">
        <w:rPr>
          <w:noProof/>
        </w:rPr>
        <w:t xml:space="preserve">, the Office shall </w:t>
      </w:r>
      <w:r w:rsidR="00A819B1" w:rsidRPr="008431A9">
        <w:rPr>
          <w:noProof/>
        </w:rPr>
        <w:t xml:space="preserve">adopt a </w:t>
      </w:r>
      <w:r w:rsidR="183835EF" w:rsidRPr="008431A9">
        <w:rPr>
          <w:noProof/>
        </w:rPr>
        <w:t>deci</w:t>
      </w:r>
      <w:r w:rsidR="00A819B1" w:rsidRPr="008431A9">
        <w:rPr>
          <w:noProof/>
        </w:rPr>
        <w:t>sion</w:t>
      </w:r>
      <w:r w:rsidR="183835EF" w:rsidRPr="008431A9">
        <w:rPr>
          <w:noProof/>
        </w:rPr>
        <w:t xml:space="preserve"> on registration.</w:t>
      </w:r>
    </w:p>
    <w:p w:rsidR="00911BE5" w:rsidRPr="008431A9" w:rsidRDefault="00B34B72" w:rsidP="00B34B72">
      <w:pPr>
        <w:pStyle w:val="ManualNumPar1"/>
        <w:rPr>
          <w:noProof/>
        </w:rPr>
      </w:pPr>
      <w:r w:rsidRPr="00B34B72">
        <w:t>6.</w:t>
      </w:r>
      <w:r w:rsidRPr="00B34B72">
        <w:tab/>
      </w:r>
      <w:r w:rsidR="00A819B1" w:rsidRPr="008431A9">
        <w:rPr>
          <w:noProof/>
        </w:rPr>
        <w:t>Decisions on registration made pursuant to paragraphs 3 to 5 adopted by the Office shall provide, where appropriate, for any conditions applicable to the registration</w:t>
      </w:r>
      <w:r w:rsidR="00EC78B7" w:rsidRPr="008431A9">
        <w:rPr>
          <w:noProof/>
        </w:rPr>
        <w:t xml:space="preserve"> and</w:t>
      </w:r>
      <w:r w:rsidR="00A819B1" w:rsidRPr="008431A9">
        <w:rPr>
          <w:noProof/>
        </w:rPr>
        <w:t xml:space="preserve"> for the republication </w:t>
      </w:r>
      <w:r w:rsidR="00EC78B7" w:rsidRPr="008431A9">
        <w:rPr>
          <w:noProof/>
        </w:rPr>
        <w:t>for</w:t>
      </w:r>
      <w:r w:rsidR="00A819B1" w:rsidRPr="008431A9">
        <w:rPr>
          <w:noProof/>
        </w:rPr>
        <w:t xml:space="preserve"> information</w:t>
      </w:r>
      <w:r w:rsidR="00EC78B7" w:rsidRPr="008431A9">
        <w:rPr>
          <w:noProof/>
        </w:rPr>
        <w:t xml:space="preserve"> purposes of the information</w:t>
      </w:r>
      <w:r w:rsidR="00A819B1" w:rsidRPr="008431A9">
        <w:rPr>
          <w:noProof/>
        </w:rPr>
        <w:t xml:space="preserve"> published for opposition pursuant to Article 19(7) in the Union register of geographical indications</w:t>
      </w:r>
      <w:r w:rsidR="00911BE5" w:rsidRPr="008431A9">
        <w:rPr>
          <w:noProof/>
        </w:rPr>
        <w:t>,</w:t>
      </w:r>
      <w:r w:rsidR="00B07034" w:rsidRPr="008431A9">
        <w:rPr>
          <w:noProof/>
        </w:rPr>
        <w:t xml:space="preserve"> in case of any necessary amendments that are not substantial.</w:t>
      </w:r>
      <w:r w:rsidR="00EC78B7" w:rsidRPr="008431A9">
        <w:rPr>
          <w:noProof/>
        </w:rPr>
        <w:t xml:space="preserve"> </w:t>
      </w:r>
    </w:p>
    <w:p w:rsidR="00E775BE" w:rsidRPr="008431A9" w:rsidRDefault="00B34B72" w:rsidP="00B34B72">
      <w:pPr>
        <w:pStyle w:val="ManualNumPar1"/>
        <w:rPr>
          <w:noProof/>
        </w:rPr>
      </w:pPr>
      <w:r w:rsidRPr="00B34B72">
        <w:t>7.</w:t>
      </w:r>
      <w:r w:rsidRPr="00B34B72">
        <w:tab/>
      </w:r>
      <w:r w:rsidR="183835EF" w:rsidRPr="008431A9">
        <w:rPr>
          <w:noProof/>
        </w:rPr>
        <w:t xml:space="preserve">Decisions </w:t>
      </w:r>
      <w:r w:rsidR="00A819B1" w:rsidRPr="008431A9">
        <w:rPr>
          <w:noProof/>
        </w:rPr>
        <w:t xml:space="preserve">adopted by the Office </w:t>
      </w:r>
      <w:r w:rsidR="183835EF" w:rsidRPr="008431A9">
        <w:rPr>
          <w:noProof/>
        </w:rPr>
        <w:t xml:space="preserve">shall be published in the </w:t>
      </w:r>
      <w:r w:rsidR="00D03761" w:rsidRPr="008431A9">
        <w:rPr>
          <w:noProof/>
        </w:rPr>
        <w:t>Union register of geographical indications for craft and industrial products</w:t>
      </w:r>
      <w:r w:rsidR="00EF0496" w:rsidRPr="008431A9">
        <w:rPr>
          <w:noProof/>
        </w:rPr>
        <w:t xml:space="preserve"> </w:t>
      </w:r>
      <w:r w:rsidR="183835EF" w:rsidRPr="008431A9">
        <w:rPr>
          <w:noProof/>
        </w:rPr>
        <w:t xml:space="preserve">in </w:t>
      </w:r>
      <w:r w:rsidR="00974024" w:rsidRPr="008431A9">
        <w:rPr>
          <w:noProof/>
        </w:rPr>
        <w:t xml:space="preserve">all </w:t>
      </w:r>
      <w:r w:rsidR="7917A1D8" w:rsidRPr="008431A9">
        <w:rPr>
          <w:noProof/>
        </w:rPr>
        <w:t xml:space="preserve">the official </w:t>
      </w:r>
      <w:r w:rsidR="183835EF" w:rsidRPr="008431A9">
        <w:rPr>
          <w:noProof/>
        </w:rPr>
        <w:t xml:space="preserve">languages of the Union. </w:t>
      </w:r>
      <w:r w:rsidR="02D11B9E" w:rsidRPr="008431A9">
        <w:rPr>
          <w:noProof/>
        </w:rPr>
        <w:t>The reference to the name</w:t>
      </w:r>
      <w:r w:rsidR="00421ECD" w:rsidRPr="008431A9">
        <w:rPr>
          <w:noProof/>
        </w:rPr>
        <w:t xml:space="preserve"> </w:t>
      </w:r>
      <w:r w:rsidR="00A939AF" w:rsidRPr="008431A9">
        <w:rPr>
          <w:noProof/>
        </w:rPr>
        <w:t xml:space="preserve">of </w:t>
      </w:r>
      <w:r w:rsidR="00421ECD" w:rsidRPr="008431A9">
        <w:rPr>
          <w:noProof/>
        </w:rPr>
        <w:t>the product</w:t>
      </w:r>
      <w:r w:rsidR="02D11B9E" w:rsidRPr="008431A9">
        <w:rPr>
          <w:noProof/>
        </w:rPr>
        <w:t>,</w:t>
      </w:r>
      <w:r w:rsidR="00421ECD" w:rsidRPr="008431A9">
        <w:rPr>
          <w:noProof/>
        </w:rPr>
        <w:t xml:space="preserve"> class of the product, indications of the country or countries of origin</w:t>
      </w:r>
      <w:r w:rsidR="02D11B9E" w:rsidRPr="008431A9">
        <w:rPr>
          <w:noProof/>
        </w:rPr>
        <w:t xml:space="preserve"> and the reference to the decision </w:t>
      </w:r>
      <w:r w:rsidR="00246B1C" w:rsidRPr="008431A9">
        <w:rPr>
          <w:noProof/>
        </w:rPr>
        <w:t xml:space="preserve">published </w:t>
      </w:r>
      <w:r w:rsidR="02D11B9E" w:rsidRPr="008431A9">
        <w:rPr>
          <w:noProof/>
        </w:rPr>
        <w:t xml:space="preserve">in the </w:t>
      </w:r>
      <w:r w:rsidR="00246B1C" w:rsidRPr="008431A9">
        <w:rPr>
          <w:noProof/>
        </w:rPr>
        <w:t>Union register of geographical indications for craft and industrial products</w:t>
      </w:r>
      <w:r w:rsidR="02D11B9E" w:rsidRPr="008431A9">
        <w:rPr>
          <w:noProof/>
        </w:rPr>
        <w:t xml:space="preserve"> shall be published in the </w:t>
      </w:r>
      <w:r w:rsidR="02D11B9E" w:rsidRPr="008431A9">
        <w:rPr>
          <w:i/>
          <w:noProof/>
        </w:rPr>
        <w:t>Official Journal of the European Union</w:t>
      </w:r>
      <w:r w:rsidR="002A2F89" w:rsidRPr="008431A9">
        <w:rPr>
          <w:noProof/>
        </w:rPr>
        <w:t>.</w:t>
      </w:r>
    </w:p>
    <w:p w:rsidR="00E775BE" w:rsidRPr="008431A9" w:rsidRDefault="00E775BE" w:rsidP="00B23E88">
      <w:pPr>
        <w:pStyle w:val="Titrearticle"/>
        <w:rPr>
          <w:iCs/>
          <w:noProof/>
        </w:rPr>
      </w:pPr>
      <w:r w:rsidRPr="008431A9">
        <w:rPr>
          <w:noProof/>
        </w:rPr>
        <w:t xml:space="preserve">Article </w:t>
      </w:r>
      <w:r w:rsidRPr="008431A9">
        <w:rPr>
          <w:iCs/>
          <w:noProof/>
        </w:rPr>
        <w:t>25</w:t>
      </w:r>
    </w:p>
    <w:p w:rsidR="00135FA5" w:rsidRPr="008431A9" w:rsidRDefault="00135FA5" w:rsidP="00D62A5E">
      <w:pPr>
        <w:jc w:val="center"/>
        <w:rPr>
          <w:b/>
          <w:noProof/>
        </w:rPr>
      </w:pPr>
      <w:r w:rsidRPr="008431A9">
        <w:rPr>
          <w:b/>
          <w:noProof/>
        </w:rPr>
        <w:t>Decision by the Commission</w:t>
      </w:r>
    </w:p>
    <w:p w:rsidR="002A2B6F" w:rsidRPr="008431A9" w:rsidRDefault="00B34B72" w:rsidP="00B34B72">
      <w:pPr>
        <w:pStyle w:val="ManualNumPar1"/>
        <w:rPr>
          <w:noProof/>
          <w:color w:val="1F497D"/>
        </w:rPr>
      </w:pPr>
      <w:r w:rsidRPr="00B34B72">
        <w:t>1.</w:t>
      </w:r>
      <w:r w:rsidRPr="00B34B72">
        <w:tab/>
      </w:r>
      <w:r w:rsidR="00BC3216" w:rsidRPr="008431A9">
        <w:rPr>
          <w:noProof/>
        </w:rPr>
        <w:t>Concerning applications for registration referred to in Article 17, t</w:t>
      </w:r>
      <w:r w:rsidR="002A2B6F" w:rsidRPr="008431A9">
        <w:rPr>
          <w:noProof/>
        </w:rPr>
        <w:t xml:space="preserve">he Commission </w:t>
      </w:r>
      <w:r w:rsidR="00534BE9" w:rsidRPr="008431A9">
        <w:rPr>
          <w:noProof/>
        </w:rPr>
        <w:t>may</w:t>
      </w:r>
      <w:r w:rsidR="00896230" w:rsidRPr="008431A9">
        <w:rPr>
          <w:noProof/>
        </w:rPr>
        <w:t xml:space="preserve"> </w:t>
      </w:r>
      <w:r w:rsidR="002A2B6F" w:rsidRPr="008431A9">
        <w:rPr>
          <w:noProof/>
        </w:rPr>
        <w:t>take over from the Office</w:t>
      </w:r>
      <w:r w:rsidR="00AD70F3" w:rsidRPr="008431A9">
        <w:rPr>
          <w:noProof/>
        </w:rPr>
        <w:t>,</w:t>
      </w:r>
      <w:r w:rsidR="00CB0EAE" w:rsidRPr="008431A9">
        <w:rPr>
          <w:noProof/>
        </w:rPr>
        <w:t xml:space="preserve"> </w:t>
      </w:r>
      <w:r w:rsidR="00AD70F3" w:rsidRPr="008431A9">
        <w:rPr>
          <w:noProof/>
        </w:rPr>
        <w:t xml:space="preserve">at </w:t>
      </w:r>
      <w:r w:rsidR="00CB0EAE" w:rsidRPr="008431A9">
        <w:rPr>
          <w:noProof/>
        </w:rPr>
        <w:t>any time before the end of the procedure</w:t>
      </w:r>
      <w:r w:rsidR="00FD54B6" w:rsidRPr="008431A9">
        <w:rPr>
          <w:noProof/>
        </w:rPr>
        <w:t>,</w:t>
      </w:r>
      <w:r w:rsidR="002A2B6F" w:rsidRPr="008431A9">
        <w:rPr>
          <w:noProof/>
        </w:rPr>
        <w:t xml:space="preserve"> </w:t>
      </w:r>
      <w:r w:rsidR="00FD54B6" w:rsidRPr="008431A9">
        <w:rPr>
          <w:noProof/>
        </w:rPr>
        <w:t>on</w:t>
      </w:r>
      <w:r w:rsidR="002A2B6F" w:rsidRPr="008431A9">
        <w:rPr>
          <w:noProof/>
        </w:rPr>
        <w:t xml:space="preserve"> its own </w:t>
      </w:r>
      <w:r w:rsidR="00CB0EAE" w:rsidRPr="008431A9">
        <w:rPr>
          <w:noProof/>
        </w:rPr>
        <w:t>initiative,</w:t>
      </w:r>
      <w:r w:rsidR="002A2B6F" w:rsidRPr="008431A9">
        <w:rPr>
          <w:noProof/>
        </w:rPr>
        <w:t xml:space="preserve"> </w:t>
      </w:r>
      <w:r w:rsidR="00CB0EAE" w:rsidRPr="008431A9">
        <w:rPr>
          <w:noProof/>
        </w:rPr>
        <w:t xml:space="preserve">on the initiative of a Member State or the Office, </w:t>
      </w:r>
      <w:r w:rsidR="00AD70F3" w:rsidRPr="008431A9">
        <w:rPr>
          <w:noProof/>
        </w:rPr>
        <w:t xml:space="preserve">the power to decide </w:t>
      </w:r>
      <w:r w:rsidR="002A2B6F" w:rsidRPr="008431A9">
        <w:rPr>
          <w:noProof/>
        </w:rPr>
        <w:t xml:space="preserve">on the </w:t>
      </w:r>
      <w:r w:rsidR="00AD70F3" w:rsidRPr="008431A9">
        <w:rPr>
          <w:noProof/>
        </w:rPr>
        <w:t>application for registration of the proposed</w:t>
      </w:r>
      <w:r w:rsidR="00442B0D" w:rsidRPr="008431A9">
        <w:rPr>
          <w:noProof/>
        </w:rPr>
        <w:t xml:space="preserve"> geographical indication</w:t>
      </w:r>
      <w:r w:rsidR="002A2B6F" w:rsidRPr="008431A9">
        <w:rPr>
          <w:noProof/>
        </w:rPr>
        <w:t xml:space="preserve"> </w:t>
      </w:r>
      <w:r w:rsidR="00AD70F3" w:rsidRPr="008431A9">
        <w:rPr>
          <w:noProof/>
        </w:rPr>
        <w:t xml:space="preserve">where such decision </w:t>
      </w:r>
      <w:r w:rsidR="002A2B6F" w:rsidRPr="008431A9">
        <w:rPr>
          <w:noProof/>
        </w:rPr>
        <w:t xml:space="preserve">may jeopardise </w:t>
      </w:r>
      <w:r w:rsidR="00CB0EAE" w:rsidRPr="008431A9">
        <w:rPr>
          <w:noProof/>
        </w:rPr>
        <w:t xml:space="preserve">the </w:t>
      </w:r>
      <w:r w:rsidR="00135FA5" w:rsidRPr="008431A9">
        <w:rPr>
          <w:noProof/>
        </w:rPr>
        <w:t xml:space="preserve">public interest or </w:t>
      </w:r>
      <w:r w:rsidR="002A2B6F" w:rsidRPr="008431A9">
        <w:rPr>
          <w:noProof/>
        </w:rPr>
        <w:t xml:space="preserve">the </w:t>
      </w:r>
      <w:r w:rsidR="00896230" w:rsidRPr="008431A9">
        <w:rPr>
          <w:noProof/>
        </w:rPr>
        <w:t>Union’s</w:t>
      </w:r>
      <w:r w:rsidR="002A2B6F" w:rsidRPr="008431A9">
        <w:rPr>
          <w:noProof/>
        </w:rPr>
        <w:t xml:space="preserve"> trade or external relations</w:t>
      </w:r>
      <w:r w:rsidR="00135FA5" w:rsidRPr="008431A9">
        <w:rPr>
          <w:noProof/>
        </w:rPr>
        <w:t xml:space="preserve">. </w:t>
      </w:r>
      <w:r w:rsidR="00A819B1" w:rsidRPr="008431A9">
        <w:rPr>
          <w:noProof/>
        </w:rPr>
        <w:t>The Office shall submit a proposal to the Commission for a decision pursuant to Article 24</w:t>
      </w:r>
      <w:r w:rsidR="00295BCA">
        <w:rPr>
          <w:noProof/>
        </w:rPr>
        <w:t>(</w:t>
      </w:r>
      <w:r w:rsidR="00A819B1" w:rsidRPr="008431A9">
        <w:rPr>
          <w:noProof/>
        </w:rPr>
        <w:t>2</w:t>
      </w:r>
      <w:r w:rsidR="00295BCA">
        <w:rPr>
          <w:noProof/>
        </w:rPr>
        <w:t>)</w:t>
      </w:r>
      <w:r w:rsidR="00A819B1" w:rsidRPr="008431A9">
        <w:rPr>
          <w:noProof/>
        </w:rPr>
        <w:t xml:space="preserve"> to </w:t>
      </w:r>
      <w:r w:rsidR="00295BCA">
        <w:rPr>
          <w:noProof/>
        </w:rPr>
        <w:t>24(</w:t>
      </w:r>
      <w:r w:rsidR="00A819B1" w:rsidRPr="008431A9">
        <w:rPr>
          <w:noProof/>
        </w:rPr>
        <w:t>6</w:t>
      </w:r>
      <w:r w:rsidR="00295BCA">
        <w:rPr>
          <w:noProof/>
        </w:rPr>
        <w:t>)</w:t>
      </w:r>
      <w:r w:rsidR="00A819B1" w:rsidRPr="008431A9">
        <w:rPr>
          <w:noProof/>
        </w:rPr>
        <w:t xml:space="preserve">. </w:t>
      </w:r>
      <w:r w:rsidR="00135FA5" w:rsidRPr="008431A9">
        <w:rPr>
          <w:noProof/>
        </w:rPr>
        <w:t xml:space="preserve">The Commission shall adopt </w:t>
      </w:r>
      <w:r w:rsidR="00CB0EAE" w:rsidRPr="008431A9">
        <w:rPr>
          <w:noProof/>
        </w:rPr>
        <w:t xml:space="preserve">the final </w:t>
      </w:r>
      <w:r w:rsidR="00AD70F3" w:rsidRPr="008431A9">
        <w:rPr>
          <w:noProof/>
        </w:rPr>
        <w:t>act</w:t>
      </w:r>
      <w:r w:rsidR="00CB0EAE" w:rsidRPr="008431A9">
        <w:rPr>
          <w:noProof/>
        </w:rPr>
        <w:t xml:space="preserve"> on the application for registration</w:t>
      </w:r>
      <w:r w:rsidR="00896230" w:rsidRPr="008431A9">
        <w:rPr>
          <w:noProof/>
        </w:rPr>
        <w:t xml:space="preserve">. </w:t>
      </w:r>
      <w:r w:rsidR="00CB0EAE" w:rsidRPr="008431A9">
        <w:rPr>
          <w:noProof/>
        </w:rPr>
        <w:t xml:space="preserve">This paragraph shall apply </w:t>
      </w:r>
      <w:r w:rsidR="00CB0EAE" w:rsidRPr="008431A9">
        <w:rPr>
          <w:i/>
          <w:iCs/>
          <w:noProof/>
        </w:rPr>
        <w:t>mutatis mutandis</w:t>
      </w:r>
      <w:r w:rsidR="00CB0EAE" w:rsidRPr="008431A9">
        <w:rPr>
          <w:noProof/>
        </w:rPr>
        <w:t xml:space="preserve"> to the cancellation and the amendment of the product specification.</w:t>
      </w:r>
    </w:p>
    <w:p w:rsidR="002A2B6F" w:rsidRPr="008431A9" w:rsidRDefault="00B34B72" w:rsidP="00B34B72">
      <w:pPr>
        <w:pStyle w:val="ManualNumPar1"/>
        <w:rPr>
          <w:noProof/>
        </w:rPr>
      </w:pPr>
      <w:r w:rsidRPr="00B34B72">
        <w:t>2.</w:t>
      </w:r>
      <w:r w:rsidRPr="00B34B72">
        <w:tab/>
      </w:r>
      <w:r w:rsidR="002A2B6F" w:rsidRPr="008431A9">
        <w:rPr>
          <w:noProof/>
        </w:rPr>
        <w:t>In situations referred to in paragraph 1</w:t>
      </w:r>
      <w:r w:rsidR="00135FA5" w:rsidRPr="008431A9">
        <w:rPr>
          <w:noProof/>
        </w:rPr>
        <w:t xml:space="preserve"> of this Article</w:t>
      </w:r>
      <w:r w:rsidR="002A2B6F" w:rsidRPr="008431A9">
        <w:rPr>
          <w:noProof/>
        </w:rPr>
        <w:t xml:space="preserve">, the Commission shall adopt implementing acts on </w:t>
      </w:r>
      <w:r w:rsidR="00CA6DDA" w:rsidRPr="008431A9">
        <w:rPr>
          <w:noProof/>
        </w:rPr>
        <w:t>the protection of the geographical indication</w:t>
      </w:r>
      <w:r w:rsidR="002A2B6F" w:rsidRPr="008431A9">
        <w:rPr>
          <w:noProof/>
        </w:rPr>
        <w:t>. Those implementing acts shall be adopted in accordance with the examination procedure referred to in Article 6</w:t>
      </w:r>
      <w:r w:rsidR="00596A93" w:rsidRPr="008431A9">
        <w:rPr>
          <w:noProof/>
        </w:rPr>
        <w:t>5</w:t>
      </w:r>
      <w:hyperlink w:anchor="akn_article_ZdvCzG_aoRg4H" w:tooltip="Article 53(2): (2)" w:history="1">
        <w:r w:rsidR="002A2B6F" w:rsidRPr="008431A9">
          <w:rPr>
            <w:rStyle w:val="Hyperlink"/>
            <w:noProof/>
            <w:color w:val="auto"/>
            <w:u w:val="none"/>
          </w:rPr>
          <w:t>(2)</w:t>
        </w:r>
      </w:hyperlink>
      <w:r w:rsidR="002A2B6F" w:rsidRPr="008431A9">
        <w:rPr>
          <w:noProof/>
        </w:rPr>
        <w:t xml:space="preserve"> </w:t>
      </w:r>
      <w:r w:rsidR="009D3E08" w:rsidRPr="008431A9">
        <w:rPr>
          <w:rStyle w:val="Hyperlink"/>
          <w:noProof/>
          <w:color w:val="auto"/>
          <w:u w:val="none"/>
        </w:rPr>
        <w:t xml:space="preserve">and shall be published in the </w:t>
      </w:r>
      <w:r w:rsidR="009D3E08" w:rsidRPr="008431A9">
        <w:rPr>
          <w:i/>
          <w:noProof/>
        </w:rPr>
        <w:t xml:space="preserve">Official Journal of the European Union </w:t>
      </w:r>
      <w:r w:rsidR="009D3E08" w:rsidRPr="008431A9">
        <w:rPr>
          <w:noProof/>
        </w:rPr>
        <w:t xml:space="preserve">and in the Union register of geographical indications for craft and industrial products. </w:t>
      </w:r>
    </w:p>
    <w:p w:rsidR="00E564AE" w:rsidRPr="008431A9" w:rsidRDefault="00B34B72" w:rsidP="00B34B72">
      <w:pPr>
        <w:pStyle w:val="ManualNumPar1"/>
        <w:rPr>
          <w:noProof/>
        </w:rPr>
      </w:pPr>
      <w:r w:rsidRPr="00B34B72">
        <w:t>3.</w:t>
      </w:r>
      <w:r w:rsidRPr="00B34B72">
        <w:tab/>
      </w:r>
      <w:r w:rsidR="00E564AE" w:rsidRPr="008431A9">
        <w:rPr>
          <w:noProof/>
        </w:rPr>
        <w:t xml:space="preserve">The Office shall ensure </w:t>
      </w:r>
      <w:r w:rsidR="00135FA5" w:rsidRPr="008431A9">
        <w:rPr>
          <w:noProof/>
        </w:rPr>
        <w:t>that</w:t>
      </w:r>
      <w:r w:rsidR="00E564AE" w:rsidRPr="008431A9">
        <w:rPr>
          <w:noProof/>
        </w:rPr>
        <w:t xml:space="preserve"> the Commission </w:t>
      </w:r>
      <w:r w:rsidR="00135FA5" w:rsidRPr="008431A9">
        <w:rPr>
          <w:noProof/>
        </w:rPr>
        <w:t xml:space="preserve">has access to </w:t>
      </w:r>
      <w:r w:rsidR="00E564AE" w:rsidRPr="008431A9">
        <w:rPr>
          <w:noProof/>
        </w:rPr>
        <w:t xml:space="preserve">the documents concerning the applications for registration, </w:t>
      </w:r>
      <w:r w:rsidR="00135FA5" w:rsidRPr="008431A9">
        <w:rPr>
          <w:noProof/>
        </w:rPr>
        <w:t xml:space="preserve">any </w:t>
      </w:r>
      <w:r w:rsidR="00E564AE" w:rsidRPr="008431A9">
        <w:rPr>
          <w:noProof/>
        </w:rPr>
        <w:t>amendment of the product specification and cancellation</w:t>
      </w:r>
      <w:r w:rsidR="00135FA5" w:rsidRPr="008431A9">
        <w:rPr>
          <w:noProof/>
        </w:rPr>
        <w:t xml:space="preserve"> through the digital system referred to in Article 18(1)</w:t>
      </w:r>
      <w:r w:rsidR="003265E8" w:rsidRPr="008431A9">
        <w:rPr>
          <w:noProof/>
        </w:rPr>
        <w:t xml:space="preserve"> and Article 26(1)</w:t>
      </w:r>
      <w:r w:rsidR="00E564AE" w:rsidRPr="008431A9">
        <w:rPr>
          <w:noProof/>
        </w:rPr>
        <w:t xml:space="preserve">. </w:t>
      </w:r>
    </w:p>
    <w:p w:rsidR="00E775BE" w:rsidRPr="008431A9" w:rsidRDefault="00E775BE" w:rsidP="00407011">
      <w:pPr>
        <w:pStyle w:val="Titrearticle"/>
        <w:rPr>
          <w:noProof/>
          <w:lang w:val="en-US"/>
        </w:rPr>
      </w:pPr>
      <w:r w:rsidRPr="008431A9">
        <w:rPr>
          <w:noProof/>
          <w:lang w:val="en-US"/>
        </w:rPr>
        <w:t xml:space="preserve">Article </w:t>
      </w:r>
      <w:r w:rsidRPr="008431A9">
        <w:rPr>
          <w:iCs/>
          <w:noProof/>
          <w:lang w:val="en-US"/>
        </w:rPr>
        <w:t>26</w:t>
      </w:r>
    </w:p>
    <w:p w:rsidR="00E775BE" w:rsidRPr="008431A9" w:rsidRDefault="00E775BE" w:rsidP="00843D97">
      <w:pPr>
        <w:pStyle w:val="NormalCentered"/>
        <w:rPr>
          <w:b/>
          <w:noProof/>
        </w:rPr>
      </w:pPr>
      <w:r w:rsidRPr="008431A9">
        <w:rPr>
          <w:b/>
          <w:noProof/>
        </w:rPr>
        <w:t>The Union register of geographical indications</w:t>
      </w:r>
      <w:r w:rsidR="005F6945" w:rsidRPr="008431A9">
        <w:rPr>
          <w:b/>
          <w:noProof/>
        </w:rPr>
        <w:t xml:space="preserve"> for craft and industrial products</w:t>
      </w:r>
    </w:p>
    <w:p w:rsidR="00E775BE" w:rsidRPr="008431A9" w:rsidRDefault="00B34B72" w:rsidP="00B34B72">
      <w:pPr>
        <w:pStyle w:val="ManualNumPar1"/>
        <w:rPr>
          <w:rFonts w:eastAsiaTheme="minorEastAsia"/>
          <w:noProof/>
          <w:szCs w:val="24"/>
        </w:rPr>
      </w:pPr>
      <w:r w:rsidRPr="00B34B72">
        <w:t>1.</w:t>
      </w:r>
      <w:r w:rsidRPr="00B34B72">
        <w:tab/>
      </w:r>
      <w:r w:rsidR="4696A5D4" w:rsidRPr="008431A9">
        <w:rPr>
          <w:noProof/>
        </w:rPr>
        <w:t xml:space="preserve">A publicly accessible electronic </w:t>
      </w:r>
      <w:r w:rsidR="00AD70F3" w:rsidRPr="008431A9">
        <w:rPr>
          <w:noProof/>
        </w:rPr>
        <w:t xml:space="preserve">Union </w:t>
      </w:r>
      <w:r w:rsidR="4696A5D4" w:rsidRPr="008431A9">
        <w:rPr>
          <w:noProof/>
        </w:rPr>
        <w:t xml:space="preserve">register of geographical indications </w:t>
      </w:r>
      <w:r w:rsidR="00AD70F3" w:rsidRPr="008431A9">
        <w:rPr>
          <w:noProof/>
        </w:rPr>
        <w:t>for craft and industrial products</w:t>
      </w:r>
      <w:r w:rsidR="4696A5D4" w:rsidRPr="008431A9">
        <w:rPr>
          <w:noProof/>
        </w:rPr>
        <w:t xml:space="preserve"> shall be </w:t>
      </w:r>
      <w:r w:rsidR="00421ECD" w:rsidRPr="008431A9">
        <w:rPr>
          <w:noProof/>
        </w:rPr>
        <w:t xml:space="preserve">developed, kept </w:t>
      </w:r>
      <w:r w:rsidR="00896230" w:rsidRPr="008431A9">
        <w:rPr>
          <w:noProof/>
        </w:rPr>
        <w:t xml:space="preserve">and </w:t>
      </w:r>
      <w:r w:rsidR="4696A5D4" w:rsidRPr="008431A9">
        <w:rPr>
          <w:noProof/>
        </w:rPr>
        <w:t xml:space="preserve">maintained by the </w:t>
      </w:r>
      <w:r w:rsidR="00D90DB6" w:rsidRPr="008431A9">
        <w:rPr>
          <w:noProof/>
        </w:rPr>
        <w:t xml:space="preserve">Office </w:t>
      </w:r>
      <w:r w:rsidR="4696A5D4" w:rsidRPr="008431A9">
        <w:rPr>
          <w:noProof/>
        </w:rPr>
        <w:t>for the management of geographical indications</w:t>
      </w:r>
      <w:r w:rsidR="00D90DB6" w:rsidRPr="008431A9">
        <w:rPr>
          <w:noProof/>
        </w:rPr>
        <w:t xml:space="preserve"> for craft and industrial products</w:t>
      </w:r>
      <w:r w:rsidR="4696A5D4" w:rsidRPr="008431A9">
        <w:rPr>
          <w:noProof/>
        </w:rPr>
        <w:t xml:space="preserve">. </w:t>
      </w:r>
    </w:p>
    <w:p w:rsidR="00D403F3" w:rsidRPr="008431A9" w:rsidRDefault="00B34B72" w:rsidP="00B34B72">
      <w:pPr>
        <w:pStyle w:val="ManualNumPar1"/>
        <w:rPr>
          <w:noProof/>
        </w:rPr>
      </w:pPr>
      <w:r w:rsidRPr="00B34B72">
        <w:t>2.</w:t>
      </w:r>
      <w:r w:rsidRPr="00B34B72">
        <w:tab/>
      </w:r>
      <w:r w:rsidR="67ABC872" w:rsidRPr="008431A9">
        <w:rPr>
          <w:noProof/>
        </w:rPr>
        <w:t xml:space="preserve">Each geographical indication of craft and industrial products shall be identified in the Union register of geographical indications </w:t>
      </w:r>
      <w:r w:rsidR="005F6945" w:rsidRPr="008431A9">
        <w:rPr>
          <w:noProof/>
        </w:rPr>
        <w:t xml:space="preserve">for craft and industrial products </w:t>
      </w:r>
      <w:r w:rsidR="67ABC872" w:rsidRPr="008431A9">
        <w:rPr>
          <w:noProof/>
        </w:rPr>
        <w:t xml:space="preserve">as a ‘protected geographical indication’. </w:t>
      </w:r>
    </w:p>
    <w:p w:rsidR="00E775BE" w:rsidRPr="008431A9" w:rsidRDefault="00B34B72" w:rsidP="00B34B72">
      <w:pPr>
        <w:pStyle w:val="ManualNumPar1"/>
        <w:rPr>
          <w:noProof/>
          <w:lang w:val="en-US"/>
        </w:rPr>
      </w:pPr>
      <w:r w:rsidRPr="00B34B72">
        <w:lastRenderedPageBreak/>
        <w:t>3.</w:t>
      </w:r>
      <w:r w:rsidRPr="00B34B72">
        <w:tab/>
      </w:r>
      <w:r w:rsidR="183835EF" w:rsidRPr="008431A9">
        <w:rPr>
          <w:noProof/>
          <w:lang w:val="en-US"/>
        </w:rPr>
        <w:t xml:space="preserve">Upon the entry into force of a </w:t>
      </w:r>
      <w:r w:rsidR="00267031" w:rsidRPr="008431A9">
        <w:rPr>
          <w:noProof/>
          <w:lang w:val="en-US"/>
        </w:rPr>
        <w:t>decision</w:t>
      </w:r>
      <w:r w:rsidR="183835EF" w:rsidRPr="008431A9">
        <w:rPr>
          <w:noProof/>
          <w:lang w:val="en-US"/>
        </w:rPr>
        <w:t xml:space="preserve"> registering a protected geographical indication, the Office shall record the following data in </w:t>
      </w:r>
      <w:r w:rsidR="67ABC872" w:rsidRPr="008431A9">
        <w:rPr>
          <w:noProof/>
        </w:rPr>
        <w:t>the Union register of geographical indications</w:t>
      </w:r>
      <w:r w:rsidR="00AD70F3" w:rsidRPr="008431A9">
        <w:rPr>
          <w:noProof/>
        </w:rPr>
        <w:t xml:space="preserve"> for craft and industrial products</w:t>
      </w:r>
      <w:r w:rsidR="183835EF" w:rsidRPr="008431A9">
        <w:rPr>
          <w:noProof/>
          <w:lang w:val="en-US"/>
        </w:rPr>
        <w:t xml:space="preserve">: </w:t>
      </w:r>
    </w:p>
    <w:p w:rsidR="00E775BE" w:rsidRPr="008431A9" w:rsidRDefault="00B34B72" w:rsidP="00B34B72">
      <w:pPr>
        <w:pStyle w:val="Point1"/>
        <w:rPr>
          <w:noProof/>
          <w:lang w:val="en-US"/>
        </w:rPr>
      </w:pPr>
      <w:r w:rsidRPr="00B34B72">
        <w:t>(a)</w:t>
      </w:r>
      <w:r w:rsidRPr="00B34B72">
        <w:tab/>
      </w:r>
      <w:r w:rsidR="67833288" w:rsidRPr="008431A9">
        <w:rPr>
          <w:noProof/>
          <w:lang w:val="en-US"/>
        </w:rPr>
        <w:t>the registered name of the product;</w:t>
      </w:r>
    </w:p>
    <w:p w:rsidR="00E775BE" w:rsidRPr="008431A9" w:rsidRDefault="00B34B72" w:rsidP="00B34B72">
      <w:pPr>
        <w:pStyle w:val="Point1"/>
        <w:rPr>
          <w:noProof/>
          <w:lang w:val="en-US"/>
        </w:rPr>
      </w:pPr>
      <w:r w:rsidRPr="00B34B72">
        <w:t>(b)</w:t>
      </w:r>
      <w:r w:rsidRPr="00B34B72">
        <w:tab/>
      </w:r>
      <w:r w:rsidR="67833288" w:rsidRPr="008431A9">
        <w:rPr>
          <w:noProof/>
          <w:lang w:val="en-US"/>
        </w:rPr>
        <w:t xml:space="preserve">the class of the product; </w:t>
      </w:r>
    </w:p>
    <w:p w:rsidR="00E775BE" w:rsidRPr="008431A9" w:rsidRDefault="00B34B72" w:rsidP="00B34B72">
      <w:pPr>
        <w:pStyle w:val="Point1"/>
        <w:rPr>
          <w:noProof/>
          <w:lang w:val="en-US"/>
        </w:rPr>
      </w:pPr>
      <w:r w:rsidRPr="00B34B72">
        <w:t>(c)</w:t>
      </w:r>
      <w:r w:rsidRPr="00B34B72">
        <w:tab/>
      </w:r>
      <w:r w:rsidR="67833288" w:rsidRPr="008431A9">
        <w:rPr>
          <w:noProof/>
          <w:lang w:val="en-US"/>
        </w:rPr>
        <w:t xml:space="preserve">the reference to the instrument registering the name; </w:t>
      </w:r>
    </w:p>
    <w:p w:rsidR="00E775BE" w:rsidRPr="008431A9" w:rsidRDefault="00B34B72" w:rsidP="00B34B72">
      <w:pPr>
        <w:pStyle w:val="Point1"/>
        <w:rPr>
          <w:noProof/>
          <w:lang w:val="en-US"/>
        </w:rPr>
      </w:pPr>
      <w:r w:rsidRPr="00B34B72">
        <w:t>(d)</w:t>
      </w:r>
      <w:r w:rsidRPr="00B34B72">
        <w:tab/>
      </w:r>
      <w:r w:rsidR="67833288" w:rsidRPr="008431A9">
        <w:rPr>
          <w:noProof/>
          <w:lang w:val="en-US"/>
        </w:rPr>
        <w:t xml:space="preserve">indication of the country or countries of origin. </w:t>
      </w:r>
    </w:p>
    <w:p w:rsidR="00E775BE" w:rsidRPr="008431A9" w:rsidRDefault="00B34B72" w:rsidP="00B34B72">
      <w:pPr>
        <w:pStyle w:val="ManualNumPar1"/>
        <w:rPr>
          <w:noProof/>
        </w:rPr>
      </w:pPr>
      <w:r w:rsidRPr="00B34B72">
        <w:t>4.</w:t>
      </w:r>
      <w:r w:rsidRPr="00B34B72">
        <w:tab/>
      </w:r>
      <w:r w:rsidR="183835EF" w:rsidRPr="008431A9">
        <w:rPr>
          <w:noProof/>
        </w:rPr>
        <w:t xml:space="preserve">Geographical indications </w:t>
      </w:r>
      <w:r w:rsidR="67ABC872" w:rsidRPr="008431A9">
        <w:rPr>
          <w:noProof/>
        </w:rPr>
        <w:t>concerning</w:t>
      </w:r>
      <w:r w:rsidR="183835EF" w:rsidRPr="008431A9">
        <w:rPr>
          <w:noProof/>
        </w:rPr>
        <w:t xml:space="preserve"> products </w:t>
      </w:r>
      <w:r w:rsidR="67ABC872" w:rsidRPr="008431A9">
        <w:rPr>
          <w:noProof/>
        </w:rPr>
        <w:t xml:space="preserve">from </w:t>
      </w:r>
      <w:r w:rsidR="183835EF" w:rsidRPr="008431A9">
        <w:rPr>
          <w:noProof/>
        </w:rPr>
        <w:t>third countries that are protected in the Union under an international agreement</w:t>
      </w:r>
      <w:r w:rsidR="007D12B8" w:rsidRPr="008431A9">
        <w:rPr>
          <w:noProof/>
        </w:rPr>
        <w:t xml:space="preserve"> </w:t>
      </w:r>
      <w:r w:rsidR="183835EF" w:rsidRPr="008431A9">
        <w:rPr>
          <w:noProof/>
        </w:rPr>
        <w:t>to which the Union is a contracting party</w:t>
      </w:r>
      <w:r w:rsidR="009D3E08" w:rsidRPr="008431A9">
        <w:rPr>
          <w:noProof/>
        </w:rPr>
        <w:t xml:space="preserve"> </w:t>
      </w:r>
      <w:r w:rsidR="001D6035" w:rsidRPr="008431A9">
        <w:rPr>
          <w:noProof/>
        </w:rPr>
        <w:t xml:space="preserve">shall </w:t>
      </w:r>
      <w:r w:rsidR="183835EF" w:rsidRPr="008431A9">
        <w:rPr>
          <w:noProof/>
        </w:rPr>
        <w:t xml:space="preserve">be </w:t>
      </w:r>
      <w:r w:rsidR="67ABC872" w:rsidRPr="008431A9">
        <w:rPr>
          <w:noProof/>
        </w:rPr>
        <w:t xml:space="preserve">entered </w:t>
      </w:r>
      <w:r w:rsidR="183835EF" w:rsidRPr="008431A9">
        <w:rPr>
          <w:noProof/>
        </w:rPr>
        <w:t xml:space="preserve">in the </w:t>
      </w:r>
      <w:r w:rsidR="67ABC872" w:rsidRPr="008431A9">
        <w:rPr>
          <w:noProof/>
        </w:rPr>
        <w:t>Union register of geographical indications</w:t>
      </w:r>
      <w:r w:rsidR="00AD70F3" w:rsidRPr="008431A9">
        <w:rPr>
          <w:noProof/>
        </w:rPr>
        <w:t xml:space="preserve"> for craft and industrial products</w:t>
      </w:r>
      <w:r w:rsidR="183835EF" w:rsidRPr="008431A9">
        <w:rPr>
          <w:noProof/>
        </w:rPr>
        <w:t xml:space="preserve">. </w:t>
      </w:r>
      <w:r w:rsidR="009D3E08" w:rsidRPr="008431A9">
        <w:rPr>
          <w:noProof/>
        </w:rPr>
        <w:t>G</w:t>
      </w:r>
      <w:r w:rsidR="001D6035" w:rsidRPr="008431A9">
        <w:rPr>
          <w:noProof/>
        </w:rPr>
        <w:t xml:space="preserve">eographical indications other than those </w:t>
      </w:r>
      <w:r w:rsidR="009D3E08" w:rsidRPr="008431A9">
        <w:rPr>
          <w:noProof/>
        </w:rPr>
        <w:t xml:space="preserve">protected in the Union pursuant to Article 7 </w:t>
      </w:r>
      <w:r w:rsidR="001D6035" w:rsidRPr="008431A9">
        <w:rPr>
          <w:noProof/>
        </w:rPr>
        <w:t>Regulation EU 2019/5713</w:t>
      </w:r>
      <w:r w:rsidR="009D3E08" w:rsidRPr="008431A9">
        <w:rPr>
          <w:noProof/>
        </w:rPr>
        <w:t xml:space="preserve"> shall be registered </w:t>
      </w:r>
      <w:r w:rsidR="183835EF" w:rsidRPr="008431A9">
        <w:rPr>
          <w:noProof/>
        </w:rPr>
        <w:t xml:space="preserve">by means of implementing acts adopted </w:t>
      </w:r>
      <w:r w:rsidR="00B13702" w:rsidRPr="008431A9">
        <w:rPr>
          <w:noProof/>
        </w:rPr>
        <w:t xml:space="preserve">by the Commission </w:t>
      </w:r>
      <w:r w:rsidR="183835EF" w:rsidRPr="008431A9">
        <w:rPr>
          <w:noProof/>
        </w:rPr>
        <w:t>in accordance with the examination pro</w:t>
      </w:r>
      <w:r w:rsidR="00596A93" w:rsidRPr="008431A9">
        <w:rPr>
          <w:noProof/>
        </w:rPr>
        <w:t>cedure referred to in Article 65</w:t>
      </w:r>
      <w:hyperlink w:anchor="akn_article_ZdvCzG_aoRg4H">
        <w:r w:rsidR="183835EF" w:rsidRPr="008431A9">
          <w:rPr>
            <w:rStyle w:val="Hyperlink"/>
            <w:noProof/>
            <w:color w:val="auto"/>
            <w:u w:val="none"/>
          </w:rPr>
          <w:t>(2)</w:t>
        </w:r>
      </w:hyperlink>
      <w:r w:rsidR="183835EF" w:rsidRPr="008431A9">
        <w:rPr>
          <w:noProof/>
        </w:rPr>
        <w:t>.</w:t>
      </w:r>
      <w:r w:rsidR="7B579481" w:rsidRPr="008431A9">
        <w:rPr>
          <w:noProof/>
        </w:rPr>
        <w:t xml:space="preserve"> </w:t>
      </w:r>
    </w:p>
    <w:p w:rsidR="00E775BE" w:rsidRPr="008431A9" w:rsidRDefault="00B34B72" w:rsidP="00B34B72">
      <w:pPr>
        <w:pStyle w:val="ManualNumPar1"/>
        <w:rPr>
          <w:noProof/>
        </w:rPr>
      </w:pPr>
      <w:r w:rsidRPr="00B34B72">
        <w:t>5.</w:t>
      </w:r>
      <w:r w:rsidRPr="00B34B72">
        <w:tab/>
      </w:r>
      <w:r w:rsidR="183835EF" w:rsidRPr="008431A9">
        <w:rPr>
          <w:noProof/>
        </w:rPr>
        <w:t xml:space="preserve">Each geographical indication shall be entered in the </w:t>
      </w:r>
      <w:r w:rsidR="67ABC872" w:rsidRPr="008431A9">
        <w:rPr>
          <w:noProof/>
        </w:rPr>
        <w:t>Union register of geographical indications</w:t>
      </w:r>
      <w:r w:rsidR="005F6945" w:rsidRPr="008431A9">
        <w:rPr>
          <w:noProof/>
        </w:rPr>
        <w:t xml:space="preserve"> for craft and industrial products</w:t>
      </w:r>
      <w:r w:rsidR="67ABC872" w:rsidRPr="008431A9">
        <w:rPr>
          <w:noProof/>
        </w:rPr>
        <w:t xml:space="preserve"> </w:t>
      </w:r>
      <w:r w:rsidR="183835EF" w:rsidRPr="008431A9">
        <w:rPr>
          <w:noProof/>
        </w:rPr>
        <w:t xml:space="preserve">in its original script. Where the original script is not in Latin characters, the geographical indication shall be transcribed in Latin characters and both versions of the geographical indication shall be entered in the </w:t>
      </w:r>
      <w:r w:rsidR="67ABC872" w:rsidRPr="008431A9">
        <w:rPr>
          <w:noProof/>
        </w:rPr>
        <w:t xml:space="preserve">Union register of geographical indications </w:t>
      </w:r>
      <w:r w:rsidR="00AD70F3" w:rsidRPr="008431A9">
        <w:rPr>
          <w:noProof/>
        </w:rPr>
        <w:t xml:space="preserve">for craft and industrial products </w:t>
      </w:r>
      <w:r w:rsidR="5B4E5465" w:rsidRPr="008431A9">
        <w:rPr>
          <w:noProof/>
        </w:rPr>
        <w:t>and shall have equal status.</w:t>
      </w:r>
    </w:p>
    <w:p w:rsidR="00E775BE" w:rsidRPr="008431A9" w:rsidRDefault="00B34B72" w:rsidP="00B34B72">
      <w:pPr>
        <w:pStyle w:val="ManualNumPar1"/>
        <w:rPr>
          <w:noProof/>
        </w:rPr>
      </w:pPr>
      <w:r w:rsidRPr="00B34B72">
        <w:t>6.</w:t>
      </w:r>
      <w:r w:rsidRPr="00B34B72">
        <w:tab/>
      </w:r>
      <w:r w:rsidR="4696A5D4" w:rsidRPr="008431A9">
        <w:rPr>
          <w:noProof/>
        </w:rPr>
        <w:t xml:space="preserve">The </w:t>
      </w:r>
      <w:r w:rsidR="3E67D706" w:rsidRPr="008431A9">
        <w:rPr>
          <w:noProof/>
        </w:rPr>
        <w:t xml:space="preserve">Commission </w:t>
      </w:r>
      <w:r w:rsidR="4696A5D4" w:rsidRPr="008431A9">
        <w:rPr>
          <w:noProof/>
        </w:rPr>
        <w:t xml:space="preserve">shall make public and regularly update both the list of the international agreements referred to in paragraph 2 and the list of geographical indications protected under those agreements. </w:t>
      </w:r>
    </w:p>
    <w:p w:rsidR="00D403F3" w:rsidRPr="008431A9" w:rsidRDefault="00B34B72" w:rsidP="00B34B72">
      <w:pPr>
        <w:pStyle w:val="ManualNumPar1"/>
        <w:rPr>
          <w:noProof/>
        </w:rPr>
      </w:pPr>
      <w:r w:rsidRPr="00B34B72">
        <w:t>7.</w:t>
      </w:r>
      <w:r w:rsidRPr="00B34B72">
        <w:tab/>
      </w:r>
      <w:r w:rsidR="3E67D706" w:rsidRPr="008431A9">
        <w:rPr>
          <w:noProof/>
        </w:rPr>
        <w:t>The Office shall retain documentation related to the registration of a geographical indication in digital or paper form for the period of validity of the geographical indication, and in case of cancellation for 10 years thereafter.</w:t>
      </w:r>
    </w:p>
    <w:p w:rsidR="00D403F3" w:rsidRPr="008431A9" w:rsidRDefault="00B34B72" w:rsidP="00B34B72">
      <w:pPr>
        <w:pStyle w:val="ManualNumPar1"/>
        <w:rPr>
          <w:noProof/>
        </w:rPr>
      </w:pPr>
      <w:r w:rsidRPr="00B34B72">
        <w:t>8.</w:t>
      </w:r>
      <w:r w:rsidRPr="00B34B72">
        <w:tab/>
      </w:r>
      <w:r w:rsidR="67ABC872" w:rsidRPr="008431A9">
        <w:rPr>
          <w:noProof/>
        </w:rPr>
        <w:t>The Commission may adopt implementing acts defining the content and presentation of the Union register of geographical indications</w:t>
      </w:r>
      <w:r w:rsidR="005F6945" w:rsidRPr="008431A9">
        <w:rPr>
          <w:noProof/>
        </w:rPr>
        <w:t xml:space="preserve"> for craft and industrial products</w:t>
      </w:r>
      <w:r w:rsidR="67ABC872" w:rsidRPr="008431A9">
        <w:rPr>
          <w:noProof/>
        </w:rPr>
        <w:t>. Those implementing acts shall be adopted in accordance with the examination procedure referred to in Article 6</w:t>
      </w:r>
      <w:r w:rsidR="00596A93" w:rsidRPr="008431A9">
        <w:rPr>
          <w:noProof/>
        </w:rPr>
        <w:t>5</w:t>
      </w:r>
      <w:hyperlink w:anchor="akn_article_ZdvCzG_aoRg4H" w:tooltip="Article 53(2): (2)">
        <w:r w:rsidR="67ABC872" w:rsidRPr="008431A9">
          <w:rPr>
            <w:rStyle w:val="Hyperlink"/>
            <w:noProof/>
            <w:color w:val="auto"/>
            <w:u w:val="none"/>
          </w:rPr>
          <w:t>(2)</w:t>
        </w:r>
      </w:hyperlink>
      <w:r w:rsidR="67ABC872" w:rsidRPr="008431A9">
        <w:rPr>
          <w:noProof/>
        </w:rPr>
        <w:t>.</w:t>
      </w:r>
    </w:p>
    <w:p w:rsidR="00E775BE" w:rsidRPr="008431A9" w:rsidRDefault="00E775BE" w:rsidP="00B23E88">
      <w:pPr>
        <w:pStyle w:val="Titrearticle"/>
        <w:rPr>
          <w:noProof/>
          <w:lang w:val="en-US"/>
        </w:rPr>
      </w:pPr>
      <w:r w:rsidRPr="008431A9">
        <w:rPr>
          <w:noProof/>
          <w:lang w:val="en-US"/>
        </w:rPr>
        <w:t xml:space="preserve">Article </w:t>
      </w:r>
      <w:r w:rsidRPr="008431A9">
        <w:rPr>
          <w:iCs/>
          <w:noProof/>
          <w:lang w:val="en-US"/>
        </w:rPr>
        <w:t>27</w:t>
      </w:r>
    </w:p>
    <w:p w:rsidR="00E775BE" w:rsidRPr="008431A9" w:rsidRDefault="00E775BE" w:rsidP="00843D97">
      <w:pPr>
        <w:pStyle w:val="NormalCentered"/>
        <w:rPr>
          <w:b/>
          <w:noProof/>
        </w:rPr>
      </w:pPr>
      <w:r w:rsidRPr="008431A9">
        <w:rPr>
          <w:b/>
          <w:noProof/>
        </w:rPr>
        <w:t>Extracts from the Union register of geographical indications</w:t>
      </w:r>
      <w:r w:rsidR="005F6945" w:rsidRPr="008431A9">
        <w:rPr>
          <w:b/>
          <w:noProof/>
        </w:rPr>
        <w:t xml:space="preserve"> for craft and industrial products</w:t>
      </w:r>
    </w:p>
    <w:p w:rsidR="00E775BE" w:rsidRPr="008431A9" w:rsidRDefault="00B34B72" w:rsidP="00B34B72">
      <w:pPr>
        <w:pStyle w:val="ManualNumPar1"/>
        <w:rPr>
          <w:rFonts w:eastAsiaTheme="minorEastAsia"/>
          <w:noProof/>
          <w:szCs w:val="24"/>
        </w:rPr>
      </w:pPr>
      <w:r w:rsidRPr="00B34B72">
        <w:t>1.</w:t>
      </w:r>
      <w:r w:rsidRPr="00B34B72">
        <w:tab/>
      </w:r>
      <w:r w:rsidR="00D90DB6" w:rsidRPr="008431A9">
        <w:rPr>
          <w:noProof/>
        </w:rPr>
        <w:t>The Office shall ensure that a</w:t>
      </w:r>
      <w:r w:rsidR="183835EF" w:rsidRPr="008431A9">
        <w:rPr>
          <w:noProof/>
        </w:rPr>
        <w:t xml:space="preserve">ny person </w:t>
      </w:r>
      <w:r w:rsidR="00D90DB6" w:rsidRPr="008431A9">
        <w:rPr>
          <w:noProof/>
        </w:rPr>
        <w:t>is</w:t>
      </w:r>
      <w:r w:rsidR="183835EF" w:rsidRPr="008431A9">
        <w:rPr>
          <w:noProof/>
        </w:rPr>
        <w:t xml:space="preserve"> able to download an official extract from the </w:t>
      </w:r>
      <w:r w:rsidR="017749BF" w:rsidRPr="008431A9">
        <w:rPr>
          <w:noProof/>
        </w:rPr>
        <w:t xml:space="preserve">Union register of geographical indications </w:t>
      </w:r>
      <w:r w:rsidR="00AD70F3" w:rsidRPr="008431A9">
        <w:rPr>
          <w:noProof/>
        </w:rPr>
        <w:t xml:space="preserve">for craft and industrial products </w:t>
      </w:r>
      <w:r w:rsidR="183835EF" w:rsidRPr="008431A9">
        <w:rPr>
          <w:noProof/>
        </w:rPr>
        <w:t xml:space="preserve">that provides proof of registration of the geographical indication, and </w:t>
      </w:r>
      <w:r w:rsidR="00D90DB6" w:rsidRPr="008431A9">
        <w:rPr>
          <w:noProof/>
        </w:rPr>
        <w:t xml:space="preserve">the </w:t>
      </w:r>
      <w:r w:rsidR="183835EF" w:rsidRPr="008431A9">
        <w:rPr>
          <w:noProof/>
        </w:rPr>
        <w:t xml:space="preserve">relevant data including the date of application for the registration of the geographical indication or other priority date. </w:t>
      </w:r>
      <w:r w:rsidR="00D90DB6" w:rsidRPr="008431A9">
        <w:rPr>
          <w:noProof/>
        </w:rPr>
        <w:t xml:space="preserve">The </w:t>
      </w:r>
      <w:r w:rsidR="183835EF" w:rsidRPr="008431A9">
        <w:rPr>
          <w:noProof/>
        </w:rPr>
        <w:t xml:space="preserve">official extract may be used as an authentic certificate in legal proceedings, in a court of law, in a court </w:t>
      </w:r>
      <w:r w:rsidR="1A03E019" w:rsidRPr="008431A9">
        <w:rPr>
          <w:noProof/>
        </w:rPr>
        <w:t>of arbitration or similar body.</w:t>
      </w:r>
    </w:p>
    <w:p w:rsidR="00E775BE" w:rsidRPr="008431A9" w:rsidRDefault="00B34B72" w:rsidP="00B34B72">
      <w:pPr>
        <w:pStyle w:val="ManualNumPar1"/>
        <w:rPr>
          <w:noProof/>
        </w:rPr>
      </w:pPr>
      <w:r w:rsidRPr="00B34B72">
        <w:t>2.</w:t>
      </w:r>
      <w:r w:rsidRPr="00B34B72">
        <w:tab/>
      </w:r>
      <w:r w:rsidR="183835EF" w:rsidRPr="008431A9">
        <w:rPr>
          <w:noProof/>
        </w:rPr>
        <w:t xml:space="preserve">The </w:t>
      </w:r>
      <w:r w:rsidR="5FB83871" w:rsidRPr="008431A9">
        <w:rPr>
          <w:noProof/>
        </w:rPr>
        <w:t xml:space="preserve">applicant </w:t>
      </w:r>
      <w:r w:rsidR="183835EF" w:rsidRPr="008431A9">
        <w:rPr>
          <w:noProof/>
        </w:rPr>
        <w:t xml:space="preserve">producer group or </w:t>
      </w:r>
      <w:r w:rsidR="003265E8" w:rsidRPr="008431A9">
        <w:rPr>
          <w:noProof/>
        </w:rPr>
        <w:t>where</w:t>
      </w:r>
      <w:r w:rsidR="183835EF" w:rsidRPr="008431A9">
        <w:rPr>
          <w:noProof/>
        </w:rPr>
        <w:t xml:space="preserve"> Article 6(3)</w:t>
      </w:r>
      <w:r w:rsidR="003265E8" w:rsidRPr="008431A9">
        <w:rPr>
          <w:noProof/>
        </w:rPr>
        <w:t xml:space="preserve"> applies</w:t>
      </w:r>
      <w:r w:rsidR="00AA3CE0" w:rsidRPr="008431A9">
        <w:rPr>
          <w:noProof/>
        </w:rPr>
        <w:t>,</w:t>
      </w:r>
      <w:r w:rsidR="183835EF" w:rsidRPr="008431A9">
        <w:rPr>
          <w:noProof/>
        </w:rPr>
        <w:t xml:space="preserve"> the single producer shall be identified as the holder of the registration in the </w:t>
      </w:r>
      <w:r w:rsidR="48049D82" w:rsidRPr="008431A9">
        <w:rPr>
          <w:noProof/>
        </w:rPr>
        <w:t>Union register of geographical indications</w:t>
      </w:r>
      <w:r w:rsidR="00AD70F3" w:rsidRPr="008431A9">
        <w:rPr>
          <w:noProof/>
        </w:rPr>
        <w:t xml:space="preserve"> for craft and industrial products</w:t>
      </w:r>
      <w:r w:rsidR="48049D82" w:rsidRPr="008431A9">
        <w:rPr>
          <w:noProof/>
        </w:rPr>
        <w:t xml:space="preserve"> </w:t>
      </w:r>
      <w:r w:rsidR="183835EF" w:rsidRPr="008431A9">
        <w:rPr>
          <w:noProof/>
        </w:rPr>
        <w:t xml:space="preserve">and in the official extract referred to in paragraph (1) of this Article. </w:t>
      </w:r>
    </w:p>
    <w:p w:rsidR="00E775BE" w:rsidRPr="008431A9" w:rsidRDefault="00B34B72" w:rsidP="00B34B72">
      <w:pPr>
        <w:pStyle w:val="ManualNumPar1"/>
        <w:rPr>
          <w:noProof/>
        </w:rPr>
      </w:pPr>
      <w:r w:rsidRPr="00B34B72">
        <w:lastRenderedPageBreak/>
        <w:t>3.</w:t>
      </w:r>
      <w:r w:rsidRPr="00B34B72">
        <w:tab/>
      </w:r>
      <w:r w:rsidR="183835EF" w:rsidRPr="008431A9">
        <w:rPr>
          <w:noProof/>
        </w:rPr>
        <w:t xml:space="preserve">The Commission may adopt implementing acts defining the format and online presentation of extracts from </w:t>
      </w:r>
      <w:r w:rsidR="48049D82" w:rsidRPr="008431A9">
        <w:rPr>
          <w:noProof/>
        </w:rPr>
        <w:t>the Union register of geographical indications</w:t>
      </w:r>
      <w:r w:rsidR="00AD70F3" w:rsidRPr="008431A9">
        <w:rPr>
          <w:noProof/>
        </w:rPr>
        <w:t xml:space="preserve"> for craft and industrial products</w:t>
      </w:r>
      <w:r w:rsidR="183835EF" w:rsidRPr="008431A9">
        <w:rPr>
          <w:noProof/>
        </w:rPr>
        <w:t xml:space="preserve">. </w:t>
      </w:r>
      <w:r w:rsidR="183835EF" w:rsidRPr="008431A9">
        <w:rPr>
          <w:rFonts w:eastAsia="Times New Roman"/>
          <w:noProof/>
        </w:rPr>
        <w:t>Those implementing acts shall be adopted in accordance with the examination procedure referred to in Article 6</w:t>
      </w:r>
      <w:r w:rsidR="00596A93" w:rsidRPr="008431A9">
        <w:rPr>
          <w:rFonts w:eastAsia="Times New Roman"/>
          <w:noProof/>
        </w:rPr>
        <w:t>5</w:t>
      </w:r>
      <w:r w:rsidR="183835EF" w:rsidRPr="008431A9">
        <w:rPr>
          <w:rFonts w:eastAsia="Times New Roman"/>
          <w:noProof/>
        </w:rPr>
        <w:t>(2)</w:t>
      </w:r>
      <w:r w:rsidR="183835EF" w:rsidRPr="008431A9">
        <w:rPr>
          <w:noProof/>
        </w:rPr>
        <w:t xml:space="preserve">. </w:t>
      </w:r>
    </w:p>
    <w:p w:rsidR="00E775BE" w:rsidRPr="008431A9" w:rsidRDefault="00E775BE" w:rsidP="00B23E88">
      <w:pPr>
        <w:pStyle w:val="Titrearticle"/>
        <w:rPr>
          <w:noProof/>
          <w:lang w:val="en-US"/>
        </w:rPr>
      </w:pPr>
      <w:r w:rsidRPr="008431A9">
        <w:rPr>
          <w:noProof/>
          <w:lang w:val="en-US"/>
        </w:rPr>
        <w:t xml:space="preserve">Article </w:t>
      </w:r>
      <w:r w:rsidRPr="008431A9">
        <w:rPr>
          <w:iCs/>
          <w:noProof/>
          <w:lang w:val="en-US"/>
        </w:rPr>
        <w:t>28</w:t>
      </w:r>
    </w:p>
    <w:p w:rsidR="00E775BE" w:rsidRPr="008431A9" w:rsidRDefault="00E775BE" w:rsidP="00843D97">
      <w:pPr>
        <w:pStyle w:val="NormalCentered"/>
        <w:rPr>
          <w:b/>
          <w:noProof/>
        </w:rPr>
      </w:pPr>
      <w:r w:rsidRPr="008431A9">
        <w:rPr>
          <w:b/>
          <w:noProof/>
        </w:rPr>
        <w:t>Amendments to a product specification</w:t>
      </w:r>
    </w:p>
    <w:p w:rsidR="00E775BE" w:rsidRPr="008431A9" w:rsidRDefault="00B34B72" w:rsidP="00B34B72">
      <w:pPr>
        <w:pStyle w:val="ManualNumPar1"/>
        <w:rPr>
          <w:rFonts w:eastAsiaTheme="minorEastAsia"/>
          <w:noProof/>
          <w:szCs w:val="24"/>
        </w:rPr>
      </w:pPr>
      <w:r w:rsidRPr="00B34B72">
        <w:t>1.</w:t>
      </w:r>
      <w:r w:rsidRPr="00B34B72">
        <w:tab/>
      </w:r>
      <w:r w:rsidR="183835EF" w:rsidRPr="008431A9">
        <w:rPr>
          <w:noProof/>
        </w:rPr>
        <w:t xml:space="preserve">A producer group having a legitimate interest may apply for </w:t>
      </w:r>
      <w:r w:rsidR="00D90DB6" w:rsidRPr="008431A9">
        <w:rPr>
          <w:noProof/>
        </w:rPr>
        <w:t xml:space="preserve">the </w:t>
      </w:r>
      <w:r w:rsidR="183835EF" w:rsidRPr="008431A9">
        <w:rPr>
          <w:noProof/>
        </w:rPr>
        <w:t xml:space="preserve">approval of an amendment to </w:t>
      </w:r>
      <w:r w:rsidR="00D90DB6" w:rsidRPr="008431A9">
        <w:rPr>
          <w:noProof/>
        </w:rPr>
        <w:t>the</w:t>
      </w:r>
      <w:r w:rsidR="183835EF" w:rsidRPr="008431A9">
        <w:rPr>
          <w:noProof/>
        </w:rPr>
        <w:t xml:space="preserve"> product specification</w:t>
      </w:r>
      <w:r w:rsidR="257B9572" w:rsidRPr="008431A9">
        <w:rPr>
          <w:noProof/>
        </w:rPr>
        <w:t xml:space="preserve"> of a registered geographical indication</w:t>
      </w:r>
      <w:r w:rsidR="183835EF" w:rsidRPr="008431A9">
        <w:rPr>
          <w:noProof/>
        </w:rPr>
        <w:t xml:space="preserve">. </w:t>
      </w:r>
    </w:p>
    <w:p w:rsidR="007E1208" w:rsidRPr="008431A9" w:rsidRDefault="00B34B72" w:rsidP="00B34B72">
      <w:pPr>
        <w:pStyle w:val="ManualNumPar1"/>
        <w:rPr>
          <w:noProof/>
        </w:rPr>
      </w:pPr>
      <w:r w:rsidRPr="00B34B72">
        <w:t>2.</w:t>
      </w:r>
      <w:r w:rsidRPr="00B34B72">
        <w:tab/>
      </w:r>
      <w:r w:rsidR="1183C621" w:rsidRPr="008431A9">
        <w:rPr>
          <w:noProof/>
        </w:rPr>
        <w:t xml:space="preserve">Amendments to a product specification shall be classified into two categories: </w:t>
      </w:r>
    </w:p>
    <w:p w:rsidR="007E1208" w:rsidRPr="008431A9" w:rsidRDefault="00B34B72" w:rsidP="00B34B72">
      <w:pPr>
        <w:pStyle w:val="Point1"/>
        <w:rPr>
          <w:noProof/>
        </w:rPr>
      </w:pPr>
      <w:r w:rsidRPr="00B34B72">
        <w:t>(a)</w:t>
      </w:r>
      <w:r w:rsidRPr="00B34B72">
        <w:tab/>
      </w:r>
      <w:r w:rsidR="183835EF" w:rsidRPr="008431A9">
        <w:rPr>
          <w:noProof/>
        </w:rPr>
        <w:t>Union amendments, requiring an opposition procedure at the Union level, and</w:t>
      </w:r>
    </w:p>
    <w:p w:rsidR="00E775BE" w:rsidRPr="008431A9" w:rsidRDefault="00B34B72" w:rsidP="00B34B72">
      <w:pPr>
        <w:pStyle w:val="Point1"/>
        <w:rPr>
          <w:noProof/>
        </w:rPr>
      </w:pPr>
      <w:r w:rsidRPr="00B34B72">
        <w:t>(b)</w:t>
      </w:r>
      <w:r w:rsidRPr="00B34B72">
        <w:tab/>
      </w:r>
      <w:r w:rsidR="67833288" w:rsidRPr="008431A9">
        <w:rPr>
          <w:noProof/>
        </w:rPr>
        <w:t>standard amendments to be dealt with at Member State or third</w:t>
      </w:r>
      <w:r w:rsidR="00D90DB6" w:rsidRPr="008431A9">
        <w:rPr>
          <w:noProof/>
        </w:rPr>
        <w:t xml:space="preserve"> </w:t>
      </w:r>
      <w:r w:rsidR="67833288" w:rsidRPr="008431A9">
        <w:rPr>
          <w:noProof/>
        </w:rPr>
        <w:t>country level.</w:t>
      </w:r>
    </w:p>
    <w:p w:rsidR="00E775BE" w:rsidRPr="008431A9" w:rsidRDefault="00B34B72" w:rsidP="00B34B72">
      <w:pPr>
        <w:pStyle w:val="ManualNumPar1"/>
        <w:rPr>
          <w:noProof/>
        </w:rPr>
      </w:pPr>
      <w:r w:rsidRPr="00B34B72">
        <w:t>3.</w:t>
      </w:r>
      <w:r w:rsidRPr="00B34B72">
        <w:tab/>
      </w:r>
      <w:r w:rsidR="183835EF" w:rsidRPr="008431A9">
        <w:rPr>
          <w:noProof/>
        </w:rPr>
        <w:t xml:space="preserve">An amendment shall be </w:t>
      </w:r>
      <w:r w:rsidR="5ABF71E6" w:rsidRPr="008431A9">
        <w:rPr>
          <w:noProof/>
        </w:rPr>
        <w:t xml:space="preserve">considered </w:t>
      </w:r>
      <w:r w:rsidR="183835EF" w:rsidRPr="008431A9">
        <w:rPr>
          <w:noProof/>
        </w:rPr>
        <w:t xml:space="preserve">a Union amendment if it concerns a </w:t>
      </w:r>
      <w:r w:rsidR="5ABF71E6" w:rsidRPr="008431A9">
        <w:rPr>
          <w:noProof/>
        </w:rPr>
        <w:t xml:space="preserve">revision </w:t>
      </w:r>
      <w:r w:rsidR="183835EF" w:rsidRPr="008431A9">
        <w:rPr>
          <w:noProof/>
        </w:rPr>
        <w:t xml:space="preserve">of the single document and </w:t>
      </w:r>
      <w:r w:rsidR="5ABF71E6" w:rsidRPr="008431A9">
        <w:rPr>
          <w:noProof/>
        </w:rPr>
        <w:t>if any of the following conditions are met</w:t>
      </w:r>
      <w:r w:rsidR="183835EF" w:rsidRPr="008431A9">
        <w:rPr>
          <w:noProof/>
        </w:rPr>
        <w:t xml:space="preserve">: </w:t>
      </w:r>
    </w:p>
    <w:p w:rsidR="00E775BE" w:rsidRPr="008431A9" w:rsidRDefault="00B34B72" w:rsidP="00B34B72">
      <w:pPr>
        <w:pStyle w:val="Point1"/>
        <w:rPr>
          <w:noProof/>
        </w:rPr>
      </w:pPr>
      <w:r w:rsidRPr="00B34B72">
        <w:t>(a)</w:t>
      </w:r>
      <w:r w:rsidRPr="00B34B72">
        <w:tab/>
      </w:r>
      <w:r w:rsidR="00D90DB6" w:rsidRPr="008431A9">
        <w:rPr>
          <w:noProof/>
        </w:rPr>
        <w:t xml:space="preserve">the amendment </w:t>
      </w:r>
      <w:r w:rsidR="67833288" w:rsidRPr="008431A9">
        <w:rPr>
          <w:noProof/>
        </w:rPr>
        <w:t>includes a change in the name, or in the use of the name,</w:t>
      </w:r>
    </w:p>
    <w:p w:rsidR="00E775BE" w:rsidRPr="008431A9" w:rsidRDefault="00B34B72" w:rsidP="00B34B72">
      <w:pPr>
        <w:pStyle w:val="Point1"/>
        <w:rPr>
          <w:noProof/>
        </w:rPr>
      </w:pPr>
      <w:r w:rsidRPr="00B34B72">
        <w:t>(b)</w:t>
      </w:r>
      <w:r w:rsidRPr="00B34B72">
        <w:tab/>
      </w:r>
      <w:r w:rsidR="00D90DB6" w:rsidRPr="008431A9">
        <w:rPr>
          <w:noProof/>
        </w:rPr>
        <w:t xml:space="preserve">the amendment </w:t>
      </w:r>
      <w:r w:rsidR="67833288" w:rsidRPr="008431A9">
        <w:rPr>
          <w:noProof/>
        </w:rPr>
        <w:t>risks voiding the link</w:t>
      </w:r>
      <w:r w:rsidR="1DF462F0" w:rsidRPr="008431A9">
        <w:rPr>
          <w:noProof/>
        </w:rPr>
        <w:t xml:space="preserve"> to the geographical area</w:t>
      </w:r>
      <w:r w:rsidR="67833288" w:rsidRPr="008431A9">
        <w:rPr>
          <w:noProof/>
        </w:rPr>
        <w:t xml:space="preserve"> referred to in the single document, </w:t>
      </w:r>
    </w:p>
    <w:p w:rsidR="00E775BE" w:rsidRPr="008431A9" w:rsidRDefault="00B34B72" w:rsidP="00B34B72">
      <w:pPr>
        <w:pStyle w:val="Point1"/>
        <w:rPr>
          <w:noProof/>
        </w:rPr>
      </w:pPr>
      <w:r w:rsidRPr="00B34B72">
        <w:t>(c)</w:t>
      </w:r>
      <w:r w:rsidRPr="00B34B72">
        <w:tab/>
      </w:r>
      <w:r w:rsidR="00D90DB6" w:rsidRPr="008431A9">
        <w:rPr>
          <w:noProof/>
        </w:rPr>
        <w:t xml:space="preserve">the amendment </w:t>
      </w:r>
      <w:r w:rsidR="67833288" w:rsidRPr="008431A9">
        <w:rPr>
          <w:noProof/>
        </w:rPr>
        <w:t xml:space="preserve">entails further restrictions on the marketing of the product. </w:t>
      </w:r>
    </w:p>
    <w:p w:rsidR="00680822" w:rsidRPr="008431A9" w:rsidRDefault="00B34B72" w:rsidP="00B34B72">
      <w:pPr>
        <w:pStyle w:val="ManualNumPar1"/>
        <w:rPr>
          <w:noProof/>
        </w:rPr>
      </w:pPr>
      <w:r w:rsidRPr="00B34B72">
        <w:t>4.</w:t>
      </w:r>
      <w:r w:rsidRPr="00B34B72">
        <w:tab/>
      </w:r>
      <w:r w:rsidR="00680822" w:rsidRPr="008431A9">
        <w:rPr>
          <w:noProof/>
        </w:rPr>
        <w:t>Union amendments shall be approved by the Office</w:t>
      </w:r>
      <w:r w:rsidR="00246B1C" w:rsidRPr="008431A9">
        <w:rPr>
          <w:noProof/>
        </w:rPr>
        <w:t xml:space="preserve"> or, where Article 25 applies, the Commission</w:t>
      </w:r>
      <w:r w:rsidR="00680822" w:rsidRPr="008431A9">
        <w:rPr>
          <w:noProof/>
        </w:rPr>
        <w:t xml:space="preserve">. The approval procedure shall follow </w:t>
      </w:r>
      <w:r w:rsidR="00680822" w:rsidRPr="008431A9">
        <w:rPr>
          <w:i/>
          <w:iCs/>
          <w:noProof/>
        </w:rPr>
        <w:t>mutatis mutandis</w:t>
      </w:r>
      <w:r w:rsidR="00680822" w:rsidRPr="008431A9">
        <w:rPr>
          <w:noProof/>
        </w:rPr>
        <w:t xml:space="preserve"> the procedu</w:t>
      </w:r>
      <w:r w:rsidR="003265E8" w:rsidRPr="008431A9">
        <w:rPr>
          <w:noProof/>
        </w:rPr>
        <w:t xml:space="preserve">re </w:t>
      </w:r>
      <w:r w:rsidR="009D3E08" w:rsidRPr="008431A9">
        <w:rPr>
          <w:noProof/>
        </w:rPr>
        <w:t xml:space="preserve">and publication requirements </w:t>
      </w:r>
      <w:r w:rsidR="003265E8" w:rsidRPr="008431A9">
        <w:rPr>
          <w:noProof/>
        </w:rPr>
        <w:t>laid down in Articles 6 to 25</w:t>
      </w:r>
      <w:r w:rsidR="00680822" w:rsidRPr="008431A9">
        <w:rPr>
          <w:noProof/>
        </w:rPr>
        <w:t>.</w:t>
      </w:r>
    </w:p>
    <w:p w:rsidR="00E775BE" w:rsidRPr="008431A9" w:rsidRDefault="00B34B72" w:rsidP="00B34B72">
      <w:pPr>
        <w:pStyle w:val="ManualNumPar1"/>
        <w:rPr>
          <w:noProof/>
        </w:rPr>
      </w:pPr>
      <w:r w:rsidRPr="00B34B72">
        <w:t>5.</w:t>
      </w:r>
      <w:r w:rsidRPr="00B34B72">
        <w:tab/>
      </w:r>
      <w:r w:rsidR="5755F7F1" w:rsidRPr="008431A9">
        <w:rPr>
          <w:noProof/>
        </w:rPr>
        <w:t xml:space="preserve">Any other amendment to the product specification </w:t>
      </w:r>
      <w:r w:rsidR="7F566A48" w:rsidRPr="008431A9">
        <w:rPr>
          <w:noProof/>
        </w:rPr>
        <w:t>of a regi</w:t>
      </w:r>
      <w:r w:rsidR="003265E8" w:rsidRPr="008431A9">
        <w:rPr>
          <w:noProof/>
        </w:rPr>
        <w:t xml:space="preserve">stered </w:t>
      </w:r>
      <w:r w:rsidR="000C28DF" w:rsidRPr="008431A9">
        <w:rPr>
          <w:noProof/>
        </w:rPr>
        <w:t>geographical indication</w:t>
      </w:r>
      <w:r w:rsidR="003265E8" w:rsidRPr="008431A9">
        <w:rPr>
          <w:noProof/>
        </w:rPr>
        <w:t xml:space="preserve"> </w:t>
      </w:r>
      <w:r w:rsidR="7F566A48" w:rsidRPr="008431A9">
        <w:rPr>
          <w:noProof/>
        </w:rPr>
        <w:t xml:space="preserve">that is not a Union amendment in accordance with paragraph 3, shall be considered as a standard amendment. </w:t>
      </w:r>
    </w:p>
    <w:p w:rsidR="00E775BE" w:rsidRPr="008431A9" w:rsidRDefault="00B34B72" w:rsidP="00B34B72">
      <w:pPr>
        <w:pStyle w:val="ManualNumPar1"/>
        <w:rPr>
          <w:noProof/>
        </w:rPr>
      </w:pPr>
      <w:r w:rsidRPr="00B34B72">
        <w:t>6.</w:t>
      </w:r>
      <w:r w:rsidRPr="00B34B72">
        <w:tab/>
      </w:r>
      <w:r w:rsidR="183835EF" w:rsidRPr="008431A9">
        <w:rPr>
          <w:noProof/>
        </w:rPr>
        <w:t xml:space="preserve">Applications for amendments referred to in paragraph 2 submitted by a third country or by producers established in a third country shall contain proof that the requested amendment complies with the laws on the protection of geographical indications in force in that third country. </w:t>
      </w:r>
    </w:p>
    <w:p w:rsidR="00E775BE" w:rsidRPr="008431A9" w:rsidRDefault="00B34B72" w:rsidP="00B34B72">
      <w:pPr>
        <w:pStyle w:val="ManualNumPar1"/>
        <w:rPr>
          <w:noProof/>
        </w:rPr>
      </w:pPr>
      <w:r w:rsidRPr="00B34B72">
        <w:t>7.</w:t>
      </w:r>
      <w:r w:rsidRPr="00B34B72">
        <w:tab/>
      </w:r>
      <w:r w:rsidR="183835EF" w:rsidRPr="008431A9">
        <w:rPr>
          <w:noProof/>
        </w:rPr>
        <w:t xml:space="preserve">If an application for a Union amendment </w:t>
      </w:r>
      <w:r w:rsidR="2A85A779" w:rsidRPr="008431A9">
        <w:rPr>
          <w:noProof/>
        </w:rPr>
        <w:t>concerning</w:t>
      </w:r>
      <w:r w:rsidR="183835EF" w:rsidRPr="008431A9">
        <w:rPr>
          <w:noProof/>
        </w:rPr>
        <w:t xml:space="preserve"> a geographical indication of a Member State also relates to standard amendments, </w:t>
      </w:r>
      <w:r w:rsidR="2A85A779" w:rsidRPr="008431A9">
        <w:rPr>
          <w:noProof/>
        </w:rPr>
        <w:t xml:space="preserve">the Office shall </w:t>
      </w:r>
      <w:r w:rsidR="7EC9F755" w:rsidRPr="008431A9">
        <w:rPr>
          <w:noProof/>
        </w:rPr>
        <w:t>examine</w:t>
      </w:r>
      <w:r w:rsidR="2A85A779" w:rsidRPr="008431A9">
        <w:rPr>
          <w:noProof/>
        </w:rPr>
        <w:t xml:space="preserve"> </w:t>
      </w:r>
      <w:r w:rsidR="183835EF" w:rsidRPr="008431A9">
        <w:rPr>
          <w:noProof/>
        </w:rPr>
        <w:t xml:space="preserve">the Union amendments only. Any standard amendments shall be deemed as not having been submitted. The </w:t>
      </w:r>
      <w:r w:rsidR="7EC9F755" w:rsidRPr="008431A9">
        <w:rPr>
          <w:noProof/>
        </w:rPr>
        <w:t xml:space="preserve">examination </w:t>
      </w:r>
      <w:r w:rsidR="183835EF" w:rsidRPr="008431A9">
        <w:rPr>
          <w:noProof/>
        </w:rPr>
        <w:t xml:space="preserve">of such applications shall focus on the proposed Union amendments. Where appropriate, the Member State concerned </w:t>
      </w:r>
      <w:r w:rsidR="2A85A779" w:rsidRPr="008431A9">
        <w:rPr>
          <w:noProof/>
        </w:rPr>
        <w:t xml:space="preserve">or the Office </w:t>
      </w:r>
      <w:r w:rsidR="183835EF" w:rsidRPr="008431A9">
        <w:rPr>
          <w:noProof/>
        </w:rPr>
        <w:t>may invite the applicant to modify other elements of the product specifications.</w:t>
      </w:r>
    </w:p>
    <w:p w:rsidR="00E775BE" w:rsidRPr="008431A9" w:rsidRDefault="00B34B72" w:rsidP="00B34B72">
      <w:pPr>
        <w:pStyle w:val="ManualNumPar1"/>
        <w:rPr>
          <w:noProof/>
        </w:rPr>
      </w:pPr>
      <w:r w:rsidRPr="00B34B72">
        <w:t>8.</w:t>
      </w:r>
      <w:r w:rsidRPr="00B34B72">
        <w:tab/>
      </w:r>
      <w:r w:rsidR="183835EF" w:rsidRPr="008431A9">
        <w:rPr>
          <w:noProof/>
        </w:rPr>
        <w:t>Standard amendments shall be approved by Member States or third countries in whose territory the geographical area of the product concerned is located</w:t>
      </w:r>
      <w:r w:rsidR="00680822" w:rsidRPr="008431A9">
        <w:rPr>
          <w:noProof/>
        </w:rPr>
        <w:t xml:space="preserve">. </w:t>
      </w:r>
      <w:r w:rsidR="009D3E08" w:rsidRPr="008431A9">
        <w:rPr>
          <w:noProof/>
        </w:rPr>
        <w:t xml:space="preserve">Such amendments shall be communicated to the Office. </w:t>
      </w:r>
      <w:r w:rsidR="004A4A5C" w:rsidRPr="008431A9">
        <w:rPr>
          <w:noProof/>
        </w:rPr>
        <w:t xml:space="preserve">Where Article 25 applies, the Office shall approve the standard amendments. </w:t>
      </w:r>
      <w:r w:rsidR="00680822" w:rsidRPr="008431A9">
        <w:rPr>
          <w:noProof/>
        </w:rPr>
        <w:t xml:space="preserve">The Office shall make those amendments </w:t>
      </w:r>
      <w:r w:rsidR="183835EF" w:rsidRPr="008431A9">
        <w:rPr>
          <w:noProof/>
        </w:rPr>
        <w:t>public</w:t>
      </w:r>
      <w:r w:rsidR="00FE65D9" w:rsidRPr="008431A9">
        <w:rPr>
          <w:noProof/>
        </w:rPr>
        <w:t xml:space="preserve"> in the Union register of geographical indications for craft and industrial products</w:t>
      </w:r>
      <w:r w:rsidR="183835EF" w:rsidRPr="008431A9">
        <w:rPr>
          <w:noProof/>
        </w:rPr>
        <w:t xml:space="preserve">. </w:t>
      </w:r>
    </w:p>
    <w:p w:rsidR="00E775BE" w:rsidRPr="008431A9" w:rsidRDefault="00B34B72" w:rsidP="00B34B72">
      <w:pPr>
        <w:pStyle w:val="ManualNumPar1"/>
        <w:rPr>
          <w:noProof/>
        </w:rPr>
      </w:pPr>
      <w:r w:rsidRPr="00B34B72">
        <w:t>9.</w:t>
      </w:r>
      <w:r w:rsidRPr="00B34B72">
        <w:tab/>
      </w:r>
      <w:r w:rsidR="183835EF" w:rsidRPr="008431A9">
        <w:rPr>
          <w:noProof/>
        </w:rPr>
        <w:t xml:space="preserve">The Commission may adopt implementing acts laying down detailed rules on procedures, form and presentation of an amendment application for Union amendment and on procedures, form and communication of standard amendments to </w:t>
      </w:r>
      <w:r w:rsidR="183835EF" w:rsidRPr="008431A9">
        <w:rPr>
          <w:noProof/>
        </w:rPr>
        <w:lastRenderedPageBreak/>
        <w:t>the Office. Those implementing acts shall be adopted in accordance with the examination pro</w:t>
      </w:r>
      <w:r w:rsidR="00596A93" w:rsidRPr="008431A9">
        <w:rPr>
          <w:noProof/>
        </w:rPr>
        <w:t>cedure referred to in Article 65</w:t>
      </w:r>
      <w:r w:rsidR="183835EF" w:rsidRPr="008431A9">
        <w:rPr>
          <w:noProof/>
        </w:rPr>
        <w:t>(2).</w:t>
      </w:r>
    </w:p>
    <w:p w:rsidR="00E775BE" w:rsidRPr="008431A9" w:rsidRDefault="00E775BE" w:rsidP="00B23E88">
      <w:pPr>
        <w:pStyle w:val="Titrearticle"/>
        <w:rPr>
          <w:noProof/>
          <w:lang w:val="en-US"/>
        </w:rPr>
      </w:pPr>
      <w:r w:rsidRPr="008431A9">
        <w:rPr>
          <w:noProof/>
          <w:lang w:val="en-US"/>
        </w:rPr>
        <w:t xml:space="preserve">Article </w:t>
      </w:r>
      <w:r w:rsidRPr="008431A9">
        <w:rPr>
          <w:iCs/>
          <w:noProof/>
          <w:lang w:val="en-US"/>
        </w:rPr>
        <w:t>29</w:t>
      </w:r>
    </w:p>
    <w:p w:rsidR="00E775BE" w:rsidRPr="008431A9" w:rsidRDefault="00E775BE" w:rsidP="00843D97">
      <w:pPr>
        <w:pStyle w:val="NormalCentered"/>
        <w:rPr>
          <w:b/>
          <w:noProof/>
        </w:rPr>
      </w:pPr>
      <w:r w:rsidRPr="008431A9">
        <w:rPr>
          <w:b/>
          <w:noProof/>
        </w:rPr>
        <w:t>Cancellation of the registration</w:t>
      </w:r>
    </w:p>
    <w:p w:rsidR="00E775BE" w:rsidRPr="008431A9" w:rsidRDefault="00B34B72" w:rsidP="00B34B72">
      <w:pPr>
        <w:pStyle w:val="ManualNumPar1"/>
        <w:rPr>
          <w:rFonts w:eastAsiaTheme="minorEastAsia"/>
          <w:noProof/>
          <w:szCs w:val="24"/>
        </w:rPr>
      </w:pPr>
      <w:r w:rsidRPr="00B34B72">
        <w:t>1.</w:t>
      </w:r>
      <w:r w:rsidRPr="00B34B72">
        <w:tab/>
      </w:r>
      <w:r w:rsidR="183835EF" w:rsidRPr="008431A9">
        <w:rPr>
          <w:noProof/>
        </w:rPr>
        <w:t xml:space="preserve">The Office may, </w:t>
      </w:r>
      <w:r w:rsidR="26C417A7" w:rsidRPr="008431A9">
        <w:rPr>
          <w:noProof/>
        </w:rPr>
        <w:t xml:space="preserve">own its own initiative or </w:t>
      </w:r>
      <w:r w:rsidR="183835EF" w:rsidRPr="008431A9">
        <w:rPr>
          <w:noProof/>
        </w:rPr>
        <w:t xml:space="preserve">on a duly substantiated request by a Member State, a third country or any natural or legal person having a legitimate interest, decide to cancel the registration of a geographical indication in the following cases: </w:t>
      </w:r>
    </w:p>
    <w:p w:rsidR="00E775BE" w:rsidRPr="008431A9" w:rsidRDefault="00B34B72" w:rsidP="00B34B72">
      <w:pPr>
        <w:pStyle w:val="Point1"/>
        <w:rPr>
          <w:noProof/>
        </w:rPr>
      </w:pPr>
      <w:r w:rsidRPr="00B34B72">
        <w:t>(a)</w:t>
      </w:r>
      <w:r w:rsidRPr="00B34B72">
        <w:tab/>
      </w:r>
      <w:r w:rsidR="67833288" w:rsidRPr="008431A9">
        <w:rPr>
          <w:noProof/>
        </w:rPr>
        <w:t xml:space="preserve">where compliance with the requirements for the product specification can no longer be ensured; </w:t>
      </w:r>
    </w:p>
    <w:p w:rsidR="00E775BE" w:rsidRPr="008431A9" w:rsidRDefault="00B34B72" w:rsidP="00B34B72">
      <w:pPr>
        <w:pStyle w:val="Point1"/>
        <w:rPr>
          <w:noProof/>
        </w:rPr>
      </w:pPr>
      <w:r w:rsidRPr="00B34B72">
        <w:t>(b)</w:t>
      </w:r>
      <w:r w:rsidRPr="00B34B72">
        <w:tab/>
      </w:r>
      <w:r w:rsidR="67833288" w:rsidRPr="008431A9">
        <w:rPr>
          <w:noProof/>
        </w:rPr>
        <w:t xml:space="preserve">where no product has been placed on the market under the geographical indication for at least a consecutive period of </w:t>
      </w:r>
      <w:r w:rsidR="007A231D" w:rsidRPr="008431A9">
        <w:rPr>
          <w:noProof/>
        </w:rPr>
        <w:t xml:space="preserve">7 </w:t>
      </w:r>
      <w:r w:rsidR="67833288" w:rsidRPr="008431A9">
        <w:rPr>
          <w:noProof/>
        </w:rPr>
        <w:t xml:space="preserve">years. </w:t>
      </w:r>
    </w:p>
    <w:p w:rsidR="00E775BE" w:rsidRPr="008431A9" w:rsidRDefault="00B34B72" w:rsidP="00B34B72">
      <w:pPr>
        <w:pStyle w:val="ManualNumPar1"/>
        <w:rPr>
          <w:noProof/>
        </w:rPr>
      </w:pPr>
      <w:r w:rsidRPr="00B34B72">
        <w:t>2.</w:t>
      </w:r>
      <w:r w:rsidRPr="00B34B72">
        <w:tab/>
      </w:r>
      <w:r w:rsidR="20CE4B74" w:rsidRPr="008431A9">
        <w:rPr>
          <w:noProof/>
        </w:rPr>
        <w:t>T</w:t>
      </w:r>
      <w:r w:rsidR="183835EF" w:rsidRPr="008431A9">
        <w:rPr>
          <w:noProof/>
        </w:rPr>
        <w:t>he Office may, at the request of the producer group of the product marketed under the registered name, decide to cancel the corresponding registration.</w:t>
      </w:r>
    </w:p>
    <w:p w:rsidR="00E775BE" w:rsidRPr="008431A9" w:rsidRDefault="00B34B72" w:rsidP="00B34B72">
      <w:pPr>
        <w:pStyle w:val="ManualNumPar1"/>
        <w:rPr>
          <w:noProof/>
        </w:rPr>
      </w:pPr>
      <w:r w:rsidRPr="00B34B72">
        <w:t>3.</w:t>
      </w:r>
      <w:r w:rsidRPr="00B34B72">
        <w:tab/>
      </w:r>
      <w:r w:rsidR="183835EF" w:rsidRPr="008431A9">
        <w:rPr>
          <w:noProof/>
        </w:rPr>
        <w:t xml:space="preserve">Article 6 </w:t>
      </w:r>
      <w:r w:rsidR="26FCC325" w:rsidRPr="008431A9">
        <w:rPr>
          <w:noProof/>
        </w:rPr>
        <w:t xml:space="preserve">and </w:t>
      </w:r>
      <w:r w:rsidR="183835EF" w:rsidRPr="008431A9">
        <w:rPr>
          <w:noProof/>
        </w:rPr>
        <w:t xml:space="preserve">Articles 19 to </w:t>
      </w:r>
      <w:r w:rsidR="003265E8" w:rsidRPr="008431A9">
        <w:rPr>
          <w:noProof/>
        </w:rPr>
        <w:t xml:space="preserve">25 </w:t>
      </w:r>
      <w:r w:rsidR="183835EF" w:rsidRPr="008431A9">
        <w:rPr>
          <w:noProof/>
        </w:rPr>
        <w:t xml:space="preserve">shall apply </w:t>
      </w:r>
      <w:r w:rsidR="183835EF" w:rsidRPr="008431A9">
        <w:rPr>
          <w:i/>
          <w:iCs/>
          <w:noProof/>
        </w:rPr>
        <w:t>mutatis mutandis</w:t>
      </w:r>
      <w:r w:rsidR="183835EF" w:rsidRPr="008431A9">
        <w:rPr>
          <w:noProof/>
        </w:rPr>
        <w:t xml:space="preserve"> to the cancellation procedure. </w:t>
      </w:r>
    </w:p>
    <w:p w:rsidR="00E775BE" w:rsidRPr="008431A9" w:rsidRDefault="00B34B72" w:rsidP="00B34B72">
      <w:pPr>
        <w:pStyle w:val="ManualNumPar1"/>
        <w:rPr>
          <w:noProof/>
        </w:rPr>
      </w:pPr>
      <w:r w:rsidRPr="00B34B72">
        <w:t>4.</w:t>
      </w:r>
      <w:r w:rsidRPr="00B34B72">
        <w:tab/>
      </w:r>
      <w:r w:rsidR="26FCC325" w:rsidRPr="008431A9">
        <w:rPr>
          <w:noProof/>
        </w:rPr>
        <w:t xml:space="preserve">Before deciding to cancel the registration of a geographical indication, </w:t>
      </w:r>
      <w:r w:rsidR="183835EF" w:rsidRPr="008431A9">
        <w:rPr>
          <w:noProof/>
        </w:rPr>
        <w:t xml:space="preserve">the Office shall consult the competent authority of the Member State, the competent authorities of the third country or, where possible, the third country producer group which had applied for the registration of the geographical indication concerned, unless the cancellation is directly requested by </w:t>
      </w:r>
      <w:r w:rsidR="26FCC325" w:rsidRPr="008431A9">
        <w:rPr>
          <w:noProof/>
        </w:rPr>
        <w:t xml:space="preserve">the </w:t>
      </w:r>
      <w:r w:rsidR="183835EF" w:rsidRPr="008431A9">
        <w:rPr>
          <w:noProof/>
        </w:rPr>
        <w:t xml:space="preserve">original applicants. If the geographical indication was registered pursuant to Article 15, the Office shall consult the </w:t>
      </w:r>
      <w:r w:rsidR="00A62786" w:rsidRPr="008431A9">
        <w:rPr>
          <w:noProof/>
        </w:rPr>
        <w:t>Advisory Board referred to in Article 33</w:t>
      </w:r>
      <w:r w:rsidR="183835EF" w:rsidRPr="008431A9">
        <w:rPr>
          <w:noProof/>
        </w:rPr>
        <w:t xml:space="preserve">. </w:t>
      </w:r>
    </w:p>
    <w:p w:rsidR="009A6A23" w:rsidRPr="008431A9" w:rsidRDefault="00B34B72" w:rsidP="00B34B72">
      <w:pPr>
        <w:pStyle w:val="ManualNumPar1"/>
        <w:rPr>
          <w:noProof/>
        </w:rPr>
      </w:pPr>
      <w:r w:rsidRPr="00B34B72">
        <w:t>5.</w:t>
      </w:r>
      <w:r w:rsidRPr="00B34B72">
        <w:tab/>
      </w:r>
      <w:r w:rsidR="2922AB78" w:rsidRPr="008431A9">
        <w:rPr>
          <w:noProof/>
        </w:rPr>
        <w:t xml:space="preserve">The Commission </w:t>
      </w:r>
      <w:r w:rsidR="16FDE311" w:rsidRPr="008431A9">
        <w:rPr>
          <w:noProof/>
        </w:rPr>
        <w:t>may adop</w:t>
      </w:r>
      <w:r w:rsidR="326E7C11" w:rsidRPr="008431A9">
        <w:rPr>
          <w:noProof/>
        </w:rPr>
        <w:t xml:space="preserve">t implementing acts laying down </w:t>
      </w:r>
      <w:r w:rsidR="2922AB78" w:rsidRPr="008431A9">
        <w:rPr>
          <w:noProof/>
        </w:rPr>
        <w:t>detailed rules on procedures and form of the cancellation process, as well as on the presentation of the requests referred to in paragraphs 1 and 2</w:t>
      </w:r>
      <w:r w:rsidR="26FCC325" w:rsidRPr="008431A9">
        <w:rPr>
          <w:noProof/>
        </w:rPr>
        <w:t xml:space="preserve"> of this Article</w:t>
      </w:r>
      <w:r w:rsidR="2922AB78" w:rsidRPr="008431A9">
        <w:rPr>
          <w:noProof/>
        </w:rPr>
        <w:t xml:space="preserve">. </w:t>
      </w:r>
      <w:r w:rsidR="16FDE311" w:rsidRPr="008431A9">
        <w:rPr>
          <w:noProof/>
        </w:rPr>
        <w:t>Those implementing acts shall be adopted in accordance with the examination pro</w:t>
      </w:r>
      <w:r w:rsidR="00596A93" w:rsidRPr="008431A9">
        <w:rPr>
          <w:noProof/>
        </w:rPr>
        <w:t>cedure referred to in Article 65</w:t>
      </w:r>
      <w:hyperlink w:anchor="akn_article_ZdvCzG_aoRg4H" w:tooltip="Article 53(2): (2)">
        <w:r w:rsidR="16FDE311" w:rsidRPr="008431A9">
          <w:rPr>
            <w:rStyle w:val="Hyperlink"/>
            <w:noProof/>
            <w:color w:val="auto"/>
            <w:u w:val="none"/>
          </w:rPr>
          <w:t>(2)</w:t>
        </w:r>
      </w:hyperlink>
      <w:r w:rsidR="16FDE311" w:rsidRPr="008431A9">
        <w:rPr>
          <w:noProof/>
        </w:rPr>
        <w:t>.</w:t>
      </w:r>
    </w:p>
    <w:p w:rsidR="00E775BE" w:rsidRPr="008431A9" w:rsidRDefault="00E775BE" w:rsidP="00BB1174">
      <w:pPr>
        <w:pStyle w:val="Titrearticle"/>
        <w:rPr>
          <w:noProof/>
          <w:lang w:val="en-US"/>
        </w:rPr>
      </w:pPr>
      <w:r w:rsidRPr="008431A9">
        <w:rPr>
          <w:noProof/>
          <w:lang w:val="en-US"/>
        </w:rPr>
        <w:t xml:space="preserve">Article </w:t>
      </w:r>
      <w:r w:rsidRPr="008431A9">
        <w:rPr>
          <w:iCs/>
          <w:noProof/>
          <w:lang w:val="en-US"/>
        </w:rPr>
        <w:t>30</w:t>
      </w:r>
    </w:p>
    <w:p w:rsidR="00E775BE" w:rsidRPr="008431A9" w:rsidRDefault="00E775BE" w:rsidP="00843D97">
      <w:pPr>
        <w:pStyle w:val="NormalCentered"/>
        <w:rPr>
          <w:b/>
          <w:noProof/>
        </w:rPr>
      </w:pPr>
      <w:r w:rsidRPr="008431A9">
        <w:rPr>
          <w:b/>
          <w:noProof/>
        </w:rPr>
        <w:t xml:space="preserve">Appeal </w:t>
      </w:r>
    </w:p>
    <w:p w:rsidR="00E775BE" w:rsidRPr="008431A9" w:rsidRDefault="00B34B72" w:rsidP="00B34B72">
      <w:pPr>
        <w:pStyle w:val="ManualNumPar1"/>
        <w:rPr>
          <w:rFonts w:eastAsiaTheme="minorEastAsia"/>
          <w:noProof/>
          <w:szCs w:val="24"/>
        </w:rPr>
      </w:pPr>
      <w:r w:rsidRPr="00B34B72">
        <w:t>1.</w:t>
      </w:r>
      <w:r w:rsidRPr="00B34B72">
        <w:tab/>
      </w:r>
      <w:r w:rsidR="183835EF" w:rsidRPr="008431A9">
        <w:rPr>
          <w:noProof/>
        </w:rPr>
        <w:t>Any party to a procedure regulated in this Regulation</w:t>
      </w:r>
      <w:r w:rsidR="183835EF" w:rsidRPr="008431A9">
        <w:rPr>
          <w:noProof/>
          <w:szCs w:val="24"/>
        </w:rPr>
        <w:t xml:space="preserve"> </w:t>
      </w:r>
      <w:r w:rsidR="183835EF" w:rsidRPr="008431A9">
        <w:rPr>
          <w:noProof/>
        </w:rPr>
        <w:t>that is adversely affected by the decision taken by the Office in that procedure may</w:t>
      </w:r>
      <w:r w:rsidR="00F140F6" w:rsidRPr="008431A9">
        <w:rPr>
          <w:noProof/>
        </w:rPr>
        <w:t xml:space="preserve"> lodge an</w:t>
      </w:r>
      <w:r w:rsidR="183835EF" w:rsidRPr="008431A9">
        <w:rPr>
          <w:noProof/>
        </w:rPr>
        <w:t xml:space="preserve"> appeal to the Board</w:t>
      </w:r>
      <w:r w:rsidR="77792A9A" w:rsidRPr="008431A9">
        <w:rPr>
          <w:noProof/>
        </w:rPr>
        <w:t>s</w:t>
      </w:r>
      <w:r w:rsidR="183835EF" w:rsidRPr="008431A9">
        <w:rPr>
          <w:noProof/>
        </w:rPr>
        <w:t xml:space="preserve"> of Appeal </w:t>
      </w:r>
      <w:r w:rsidR="0099404B" w:rsidRPr="008431A9">
        <w:rPr>
          <w:noProof/>
        </w:rPr>
        <w:t>referred to in Article 3</w:t>
      </w:r>
      <w:r w:rsidR="00186E21" w:rsidRPr="008431A9">
        <w:rPr>
          <w:noProof/>
        </w:rPr>
        <w:t>4</w:t>
      </w:r>
      <w:r w:rsidR="0099404B" w:rsidRPr="008431A9">
        <w:rPr>
          <w:noProof/>
        </w:rPr>
        <w:t xml:space="preserve"> </w:t>
      </w:r>
      <w:r w:rsidR="183835EF" w:rsidRPr="008431A9">
        <w:rPr>
          <w:noProof/>
        </w:rPr>
        <w:t>against</w:t>
      </w:r>
      <w:r w:rsidR="183835EF" w:rsidRPr="008431A9">
        <w:rPr>
          <w:noProof/>
          <w:shd w:val="clear" w:color="auto" w:fill="FFFFFF"/>
        </w:rPr>
        <w:t xml:space="preserve"> </w:t>
      </w:r>
      <w:r w:rsidR="183835EF" w:rsidRPr="008431A9">
        <w:rPr>
          <w:noProof/>
        </w:rPr>
        <w:t xml:space="preserve">the </w:t>
      </w:r>
      <w:r w:rsidR="183835EF" w:rsidRPr="008431A9">
        <w:rPr>
          <w:noProof/>
          <w:shd w:val="clear" w:color="auto" w:fill="FFFFFF"/>
        </w:rPr>
        <w:t>decision</w:t>
      </w:r>
      <w:r w:rsidR="183835EF" w:rsidRPr="008431A9">
        <w:rPr>
          <w:noProof/>
          <w:szCs w:val="24"/>
        </w:rPr>
        <w:t xml:space="preserve">. </w:t>
      </w:r>
      <w:r w:rsidR="183835EF" w:rsidRPr="008431A9">
        <w:rPr>
          <w:noProof/>
        </w:rPr>
        <w:t>Th</w:t>
      </w:r>
      <w:r w:rsidR="00F40692" w:rsidRPr="008431A9">
        <w:rPr>
          <w:noProof/>
        </w:rPr>
        <w:t xml:space="preserve">e appealed </w:t>
      </w:r>
      <w:r w:rsidR="183835EF" w:rsidRPr="008431A9">
        <w:rPr>
          <w:noProof/>
        </w:rPr>
        <w:t xml:space="preserve">decisions </w:t>
      </w:r>
      <w:r w:rsidR="00E13E97" w:rsidRPr="008431A9">
        <w:rPr>
          <w:noProof/>
        </w:rPr>
        <w:t xml:space="preserve">of the Office </w:t>
      </w:r>
      <w:r w:rsidR="183835EF" w:rsidRPr="008431A9">
        <w:rPr>
          <w:noProof/>
        </w:rPr>
        <w:t>shall take effect only as from the date of expiration of the appeal period</w:t>
      </w:r>
      <w:r w:rsidR="77792A9A" w:rsidRPr="008431A9">
        <w:rPr>
          <w:noProof/>
        </w:rPr>
        <w:t xml:space="preserve"> referred to in paragraph 3</w:t>
      </w:r>
      <w:r w:rsidR="183835EF" w:rsidRPr="008431A9">
        <w:rPr>
          <w:noProof/>
        </w:rPr>
        <w:t>. The filing of the appeal shall have suspensive effect.</w:t>
      </w:r>
      <w:r w:rsidR="00CC091D" w:rsidRPr="008431A9">
        <w:rPr>
          <w:noProof/>
        </w:rPr>
        <w:t xml:space="preserve"> Member States shall also have the right to </w:t>
      </w:r>
      <w:r w:rsidR="0099404B" w:rsidRPr="008431A9">
        <w:rPr>
          <w:noProof/>
        </w:rPr>
        <w:t>join</w:t>
      </w:r>
      <w:r w:rsidR="00CC091D" w:rsidRPr="008431A9">
        <w:rPr>
          <w:noProof/>
        </w:rPr>
        <w:t xml:space="preserve"> the procedure. </w:t>
      </w:r>
    </w:p>
    <w:p w:rsidR="00E775BE" w:rsidRPr="008431A9" w:rsidRDefault="00B34B72" w:rsidP="00B34B72">
      <w:pPr>
        <w:pStyle w:val="ManualNumPar1"/>
        <w:rPr>
          <w:rFonts w:eastAsiaTheme="minorEastAsia"/>
          <w:noProof/>
        </w:rPr>
      </w:pPr>
      <w:r w:rsidRPr="00B34B72">
        <w:t>2.</w:t>
      </w:r>
      <w:r w:rsidRPr="00B34B72">
        <w:tab/>
      </w:r>
      <w:r w:rsidR="183835EF" w:rsidRPr="008431A9">
        <w:rPr>
          <w:noProof/>
        </w:rPr>
        <w:t xml:space="preserve">A decision which does not terminate proceedings as regards one of the parties </w:t>
      </w:r>
      <w:r w:rsidR="7E50E996" w:rsidRPr="008431A9">
        <w:rPr>
          <w:noProof/>
        </w:rPr>
        <w:t xml:space="preserve">shall </w:t>
      </w:r>
      <w:r w:rsidR="183835EF" w:rsidRPr="008431A9">
        <w:rPr>
          <w:noProof/>
        </w:rPr>
        <w:t xml:space="preserve">only be appealed together with the final decision. </w:t>
      </w:r>
    </w:p>
    <w:p w:rsidR="00E775BE" w:rsidRPr="008431A9" w:rsidRDefault="00B34B72" w:rsidP="00B34B72">
      <w:pPr>
        <w:pStyle w:val="ManualNumPar1"/>
        <w:rPr>
          <w:rFonts w:eastAsia="Times New Roman"/>
          <w:noProof/>
          <w:lang w:val="en-US"/>
        </w:rPr>
      </w:pPr>
      <w:r w:rsidRPr="00B34B72">
        <w:t>3.</w:t>
      </w:r>
      <w:r w:rsidRPr="00B34B72">
        <w:tab/>
      </w:r>
      <w:r w:rsidR="183835EF" w:rsidRPr="008431A9">
        <w:rPr>
          <w:noProof/>
        </w:rPr>
        <w:t xml:space="preserve">Notice of appeal shall be filed in writing at the Office within 2 months of the date of publication of the decision. </w:t>
      </w:r>
      <w:r w:rsidR="003D038D" w:rsidRPr="008431A9">
        <w:rPr>
          <w:noProof/>
        </w:rPr>
        <w:t xml:space="preserve">The notice shall be deemed to be have been filed only when the fee for appeal has been paid. </w:t>
      </w:r>
      <w:r w:rsidR="7D498C75" w:rsidRPr="008431A9">
        <w:rPr>
          <w:noProof/>
        </w:rPr>
        <w:t>In case of an appeal, a written statement setting out the grounds of appeal shall be filed w</w:t>
      </w:r>
      <w:r w:rsidR="183835EF" w:rsidRPr="008431A9">
        <w:rPr>
          <w:noProof/>
        </w:rPr>
        <w:t>ithin 4 months of the date of publication of the decision.</w:t>
      </w:r>
    </w:p>
    <w:p w:rsidR="00E775BE" w:rsidRPr="008431A9" w:rsidRDefault="00B34B72" w:rsidP="00B34B72">
      <w:pPr>
        <w:pStyle w:val="ManualNumPar1"/>
        <w:rPr>
          <w:noProof/>
          <w:shd w:val="clear" w:color="auto" w:fill="FFFFFF"/>
        </w:rPr>
      </w:pPr>
      <w:r w:rsidRPr="00B34B72">
        <w:lastRenderedPageBreak/>
        <w:t>4.</w:t>
      </w:r>
      <w:r w:rsidRPr="00B34B72">
        <w:tab/>
      </w:r>
      <w:r w:rsidR="183835EF" w:rsidRPr="008431A9">
        <w:rPr>
          <w:rFonts w:eastAsia="Times New Roman"/>
          <w:noProof/>
          <w:lang w:val="en-US"/>
        </w:rPr>
        <w:t>The</w:t>
      </w:r>
      <w:r w:rsidR="183835EF" w:rsidRPr="008431A9">
        <w:rPr>
          <w:noProof/>
        </w:rPr>
        <w:t xml:space="preserve"> Board</w:t>
      </w:r>
      <w:r w:rsidR="402B0F2F" w:rsidRPr="008431A9">
        <w:rPr>
          <w:noProof/>
        </w:rPr>
        <w:t>s</w:t>
      </w:r>
      <w:r w:rsidR="183835EF" w:rsidRPr="008431A9">
        <w:rPr>
          <w:noProof/>
        </w:rPr>
        <w:t xml:space="preserve"> of Appeal shall examine whether the appeal is admissible. </w:t>
      </w:r>
    </w:p>
    <w:p w:rsidR="00044B26" w:rsidRPr="008431A9" w:rsidRDefault="00B34B72" w:rsidP="00B34B72">
      <w:pPr>
        <w:pStyle w:val="ManualNumPar1"/>
        <w:rPr>
          <w:rFonts w:eastAsiaTheme="minorEastAsia"/>
          <w:noProof/>
          <w:szCs w:val="24"/>
          <w:shd w:val="clear" w:color="auto" w:fill="FFFFFF"/>
        </w:rPr>
      </w:pPr>
      <w:r w:rsidRPr="00B34B72">
        <w:t>5.</w:t>
      </w:r>
      <w:r w:rsidRPr="00B34B72">
        <w:tab/>
      </w:r>
      <w:r w:rsidR="4696A5D4" w:rsidRPr="008431A9">
        <w:rPr>
          <w:noProof/>
          <w:shd w:val="clear" w:color="auto" w:fill="FFFFFF"/>
        </w:rPr>
        <w:t xml:space="preserve">Following an examination of admissibility of the appeal, the </w:t>
      </w:r>
      <w:r w:rsidR="2D896AF1" w:rsidRPr="008431A9">
        <w:rPr>
          <w:noProof/>
          <w:shd w:val="clear" w:color="auto" w:fill="FFFFFF"/>
        </w:rPr>
        <w:t>Board</w:t>
      </w:r>
      <w:r w:rsidR="4A8D996C" w:rsidRPr="008431A9">
        <w:rPr>
          <w:noProof/>
        </w:rPr>
        <w:t>s</w:t>
      </w:r>
      <w:r w:rsidR="2D896AF1" w:rsidRPr="008431A9">
        <w:rPr>
          <w:noProof/>
          <w:shd w:val="clear" w:color="auto" w:fill="FFFFFF"/>
        </w:rPr>
        <w:t xml:space="preserve"> of Appeal </w:t>
      </w:r>
      <w:r w:rsidR="4696A5D4" w:rsidRPr="008431A9">
        <w:rPr>
          <w:noProof/>
          <w:shd w:val="clear" w:color="auto" w:fill="FFFFFF"/>
        </w:rPr>
        <w:t>shall decide on the appeal. The Board</w:t>
      </w:r>
      <w:r w:rsidR="4A8D996C" w:rsidRPr="008431A9">
        <w:rPr>
          <w:noProof/>
        </w:rPr>
        <w:t>s</w:t>
      </w:r>
      <w:r w:rsidR="4696A5D4" w:rsidRPr="008431A9">
        <w:rPr>
          <w:noProof/>
          <w:shd w:val="clear" w:color="auto" w:fill="FFFFFF"/>
        </w:rPr>
        <w:t xml:space="preserve"> of Appeal </w:t>
      </w:r>
      <w:r w:rsidR="00F140F6" w:rsidRPr="008431A9">
        <w:rPr>
          <w:noProof/>
          <w:shd w:val="clear" w:color="auto" w:fill="FFFFFF"/>
        </w:rPr>
        <w:t xml:space="preserve">shall </w:t>
      </w:r>
      <w:r w:rsidR="4696A5D4" w:rsidRPr="008431A9">
        <w:rPr>
          <w:noProof/>
          <w:shd w:val="clear" w:color="auto" w:fill="FFFFFF"/>
        </w:rPr>
        <w:t>either exercise any power within the competence of the geographical indication</w:t>
      </w:r>
      <w:r w:rsidR="4A8D996C" w:rsidRPr="008431A9">
        <w:rPr>
          <w:noProof/>
        </w:rPr>
        <w:t>s</w:t>
      </w:r>
      <w:r w:rsidR="4696A5D4" w:rsidRPr="008431A9">
        <w:rPr>
          <w:noProof/>
          <w:shd w:val="clear" w:color="auto" w:fill="FFFFFF"/>
        </w:rPr>
        <w:t xml:space="preserve"> division which was responsible for the decision appealed or remit the case to that geographical indication division for further prosecution.</w:t>
      </w:r>
      <w:r w:rsidR="4696A5D4" w:rsidRPr="008431A9">
        <w:rPr>
          <w:noProof/>
        </w:rPr>
        <w:t xml:space="preserve"> </w:t>
      </w:r>
      <w:r w:rsidR="00F140F6" w:rsidRPr="008431A9">
        <w:rPr>
          <w:noProof/>
        </w:rPr>
        <w:t xml:space="preserve">The Boards of Appeal </w:t>
      </w:r>
      <w:r w:rsidR="4696A5D4" w:rsidRPr="008431A9">
        <w:rPr>
          <w:noProof/>
        </w:rPr>
        <w:t xml:space="preserve">may, on its own initiative or upon the written, reasoned request of a party, </w:t>
      </w:r>
      <w:r w:rsidR="00634812" w:rsidRPr="008431A9">
        <w:rPr>
          <w:noProof/>
        </w:rPr>
        <w:t xml:space="preserve">consult the Advisory Board as referred to in Article </w:t>
      </w:r>
      <w:r w:rsidR="00CA0584" w:rsidRPr="008431A9">
        <w:rPr>
          <w:noProof/>
        </w:rPr>
        <w:t>33</w:t>
      </w:r>
      <w:r w:rsidR="4696A5D4" w:rsidRPr="008431A9">
        <w:rPr>
          <w:noProof/>
          <w:shd w:val="clear" w:color="auto" w:fill="FFFFFF"/>
        </w:rPr>
        <w:t>.</w:t>
      </w:r>
      <w:r w:rsidR="4A8D996C" w:rsidRPr="008431A9">
        <w:rPr>
          <w:noProof/>
        </w:rPr>
        <w:t xml:space="preserve"> </w:t>
      </w:r>
      <w:r w:rsidR="4A8D996C" w:rsidRPr="008431A9">
        <w:rPr>
          <w:rFonts w:eastAsia="Calibri"/>
          <w:noProof/>
        </w:rPr>
        <w:t xml:space="preserve">The Office may offer mediation services pursuant to Article 170 of </w:t>
      </w:r>
      <w:r w:rsidR="005E4CE4" w:rsidRPr="008431A9">
        <w:rPr>
          <w:rFonts w:eastAsia="Calibri"/>
          <w:noProof/>
        </w:rPr>
        <w:t>Regulation (EU) 2017/1001</w:t>
      </w:r>
      <w:r w:rsidR="4A8D996C" w:rsidRPr="008431A9">
        <w:rPr>
          <w:rFonts w:eastAsia="Calibri"/>
          <w:noProof/>
        </w:rPr>
        <w:t>, with a view of assisting the parties reach an amicable settlement.</w:t>
      </w:r>
    </w:p>
    <w:p w:rsidR="00044B26" w:rsidRPr="008431A9" w:rsidRDefault="00B34B72" w:rsidP="00B34B72">
      <w:pPr>
        <w:pStyle w:val="ManualNumPar1"/>
        <w:rPr>
          <w:noProof/>
          <w:shd w:val="clear" w:color="auto" w:fill="FFFFFF"/>
        </w:rPr>
      </w:pPr>
      <w:r w:rsidRPr="00B34B72">
        <w:t>6.</w:t>
      </w:r>
      <w:r w:rsidRPr="00B34B72">
        <w:tab/>
      </w:r>
      <w:r w:rsidR="73AB8144" w:rsidRPr="008431A9">
        <w:rPr>
          <w:noProof/>
        </w:rPr>
        <w:t>Actions may be brought before the General Court against decisions of the Boards of Appeal in relation to appeals</w:t>
      </w:r>
      <w:r w:rsidR="00B754F3" w:rsidRPr="008431A9">
        <w:rPr>
          <w:noProof/>
        </w:rPr>
        <w:t xml:space="preserve">, </w:t>
      </w:r>
      <w:r w:rsidR="00B754F3" w:rsidRPr="008431A9" w:rsidDel="00004951">
        <w:rPr>
          <w:noProof/>
        </w:rPr>
        <w:t>within</w:t>
      </w:r>
      <w:r w:rsidR="00295BCA">
        <w:rPr>
          <w:noProof/>
        </w:rPr>
        <w:t xml:space="preserve"> two months</w:t>
      </w:r>
      <w:r w:rsidR="00B754F3" w:rsidRPr="008431A9" w:rsidDel="00004951">
        <w:rPr>
          <w:noProof/>
        </w:rPr>
        <w:t xml:space="preserve"> of the date of publication of the decision of the Board</w:t>
      </w:r>
      <w:r w:rsidR="00FE65D9" w:rsidRPr="008431A9">
        <w:rPr>
          <w:noProof/>
        </w:rPr>
        <w:t>s</w:t>
      </w:r>
      <w:r w:rsidR="00B754F3" w:rsidRPr="008431A9" w:rsidDel="00004951">
        <w:rPr>
          <w:noProof/>
        </w:rPr>
        <w:t xml:space="preserve"> of Appeal</w:t>
      </w:r>
      <w:r w:rsidR="00B754F3" w:rsidRPr="008431A9">
        <w:rPr>
          <w:noProof/>
        </w:rPr>
        <w:t>,</w:t>
      </w:r>
      <w:r w:rsidR="00B754F3" w:rsidRPr="008431A9">
        <w:rPr>
          <w:noProof/>
          <w:lang w:val="en-US"/>
        </w:rPr>
        <w:t xml:space="preserve"> on grounds of infringement of an essential procedural requirement, infringement of the TFEU, infringement of this Regulation or of any rule of law relating to their application or misuse of power. The action shall be open to any party to proceedings before the </w:t>
      </w:r>
      <w:r w:rsidR="003D038D" w:rsidRPr="008431A9">
        <w:rPr>
          <w:noProof/>
          <w:lang w:val="en-US"/>
        </w:rPr>
        <w:t xml:space="preserve">Boards of </w:t>
      </w:r>
      <w:r w:rsidR="00B754F3" w:rsidRPr="008431A9">
        <w:rPr>
          <w:noProof/>
          <w:lang w:val="en-US"/>
        </w:rPr>
        <w:t>Appeal adversely affected by its decision</w:t>
      </w:r>
      <w:r w:rsidR="003D038D" w:rsidRPr="008431A9">
        <w:rPr>
          <w:noProof/>
          <w:lang w:val="en-US"/>
        </w:rPr>
        <w:t xml:space="preserve"> </w:t>
      </w:r>
      <w:r w:rsidR="003D038D" w:rsidRPr="008431A9">
        <w:rPr>
          <w:noProof/>
        </w:rPr>
        <w:t>and to any Member State</w:t>
      </w:r>
      <w:r w:rsidR="00B754F3" w:rsidRPr="008431A9" w:rsidDel="00004951">
        <w:rPr>
          <w:noProof/>
        </w:rPr>
        <w:t>.</w:t>
      </w:r>
      <w:r w:rsidR="00B754F3" w:rsidRPr="008431A9">
        <w:rPr>
          <w:noProof/>
        </w:rPr>
        <w:t xml:space="preserve"> </w:t>
      </w:r>
      <w:r w:rsidR="00B754F3" w:rsidRPr="008431A9">
        <w:rPr>
          <w:noProof/>
          <w:lang w:val="en-US"/>
        </w:rPr>
        <w:t>The General Court shall have jurisdiction to annul or to alter the contested decision.</w:t>
      </w:r>
      <w:r w:rsidR="73AB8144" w:rsidRPr="008431A9">
        <w:rPr>
          <w:noProof/>
        </w:rPr>
        <w:t xml:space="preserve"> </w:t>
      </w:r>
    </w:p>
    <w:p w:rsidR="00E775BE" w:rsidRPr="008431A9" w:rsidRDefault="00B34B72" w:rsidP="00B34B72">
      <w:pPr>
        <w:pStyle w:val="ManualNumPar1"/>
        <w:rPr>
          <w:noProof/>
          <w:shd w:val="clear" w:color="auto" w:fill="FFFFFF"/>
        </w:rPr>
      </w:pPr>
      <w:r w:rsidRPr="00B34B72">
        <w:t>7.</w:t>
      </w:r>
      <w:r w:rsidRPr="00B34B72">
        <w:tab/>
      </w:r>
      <w:r w:rsidR="183835EF" w:rsidRPr="008431A9">
        <w:rPr>
          <w:noProof/>
          <w:shd w:val="clear" w:color="auto" w:fill="FFFFFF"/>
        </w:rPr>
        <w:t xml:space="preserve">The decisions of the </w:t>
      </w:r>
      <w:r w:rsidR="7917A1D8" w:rsidRPr="008431A9">
        <w:rPr>
          <w:noProof/>
          <w:shd w:val="clear" w:color="auto" w:fill="FFFFFF"/>
        </w:rPr>
        <w:t>Board</w:t>
      </w:r>
      <w:r w:rsidR="402B0F2F" w:rsidRPr="008431A9">
        <w:rPr>
          <w:noProof/>
        </w:rPr>
        <w:t>s</w:t>
      </w:r>
      <w:r w:rsidR="7917A1D8" w:rsidRPr="008431A9">
        <w:rPr>
          <w:noProof/>
          <w:shd w:val="clear" w:color="auto" w:fill="FFFFFF"/>
        </w:rPr>
        <w:t xml:space="preserve"> of </w:t>
      </w:r>
      <w:r w:rsidR="183835EF" w:rsidRPr="008431A9">
        <w:rPr>
          <w:noProof/>
          <w:shd w:val="clear" w:color="auto" w:fill="FFFFFF"/>
        </w:rPr>
        <w:t>Appeal shall take effect only as from the date of expiry of the appeal period or, if an action has been brought before the General Court within that period, as from the date of dismissal of such action or of any appeal filed with the Court of Justice against the decision of the General Court.</w:t>
      </w:r>
    </w:p>
    <w:p w:rsidR="009A6A23" w:rsidRPr="008431A9" w:rsidRDefault="00B34B72" w:rsidP="00B34B72">
      <w:pPr>
        <w:pStyle w:val="ManualNumPar1"/>
        <w:rPr>
          <w:noProof/>
          <w:shd w:val="clear" w:color="auto" w:fill="FFFFFF"/>
        </w:rPr>
      </w:pPr>
      <w:r w:rsidRPr="00B34B72">
        <w:t>8.</w:t>
      </w:r>
      <w:r w:rsidRPr="00B34B72">
        <w:tab/>
      </w:r>
      <w:r w:rsidR="2922AB78" w:rsidRPr="008431A9">
        <w:rPr>
          <w:noProof/>
        </w:rPr>
        <w:t>The Commission</w:t>
      </w:r>
      <w:r w:rsidR="31B908EB" w:rsidRPr="008431A9">
        <w:rPr>
          <w:noProof/>
        </w:rPr>
        <w:t xml:space="preserve"> is empowered</w:t>
      </w:r>
      <w:r w:rsidR="2922AB78" w:rsidRPr="008431A9">
        <w:rPr>
          <w:noProof/>
        </w:rPr>
        <w:t xml:space="preserve"> to adopt delegated acts in accordance with Article 6</w:t>
      </w:r>
      <w:r w:rsidR="00BA28B2" w:rsidRPr="008431A9">
        <w:rPr>
          <w:noProof/>
        </w:rPr>
        <w:t>6</w:t>
      </w:r>
      <w:r w:rsidR="2922AB78" w:rsidRPr="008431A9">
        <w:rPr>
          <w:noProof/>
        </w:rPr>
        <w:t xml:space="preserve"> </w:t>
      </w:r>
      <w:r w:rsidR="005E4CE4" w:rsidRPr="008431A9">
        <w:rPr>
          <w:noProof/>
        </w:rPr>
        <w:t xml:space="preserve">to supplement this Regulation by </w:t>
      </w:r>
      <w:r w:rsidR="2922AB78" w:rsidRPr="008431A9">
        <w:rPr>
          <w:noProof/>
        </w:rPr>
        <w:t>specifying:</w:t>
      </w:r>
    </w:p>
    <w:p w:rsidR="009A6A23" w:rsidRPr="008431A9" w:rsidRDefault="00B34B72" w:rsidP="00B34B72">
      <w:pPr>
        <w:pStyle w:val="Point1"/>
        <w:rPr>
          <w:noProof/>
        </w:rPr>
      </w:pPr>
      <w:r w:rsidRPr="00B34B72">
        <w:t>(a)</w:t>
      </w:r>
      <w:r w:rsidRPr="00B34B72">
        <w:tab/>
      </w:r>
      <w:r w:rsidR="26A39CEA" w:rsidRPr="008431A9">
        <w:rPr>
          <w:noProof/>
        </w:rPr>
        <w:t>the content of the notice of appeal referred to in paragraph 3 and the procedure for the filing and the examination of an appeal and</w:t>
      </w:r>
    </w:p>
    <w:p w:rsidR="009A6A23" w:rsidRPr="008431A9" w:rsidRDefault="00B34B72" w:rsidP="00B34B72">
      <w:pPr>
        <w:pStyle w:val="Point1"/>
        <w:rPr>
          <w:rFonts w:eastAsia="Calibri"/>
          <w:noProof/>
        </w:rPr>
      </w:pPr>
      <w:r w:rsidRPr="00B34B72">
        <w:t>(b)</w:t>
      </w:r>
      <w:r w:rsidRPr="00B34B72">
        <w:tab/>
      </w:r>
      <w:r w:rsidR="26A39CEA" w:rsidRPr="008431A9">
        <w:rPr>
          <w:noProof/>
        </w:rPr>
        <w:t>the content and the form of the Board of Appeal’s decisions as referred to in paragraph 5.</w:t>
      </w:r>
    </w:p>
    <w:p w:rsidR="00E775BE" w:rsidRPr="008431A9" w:rsidRDefault="00E775BE" w:rsidP="00BB1174">
      <w:pPr>
        <w:pStyle w:val="Titrearticle"/>
        <w:rPr>
          <w:noProof/>
          <w:lang w:val="en-US"/>
        </w:rPr>
      </w:pPr>
      <w:r w:rsidRPr="008431A9">
        <w:rPr>
          <w:noProof/>
          <w:lang w:val="en-US"/>
        </w:rPr>
        <w:t>Article 31</w:t>
      </w:r>
    </w:p>
    <w:p w:rsidR="00E775BE" w:rsidRPr="008431A9" w:rsidRDefault="00E775BE" w:rsidP="004C739C">
      <w:pPr>
        <w:pStyle w:val="NormalCentered"/>
        <w:rPr>
          <w:b/>
          <w:noProof/>
        </w:rPr>
      </w:pPr>
      <w:r w:rsidRPr="008431A9">
        <w:rPr>
          <w:b/>
          <w:noProof/>
        </w:rPr>
        <w:t>Establishment of a domain name information and alert system</w:t>
      </w:r>
    </w:p>
    <w:p w:rsidR="00E775BE" w:rsidRPr="008431A9" w:rsidRDefault="00B34B72" w:rsidP="00B34B72">
      <w:pPr>
        <w:pStyle w:val="ManualNumPar1"/>
        <w:rPr>
          <w:rFonts w:eastAsiaTheme="minorEastAsia"/>
          <w:noProof/>
          <w:lang w:val="en-US"/>
        </w:rPr>
      </w:pPr>
      <w:r w:rsidRPr="00B34B72">
        <w:t>1.</w:t>
      </w:r>
      <w:r w:rsidRPr="00B34B72">
        <w:tab/>
      </w:r>
      <w:r w:rsidR="183835EF" w:rsidRPr="008431A9">
        <w:rPr>
          <w:noProof/>
          <w:lang w:val="en-US"/>
        </w:rPr>
        <w:t xml:space="preserve">For domain names registered under a country-code top-level domain name, administered or managed by a registry established in the Union, the Office shall provide a domain name information and alert system. Upon submission of an application for a geographical indication, the information and alert system shall inform applicants for a geographical indication about the availability of their geographical indication as a domain name, and on an optional basis once a domain name </w:t>
      </w:r>
      <w:r w:rsidR="004C6DBC" w:rsidRPr="008431A9">
        <w:rPr>
          <w:noProof/>
          <w:lang w:val="en-US"/>
        </w:rPr>
        <w:t xml:space="preserve">containing an identical or similar name </w:t>
      </w:r>
      <w:r w:rsidR="00AF0848" w:rsidRPr="008431A9">
        <w:rPr>
          <w:noProof/>
          <w:lang w:val="en-US"/>
        </w:rPr>
        <w:t xml:space="preserve">with </w:t>
      </w:r>
      <w:r w:rsidR="183835EF" w:rsidRPr="008431A9">
        <w:rPr>
          <w:noProof/>
          <w:lang w:val="en-US"/>
        </w:rPr>
        <w:t>their geographical indication is registered (domain name alerts).</w:t>
      </w:r>
    </w:p>
    <w:p w:rsidR="00E775BE" w:rsidRPr="008431A9" w:rsidRDefault="00B34B72" w:rsidP="00B34B72">
      <w:pPr>
        <w:pStyle w:val="ManualNumPar1"/>
        <w:rPr>
          <w:rFonts w:eastAsia="Calibri"/>
          <w:noProof/>
          <w:u w:val="single"/>
          <w:lang w:val="en-US"/>
        </w:rPr>
      </w:pPr>
      <w:r w:rsidRPr="00B34B72">
        <w:t>2.</w:t>
      </w:r>
      <w:r w:rsidRPr="00B34B72">
        <w:tab/>
      </w:r>
      <w:r w:rsidR="183835EF" w:rsidRPr="008431A9">
        <w:rPr>
          <w:noProof/>
          <w:lang w:val="en-US"/>
        </w:rPr>
        <w:t>For the purposes of paragraph 1, country-code top-level domain name registries, established in the Union, shall provide the Office with all information and data in their possession necessary to run the domain name information and alert system.</w:t>
      </w:r>
    </w:p>
    <w:p w:rsidR="0042576E" w:rsidRPr="008431A9" w:rsidRDefault="0042576E" w:rsidP="00196242">
      <w:pPr>
        <w:pStyle w:val="SectionTitle"/>
        <w:rPr>
          <w:noProof/>
        </w:rPr>
      </w:pPr>
      <w:r w:rsidRPr="008431A9">
        <w:rPr>
          <w:i/>
          <w:noProof/>
        </w:rPr>
        <w:lastRenderedPageBreak/>
        <w:t>Section 2</w:t>
      </w:r>
      <w:r w:rsidR="00F02796" w:rsidRPr="008431A9">
        <w:rPr>
          <w:i/>
          <w:noProof/>
        </w:rPr>
        <w:br/>
      </w:r>
      <w:r w:rsidRPr="008431A9">
        <w:rPr>
          <w:i/>
          <w:noProof/>
        </w:rPr>
        <w:t>Organisation and tasks of the Office in relation to the geographical indications</w:t>
      </w:r>
    </w:p>
    <w:p w:rsidR="00E775BE" w:rsidRPr="008431A9" w:rsidRDefault="00E775BE" w:rsidP="00BB1174">
      <w:pPr>
        <w:pStyle w:val="Titrearticle"/>
        <w:rPr>
          <w:rFonts w:eastAsia="Calibri"/>
          <w:noProof/>
          <w:lang w:val="en-US"/>
        </w:rPr>
      </w:pPr>
      <w:r w:rsidRPr="008431A9">
        <w:rPr>
          <w:noProof/>
          <w:lang w:val="en-US"/>
        </w:rPr>
        <w:t>Article 32</w:t>
      </w:r>
    </w:p>
    <w:p w:rsidR="00E775BE" w:rsidRPr="008431A9" w:rsidRDefault="00E775BE" w:rsidP="004C739C">
      <w:pPr>
        <w:pStyle w:val="NormalCentered"/>
        <w:rPr>
          <w:b/>
          <w:noProof/>
        </w:rPr>
      </w:pPr>
      <w:r w:rsidRPr="008431A9">
        <w:rPr>
          <w:b/>
          <w:noProof/>
        </w:rPr>
        <w:t>Geographical Indications Division</w:t>
      </w:r>
    </w:p>
    <w:p w:rsidR="00E775BE" w:rsidRPr="008431A9" w:rsidRDefault="00B34B72" w:rsidP="00B34B72">
      <w:pPr>
        <w:pStyle w:val="ManualNumPar1"/>
        <w:rPr>
          <w:rFonts w:eastAsiaTheme="minorEastAsia"/>
          <w:noProof/>
          <w:szCs w:val="24"/>
        </w:rPr>
      </w:pPr>
      <w:r w:rsidRPr="00B34B72">
        <w:t>1.</w:t>
      </w:r>
      <w:r w:rsidRPr="00B34B72">
        <w:tab/>
      </w:r>
      <w:r w:rsidR="183835EF" w:rsidRPr="008431A9">
        <w:rPr>
          <w:noProof/>
          <w:lang w:val="en-US"/>
        </w:rPr>
        <w:t>A</w:t>
      </w:r>
      <w:r w:rsidR="183835EF" w:rsidRPr="008431A9">
        <w:rPr>
          <w:noProof/>
        </w:rPr>
        <w:t xml:space="preserve"> Geographical Indications Division</w:t>
      </w:r>
      <w:r w:rsidR="00A21064" w:rsidRPr="008431A9">
        <w:rPr>
          <w:noProof/>
        </w:rPr>
        <w:t>, as a department of the Office,</w:t>
      </w:r>
      <w:r w:rsidR="183835EF" w:rsidRPr="008431A9">
        <w:rPr>
          <w:noProof/>
        </w:rPr>
        <w:t xml:space="preserve"> shall be responsible for taking decisions on behalf of the Office in relation to:</w:t>
      </w:r>
    </w:p>
    <w:p w:rsidR="00FC3137" w:rsidRPr="008431A9" w:rsidRDefault="00B34B72" w:rsidP="00B34B72">
      <w:pPr>
        <w:pStyle w:val="Point1"/>
        <w:rPr>
          <w:noProof/>
        </w:rPr>
      </w:pPr>
      <w:r w:rsidRPr="00B34B72">
        <w:t>(a)</w:t>
      </w:r>
      <w:r w:rsidRPr="00B34B72">
        <w:tab/>
      </w:r>
      <w:r w:rsidR="009775D6" w:rsidRPr="008431A9">
        <w:rPr>
          <w:noProof/>
        </w:rPr>
        <w:t>a</w:t>
      </w:r>
      <w:r w:rsidR="6A4C2A4F" w:rsidRPr="008431A9">
        <w:rPr>
          <w:noProof/>
        </w:rPr>
        <w:t>n application for registration of a geographical indication;</w:t>
      </w:r>
    </w:p>
    <w:p w:rsidR="00E775BE" w:rsidRPr="008431A9" w:rsidRDefault="00B34B72" w:rsidP="00B34B72">
      <w:pPr>
        <w:pStyle w:val="Point1"/>
        <w:rPr>
          <w:rFonts w:eastAsiaTheme="minorEastAsia"/>
          <w:noProof/>
        </w:rPr>
      </w:pPr>
      <w:r w:rsidRPr="00B34B72">
        <w:t>(b)</w:t>
      </w:r>
      <w:r w:rsidRPr="00B34B72">
        <w:tab/>
      </w:r>
      <w:r w:rsidR="009775D6" w:rsidRPr="008431A9">
        <w:rPr>
          <w:noProof/>
        </w:rPr>
        <w:t>a</w:t>
      </w:r>
      <w:r w:rsidR="67833288" w:rsidRPr="008431A9">
        <w:rPr>
          <w:noProof/>
        </w:rPr>
        <w:t>n application for amendment of a geographical indication;</w:t>
      </w:r>
    </w:p>
    <w:p w:rsidR="00E775BE" w:rsidRPr="008431A9" w:rsidRDefault="00B34B72" w:rsidP="00B34B72">
      <w:pPr>
        <w:pStyle w:val="Point1"/>
        <w:rPr>
          <w:rFonts w:eastAsiaTheme="minorEastAsia"/>
          <w:noProof/>
        </w:rPr>
      </w:pPr>
      <w:r w:rsidRPr="00B34B72">
        <w:t>(c)</w:t>
      </w:r>
      <w:r w:rsidRPr="00B34B72">
        <w:tab/>
      </w:r>
      <w:r w:rsidR="009775D6" w:rsidRPr="008431A9">
        <w:rPr>
          <w:noProof/>
        </w:rPr>
        <w:t>a</w:t>
      </w:r>
      <w:r w:rsidR="67833288" w:rsidRPr="008431A9">
        <w:rPr>
          <w:noProof/>
        </w:rPr>
        <w:t>n opposition to an application to register or amend a geographical indication;</w:t>
      </w:r>
    </w:p>
    <w:p w:rsidR="00E775BE" w:rsidRPr="008431A9" w:rsidRDefault="00B34B72" w:rsidP="00B34B72">
      <w:pPr>
        <w:pStyle w:val="Point1"/>
        <w:rPr>
          <w:rFonts w:eastAsiaTheme="minorEastAsia"/>
          <w:noProof/>
        </w:rPr>
      </w:pPr>
      <w:r w:rsidRPr="00B34B72">
        <w:t>(d)</w:t>
      </w:r>
      <w:r w:rsidRPr="00B34B72">
        <w:tab/>
      </w:r>
      <w:r w:rsidR="009775D6" w:rsidRPr="008431A9">
        <w:rPr>
          <w:noProof/>
        </w:rPr>
        <w:t>e</w:t>
      </w:r>
      <w:r w:rsidR="67833288" w:rsidRPr="008431A9">
        <w:rPr>
          <w:noProof/>
        </w:rPr>
        <w:t xml:space="preserve">ntries in the </w:t>
      </w:r>
      <w:r w:rsidR="000D65CD" w:rsidRPr="008431A9">
        <w:rPr>
          <w:noProof/>
        </w:rPr>
        <w:t xml:space="preserve">Union </w:t>
      </w:r>
      <w:r w:rsidR="005F6945" w:rsidRPr="008431A9">
        <w:rPr>
          <w:noProof/>
        </w:rPr>
        <w:t>r</w:t>
      </w:r>
      <w:r w:rsidR="67833288" w:rsidRPr="008431A9">
        <w:rPr>
          <w:noProof/>
        </w:rPr>
        <w:t xml:space="preserve">egister </w:t>
      </w:r>
      <w:r w:rsidR="005F6945" w:rsidRPr="008431A9">
        <w:rPr>
          <w:noProof/>
        </w:rPr>
        <w:t>of</w:t>
      </w:r>
      <w:r w:rsidR="67833288" w:rsidRPr="008431A9">
        <w:rPr>
          <w:noProof/>
        </w:rPr>
        <w:t xml:space="preserve"> geographical indication</w:t>
      </w:r>
      <w:r w:rsidR="005F6945" w:rsidRPr="008431A9">
        <w:rPr>
          <w:noProof/>
        </w:rPr>
        <w:t xml:space="preserve"> for craft and industrial products</w:t>
      </w:r>
      <w:r w:rsidR="67833288" w:rsidRPr="008431A9">
        <w:rPr>
          <w:noProof/>
        </w:rPr>
        <w:t>;</w:t>
      </w:r>
    </w:p>
    <w:p w:rsidR="00E775BE" w:rsidRPr="008431A9" w:rsidRDefault="00B34B72" w:rsidP="00B34B72">
      <w:pPr>
        <w:pStyle w:val="Point1"/>
        <w:rPr>
          <w:rFonts w:eastAsiaTheme="minorEastAsia"/>
          <w:noProof/>
        </w:rPr>
      </w:pPr>
      <w:r w:rsidRPr="00B34B72">
        <w:t>(e)</w:t>
      </w:r>
      <w:r w:rsidRPr="00B34B72">
        <w:tab/>
      </w:r>
      <w:r w:rsidR="009775D6" w:rsidRPr="008431A9">
        <w:rPr>
          <w:noProof/>
        </w:rPr>
        <w:t>r</w:t>
      </w:r>
      <w:r w:rsidR="67833288" w:rsidRPr="008431A9">
        <w:rPr>
          <w:noProof/>
        </w:rPr>
        <w:t>equests for cancellation of a geographical indication.</w:t>
      </w:r>
    </w:p>
    <w:p w:rsidR="00E775BE" w:rsidRPr="008431A9" w:rsidRDefault="00B34B72" w:rsidP="00B34B72">
      <w:pPr>
        <w:pStyle w:val="ManualNumPar1"/>
        <w:rPr>
          <w:noProof/>
          <w:lang w:val="en-US"/>
        </w:rPr>
      </w:pPr>
      <w:r w:rsidRPr="00B34B72">
        <w:t>2.</w:t>
      </w:r>
      <w:r w:rsidRPr="00B34B72">
        <w:tab/>
      </w:r>
      <w:r w:rsidR="183835EF" w:rsidRPr="008431A9">
        <w:rPr>
          <w:noProof/>
          <w:lang w:val="en-US"/>
        </w:rPr>
        <w:t xml:space="preserve">Opposition and cancellation decisions shall be taken by </w:t>
      </w:r>
      <w:r w:rsidR="6F8C5E31" w:rsidRPr="008431A9">
        <w:rPr>
          <w:noProof/>
          <w:lang w:val="en-US"/>
        </w:rPr>
        <w:t xml:space="preserve">a panel </w:t>
      </w:r>
      <w:r w:rsidR="4AA10DBB" w:rsidRPr="008431A9">
        <w:rPr>
          <w:noProof/>
          <w:lang w:val="en-US"/>
        </w:rPr>
        <w:t>of</w:t>
      </w:r>
      <w:r w:rsidR="6F8C5E31" w:rsidRPr="008431A9">
        <w:rPr>
          <w:noProof/>
          <w:lang w:val="en-US"/>
        </w:rPr>
        <w:t xml:space="preserve"> three members</w:t>
      </w:r>
      <w:r w:rsidR="183835EF" w:rsidRPr="008431A9">
        <w:rPr>
          <w:noProof/>
          <w:lang w:val="en-US"/>
        </w:rPr>
        <w:t>. At least one member shall be legally qualified. Al</w:t>
      </w:r>
      <w:r w:rsidR="009775D6" w:rsidRPr="008431A9">
        <w:rPr>
          <w:noProof/>
          <w:lang w:val="en-US"/>
        </w:rPr>
        <w:t xml:space="preserve">l other decisions of paragraph </w:t>
      </w:r>
      <w:r w:rsidR="183835EF" w:rsidRPr="008431A9">
        <w:rPr>
          <w:noProof/>
          <w:lang w:val="en-US"/>
        </w:rPr>
        <w:t>1 shall be taken by a single member.</w:t>
      </w:r>
    </w:p>
    <w:p w:rsidR="00A21064" w:rsidRPr="008431A9" w:rsidRDefault="00A21064" w:rsidP="00425C71">
      <w:pPr>
        <w:pStyle w:val="Titrearticle"/>
        <w:rPr>
          <w:noProof/>
          <w:lang w:val="en-US"/>
        </w:rPr>
      </w:pPr>
      <w:r w:rsidRPr="008431A9">
        <w:rPr>
          <w:noProof/>
          <w:lang w:val="en-US"/>
        </w:rPr>
        <w:t>Article 33</w:t>
      </w:r>
    </w:p>
    <w:p w:rsidR="00A21064" w:rsidRPr="008431A9" w:rsidRDefault="00A21064" w:rsidP="00425C71">
      <w:pPr>
        <w:pStyle w:val="NormalCentered"/>
        <w:rPr>
          <w:b/>
          <w:noProof/>
        </w:rPr>
      </w:pPr>
      <w:r w:rsidRPr="008431A9">
        <w:rPr>
          <w:b/>
          <w:noProof/>
        </w:rPr>
        <w:t>Geographical Indications Advisory Board</w:t>
      </w:r>
    </w:p>
    <w:p w:rsidR="00A21064" w:rsidRPr="008431A9" w:rsidRDefault="00B34B72" w:rsidP="00B34B72">
      <w:pPr>
        <w:pStyle w:val="ManualNumPar1"/>
        <w:rPr>
          <w:noProof/>
          <w:lang w:val="en-US"/>
        </w:rPr>
      </w:pPr>
      <w:r w:rsidRPr="00B34B72">
        <w:t>1.</w:t>
      </w:r>
      <w:r w:rsidRPr="00B34B72">
        <w:tab/>
      </w:r>
      <w:r w:rsidR="00A21064" w:rsidRPr="008431A9">
        <w:rPr>
          <w:noProof/>
          <w:lang w:val="en-US"/>
        </w:rPr>
        <w:t xml:space="preserve">An Advisory Board is set up to deliver an opinion where provided for in this Regulation. </w:t>
      </w:r>
    </w:p>
    <w:p w:rsidR="00A21064" w:rsidRPr="008431A9" w:rsidRDefault="00B34B72" w:rsidP="00B34B72">
      <w:pPr>
        <w:pStyle w:val="ManualNumPar1"/>
        <w:rPr>
          <w:noProof/>
          <w:lang w:val="en-US"/>
        </w:rPr>
      </w:pPr>
      <w:r w:rsidRPr="00B34B72">
        <w:t>2.</w:t>
      </w:r>
      <w:r w:rsidRPr="00B34B72">
        <w:tab/>
      </w:r>
      <w:r w:rsidR="00FE65D9" w:rsidRPr="008431A9">
        <w:rPr>
          <w:noProof/>
          <w:lang w:val="en-US"/>
        </w:rPr>
        <w:t>T</w:t>
      </w:r>
      <w:r w:rsidR="00A21064" w:rsidRPr="008431A9">
        <w:rPr>
          <w:noProof/>
          <w:lang w:val="en-US"/>
        </w:rPr>
        <w:t xml:space="preserve">he Geographical Indications Division and the Boards of Appeal as referred to in Article 32 and 34 </w:t>
      </w:r>
      <w:r w:rsidR="00031ED2" w:rsidRPr="008431A9">
        <w:rPr>
          <w:noProof/>
          <w:lang w:val="en-US"/>
        </w:rPr>
        <w:t>may</w:t>
      </w:r>
      <w:r w:rsidR="00FE65D9" w:rsidRPr="008431A9">
        <w:rPr>
          <w:noProof/>
          <w:lang w:val="en-US"/>
        </w:rPr>
        <w:t xml:space="preserve">, and, at the request of the Commission shall, </w:t>
      </w:r>
      <w:r w:rsidR="00A21064" w:rsidRPr="008431A9">
        <w:rPr>
          <w:noProof/>
          <w:lang w:val="en-US"/>
        </w:rPr>
        <w:t xml:space="preserve">consult the Advisory Board concerning individual applications at any stage of the examination, opposition or the appeal procedure as referred to in Articles 19, 21 and 30 as well as concerning </w:t>
      </w:r>
      <w:r w:rsidR="009775D6" w:rsidRPr="008431A9">
        <w:rPr>
          <w:noProof/>
          <w:lang w:val="en-US"/>
        </w:rPr>
        <w:t>the following matters</w:t>
      </w:r>
      <w:r w:rsidR="00A21064" w:rsidRPr="008431A9">
        <w:rPr>
          <w:noProof/>
          <w:lang w:val="en-US"/>
        </w:rPr>
        <w:t xml:space="preserve">: </w:t>
      </w:r>
    </w:p>
    <w:p w:rsidR="00A21064" w:rsidRPr="008431A9" w:rsidRDefault="00B34B72" w:rsidP="00B34B72">
      <w:pPr>
        <w:pStyle w:val="Point1"/>
        <w:rPr>
          <w:noProof/>
          <w:lang w:val="en-US"/>
        </w:rPr>
      </w:pPr>
      <w:r w:rsidRPr="00B34B72">
        <w:t>(a)</w:t>
      </w:r>
      <w:r w:rsidRPr="00B34B72">
        <w:tab/>
      </w:r>
      <w:r w:rsidR="00A21064" w:rsidRPr="008431A9">
        <w:rPr>
          <w:noProof/>
          <w:lang w:val="en-US"/>
        </w:rPr>
        <w:t>the assessment of the quality criteria;</w:t>
      </w:r>
    </w:p>
    <w:p w:rsidR="00A21064" w:rsidRPr="008431A9" w:rsidRDefault="00B34B72" w:rsidP="00B34B72">
      <w:pPr>
        <w:pStyle w:val="Point1"/>
        <w:rPr>
          <w:noProof/>
          <w:lang w:val="en-US"/>
        </w:rPr>
      </w:pPr>
      <w:r w:rsidRPr="00B34B72">
        <w:t>(b)</w:t>
      </w:r>
      <w:r w:rsidRPr="00B34B72">
        <w:tab/>
      </w:r>
      <w:r w:rsidR="00A21064" w:rsidRPr="008431A9">
        <w:rPr>
          <w:noProof/>
          <w:lang w:val="en-US"/>
        </w:rPr>
        <w:t>the establishment of reputation and renown;</w:t>
      </w:r>
    </w:p>
    <w:p w:rsidR="00A21064" w:rsidRPr="008431A9" w:rsidRDefault="00B34B72" w:rsidP="00B34B72">
      <w:pPr>
        <w:pStyle w:val="Point1"/>
        <w:rPr>
          <w:noProof/>
          <w:lang w:val="en-US"/>
        </w:rPr>
      </w:pPr>
      <w:r w:rsidRPr="00B34B72">
        <w:t>(c)</w:t>
      </w:r>
      <w:r w:rsidRPr="00B34B72">
        <w:tab/>
      </w:r>
      <w:r w:rsidR="00A21064" w:rsidRPr="008431A9">
        <w:rPr>
          <w:noProof/>
          <w:lang w:val="en-US"/>
        </w:rPr>
        <w:t xml:space="preserve">the determination of the generic nature of the name; </w:t>
      </w:r>
    </w:p>
    <w:p w:rsidR="00A21064" w:rsidRPr="008431A9" w:rsidRDefault="00B34B72" w:rsidP="00B34B72">
      <w:pPr>
        <w:pStyle w:val="Point1"/>
        <w:rPr>
          <w:noProof/>
          <w:lang w:val="en-US"/>
        </w:rPr>
      </w:pPr>
      <w:r w:rsidRPr="00B34B72">
        <w:t>(d)</w:t>
      </w:r>
      <w:r w:rsidRPr="00B34B72">
        <w:tab/>
      </w:r>
      <w:r w:rsidR="00A21064" w:rsidRPr="008431A9">
        <w:rPr>
          <w:noProof/>
          <w:lang w:val="en-US"/>
        </w:rPr>
        <w:t>the assessment of fair competition in commercial transactions and the risk of confusing consumers in cases of conflict between geographical indications and trade marks, homonyms or existing products which are legally marketed.</w:t>
      </w:r>
    </w:p>
    <w:p w:rsidR="00A21064" w:rsidRPr="008431A9" w:rsidRDefault="00B34B72" w:rsidP="00B34B72">
      <w:pPr>
        <w:pStyle w:val="ManualNumPar1"/>
        <w:rPr>
          <w:noProof/>
        </w:rPr>
      </w:pPr>
      <w:r w:rsidRPr="00B34B72">
        <w:t>3.</w:t>
      </w:r>
      <w:r w:rsidRPr="00B34B72">
        <w:tab/>
      </w:r>
      <w:r w:rsidR="00A21064" w:rsidRPr="008431A9">
        <w:rPr>
          <w:noProof/>
        </w:rPr>
        <w:t xml:space="preserve">The Geographical Indications Division and the Boards of Appeal shall consult the Advisory Board concerning the </w:t>
      </w:r>
      <w:r w:rsidR="009775D6" w:rsidRPr="008431A9">
        <w:rPr>
          <w:noProof/>
        </w:rPr>
        <w:t>possible registration</w:t>
      </w:r>
      <w:r w:rsidR="00A21064" w:rsidRPr="008431A9">
        <w:rPr>
          <w:noProof/>
        </w:rPr>
        <w:t xml:space="preserve"> of all individual applications submitted through the direct registration procedure referred to in Article 15.</w:t>
      </w:r>
    </w:p>
    <w:p w:rsidR="00A21064" w:rsidRPr="008431A9" w:rsidRDefault="00B34B72" w:rsidP="00B34B72">
      <w:pPr>
        <w:pStyle w:val="ManualNumPar1"/>
        <w:rPr>
          <w:noProof/>
        </w:rPr>
      </w:pPr>
      <w:r w:rsidRPr="00B34B72">
        <w:t>4.</w:t>
      </w:r>
      <w:r w:rsidRPr="00B34B72">
        <w:tab/>
      </w:r>
      <w:r w:rsidR="00A21064" w:rsidRPr="008431A9">
        <w:rPr>
          <w:noProof/>
        </w:rPr>
        <w:t xml:space="preserve">The opinions of the Advisory Board shall not be binding on the Geographical Indications Division and the Boards of Appeal. </w:t>
      </w:r>
    </w:p>
    <w:p w:rsidR="00A21064" w:rsidRPr="008431A9" w:rsidRDefault="00B34B72" w:rsidP="00B34B72">
      <w:pPr>
        <w:pStyle w:val="ManualNumPar1"/>
        <w:rPr>
          <w:noProof/>
        </w:rPr>
      </w:pPr>
      <w:r w:rsidRPr="00B34B72">
        <w:t>5.</w:t>
      </w:r>
      <w:r w:rsidRPr="00B34B72">
        <w:tab/>
      </w:r>
      <w:r w:rsidR="00A21064" w:rsidRPr="008431A9">
        <w:rPr>
          <w:noProof/>
        </w:rPr>
        <w:t>The Advisory Board shall be composed of one representative of each Member State and one representatives of the Commission and their respective alternates.</w:t>
      </w:r>
    </w:p>
    <w:p w:rsidR="009F303D" w:rsidRPr="008431A9" w:rsidRDefault="00B34B72" w:rsidP="00B34B72">
      <w:pPr>
        <w:pStyle w:val="ManualNumPar1"/>
        <w:rPr>
          <w:noProof/>
        </w:rPr>
      </w:pPr>
      <w:r w:rsidRPr="00B34B72">
        <w:t>6.</w:t>
      </w:r>
      <w:r w:rsidRPr="00B34B72">
        <w:tab/>
      </w:r>
      <w:r w:rsidR="009F303D" w:rsidRPr="008431A9">
        <w:rPr>
          <w:noProof/>
        </w:rPr>
        <w:t xml:space="preserve">The opinion of the Advisory Board shall be delivered in a panel of three members. </w:t>
      </w:r>
    </w:p>
    <w:p w:rsidR="00A21064" w:rsidRPr="008431A9" w:rsidRDefault="00B34B72" w:rsidP="00B34B72">
      <w:pPr>
        <w:pStyle w:val="ManualNumPar1"/>
        <w:rPr>
          <w:noProof/>
        </w:rPr>
      </w:pPr>
      <w:r w:rsidRPr="00B34B72">
        <w:lastRenderedPageBreak/>
        <w:t>7.</w:t>
      </w:r>
      <w:r w:rsidRPr="00B34B72">
        <w:tab/>
      </w:r>
      <w:r w:rsidR="00A21064" w:rsidRPr="008431A9">
        <w:rPr>
          <w:noProof/>
        </w:rPr>
        <w:t>The</w:t>
      </w:r>
      <w:r w:rsidR="009775D6" w:rsidRPr="008431A9">
        <w:rPr>
          <w:noProof/>
        </w:rPr>
        <w:t xml:space="preserve"> Office shall make public the</w:t>
      </w:r>
      <w:r w:rsidR="00A21064" w:rsidRPr="008431A9">
        <w:rPr>
          <w:noProof/>
        </w:rPr>
        <w:t xml:space="preserve"> list of members of the Advisory Board </w:t>
      </w:r>
      <w:r w:rsidR="009775D6" w:rsidRPr="008431A9">
        <w:rPr>
          <w:noProof/>
        </w:rPr>
        <w:t>on its website</w:t>
      </w:r>
      <w:r w:rsidR="00A21064" w:rsidRPr="008431A9">
        <w:rPr>
          <w:noProof/>
        </w:rPr>
        <w:t xml:space="preserve"> and shall </w:t>
      </w:r>
      <w:r w:rsidR="009775D6" w:rsidRPr="008431A9">
        <w:rPr>
          <w:noProof/>
        </w:rPr>
        <w:t>keep that list up-to-date</w:t>
      </w:r>
      <w:r w:rsidR="00A21064" w:rsidRPr="008431A9">
        <w:rPr>
          <w:noProof/>
        </w:rPr>
        <w:t>.</w:t>
      </w:r>
    </w:p>
    <w:p w:rsidR="00A21064" w:rsidRPr="008431A9" w:rsidRDefault="00B34B72" w:rsidP="00B34B72">
      <w:pPr>
        <w:pStyle w:val="ManualNumPar1"/>
        <w:rPr>
          <w:noProof/>
        </w:rPr>
      </w:pPr>
      <w:r w:rsidRPr="00B34B72">
        <w:t>8.</w:t>
      </w:r>
      <w:r w:rsidRPr="00B34B72">
        <w:tab/>
      </w:r>
      <w:r w:rsidR="00A21064" w:rsidRPr="008431A9">
        <w:rPr>
          <w:noProof/>
        </w:rPr>
        <w:t xml:space="preserve">Procedures concerning the appointment of the members of the Advisory Board and its operation shall be specified in </w:t>
      </w:r>
      <w:r w:rsidR="009F303D" w:rsidRPr="008431A9">
        <w:rPr>
          <w:noProof/>
        </w:rPr>
        <w:t xml:space="preserve">its rules of procedures as approved by </w:t>
      </w:r>
      <w:r w:rsidR="00A21064" w:rsidRPr="008431A9">
        <w:rPr>
          <w:noProof/>
        </w:rPr>
        <w:t>the Management Board and shall be made public.</w:t>
      </w:r>
    </w:p>
    <w:p w:rsidR="00A21064" w:rsidRPr="008431A9" w:rsidRDefault="00B34B72" w:rsidP="00B34B72">
      <w:pPr>
        <w:pStyle w:val="ManualNumPar1"/>
        <w:rPr>
          <w:noProof/>
        </w:rPr>
      </w:pPr>
      <w:r w:rsidRPr="00B34B72">
        <w:t>9.</w:t>
      </w:r>
      <w:r w:rsidRPr="00B34B72">
        <w:tab/>
      </w:r>
      <w:r w:rsidR="00A21064" w:rsidRPr="008431A9">
        <w:rPr>
          <w:noProof/>
        </w:rPr>
        <w:t xml:space="preserve">The mandates of members of the Advisory Board shall be </w:t>
      </w:r>
      <w:r w:rsidR="00031ED2" w:rsidRPr="008431A9">
        <w:rPr>
          <w:noProof/>
        </w:rPr>
        <w:t xml:space="preserve">up to </w:t>
      </w:r>
      <w:r w:rsidR="00A21064" w:rsidRPr="008431A9">
        <w:rPr>
          <w:noProof/>
        </w:rPr>
        <w:t xml:space="preserve">5 years. Those mandates </w:t>
      </w:r>
      <w:r w:rsidR="00031ED2" w:rsidRPr="008431A9">
        <w:rPr>
          <w:noProof/>
        </w:rPr>
        <w:t xml:space="preserve">may </w:t>
      </w:r>
      <w:r w:rsidR="00A21064" w:rsidRPr="008431A9">
        <w:rPr>
          <w:noProof/>
        </w:rPr>
        <w:t>be renewable.</w:t>
      </w:r>
    </w:p>
    <w:p w:rsidR="00A21064" w:rsidRPr="008431A9" w:rsidRDefault="00B34B72" w:rsidP="00B34B72">
      <w:pPr>
        <w:pStyle w:val="ManualNumPar1"/>
        <w:rPr>
          <w:noProof/>
          <w:lang w:val="en-US"/>
        </w:rPr>
      </w:pPr>
      <w:r w:rsidRPr="00B34B72">
        <w:t>10.</w:t>
      </w:r>
      <w:r w:rsidRPr="00B34B72">
        <w:tab/>
      </w:r>
      <w:r w:rsidR="00A21064" w:rsidRPr="008431A9">
        <w:rPr>
          <w:noProof/>
        </w:rPr>
        <w:t>The Office shall provide the logistic support necessary for the Advisory Board and provide a secretariat for its meetings</w:t>
      </w:r>
      <w:r w:rsidR="00A21064" w:rsidRPr="008431A9">
        <w:rPr>
          <w:noProof/>
          <w:lang w:val="en-US"/>
        </w:rPr>
        <w:t>.</w:t>
      </w:r>
    </w:p>
    <w:p w:rsidR="00E775BE" w:rsidRPr="008431A9" w:rsidRDefault="00E775BE" w:rsidP="00BB1174">
      <w:pPr>
        <w:pStyle w:val="Titrearticle"/>
        <w:rPr>
          <w:rFonts w:eastAsia="Calibri"/>
          <w:noProof/>
          <w:lang w:val="en-US"/>
        </w:rPr>
      </w:pPr>
      <w:r w:rsidRPr="008431A9">
        <w:rPr>
          <w:noProof/>
          <w:lang w:val="en-US"/>
        </w:rPr>
        <w:t>Article 34</w:t>
      </w:r>
    </w:p>
    <w:p w:rsidR="00E775BE" w:rsidRPr="008431A9" w:rsidRDefault="00E775BE" w:rsidP="004C739C">
      <w:pPr>
        <w:pStyle w:val="NormalCentered"/>
        <w:rPr>
          <w:b/>
          <w:noProof/>
        </w:rPr>
      </w:pPr>
      <w:r w:rsidRPr="008431A9">
        <w:rPr>
          <w:b/>
          <w:noProof/>
        </w:rPr>
        <w:t>Boards of Appeal</w:t>
      </w:r>
    </w:p>
    <w:p w:rsidR="00E775BE" w:rsidRPr="008431A9" w:rsidRDefault="00E775BE" w:rsidP="00E775BE">
      <w:pPr>
        <w:spacing w:line="257" w:lineRule="auto"/>
        <w:rPr>
          <w:rFonts w:eastAsia="Calibri"/>
          <w:noProof/>
          <w:szCs w:val="24"/>
          <w:lang w:val="en-US"/>
        </w:rPr>
      </w:pPr>
      <w:r w:rsidRPr="008431A9">
        <w:rPr>
          <w:rFonts w:eastAsia="Times New Roman"/>
          <w:noProof/>
          <w:szCs w:val="24"/>
        </w:rPr>
        <w:t>In addition to the powers conferred upon it by Article 165 of Regulation (EU) 2017/1001, the Boards of Appeal instituted by that Regulation shall be responsible for deciding on appeals from decisions of the Geographical Indications Division as regards their decisions concerning geographical indications subject to Article 28</w:t>
      </w:r>
      <w:r w:rsidR="009775D6" w:rsidRPr="008431A9">
        <w:rPr>
          <w:rFonts w:eastAsia="Times New Roman"/>
          <w:noProof/>
          <w:szCs w:val="24"/>
        </w:rPr>
        <w:t xml:space="preserve"> of this Regulation</w:t>
      </w:r>
      <w:r w:rsidRPr="008431A9">
        <w:rPr>
          <w:rFonts w:eastAsia="Times New Roman"/>
          <w:noProof/>
          <w:szCs w:val="24"/>
        </w:rPr>
        <w:t>.</w:t>
      </w:r>
    </w:p>
    <w:p w:rsidR="00E775BE" w:rsidRPr="008431A9" w:rsidRDefault="00E775BE" w:rsidP="00C4212C">
      <w:pPr>
        <w:pStyle w:val="PartTitle"/>
        <w:rPr>
          <w:bCs/>
          <w:noProof/>
          <w:sz w:val="24"/>
          <w:szCs w:val="24"/>
          <w:lang w:val="en-US"/>
        </w:rPr>
      </w:pPr>
      <w:r w:rsidRPr="008431A9">
        <w:rPr>
          <w:noProof/>
          <w:sz w:val="24"/>
          <w:szCs w:val="24"/>
          <w:lang w:val="en-US"/>
        </w:rPr>
        <w:lastRenderedPageBreak/>
        <w:t>TITLE III</w:t>
      </w:r>
      <w:r w:rsidR="00C4212C" w:rsidRPr="008431A9">
        <w:rPr>
          <w:noProof/>
          <w:sz w:val="24"/>
          <w:szCs w:val="24"/>
          <w:lang w:val="en-US"/>
        </w:rPr>
        <w:br/>
      </w:r>
      <w:r w:rsidRPr="008431A9">
        <w:rPr>
          <w:bCs/>
          <w:noProof/>
          <w:sz w:val="24"/>
          <w:szCs w:val="24"/>
          <w:lang w:val="en-US"/>
        </w:rPr>
        <w:t>PROTECTION OF GEOGRAPHICAL INDICATION</w:t>
      </w:r>
      <w:r w:rsidR="00B754F3" w:rsidRPr="008431A9">
        <w:rPr>
          <w:bCs/>
          <w:noProof/>
          <w:sz w:val="24"/>
          <w:szCs w:val="24"/>
          <w:lang w:val="en-US"/>
        </w:rPr>
        <w:t>S</w:t>
      </w:r>
    </w:p>
    <w:p w:rsidR="00E775BE" w:rsidRPr="008431A9" w:rsidRDefault="00E775BE" w:rsidP="00BB1174">
      <w:pPr>
        <w:pStyle w:val="Titrearticle"/>
        <w:rPr>
          <w:noProof/>
          <w:lang w:val="en-US"/>
        </w:rPr>
      </w:pPr>
      <w:r w:rsidRPr="008431A9">
        <w:rPr>
          <w:noProof/>
          <w:lang w:val="en-US"/>
        </w:rPr>
        <w:t>Article 35</w:t>
      </w:r>
    </w:p>
    <w:p w:rsidR="00E775BE" w:rsidRPr="008431A9" w:rsidRDefault="00E775BE" w:rsidP="004C739C">
      <w:pPr>
        <w:pStyle w:val="NormalCentered"/>
        <w:rPr>
          <w:b/>
          <w:noProof/>
        </w:rPr>
      </w:pPr>
      <w:r w:rsidRPr="008431A9">
        <w:rPr>
          <w:b/>
          <w:noProof/>
        </w:rPr>
        <w:t>Protection</w:t>
      </w:r>
      <w:r w:rsidR="00DA41CE" w:rsidRPr="008431A9">
        <w:rPr>
          <w:b/>
          <w:noProof/>
        </w:rPr>
        <w:t xml:space="preserve"> of geographical indications</w:t>
      </w:r>
    </w:p>
    <w:p w:rsidR="00E775BE" w:rsidRPr="008431A9" w:rsidRDefault="00B34B72" w:rsidP="00B34B72">
      <w:pPr>
        <w:pStyle w:val="ManualNumPar1"/>
        <w:rPr>
          <w:rFonts w:eastAsiaTheme="minorEastAsia"/>
          <w:noProof/>
        </w:rPr>
      </w:pPr>
      <w:r w:rsidRPr="00B34B72">
        <w:t>1.</w:t>
      </w:r>
      <w:r w:rsidRPr="00B34B72">
        <w:tab/>
      </w:r>
      <w:r w:rsidR="183835EF" w:rsidRPr="008431A9">
        <w:rPr>
          <w:noProof/>
        </w:rPr>
        <w:t xml:space="preserve">Geographical indications entered in the </w:t>
      </w:r>
      <w:r w:rsidR="27EEF7E3" w:rsidRPr="008431A9">
        <w:rPr>
          <w:noProof/>
        </w:rPr>
        <w:t xml:space="preserve">Union </w:t>
      </w:r>
      <w:r w:rsidR="001B7CC4" w:rsidRPr="008431A9">
        <w:rPr>
          <w:noProof/>
        </w:rPr>
        <w:t>r</w:t>
      </w:r>
      <w:r w:rsidR="183835EF" w:rsidRPr="008431A9">
        <w:rPr>
          <w:noProof/>
        </w:rPr>
        <w:t>egister of geographical indications</w:t>
      </w:r>
      <w:r w:rsidR="00B754F3" w:rsidRPr="008431A9">
        <w:rPr>
          <w:noProof/>
        </w:rPr>
        <w:t xml:space="preserve"> for craft and industrial products</w:t>
      </w:r>
      <w:r w:rsidR="183835EF" w:rsidRPr="008431A9">
        <w:rPr>
          <w:noProof/>
        </w:rPr>
        <w:t xml:space="preserve"> shall be protected against: </w:t>
      </w:r>
    </w:p>
    <w:p w:rsidR="00E775BE" w:rsidRPr="008431A9" w:rsidRDefault="00B34B72" w:rsidP="00B34B72">
      <w:pPr>
        <w:pStyle w:val="Point1"/>
        <w:rPr>
          <w:noProof/>
        </w:rPr>
      </w:pPr>
      <w:r w:rsidRPr="00B34B72">
        <w:t>(a)</w:t>
      </w:r>
      <w:r w:rsidRPr="00B34B72">
        <w:tab/>
      </w:r>
      <w:r w:rsidR="67833288" w:rsidRPr="008431A9">
        <w:rPr>
          <w:noProof/>
        </w:rPr>
        <w:t xml:space="preserve">any direct or indirect commercial use of the geographical indication in respect of products not covered by the registration, where those products are </w:t>
      </w:r>
      <w:r w:rsidR="002D63BE" w:rsidRPr="008431A9">
        <w:rPr>
          <w:noProof/>
        </w:rPr>
        <w:t xml:space="preserve">identical or similar </w:t>
      </w:r>
      <w:r w:rsidR="67833288" w:rsidRPr="008431A9">
        <w:rPr>
          <w:noProof/>
        </w:rPr>
        <w:t xml:space="preserve">to the products registered under that geographical indication or where use of the name exploits, weakens, dilutes, or is detrimental to the reputation of, the protected geographical indication; </w:t>
      </w:r>
    </w:p>
    <w:p w:rsidR="00E775BE" w:rsidRPr="008431A9" w:rsidRDefault="00B34B72" w:rsidP="00B34B72">
      <w:pPr>
        <w:pStyle w:val="Point1"/>
        <w:rPr>
          <w:noProof/>
        </w:rPr>
      </w:pPr>
      <w:r w:rsidRPr="00B34B72">
        <w:t>(b)</w:t>
      </w:r>
      <w:r w:rsidRPr="00B34B72">
        <w:tab/>
      </w:r>
      <w:r w:rsidR="67833288" w:rsidRPr="008431A9">
        <w:rPr>
          <w:noProof/>
        </w:rPr>
        <w:t>any misuse, imitation or evocation, even if the true origin of the products or services is indicated or if the protected geographical indication is translated or accompanied by an expression such as ‘style’, ‘type’, ‘method’, ‘as produced in’, ‘imitation’, ‘flavour’, ‘like’ or similar;</w:t>
      </w:r>
    </w:p>
    <w:p w:rsidR="00E775BE" w:rsidRPr="008431A9" w:rsidRDefault="00B34B72" w:rsidP="00B34B72">
      <w:pPr>
        <w:pStyle w:val="Point1"/>
        <w:rPr>
          <w:noProof/>
        </w:rPr>
      </w:pPr>
      <w:r w:rsidRPr="00B34B72">
        <w:t>(c)</w:t>
      </w:r>
      <w:r w:rsidRPr="00B34B72">
        <w:tab/>
      </w:r>
      <w:r w:rsidR="67833288" w:rsidRPr="008431A9">
        <w:rPr>
          <w:noProof/>
        </w:rPr>
        <w:t xml:space="preserve">any other false or misleading indication as to the provenance, origin, nature or essential qualities of the product that is used on the inner or outer packaging, advertising material, documents or information provided on websites relating to the products, and the packing of the products in a container liable to convey a false impression as to their origin; </w:t>
      </w:r>
    </w:p>
    <w:p w:rsidR="00E775BE" w:rsidRPr="008431A9" w:rsidRDefault="00B34B72" w:rsidP="00B34B72">
      <w:pPr>
        <w:pStyle w:val="Point1"/>
        <w:rPr>
          <w:noProof/>
        </w:rPr>
      </w:pPr>
      <w:r w:rsidRPr="00B34B72">
        <w:t>(d)</w:t>
      </w:r>
      <w:r w:rsidRPr="00B34B72">
        <w:tab/>
      </w:r>
      <w:r w:rsidR="67833288" w:rsidRPr="008431A9">
        <w:rPr>
          <w:noProof/>
        </w:rPr>
        <w:t xml:space="preserve">any other practice liable to mislead the consumer as to the true origin of the products. </w:t>
      </w:r>
    </w:p>
    <w:p w:rsidR="00E775BE" w:rsidRPr="008431A9" w:rsidRDefault="00B34B72" w:rsidP="00B34B72">
      <w:pPr>
        <w:pStyle w:val="ManualNumPar1"/>
        <w:rPr>
          <w:noProof/>
        </w:rPr>
      </w:pPr>
      <w:r w:rsidRPr="00B34B72">
        <w:t>2.</w:t>
      </w:r>
      <w:r w:rsidRPr="00B34B72">
        <w:tab/>
      </w:r>
      <w:r w:rsidR="183835EF" w:rsidRPr="008431A9">
        <w:rPr>
          <w:noProof/>
        </w:rPr>
        <w:t>For the purposes of paragraph 1, point (b), the evocation of a geographical indication shall be deemed to arise, in particular, where a term, sign, or other labelling or packaging device presents a direct and clear link with the product covered by the registered geographical indication in the mind of the reasonably circumspect consumer, thereby exploiting, weakening, diluting or being detrimental to the reputation of the registered name.</w:t>
      </w:r>
    </w:p>
    <w:p w:rsidR="00E775BE" w:rsidRPr="008431A9" w:rsidRDefault="00B34B72" w:rsidP="00B34B72">
      <w:pPr>
        <w:pStyle w:val="ManualNumPar1"/>
        <w:rPr>
          <w:noProof/>
        </w:rPr>
      </w:pPr>
      <w:r w:rsidRPr="00B34B72">
        <w:t>3.</w:t>
      </w:r>
      <w:r w:rsidRPr="00B34B72">
        <w:tab/>
      </w:r>
      <w:r w:rsidR="183835EF" w:rsidRPr="008431A9">
        <w:rPr>
          <w:noProof/>
        </w:rPr>
        <w:t xml:space="preserve">Paragraph 1 shall also apply to a domain name containing or consisting of the registered geographical indication. </w:t>
      </w:r>
    </w:p>
    <w:p w:rsidR="00E775BE" w:rsidRPr="008431A9" w:rsidRDefault="00B34B72" w:rsidP="00B34B72">
      <w:pPr>
        <w:pStyle w:val="ManualNumPar1"/>
        <w:rPr>
          <w:noProof/>
        </w:rPr>
      </w:pPr>
      <w:r w:rsidRPr="00B34B72">
        <w:t>4.</w:t>
      </w:r>
      <w:r w:rsidRPr="00B34B72">
        <w:tab/>
      </w:r>
      <w:r w:rsidR="183835EF" w:rsidRPr="008431A9">
        <w:rPr>
          <w:noProof/>
        </w:rPr>
        <w:t xml:space="preserve">The protection referred to in paragraph 1 </w:t>
      </w:r>
      <w:r w:rsidR="0092088E" w:rsidRPr="008431A9">
        <w:rPr>
          <w:noProof/>
        </w:rPr>
        <w:t xml:space="preserve">shall </w:t>
      </w:r>
      <w:r w:rsidR="183835EF" w:rsidRPr="008431A9">
        <w:rPr>
          <w:noProof/>
        </w:rPr>
        <w:t>also appl</w:t>
      </w:r>
      <w:r w:rsidR="0092088E" w:rsidRPr="008431A9">
        <w:rPr>
          <w:noProof/>
        </w:rPr>
        <w:t>y</w:t>
      </w:r>
      <w:r w:rsidR="183835EF" w:rsidRPr="008431A9">
        <w:rPr>
          <w:noProof/>
        </w:rPr>
        <w:t xml:space="preserve"> to: </w:t>
      </w:r>
    </w:p>
    <w:p w:rsidR="00E775BE" w:rsidRPr="008431A9" w:rsidRDefault="00B34B72" w:rsidP="00B34B72">
      <w:pPr>
        <w:pStyle w:val="Point1"/>
        <w:rPr>
          <w:noProof/>
        </w:rPr>
      </w:pPr>
      <w:r w:rsidRPr="00B34B72">
        <w:t>(a)</w:t>
      </w:r>
      <w:r w:rsidRPr="00B34B72">
        <w:tab/>
      </w:r>
      <w:r w:rsidR="67833288" w:rsidRPr="008431A9">
        <w:rPr>
          <w:noProof/>
        </w:rPr>
        <w:t xml:space="preserve">goods entering the customs territory of the Union without being released for free circulation within that territory; and </w:t>
      </w:r>
    </w:p>
    <w:p w:rsidR="00E775BE" w:rsidRPr="008431A9" w:rsidRDefault="00B34B72" w:rsidP="00B34B72">
      <w:pPr>
        <w:pStyle w:val="Point1"/>
        <w:rPr>
          <w:noProof/>
        </w:rPr>
      </w:pPr>
      <w:r w:rsidRPr="00B34B72">
        <w:t>(b)</w:t>
      </w:r>
      <w:r w:rsidRPr="00B34B72">
        <w:tab/>
      </w:r>
      <w:r w:rsidR="67833288" w:rsidRPr="008431A9">
        <w:rPr>
          <w:noProof/>
        </w:rPr>
        <w:t xml:space="preserve">goods sold by means of distance selling, such as electronic commerce. </w:t>
      </w:r>
    </w:p>
    <w:p w:rsidR="00E775BE" w:rsidRPr="008431A9" w:rsidRDefault="00B34B72" w:rsidP="00B34B72">
      <w:pPr>
        <w:pStyle w:val="ManualNumPar1"/>
        <w:rPr>
          <w:noProof/>
        </w:rPr>
      </w:pPr>
      <w:r w:rsidRPr="00B34B72">
        <w:t>5.</w:t>
      </w:r>
      <w:r w:rsidRPr="00B34B72">
        <w:tab/>
      </w:r>
      <w:r w:rsidR="183835EF" w:rsidRPr="008431A9">
        <w:rPr>
          <w:noProof/>
        </w:rPr>
        <w:t>The producer group or any producer that is entitled to use the protected geographical indication shall be entitled to prevent all third parties from bringing goods, in the course of trade, into the Union without being released for free circulation there, where such goods, inclu</w:t>
      </w:r>
      <w:r w:rsidR="007C79ED" w:rsidRPr="008431A9">
        <w:rPr>
          <w:noProof/>
        </w:rPr>
        <w:t xml:space="preserve">ding packaging, come from third </w:t>
      </w:r>
      <w:r w:rsidR="183835EF" w:rsidRPr="008431A9">
        <w:rPr>
          <w:noProof/>
        </w:rPr>
        <w:t xml:space="preserve">countries and are </w:t>
      </w:r>
      <w:r w:rsidR="542F1204" w:rsidRPr="008431A9">
        <w:rPr>
          <w:noProof/>
        </w:rPr>
        <w:t>contrary</w:t>
      </w:r>
      <w:r w:rsidR="183835EF" w:rsidRPr="008431A9">
        <w:rPr>
          <w:noProof/>
        </w:rPr>
        <w:t xml:space="preserve"> </w:t>
      </w:r>
      <w:r w:rsidR="542F1204" w:rsidRPr="008431A9">
        <w:rPr>
          <w:noProof/>
        </w:rPr>
        <w:t>to</w:t>
      </w:r>
      <w:r w:rsidR="007C79ED" w:rsidRPr="008431A9">
        <w:rPr>
          <w:noProof/>
        </w:rPr>
        <w:t xml:space="preserve"> </w:t>
      </w:r>
      <w:r w:rsidR="183835EF" w:rsidRPr="008431A9">
        <w:rPr>
          <w:noProof/>
        </w:rPr>
        <w:t xml:space="preserve">paragraph </w:t>
      </w:r>
      <w:hyperlink w:anchor="akn_article_mS1EPx_lfiP6k">
        <w:r w:rsidR="183835EF" w:rsidRPr="008431A9">
          <w:rPr>
            <w:noProof/>
          </w:rPr>
          <w:t>1</w:t>
        </w:r>
      </w:hyperlink>
      <w:r w:rsidR="183835EF" w:rsidRPr="008431A9">
        <w:rPr>
          <w:noProof/>
        </w:rPr>
        <w:t>.</w:t>
      </w:r>
    </w:p>
    <w:p w:rsidR="00E775BE" w:rsidRPr="008431A9" w:rsidRDefault="00B34B72" w:rsidP="00B34B72">
      <w:pPr>
        <w:pStyle w:val="ManualNumPar1"/>
        <w:rPr>
          <w:noProof/>
        </w:rPr>
      </w:pPr>
      <w:r w:rsidRPr="00B34B72">
        <w:t>6.</w:t>
      </w:r>
      <w:r w:rsidRPr="00B34B72">
        <w:tab/>
      </w:r>
      <w:r w:rsidR="183835EF" w:rsidRPr="008431A9">
        <w:rPr>
          <w:noProof/>
        </w:rPr>
        <w:t xml:space="preserve">Geographical indications protected under this Regulation shall not become generic within the Union. </w:t>
      </w:r>
    </w:p>
    <w:p w:rsidR="00B754F3" w:rsidRPr="008431A9" w:rsidRDefault="00B34B72" w:rsidP="00B34B72">
      <w:pPr>
        <w:pStyle w:val="ManualNumPar1"/>
        <w:rPr>
          <w:noProof/>
        </w:rPr>
      </w:pPr>
      <w:r w:rsidRPr="00B34B72">
        <w:lastRenderedPageBreak/>
        <w:t>7.</w:t>
      </w:r>
      <w:r w:rsidRPr="00B34B72">
        <w:tab/>
      </w:r>
      <w:r w:rsidR="183835EF" w:rsidRPr="008431A9">
        <w:rPr>
          <w:noProof/>
        </w:rPr>
        <w:t xml:space="preserve">Where a geographical indication is a compound name which contains a term which is considered to be generic, the use of that term shall not </w:t>
      </w:r>
      <w:r w:rsidR="542F1204" w:rsidRPr="008431A9">
        <w:rPr>
          <w:noProof/>
        </w:rPr>
        <w:t>constitute a conduct referred</w:t>
      </w:r>
      <w:r w:rsidR="183835EF" w:rsidRPr="008431A9">
        <w:rPr>
          <w:noProof/>
        </w:rPr>
        <w:t xml:space="preserve"> to </w:t>
      </w:r>
      <w:r w:rsidR="542F1204" w:rsidRPr="008431A9">
        <w:rPr>
          <w:noProof/>
        </w:rPr>
        <w:t xml:space="preserve">in </w:t>
      </w:r>
      <w:r w:rsidR="183835EF" w:rsidRPr="008431A9">
        <w:rPr>
          <w:noProof/>
        </w:rPr>
        <w:t>paragraph 1, points (a) and (b).</w:t>
      </w:r>
    </w:p>
    <w:p w:rsidR="00E775BE" w:rsidRPr="008431A9" w:rsidRDefault="00E775BE" w:rsidP="00C4212C">
      <w:pPr>
        <w:pStyle w:val="Articletitre"/>
        <w:rPr>
          <w:noProof/>
        </w:rPr>
      </w:pPr>
      <w:r w:rsidRPr="008431A9">
        <w:rPr>
          <w:noProof/>
        </w:rPr>
        <w:t>Article 36</w:t>
      </w:r>
    </w:p>
    <w:p w:rsidR="00E775BE" w:rsidRPr="008431A9" w:rsidRDefault="00E775BE" w:rsidP="004C739C">
      <w:pPr>
        <w:pStyle w:val="NormalCentered"/>
        <w:rPr>
          <w:b/>
          <w:noProof/>
        </w:rPr>
      </w:pPr>
      <w:r w:rsidRPr="008431A9">
        <w:rPr>
          <w:b/>
          <w:noProof/>
        </w:rPr>
        <w:t>Parts or components in manufactured products</w:t>
      </w:r>
    </w:p>
    <w:p w:rsidR="00E775BE" w:rsidRPr="008431A9" w:rsidRDefault="00B34B72" w:rsidP="00B34B72">
      <w:pPr>
        <w:pStyle w:val="ManualNumPar1"/>
        <w:rPr>
          <w:rFonts w:eastAsiaTheme="minorEastAsia"/>
          <w:noProof/>
        </w:rPr>
      </w:pPr>
      <w:r w:rsidRPr="00B34B72">
        <w:t>1.</w:t>
      </w:r>
      <w:r w:rsidRPr="00B34B72">
        <w:tab/>
      </w:r>
      <w:r w:rsidR="183835EF" w:rsidRPr="008431A9">
        <w:rPr>
          <w:noProof/>
        </w:rPr>
        <w:t>Article 35</w:t>
      </w:r>
      <w:r w:rsidR="007C79ED" w:rsidRPr="008431A9">
        <w:rPr>
          <w:noProof/>
        </w:rPr>
        <w:t xml:space="preserve"> </w:t>
      </w:r>
      <w:r w:rsidR="183835EF" w:rsidRPr="008431A9">
        <w:rPr>
          <w:noProof/>
        </w:rPr>
        <w:t>is without prejudice to the use of a geographical indication by producers in conformity with Article 43</w:t>
      </w:r>
      <w:r w:rsidR="007C79ED" w:rsidRPr="008431A9">
        <w:rPr>
          <w:noProof/>
        </w:rPr>
        <w:t xml:space="preserve"> </w:t>
      </w:r>
      <w:r w:rsidR="183835EF" w:rsidRPr="008431A9">
        <w:rPr>
          <w:noProof/>
        </w:rPr>
        <w:t>to indicate that a manufactured product contains, as a part or component, a product designated by that geographical indication provided that such use is made in accordance with honest commercial practices and does not weaken, dilute, or is not detrimental to</w:t>
      </w:r>
      <w:r w:rsidR="542F1204" w:rsidRPr="008431A9">
        <w:rPr>
          <w:noProof/>
        </w:rPr>
        <w:t>,</w:t>
      </w:r>
      <w:r w:rsidR="183835EF" w:rsidRPr="008431A9">
        <w:rPr>
          <w:noProof/>
        </w:rPr>
        <w:t xml:space="preserve"> the reputation of the geographical indication.</w:t>
      </w:r>
    </w:p>
    <w:p w:rsidR="00E775BE" w:rsidRPr="008431A9" w:rsidRDefault="00B34B72" w:rsidP="00B34B72">
      <w:pPr>
        <w:pStyle w:val="ManualNumPar1"/>
        <w:rPr>
          <w:noProof/>
        </w:rPr>
      </w:pPr>
      <w:r w:rsidRPr="00B34B72">
        <w:t>2.</w:t>
      </w:r>
      <w:r w:rsidRPr="00B34B72">
        <w:tab/>
      </w:r>
      <w:r w:rsidR="183835EF" w:rsidRPr="008431A9">
        <w:rPr>
          <w:noProof/>
        </w:rPr>
        <w:t xml:space="preserve">The geographical indication designating a product’s part or </w:t>
      </w:r>
      <w:r w:rsidR="00B754F3" w:rsidRPr="008431A9">
        <w:rPr>
          <w:noProof/>
        </w:rPr>
        <w:t>component</w:t>
      </w:r>
      <w:r w:rsidR="183835EF" w:rsidRPr="008431A9">
        <w:rPr>
          <w:noProof/>
        </w:rPr>
        <w:t xml:space="preserve"> shall not be used in the sales designation of the manufactured product, except in cases of agreement with a producer group or</w:t>
      </w:r>
      <w:r w:rsidR="62F7B9DA" w:rsidRPr="008431A9">
        <w:rPr>
          <w:noProof/>
        </w:rPr>
        <w:t>, in situations referred to in Article 6(3),</w:t>
      </w:r>
      <w:r w:rsidR="183835EF" w:rsidRPr="008431A9">
        <w:rPr>
          <w:noProof/>
        </w:rPr>
        <w:t xml:space="preserve"> a </w:t>
      </w:r>
      <w:r w:rsidR="0B17621B" w:rsidRPr="008431A9">
        <w:rPr>
          <w:noProof/>
        </w:rPr>
        <w:t xml:space="preserve">single </w:t>
      </w:r>
      <w:r w:rsidR="183835EF" w:rsidRPr="008431A9">
        <w:rPr>
          <w:noProof/>
        </w:rPr>
        <w:t>producer.</w:t>
      </w:r>
    </w:p>
    <w:p w:rsidR="00E775BE" w:rsidRPr="008431A9" w:rsidRDefault="00E775BE" w:rsidP="00BB1174">
      <w:pPr>
        <w:pStyle w:val="Titrearticle"/>
        <w:rPr>
          <w:noProof/>
        </w:rPr>
      </w:pPr>
      <w:bookmarkStart w:id="1" w:name="akn_article_A5CeUj_825ngu"/>
      <w:bookmarkEnd w:id="1"/>
      <w:r w:rsidRPr="008431A9">
        <w:rPr>
          <w:noProof/>
        </w:rPr>
        <w:t>Article 37</w:t>
      </w:r>
    </w:p>
    <w:p w:rsidR="00E775BE" w:rsidRPr="008431A9" w:rsidRDefault="00E775BE" w:rsidP="004C739C">
      <w:pPr>
        <w:pStyle w:val="NormalCentered"/>
        <w:rPr>
          <w:b/>
          <w:noProof/>
        </w:rPr>
      </w:pPr>
      <w:r w:rsidRPr="008431A9">
        <w:rPr>
          <w:b/>
          <w:noProof/>
        </w:rPr>
        <w:t>Generic terms</w:t>
      </w:r>
    </w:p>
    <w:p w:rsidR="00E775BE" w:rsidRPr="008431A9" w:rsidRDefault="00B34B72" w:rsidP="00B34B72">
      <w:pPr>
        <w:pStyle w:val="ManualNumPar1"/>
        <w:rPr>
          <w:rFonts w:eastAsiaTheme="minorEastAsia"/>
          <w:noProof/>
        </w:rPr>
      </w:pPr>
      <w:r w:rsidRPr="00B34B72">
        <w:t>1.</w:t>
      </w:r>
      <w:r w:rsidRPr="00B34B72">
        <w:tab/>
      </w:r>
      <w:r w:rsidR="183835EF" w:rsidRPr="008431A9">
        <w:rPr>
          <w:noProof/>
        </w:rPr>
        <w:t>Generic terms shall not be registered as a geographical indication.</w:t>
      </w:r>
    </w:p>
    <w:p w:rsidR="00E775BE" w:rsidRPr="008431A9" w:rsidRDefault="00B34B72" w:rsidP="00B34B72">
      <w:pPr>
        <w:pStyle w:val="ManualNumPar1"/>
        <w:rPr>
          <w:noProof/>
        </w:rPr>
      </w:pPr>
      <w:r w:rsidRPr="00B34B72">
        <w:t>2.</w:t>
      </w:r>
      <w:r w:rsidRPr="00B34B72">
        <w:tab/>
      </w:r>
      <w:r w:rsidR="183835EF" w:rsidRPr="008431A9">
        <w:rPr>
          <w:noProof/>
        </w:rPr>
        <w:t xml:space="preserve">To establish whether or not a term has become generic, account shall be taken of all relevant factors, in particular: </w:t>
      </w:r>
    </w:p>
    <w:p w:rsidR="00E775BE" w:rsidRPr="008431A9" w:rsidRDefault="00B34B72" w:rsidP="00B34B72">
      <w:pPr>
        <w:pStyle w:val="Point1"/>
        <w:rPr>
          <w:noProof/>
        </w:rPr>
      </w:pPr>
      <w:r w:rsidRPr="00B34B72">
        <w:t>(a)</w:t>
      </w:r>
      <w:r w:rsidRPr="00B34B72">
        <w:tab/>
      </w:r>
      <w:r w:rsidR="67833288" w:rsidRPr="008431A9">
        <w:rPr>
          <w:noProof/>
        </w:rPr>
        <w:t xml:space="preserve">the existing situation in areas of consumption; </w:t>
      </w:r>
    </w:p>
    <w:p w:rsidR="00E775BE" w:rsidRPr="008431A9" w:rsidRDefault="00B34B72" w:rsidP="00B34B72">
      <w:pPr>
        <w:pStyle w:val="Point1"/>
        <w:rPr>
          <w:noProof/>
        </w:rPr>
      </w:pPr>
      <w:r w:rsidRPr="00B34B72">
        <w:t>(b)</w:t>
      </w:r>
      <w:r w:rsidRPr="00B34B72">
        <w:tab/>
      </w:r>
      <w:r w:rsidR="67833288" w:rsidRPr="008431A9">
        <w:rPr>
          <w:noProof/>
        </w:rPr>
        <w:t xml:space="preserve">the relevant Union or national legal acts. </w:t>
      </w:r>
    </w:p>
    <w:p w:rsidR="00E775BE" w:rsidRPr="008431A9" w:rsidRDefault="00E775BE" w:rsidP="00BB1174">
      <w:pPr>
        <w:pStyle w:val="Titrearticle"/>
        <w:rPr>
          <w:noProof/>
        </w:rPr>
      </w:pPr>
      <w:r w:rsidRPr="008431A9">
        <w:rPr>
          <w:noProof/>
        </w:rPr>
        <w:t>Article 38</w:t>
      </w:r>
    </w:p>
    <w:p w:rsidR="00E775BE" w:rsidRPr="008431A9" w:rsidRDefault="00E775BE" w:rsidP="004C739C">
      <w:pPr>
        <w:pStyle w:val="NormalCentered"/>
        <w:rPr>
          <w:b/>
          <w:noProof/>
        </w:rPr>
      </w:pPr>
      <w:r w:rsidRPr="008431A9">
        <w:rPr>
          <w:b/>
          <w:bCs/>
          <w:noProof/>
        </w:rPr>
        <w:t>Homonymous</w:t>
      </w:r>
      <w:r w:rsidRPr="008431A9">
        <w:rPr>
          <w:b/>
          <w:noProof/>
        </w:rPr>
        <w:t xml:space="preserve"> geographical indications</w:t>
      </w:r>
    </w:p>
    <w:p w:rsidR="00E775BE" w:rsidRPr="008431A9" w:rsidRDefault="00B34B72" w:rsidP="00B34B72">
      <w:pPr>
        <w:pStyle w:val="ManualNumPar1"/>
        <w:rPr>
          <w:rFonts w:eastAsiaTheme="minorEastAsia"/>
          <w:noProof/>
        </w:rPr>
      </w:pPr>
      <w:r w:rsidRPr="00B34B72">
        <w:t>1.</w:t>
      </w:r>
      <w:r w:rsidRPr="00B34B72">
        <w:tab/>
      </w:r>
      <w:r w:rsidR="183835EF" w:rsidRPr="008431A9">
        <w:rPr>
          <w:noProof/>
        </w:rPr>
        <w:t xml:space="preserve">A geographical indication that has been applied for after a wholly or partly homonymous geographical indication had been applied for or protected in the Union shall not be registered unless there is sufficient distinction in practice between the conditions of local and traditional usage and the presentation of the two homonymous indications, taking into account the need to ensure equitable treatment of the producers concerned and that consumers are not misled as to the true identity or geographical origin of the products. </w:t>
      </w:r>
    </w:p>
    <w:p w:rsidR="00E775BE" w:rsidRPr="008431A9" w:rsidRDefault="00B34B72" w:rsidP="00B34B72">
      <w:pPr>
        <w:pStyle w:val="ManualNumPar1"/>
        <w:rPr>
          <w:noProof/>
        </w:rPr>
      </w:pPr>
      <w:r w:rsidRPr="00B34B72">
        <w:t>2.</w:t>
      </w:r>
      <w:r w:rsidRPr="00B34B72">
        <w:tab/>
      </w:r>
      <w:r w:rsidR="183835EF" w:rsidRPr="008431A9">
        <w:rPr>
          <w:noProof/>
        </w:rPr>
        <w:t xml:space="preserve">A wholly or partly homonymous name which misleads the consumer into believing that products come from another territory shall not be registered even if the name </w:t>
      </w:r>
      <w:r w:rsidR="24287228" w:rsidRPr="008431A9">
        <w:rPr>
          <w:noProof/>
        </w:rPr>
        <w:t xml:space="preserve">for </w:t>
      </w:r>
      <w:r w:rsidR="183835EF" w:rsidRPr="008431A9">
        <w:rPr>
          <w:noProof/>
        </w:rPr>
        <w:t xml:space="preserve">the actual territory, region or place of origin of the products in question is </w:t>
      </w:r>
      <w:r w:rsidR="02A894A7" w:rsidRPr="008431A9">
        <w:rPr>
          <w:noProof/>
        </w:rPr>
        <w:t>accurate</w:t>
      </w:r>
      <w:r w:rsidR="183835EF" w:rsidRPr="008431A9">
        <w:rPr>
          <w:noProof/>
        </w:rPr>
        <w:t xml:space="preserve">. </w:t>
      </w:r>
    </w:p>
    <w:p w:rsidR="00E775BE" w:rsidRPr="008431A9" w:rsidRDefault="00B34B72" w:rsidP="00B34B72">
      <w:pPr>
        <w:pStyle w:val="ManualNumPar1"/>
        <w:rPr>
          <w:noProof/>
        </w:rPr>
      </w:pPr>
      <w:r w:rsidRPr="00B34B72">
        <w:t>3.</w:t>
      </w:r>
      <w:r w:rsidRPr="00B34B72">
        <w:tab/>
      </w:r>
      <w:r w:rsidR="183835EF" w:rsidRPr="008431A9">
        <w:rPr>
          <w:noProof/>
        </w:rPr>
        <w:t xml:space="preserve">For the purpose of this Article, a geographical indication applied for or protected in the Union refers to: </w:t>
      </w:r>
    </w:p>
    <w:p w:rsidR="00E775BE" w:rsidRPr="008431A9" w:rsidRDefault="00B34B72" w:rsidP="00B34B72">
      <w:pPr>
        <w:pStyle w:val="Point1"/>
        <w:rPr>
          <w:noProof/>
        </w:rPr>
      </w:pPr>
      <w:r w:rsidRPr="00B34B72">
        <w:t>(a)</w:t>
      </w:r>
      <w:r w:rsidRPr="00B34B72">
        <w:tab/>
      </w:r>
      <w:r w:rsidR="67833288" w:rsidRPr="008431A9">
        <w:rPr>
          <w:noProof/>
        </w:rPr>
        <w:t xml:space="preserve">geographical indications that are entered in the </w:t>
      </w:r>
      <w:r w:rsidR="000D65CD" w:rsidRPr="008431A9">
        <w:rPr>
          <w:noProof/>
        </w:rPr>
        <w:t xml:space="preserve">Union </w:t>
      </w:r>
      <w:r w:rsidR="00B754F3" w:rsidRPr="008431A9">
        <w:rPr>
          <w:noProof/>
        </w:rPr>
        <w:t>r</w:t>
      </w:r>
      <w:r w:rsidR="67833288" w:rsidRPr="008431A9">
        <w:rPr>
          <w:noProof/>
        </w:rPr>
        <w:t>egister</w:t>
      </w:r>
      <w:r w:rsidR="00B754F3" w:rsidRPr="008431A9">
        <w:rPr>
          <w:noProof/>
        </w:rPr>
        <w:t xml:space="preserve"> of geographical indications for craft and industrial products</w:t>
      </w:r>
      <w:r w:rsidR="005F6945" w:rsidRPr="008431A9">
        <w:rPr>
          <w:noProof/>
        </w:rPr>
        <w:t>;</w:t>
      </w:r>
    </w:p>
    <w:p w:rsidR="00E775BE" w:rsidRPr="008431A9" w:rsidRDefault="00B34B72" w:rsidP="00B34B72">
      <w:pPr>
        <w:pStyle w:val="Point1"/>
        <w:rPr>
          <w:noProof/>
        </w:rPr>
      </w:pPr>
      <w:r w:rsidRPr="00B34B72">
        <w:t>(b)</w:t>
      </w:r>
      <w:r w:rsidRPr="00B34B72">
        <w:tab/>
      </w:r>
      <w:r w:rsidR="67833288" w:rsidRPr="008431A9">
        <w:rPr>
          <w:noProof/>
        </w:rPr>
        <w:t>geographical indications that have been applied for provided that they are sub</w:t>
      </w:r>
      <w:r w:rsidR="1740310D" w:rsidRPr="008431A9">
        <w:rPr>
          <w:noProof/>
        </w:rPr>
        <w:t xml:space="preserve">sequently entered in the </w:t>
      </w:r>
      <w:r w:rsidR="000D65CD" w:rsidRPr="008431A9">
        <w:rPr>
          <w:noProof/>
        </w:rPr>
        <w:t xml:space="preserve">Union </w:t>
      </w:r>
      <w:r w:rsidR="00B754F3" w:rsidRPr="008431A9">
        <w:rPr>
          <w:noProof/>
        </w:rPr>
        <w:t>r</w:t>
      </w:r>
      <w:r w:rsidR="67833288" w:rsidRPr="008431A9">
        <w:rPr>
          <w:noProof/>
        </w:rPr>
        <w:t>egister</w:t>
      </w:r>
      <w:r w:rsidR="00B754F3" w:rsidRPr="008431A9">
        <w:rPr>
          <w:noProof/>
        </w:rPr>
        <w:t xml:space="preserve"> of geographical indications for craft and industrial products</w:t>
      </w:r>
      <w:r w:rsidR="005F6945" w:rsidRPr="008431A9">
        <w:rPr>
          <w:noProof/>
        </w:rPr>
        <w:t>;</w:t>
      </w:r>
    </w:p>
    <w:p w:rsidR="00E775BE" w:rsidRPr="008431A9" w:rsidRDefault="00B34B72" w:rsidP="00B34B72">
      <w:pPr>
        <w:pStyle w:val="Point1"/>
        <w:rPr>
          <w:noProof/>
        </w:rPr>
      </w:pPr>
      <w:r w:rsidRPr="00B34B72">
        <w:lastRenderedPageBreak/>
        <w:t>(c)</w:t>
      </w:r>
      <w:r w:rsidRPr="00B34B72">
        <w:tab/>
      </w:r>
      <w:r w:rsidR="67833288" w:rsidRPr="008431A9">
        <w:rPr>
          <w:noProof/>
        </w:rPr>
        <w:t>appellations of origin and geographical indications protected in the Union pursuant to the Regulation (EU) 2019/1753</w:t>
      </w:r>
      <w:r w:rsidR="00760E68" w:rsidRPr="008431A9">
        <w:rPr>
          <w:rStyle w:val="FootnoteReference"/>
          <w:noProof/>
        </w:rPr>
        <w:footnoteReference w:id="32"/>
      </w:r>
      <w:r w:rsidR="005F6945" w:rsidRPr="008431A9">
        <w:rPr>
          <w:noProof/>
        </w:rPr>
        <w:t>;</w:t>
      </w:r>
      <w:r w:rsidR="00C4212C" w:rsidRPr="008431A9">
        <w:rPr>
          <w:noProof/>
        </w:rPr>
        <w:t xml:space="preserve"> and</w:t>
      </w:r>
    </w:p>
    <w:p w:rsidR="00E775BE" w:rsidRPr="008431A9" w:rsidRDefault="00B34B72" w:rsidP="00B34B72">
      <w:pPr>
        <w:pStyle w:val="Point1"/>
        <w:rPr>
          <w:noProof/>
        </w:rPr>
      </w:pPr>
      <w:r w:rsidRPr="00B34B72">
        <w:t>(d)</w:t>
      </w:r>
      <w:r w:rsidRPr="00B34B72">
        <w:tab/>
      </w:r>
      <w:r w:rsidR="67833288" w:rsidRPr="008431A9">
        <w:rPr>
          <w:noProof/>
        </w:rPr>
        <w:t xml:space="preserve">geographical indications, names of origin and equivalent terms protected pursuant to an international agreement between the Union and one or more third countries. </w:t>
      </w:r>
    </w:p>
    <w:p w:rsidR="00E775BE" w:rsidRPr="008431A9" w:rsidRDefault="00B34B72" w:rsidP="00B34B72">
      <w:pPr>
        <w:pStyle w:val="ManualNumPar1"/>
        <w:rPr>
          <w:rFonts w:eastAsiaTheme="minorEastAsia"/>
          <w:noProof/>
        </w:rPr>
      </w:pPr>
      <w:r w:rsidRPr="00B34B72">
        <w:t>4.</w:t>
      </w:r>
      <w:r w:rsidRPr="00B34B72">
        <w:tab/>
      </w:r>
      <w:r w:rsidR="183835EF" w:rsidRPr="008431A9">
        <w:rPr>
          <w:noProof/>
        </w:rPr>
        <w:t>The Office</w:t>
      </w:r>
      <w:r w:rsidR="52A11B17" w:rsidRPr="008431A9">
        <w:rPr>
          <w:noProof/>
        </w:rPr>
        <w:t xml:space="preserve"> </w:t>
      </w:r>
      <w:r w:rsidR="183835EF" w:rsidRPr="008431A9">
        <w:rPr>
          <w:noProof/>
        </w:rPr>
        <w:t>shall cancel</w:t>
      </w:r>
      <w:r w:rsidR="52A11B17" w:rsidRPr="008431A9">
        <w:rPr>
          <w:noProof/>
        </w:rPr>
        <w:t xml:space="preserve"> the </w:t>
      </w:r>
      <w:r w:rsidR="183835EF" w:rsidRPr="008431A9">
        <w:rPr>
          <w:noProof/>
        </w:rPr>
        <w:t>geographical indications registered in breach of paragraphs 1 and 2.</w:t>
      </w:r>
    </w:p>
    <w:p w:rsidR="00E775BE" w:rsidRPr="008431A9" w:rsidRDefault="00E775BE" w:rsidP="0002261F">
      <w:pPr>
        <w:pStyle w:val="Titrearticle"/>
        <w:rPr>
          <w:noProof/>
        </w:rPr>
      </w:pPr>
      <w:r w:rsidRPr="008431A9">
        <w:rPr>
          <w:noProof/>
        </w:rPr>
        <w:t>Article 39</w:t>
      </w:r>
    </w:p>
    <w:p w:rsidR="00E775BE" w:rsidRPr="008431A9" w:rsidRDefault="00E775BE" w:rsidP="004C739C">
      <w:pPr>
        <w:pStyle w:val="NormalCentered"/>
        <w:rPr>
          <w:b/>
          <w:noProof/>
        </w:rPr>
      </w:pPr>
      <w:r w:rsidRPr="008431A9">
        <w:rPr>
          <w:b/>
          <w:noProof/>
        </w:rPr>
        <w:t>Trade marks</w:t>
      </w:r>
    </w:p>
    <w:p w:rsidR="00E775BE" w:rsidRPr="008431A9" w:rsidRDefault="4696A5D4" w:rsidP="001B14D9">
      <w:pPr>
        <w:spacing w:before="0" w:after="0"/>
        <w:rPr>
          <w:noProof/>
        </w:rPr>
      </w:pPr>
      <w:r w:rsidRPr="008431A9">
        <w:rPr>
          <w:noProof/>
        </w:rPr>
        <w:t>A name shall not be registered as a geographical indication where, in the light of a trade mark’s reputation and renown, registration of the name proposed as a geographical indication could mislead the consumer as to the true identity of the product.</w:t>
      </w:r>
    </w:p>
    <w:p w:rsidR="00E775BE" w:rsidRPr="008431A9" w:rsidRDefault="00E775BE" w:rsidP="0002261F">
      <w:pPr>
        <w:pStyle w:val="Titrearticle"/>
        <w:rPr>
          <w:noProof/>
        </w:rPr>
      </w:pPr>
      <w:r w:rsidRPr="008431A9">
        <w:rPr>
          <w:noProof/>
        </w:rPr>
        <w:t>Article 40</w:t>
      </w:r>
    </w:p>
    <w:p w:rsidR="00E775BE" w:rsidRPr="008431A9" w:rsidRDefault="00E775BE" w:rsidP="004C739C">
      <w:pPr>
        <w:pStyle w:val="NormalCentered"/>
        <w:rPr>
          <w:b/>
          <w:noProof/>
        </w:rPr>
      </w:pPr>
      <w:r w:rsidRPr="008431A9">
        <w:rPr>
          <w:b/>
          <w:noProof/>
        </w:rPr>
        <w:t xml:space="preserve">Producer groups </w:t>
      </w:r>
    </w:p>
    <w:p w:rsidR="00E775BE" w:rsidRPr="008431A9" w:rsidRDefault="00B34B72" w:rsidP="00B34B72">
      <w:pPr>
        <w:pStyle w:val="ManualNumPar1"/>
        <w:rPr>
          <w:rFonts w:eastAsiaTheme="minorEastAsia"/>
          <w:noProof/>
        </w:rPr>
      </w:pPr>
      <w:r w:rsidRPr="00B34B72">
        <w:t>1.</w:t>
      </w:r>
      <w:r w:rsidRPr="00B34B72">
        <w:tab/>
      </w:r>
      <w:r w:rsidR="183835EF" w:rsidRPr="008431A9">
        <w:rPr>
          <w:noProof/>
        </w:rPr>
        <w:t>Member States shall verify that the producer group operates in a transparent and democratic manner and that all producers of the product designated by the geographical indication enjoy right of membership in the group. Member States may provide that public officials, and other stakeholders such as consumer groups, retailers and suppliers, also participate in the work of the producer group.</w:t>
      </w:r>
    </w:p>
    <w:p w:rsidR="00E775BE" w:rsidRPr="008431A9" w:rsidRDefault="00B34B72" w:rsidP="00B34B72">
      <w:pPr>
        <w:pStyle w:val="ManualNumPar1"/>
        <w:rPr>
          <w:noProof/>
        </w:rPr>
      </w:pPr>
      <w:r w:rsidRPr="00B34B72">
        <w:t>2.</w:t>
      </w:r>
      <w:r w:rsidRPr="00B34B72">
        <w:tab/>
      </w:r>
      <w:r w:rsidR="183835EF" w:rsidRPr="008431A9">
        <w:rPr>
          <w:noProof/>
        </w:rPr>
        <w:t>A producer group may, in particular, exercise the following powers and responsibilities:</w:t>
      </w:r>
    </w:p>
    <w:p w:rsidR="00E775BE" w:rsidRPr="008431A9" w:rsidRDefault="00B34B72" w:rsidP="00B34B72">
      <w:pPr>
        <w:pStyle w:val="Point1"/>
        <w:rPr>
          <w:rFonts w:eastAsiaTheme="minorEastAsia"/>
          <w:noProof/>
          <w:szCs w:val="24"/>
        </w:rPr>
      </w:pPr>
      <w:r w:rsidRPr="00B34B72">
        <w:t>(a)</w:t>
      </w:r>
      <w:r w:rsidRPr="00B34B72">
        <w:tab/>
      </w:r>
      <w:r w:rsidR="67833288" w:rsidRPr="008431A9">
        <w:rPr>
          <w:noProof/>
        </w:rPr>
        <w:t>develop the product specification and manage internal controls that ensure compliance of production steps of product designated by the geographical indication with th</w:t>
      </w:r>
      <w:r w:rsidR="00AD5A38" w:rsidRPr="008431A9">
        <w:rPr>
          <w:noProof/>
        </w:rPr>
        <w:t>at</w:t>
      </w:r>
      <w:r w:rsidR="67833288" w:rsidRPr="008431A9">
        <w:rPr>
          <w:noProof/>
        </w:rPr>
        <w:t xml:space="preserve"> specification;</w:t>
      </w:r>
    </w:p>
    <w:p w:rsidR="00E775BE" w:rsidRPr="008431A9" w:rsidRDefault="00B34B72" w:rsidP="00B34B72">
      <w:pPr>
        <w:pStyle w:val="Point1"/>
        <w:rPr>
          <w:rFonts w:eastAsia="Calibri"/>
          <w:noProof/>
        </w:rPr>
      </w:pPr>
      <w:r w:rsidRPr="00B34B72">
        <w:t>(b)</w:t>
      </w:r>
      <w:r w:rsidRPr="00B34B72">
        <w:tab/>
      </w:r>
      <w:r w:rsidR="67833288" w:rsidRPr="008431A9">
        <w:rPr>
          <w:noProof/>
        </w:rPr>
        <w:t>take legal action to ensure the protection of the geographical indication and of the intellectual property rights that are directly connected with it;</w:t>
      </w:r>
    </w:p>
    <w:p w:rsidR="00E775BE" w:rsidRPr="008431A9" w:rsidDel="00420D60" w:rsidRDefault="00B34B72" w:rsidP="00B34B72">
      <w:pPr>
        <w:pStyle w:val="Point1"/>
        <w:rPr>
          <w:noProof/>
        </w:rPr>
      </w:pPr>
      <w:r w:rsidRPr="00B34B72">
        <w:t>(c)</w:t>
      </w:r>
      <w:r w:rsidRPr="00B34B72">
        <w:tab/>
      </w:r>
      <w:r w:rsidR="67833288" w:rsidRPr="008431A9">
        <w:rPr>
          <w:noProof/>
        </w:rPr>
        <w:t xml:space="preserve">agree sustainability undertakings, whether or not included in the product specification or as a separate initiative, including arrangements for verification of compliance with these undertakings and assuring adequate publicity for them in </w:t>
      </w:r>
      <w:r w:rsidR="00CA09F4" w:rsidRPr="008431A9">
        <w:rPr>
          <w:noProof/>
        </w:rPr>
        <w:t xml:space="preserve">particular </w:t>
      </w:r>
      <w:r w:rsidR="67833288" w:rsidRPr="008431A9">
        <w:rPr>
          <w:noProof/>
        </w:rPr>
        <w:t>in an information system provided by the Commission;</w:t>
      </w:r>
    </w:p>
    <w:p w:rsidR="00E775BE" w:rsidRPr="008431A9" w:rsidRDefault="00B34B72" w:rsidP="00B34B72">
      <w:pPr>
        <w:pStyle w:val="Point1"/>
        <w:rPr>
          <w:rFonts w:eastAsia="Calibri"/>
          <w:noProof/>
        </w:rPr>
      </w:pPr>
      <w:r w:rsidRPr="00B34B72">
        <w:t>(d)</w:t>
      </w:r>
      <w:r w:rsidRPr="00B34B72">
        <w:tab/>
      </w:r>
      <w:r w:rsidR="67833288" w:rsidRPr="008431A9">
        <w:rPr>
          <w:noProof/>
        </w:rPr>
        <w:t>take action to improve the performance of the geographical indication, including:</w:t>
      </w:r>
    </w:p>
    <w:p w:rsidR="00E775BE" w:rsidRPr="008431A9" w:rsidRDefault="00A216E7" w:rsidP="0028657D">
      <w:pPr>
        <w:pStyle w:val="Text2"/>
        <w:rPr>
          <w:rFonts w:eastAsia="Calibri"/>
          <w:noProof/>
        </w:rPr>
      </w:pPr>
      <w:r w:rsidRPr="008431A9">
        <w:rPr>
          <w:noProof/>
        </w:rPr>
        <w:t xml:space="preserve">(i) </w:t>
      </w:r>
      <w:r w:rsidR="00E775BE" w:rsidRPr="008431A9">
        <w:rPr>
          <w:noProof/>
        </w:rPr>
        <w:t>development, organisation and conduct of collective marketing and advertising campaigns</w:t>
      </w:r>
      <w:r w:rsidR="005127F8" w:rsidRPr="008431A9">
        <w:rPr>
          <w:noProof/>
        </w:rPr>
        <w:t>;</w:t>
      </w:r>
    </w:p>
    <w:p w:rsidR="00E775BE" w:rsidRPr="008431A9" w:rsidRDefault="00A216E7" w:rsidP="0028657D">
      <w:pPr>
        <w:pStyle w:val="Text2"/>
        <w:rPr>
          <w:noProof/>
        </w:rPr>
      </w:pPr>
      <w:r w:rsidRPr="008431A9">
        <w:rPr>
          <w:noProof/>
        </w:rPr>
        <w:t xml:space="preserve">(ii) </w:t>
      </w:r>
      <w:r w:rsidR="00E775BE" w:rsidRPr="008431A9">
        <w:rPr>
          <w:noProof/>
        </w:rPr>
        <w:t>dissemination of information and promotion activities aiming at communicating the attributes of the product designated by a geographical indication to consumers</w:t>
      </w:r>
      <w:r w:rsidR="005127F8" w:rsidRPr="008431A9">
        <w:rPr>
          <w:noProof/>
        </w:rPr>
        <w:t>;</w:t>
      </w:r>
      <w:r w:rsidR="00E775BE" w:rsidRPr="008431A9">
        <w:rPr>
          <w:noProof/>
        </w:rPr>
        <w:t xml:space="preserve"> </w:t>
      </w:r>
    </w:p>
    <w:p w:rsidR="00E775BE" w:rsidRPr="008431A9" w:rsidRDefault="00A216E7" w:rsidP="0028657D">
      <w:pPr>
        <w:pStyle w:val="Text2"/>
        <w:rPr>
          <w:noProof/>
        </w:rPr>
      </w:pPr>
      <w:r w:rsidRPr="008431A9">
        <w:rPr>
          <w:noProof/>
        </w:rPr>
        <w:lastRenderedPageBreak/>
        <w:t xml:space="preserve">(iii) </w:t>
      </w:r>
      <w:r w:rsidR="00E775BE" w:rsidRPr="008431A9">
        <w:rPr>
          <w:noProof/>
        </w:rPr>
        <w:t>carrying out analyses into the economic performance, sustainability of production, technical characteristics of the product designated by the geographical indication</w:t>
      </w:r>
      <w:r w:rsidR="005127F8" w:rsidRPr="008431A9">
        <w:rPr>
          <w:noProof/>
        </w:rPr>
        <w:t>;</w:t>
      </w:r>
    </w:p>
    <w:p w:rsidR="00E775BE" w:rsidRPr="008431A9" w:rsidRDefault="00A216E7" w:rsidP="0028657D">
      <w:pPr>
        <w:pStyle w:val="Text2"/>
        <w:rPr>
          <w:rFonts w:eastAsia="Calibri"/>
          <w:noProof/>
        </w:rPr>
      </w:pPr>
      <w:r w:rsidRPr="008431A9">
        <w:rPr>
          <w:noProof/>
        </w:rPr>
        <w:t xml:space="preserve">(iv) </w:t>
      </w:r>
      <w:r w:rsidR="00E775BE" w:rsidRPr="008431A9">
        <w:rPr>
          <w:noProof/>
        </w:rPr>
        <w:t>dissemination of information on the geographical indication and the relevant Union symbol; and</w:t>
      </w:r>
    </w:p>
    <w:p w:rsidR="00E775BE" w:rsidRPr="008431A9" w:rsidRDefault="00A216E7" w:rsidP="0028657D">
      <w:pPr>
        <w:pStyle w:val="Text2"/>
        <w:rPr>
          <w:rFonts w:eastAsia="Calibri"/>
          <w:noProof/>
        </w:rPr>
      </w:pPr>
      <w:r w:rsidRPr="008431A9">
        <w:rPr>
          <w:noProof/>
        </w:rPr>
        <w:t xml:space="preserve">(v) </w:t>
      </w:r>
      <w:r w:rsidR="00E775BE" w:rsidRPr="008431A9">
        <w:rPr>
          <w:noProof/>
        </w:rPr>
        <w:t>providing advice and training to current and future producers, including on gender mainstreaming and equality; and</w:t>
      </w:r>
    </w:p>
    <w:p w:rsidR="00E775BE" w:rsidRPr="008431A9" w:rsidRDefault="00B34B72" w:rsidP="00B34B72">
      <w:pPr>
        <w:pStyle w:val="Point1"/>
        <w:rPr>
          <w:noProof/>
        </w:rPr>
      </w:pPr>
      <w:r w:rsidRPr="00B34B72">
        <w:t>(e)</w:t>
      </w:r>
      <w:r w:rsidRPr="00B34B72">
        <w:tab/>
      </w:r>
      <w:r w:rsidR="67833288" w:rsidRPr="008431A9">
        <w:rPr>
          <w:noProof/>
        </w:rPr>
        <w:t xml:space="preserve">combat counterfeiting and suspected fraudulent uses on the internal market of a geographical indication that is not in compliance with the product specification by monitoring the use of the geographical indication across the internal market and on </w:t>
      </w:r>
      <w:r w:rsidR="00665E61" w:rsidRPr="008431A9">
        <w:rPr>
          <w:noProof/>
        </w:rPr>
        <w:t>third countries’</w:t>
      </w:r>
      <w:r w:rsidR="67833288" w:rsidRPr="008431A9">
        <w:rPr>
          <w:noProof/>
        </w:rPr>
        <w:t xml:space="preserve"> markets where the geographical indications are protected, including on the internet, and, as necessary, informing enforcement authorities using confidential systems available.</w:t>
      </w:r>
    </w:p>
    <w:p w:rsidR="00E775BE" w:rsidRPr="008431A9" w:rsidRDefault="00E775BE" w:rsidP="0002261F">
      <w:pPr>
        <w:pStyle w:val="Titrearticle"/>
        <w:rPr>
          <w:noProof/>
        </w:rPr>
      </w:pPr>
      <w:bookmarkStart w:id="2" w:name="akn_article_RPDe3g_Gs8o5Q"/>
      <w:bookmarkEnd w:id="2"/>
      <w:r w:rsidRPr="008431A9">
        <w:rPr>
          <w:noProof/>
        </w:rPr>
        <w:t>Article 41</w:t>
      </w:r>
    </w:p>
    <w:p w:rsidR="00E775BE" w:rsidRPr="008431A9" w:rsidRDefault="00E775BE" w:rsidP="7BFE7808">
      <w:pPr>
        <w:pStyle w:val="NormalCentered"/>
        <w:rPr>
          <w:b/>
          <w:bCs/>
          <w:noProof/>
        </w:rPr>
      </w:pPr>
      <w:r w:rsidRPr="008431A9">
        <w:rPr>
          <w:b/>
          <w:bCs/>
          <w:noProof/>
        </w:rPr>
        <w:t>Protection of geographical indication rights in domain names</w:t>
      </w:r>
    </w:p>
    <w:p w:rsidR="00E775BE" w:rsidRPr="008431A9" w:rsidRDefault="00B34B72" w:rsidP="00B34B72">
      <w:pPr>
        <w:pStyle w:val="ManualNumPar1"/>
        <w:rPr>
          <w:rFonts w:eastAsiaTheme="minorEastAsia"/>
          <w:noProof/>
        </w:rPr>
      </w:pPr>
      <w:r w:rsidRPr="00B34B72">
        <w:t>1.</w:t>
      </w:r>
      <w:r w:rsidRPr="00B34B72">
        <w:tab/>
      </w:r>
      <w:r w:rsidR="183835EF" w:rsidRPr="008431A9">
        <w:rPr>
          <w:noProof/>
        </w:rPr>
        <w:t xml:space="preserve">Country-code top-level domain name registries </w:t>
      </w:r>
      <w:r w:rsidR="75CC0223" w:rsidRPr="008431A9">
        <w:rPr>
          <w:noProof/>
        </w:rPr>
        <w:t>established in the Union</w:t>
      </w:r>
      <w:r w:rsidR="183835EF" w:rsidRPr="008431A9">
        <w:rPr>
          <w:noProof/>
        </w:rPr>
        <w:t xml:space="preserve"> may, upon request</w:t>
      </w:r>
      <w:r w:rsidR="183835EF" w:rsidRPr="008431A9">
        <w:rPr>
          <w:noProof/>
          <w:lang w:val="en-US"/>
        </w:rPr>
        <w:t xml:space="preserve"> of a natural or legal person having a legitimate interest or rights, revoke or transfer </w:t>
      </w:r>
      <w:r w:rsidR="596CCD2E" w:rsidRPr="008431A9">
        <w:rPr>
          <w:noProof/>
          <w:lang w:val="en-US"/>
        </w:rPr>
        <w:t>a domain name registered under such country-code top-level domain to the producer group of the products with the geographical indication concerned, following an appropriate alternative</w:t>
      </w:r>
      <w:r w:rsidR="21347990" w:rsidRPr="008431A9">
        <w:rPr>
          <w:noProof/>
          <w:lang w:val="en-US"/>
        </w:rPr>
        <w:t>-</w:t>
      </w:r>
      <w:r w:rsidR="596CCD2E" w:rsidRPr="008431A9">
        <w:rPr>
          <w:noProof/>
          <w:lang w:val="en-US"/>
        </w:rPr>
        <w:t>dispute</w:t>
      </w:r>
      <w:r w:rsidR="21347990" w:rsidRPr="008431A9">
        <w:rPr>
          <w:noProof/>
          <w:lang w:val="en-US"/>
        </w:rPr>
        <w:t>-</w:t>
      </w:r>
      <w:r w:rsidR="596CCD2E" w:rsidRPr="008431A9">
        <w:rPr>
          <w:noProof/>
          <w:lang w:val="en-US"/>
        </w:rPr>
        <w:t xml:space="preserve">resolution procedure or judicial procedure, </w:t>
      </w:r>
      <w:r w:rsidR="183835EF" w:rsidRPr="008431A9">
        <w:rPr>
          <w:noProof/>
        </w:rPr>
        <w:t xml:space="preserve">if such domain name </w:t>
      </w:r>
      <w:r w:rsidR="596CCD2E" w:rsidRPr="008431A9">
        <w:rPr>
          <w:noProof/>
        </w:rPr>
        <w:t xml:space="preserve">has been registered by its holder without rights or legitimate interest in the geographical indication or if it has been registered or is being used in bad faith and its use contravenes Article 35. </w:t>
      </w:r>
    </w:p>
    <w:p w:rsidR="00E775BE" w:rsidRPr="008431A9" w:rsidRDefault="00B34B72" w:rsidP="00B34B72">
      <w:pPr>
        <w:pStyle w:val="ManualNumPar1"/>
        <w:rPr>
          <w:rFonts w:eastAsiaTheme="minorEastAsia"/>
          <w:noProof/>
          <w:szCs w:val="24"/>
        </w:rPr>
      </w:pPr>
      <w:r w:rsidRPr="00B34B72">
        <w:t>2.</w:t>
      </w:r>
      <w:r w:rsidRPr="00B34B72">
        <w:tab/>
      </w:r>
      <w:r w:rsidR="20B9C27F" w:rsidRPr="008431A9">
        <w:rPr>
          <w:noProof/>
        </w:rPr>
        <w:t>Country-code top-level domain name registries</w:t>
      </w:r>
      <w:r w:rsidR="5132A94D" w:rsidRPr="008431A9">
        <w:rPr>
          <w:noProof/>
        </w:rPr>
        <w:t xml:space="preserve"> established </w:t>
      </w:r>
      <w:r w:rsidR="6692FF06" w:rsidRPr="008431A9">
        <w:rPr>
          <w:noProof/>
        </w:rPr>
        <w:t xml:space="preserve">in the Union shall ensure that </w:t>
      </w:r>
      <w:r w:rsidR="004C6DBC" w:rsidRPr="008431A9">
        <w:rPr>
          <w:noProof/>
        </w:rPr>
        <w:t xml:space="preserve">any </w:t>
      </w:r>
      <w:r w:rsidR="6692FF06" w:rsidRPr="008431A9">
        <w:rPr>
          <w:noProof/>
        </w:rPr>
        <w:t xml:space="preserve">alternative dispute resolution procedure established </w:t>
      </w:r>
      <w:r w:rsidR="5132A94D" w:rsidRPr="008431A9">
        <w:rPr>
          <w:noProof/>
        </w:rPr>
        <w:t xml:space="preserve">to solve disputes relating to the registration of domain names referred to in paragraph 1, shall recognise geographical indications as rights that may prevent a domain name from being registered or used in bad faith. </w:t>
      </w:r>
    </w:p>
    <w:p w:rsidR="00E775BE" w:rsidRPr="008431A9" w:rsidRDefault="00E775BE" w:rsidP="0002261F">
      <w:pPr>
        <w:pStyle w:val="Titrearticle"/>
        <w:rPr>
          <w:noProof/>
        </w:rPr>
      </w:pPr>
      <w:r w:rsidRPr="008431A9">
        <w:rPr>
          <w:noProof/>
        </w:rPr>
        <w:t>Article 42</w:t>
      </w:r>
    </w:p>
    <w:p w:rsidR="00E775BE" w:rsidRPr="008431A9" w:rsidRDefault="00E775BE" w:rsidP="004C739C">
      <w:pPr>
        <w:pStyle w:val="NormalCentered"/>
        <w:rPr>
          <w:b/>
          <w:noProof/>
        </w:rPr>
      </w:pPr>
      <w:r w:rsidRPr="008431A9">
        <w:rPr>
          <w:b/>
          <w:noProof/>
        </w:rPr>
        <w:t>Conflicting trade marks</w:t>
      </w:r>
    </w:p>
    <w:p w:rsidR="00E775BE" w:rsidRPr="008431A9" w:rsidRDefault="00B34B72" w:rsidP="00B34B72">
      <w:pPr>
        <w:pStyle w:val="ManualNumPar1"/>
        <w:rPr>
          <w:rFonts w:eastAsiaTheme="minorEastAsia"/>
          <w:noProof/>
        </w:rPr>
      </w:pPr>
      <w:r w:rsidRPr="00B34B72">
        <w:t>1.</w:t>
      </w:r>
      <w:r w:rsidRPr="00B34B72">
        <w:tab/>
      </w:r>
      <w:r w:rsidR="183835EF" w:rsidRPr="008431A9">
        <w:rPr>
          <w:noProof/>
        </w:rPr>
        <w:t>The registration of a trade mark the use of which would contravene Article 35 shall be rejected if the application for registration of the trade mark is submitted after the date of submission to the Office</w:t>
      </w:r>
      <w:r w:rsidR="6BF38640" w:rsidRPr="008431A9">
        <w:rPr>
          <w:noProof/>
        </w:rPr>
        <w:t xml:space="preserve"> </w:t>
      </w:r>
      <w:r w:rsidR="183835EF" w:rsidRPr="008431A9">
        <w:rPr>
          <w:noProof/>
        </w:rPr>
        <w:t xml:space="preserve">of the application for the registration of the geographical indication. </w:t>
      </w:r>
    </w:p>
    <w:p w:rsidR="00E775BE" w:rsidRPr="008431A9" w:rsidRDefault="00B34B72" w:rsidP="00B34B72">
      <w:pPr>
        <w:pStyle w:val="ManualNumPar1"/>
        <w:rPr>
          <w:noProof/>
        </w:rPr>
      </w:pPr>
      <w:r w:rsidRPr="00B34B72">
        <w:t>2.</w:t>
      </w:r>
      <w:r w:rsidRPr="00B34B72">
        <w:tab/>
      </w:r>
      <w:r w:rsidR="03BC32E2" w:rsidRPr="008431A9">
        <w:rPr>
          <w:noProof/>
        </w:rPr>
        <w:t xml:space="preserve">The Office and, when applicable, the competent national authorities shall invalidate </w:t>
      </w:r>
      <w:r w:rsidR="00A03BC2" w:rsidRPr="008431A9">
        <w:rPr>
          <w:noProof/>
        </w:rPr>
        <w:t>t</w:t>
      </w:r>
      <w:r w:rsidR="183835EF" w:rsidRPr="008431A9">
        <w:rPr>
          <w:noProof/>
        </w:rPr>
        <w:t xml:space="preserve">rade marks registered in breach of paragraph 1. </w:t>
      </w:r>
    </w:p>
    <w:p w:rsidR="000B1035" w:rsidRPr="008431A9" w:rsidRDefault="00B34B72" w:rsidP="00B34B72">
      <w:pPr>
        <w:pStyle w:val="ManualNumPar1"/>
        <w:rPr>
          <w:noProof/>
        </w:rPr>
      </w:pPr>
      <w:r w:rsidRPr="00B34B72">
        <w:t>3.</w:t>
      </w:r>
      <w:r w:rsidRPr="00B34B72">
        <w:tab/>
      </w:r>
      <w:r w:rsidR="007E097C" w:rsidRPr="008431A9">
        <w:rPr>
          <w:noProof/>
        </w:rPr>
        <w:t>For the purposes of paragraphs 1 and 4</w:t>
      </w:r>
      <w:r w:rsidR="0092088E" w:rsidRPr="008431A9">
        <w:rPr>
          <w:noProof/>
        </w:rPr>
        <w:t xml:space="preserve"> of this Article</w:t>
      </w:r>
      <w:r w:rsidR="007E097C" w:rsidRPr="008431A9">
        <w:rPr>
          <w:noProof/>
        </w:rPr>
        <w:t>, f</w:t>
      </w:r>
      <w:r w:rsidR="34A5468A" w:rsidRPr="008431A9">
        <w:rPr>
          <w:noProof/>
        </w:rPr>
        <w:t xml:space="preserve">or geographical indications registered </w:t>
      </w:r>
      <w:r w:rsidR="007E097C" w:rsidRPr="008431A9">
        <w:rPr>
          <w:noProof/>
        </w:rPr>
        <w:t xml:space="preserve">further to the procedure set up in </w:t>
      </w:r>
      <w:r w:rsidR="34A5468A" w:rsidRPr="008431A9">
        <w:rPr>
          <w:noProof/>
        </w:rPr>
        <w:t>Article 6</w:t>
      </w:r>
      <w:r w:rsidR="00625BEB" w:rsidRPr="008431A9">
        <w:rPr>
          <w:noProof/>
        </w:rPr>
        <w:t>7</w:t>
      </w:r>
      <w:r w:rsidR="007E097C" w:rsidRPr="008431A9">
        <w:rPr>
          <w:noProof/>
        </w:rPr>
        <w:t xml:space="preserve">, </w:t>
      </w:r>
      <w:r w:rsidR="34A5468A" w:rsidRPr="008431A9">
        <w:rPr>
          <w:noProof/>
        </w:rPr>
        <w:t>the first day of protection</w:t>
      </w:r>
      <w:r w:rsidR="00625BEB" w:rsidRPr="008431A9">
        <w:rPr>
          <w:noProof/>
        </w:rPr>
        <w:t xml:space="preserve">, following the one year transitional period since </w:t>
      </w:r>
      <w:r w:rsidR="0092088E" w:rsidRPr="008431A9">
        <w:rPr>
          <w:noProof/>
        </w:rPr>
        <w:t>[</w:t>
      </w:r>
      <w:r w:rsidR="00625BEB" w:rsidRPr="008431A9">
        <w:rPr>
          <w:noProof/>
        </w:rPr>
        <w:t>the</w:t>
      </w:r>
      <w:r w:rsidR="0092088E" w:rsidRPr="008431A9">
        <w:rPr>
          <w:noProof/>
        </w:rPr>
        <w:t xml:space="preserve"> date</w:t>
      </w:r>
      <w:r w:rsidR="00625BEB" w:rsidRPr="008431A9">
        <w:rPr>
          <w:noProof/>
        </w:rPr>
        <w:t xml:space="preserve"> entry into force of this Regulation</w:t>
      </w:r>
      <w:r w:rsidR="0092088E" w:rsidRPr="008431A9">
        <w:rPr>
          <w:noProof/>
        </w:rPr>
        <w:t>]</w:t>
      </w:r>
      <w:r w:rsidR="00625BEB" w:rsidRPr="008431A9">
        <w:rPr>
          <w:noProof/>
        </w:rPr>
        <w:t>,</w:t>
      </w:r>
      <w:r w:rsidR="34A5468A" w:rsidRPr="008431A9">
        <w:rPr>
          <w:noProof/>
        </w:rPr>
        <w:t xml:space="preserve"> shall be deemed to be the da</w:t>
      </w:r>
      <w:r w:rsidR="007E097C" w:rsidRPr="008431A9">
        <w:rPr>
          <w:noProof/>
        </w:rPr>
        <w:t>y on which the Member States have informed</w:t>
      </w:r>
      <w:r w:rsidR="34A5468A" w:rsidRPr="008431A9">
        <w:rPr>
          <w:noProof/>
        </w:rPr>
        <w:t xml:space="preserve"> the </w:t>
      </w:r>
      <w:r w:rsidR="007E097C" w:rsidRPr="008431A9">
        <w:rPr>
          <w:noProof/>
        </w:rPr>
        <w:t>Office</w:t>
      </w:r>
      <w:r w:rsidR="00625BEB" w:rsidRPr="008431A9">
        <w:rPr>
          <w:noProof/>
        </w:rPr>
        <w:t xml:space="preserve"> and the Commission</w:t>
      </w:r>
      <w:r w:rsidR="34A5468A" w:rsidRPr="008431A9">
        <w:rPr>
          <w:noProof/>
        </w:rPr>
        <w:t>.</w:t>
      </w:r>
    </w:p>
    <w:p w:rsidR="594D1A89" w:rsidRPr="008431A9" w:rsidRDefault="00B34B72" w:rsidP="00B34B72">
      <w:pPr>
        <w:pStyle w:val="ManualNumPar1"/>
        <w:rPr>
          <w:noProof/>
        </w:rPr>
      </w:pPr>
      <w:r w:rsidRPr="00B34B72">
        <w:t>4.</w:t>
      </w:r>
      <w:r w:rsidRPr="00B34B72">
        <w:tab/>
      </w:r>
      <w:r w:rsidR="183835EF" w:rsidRPr="008431A9">
        <w:rPr>
          <w:noProof/>
        </w:rPr>
        <w:t>Without prejudice to paragraph 2</w:t>
      </w:r>
      <w:r w:rsidR="454A280C" w:rsidRPr="008431A9">
        <w:rPr>
          <w:noProof/>
        </w:rPr>
        <w:t xml:space="preserve"> of this Article</w:t>
      </w:r>
      <w:r w:rsidR="183835EF" w:rsidRPr="008431A9">
        <w:rPr>
          <w:noProof/>
        </w:rPr>
        <w:t xml:space="preserve">, a trade mark the use of which contravenes Article 35, which has been applied for, registered, or established by use </w:t>
      </w:r>
      <w:r w:rsidR="183835EF" w:rsidRPr="008431A9">
        <w:rPr>
          <w:noProof/>
        </w:rPr>
        <w:lastRenderedPageBreak/>
        <w:t>in good faith within the territory of the Union, if that possibility is provided for by the legislation concerned, before the date on which the application for registration of the geographical indication is submitted to the Office, may continue to be used and renewed notwithstanding the registration of a geographical indication, provided that no grounds for invalidity or revocation of the trade mark exist under Directive (EU) 2015/2436</w:t>
      </w:r>
      <w:r w:rsidR="00E775BE" w:rsidRPr="008431A9">
        <w:rPr>
          <w:rStyle w:val="FootnoteReference"/>
          <w:noProof/>
        </w:rPr>
        <w:footnoteReference w:id="33"/>
      </w:r>
      <w:r w:rsidR="0092088E" w:rsidRPr="008431A9">
        <w:rPr>
          <w:noProof/>
        </w:rPr>
        <w:t xml:space="preserve"> of the European Parliament and of the Council</w:t>
      </w:r>
      <w:r w:rsidR="183835EF" w:rsidRPr="008431A9">
        <w:rPr>
          <w:noProof/>
        </w:rPr>
        <w:t xml:space="preserve"> or Regulation (EU) 2017/1001. In such cases, the use of the geographical indication and that of the relevant trade mark shall be permitted</w:t>
      </w:r>
      <w:r w:rsidR="0092088E" w:rsidRPr="008431A9">
        <w:rPr>
          <w:noProof/>
        </w:rPr>
        <w:t xml:space="preserve">. </w:t>
      </w:r>
    </w:p>
    <w:p w:rsidR="00E775BE" w:rsidRPr="008431A9" w:rsidRDefault="00B34B72" w:rsidP="00B34B72">
      <w:pPr>
        <w:pStyle w:val="ManualNumPar1"/>
        <w:rPr>
          <w:noProof/>
        </w:rPr>
      </w:pPr>
      <w:r w:rsidRPr="00B34B72">
        <w:t>5.</w:t>
      </w:r>
      <w:r w:rsidRPr="00B34B72">
        <w:tab/>
      </w:r>
      <w:r w:rsidR="183835EF" w:rsidRPr="008431A9">
        <w:rPr>
          <w:noProof/>
        </w:rPr>
        <w:t>Guarantee or certification marks referred to in Article 28(4) of Directive (EU) 2015/2436</w:t>
      </w:r>
      <w:r w:rsidR="0092088E" w:rsidRPr="008431A9">
        <w:rPr>
          <w:noProof/>
        </w:rPr>
        <w:t xml:space="preserve"> </w:t>
      </w:r>
      <w:r w:rsidR="183835EF" w:rsidRPr="008431A9">
        <w:rPr>
          <w:noProof/>
        </w:rPr>
        <w:t>and collective marks referred to in Article 29(3) of that Directive may be used on labels, together with the geographical indication.</w:t>
      </w:r>
    </w:p>
    <w:p w:rsidR="00E775BE" w:rsidRPr="008431A9" w:rsidRDefault="00E775BE" w:rsidP="0002261F">
      <w:pPr>
        <w:pStyle w:val="Titrearticle"/>
        <w:rPr>
          <w:noProof/>
        </w:rPr>
      </w:pPr>
      <w:r w:rsidRPr="008431A9">
        <w:rPr>
          <w:noProof/>
        </w:rPr>
        <w:t>Article 43</w:t>
      </w:r>
    </w:p>
    <w:p w:rsidR="00E775BE" w:rsidRPr="008431A9" w:rsidRDefault="00E775BE" w:rsidP="004C739C">
      <w:pPr>
        <w:pStyle w:val="NormalCentered"/>
        <w:rPr>
          <w:b/>
          <w:noProof/>
        </w:rPr>
      </w:pPr>
      <w:r w:rsidRPr="008431A9">
        <w:rPr>
          <w:b/>
          <w:noProof/>
        </w:rPr>
        <w:t>Right to use</w:t>
      </w:r>
    </w:p>
    <w:p w:rsidR="00E775BE" w:rsidRPr="008431A9" w:rsidRDefault="00B34B72" w:rsidP="00B34B72">
      <w:pPr>
        <w:pStyle w:val="ManualNumPar1"/>
        <w:rPr>
          <w:rFonts w:eastAsiaTheme="minorEastAsia"/>
          <w:noProof/>
        </w:rPr>
      </w:pPr>
      <w:r w:rsidRPr="00B34B72">
        <w:t>1.</w:t>
      </w:r>
      <w:r w:rsidRPr="00B34B72">
        <w:tab/>
      </w:r>
      <w:r w:rsidR="5132A94D" w:rsidRPr="008431A9">
        <w:rPr>
          <w:noProof/>
        </w:rPr>
        <w:t xml:space="preserve">A </w:t>
      </w:r>
      <w:r w:rsidR="008A7957" w:rsidRPr="008431A9">
        <w:rPr>
          <w:noProof/>
        </w:rPr>
        <w:t>registered</w:t>
      </w:r>
      <w:r w:rsidR="5132A94D" w:rsidRPr="008431A9">
        <w:rPr>
          <w:noProof/>
        </w:rPr>
        <w:t xml:space="preserve"> geographical indication may be used by any producer marketing a product conforming to the corresponding product specification or to a single document or an equivalent to the latter.</w:t>
      </w:r>
    </w:p>
    <w:p w:rsidR="00E775BE" w:rsidRPr="008431A9" w:rsidRDefault="00B34B72" w:rsidP="00B34B72">
      <w:pPr>
        <w:pStyle w:val="ManualNumPar1"/>
        <w:rPr>
          <w:noProof/>
        </w:rPr>
      </w:pPr>
      <w:r w:rsidRPr="00B34B72">
        <w:t>2.</w:t>
      </w:r>
      <w:r w:rsidRPr="00B34B72">
        <w:tab/>
      </w:r>
      <w:r w:rsidR="5132A94D" w:rsidRPr="008431A9">
        <w:rPr>
          <w:noProof/>
        </w:rPr>
        <w:t xml:space="preserve">Member States shall ensure that any producer complying with the rules set out in this Title is entitled to be covered by the verification of compliance established pursuant to Article </w:t>
      </w:r>
      <w:hyperlink w:anchor="akn_article_NKvWio">
        <w:r w:rsidR="5132A94D" w:rsidRPr="008431A9">
          <w:rPr>
            <w:rStyle w:val="Hyperlink"/>
            <w:noProof/>
            <w:color w:val="auto"/>
            <w:u w:val="none"/>
          </w:rPr>
          <w:t>4</w:t>
        </w:r>
      </w:hyperlink>
      <w:r w:rsidR="5132A94D" w:rsidRPr="008431A9">
        <w:rPr>
          <w:rStyle w:val="Hyperlink"/>
          <w:noProof/>
          <w:color w:val="auto"/>
          <w:u w:val="none"/>
        </w:rPr>
        <w:t>6</w:t>
      </w:r>
      <w:r w:rsidR="5132A94D" w:rsidRPr="008431A9">
        <w:rPr>
          <w:noProof/>
        </w:rPr>
        <w:t xml:space="preserve">. Member States may charge a fee to cover their costs of managing the controls system. </w:t>
      </w:r>
    </w:p>
    <w:p w:rsidR="00E775BE" w:rsidRPr="008431A9" w:rsidRDefault="00E775BE" w:rsidP="0002261F">
      <w:pPr>
        <w:pStyle w:val="Titrearticle"/>
        <w:rPr>
          <w:noProof/>
        </w:rPr>
      </w:pPr>
      <w:r w:rsidRPr="008431A9">
        <w:rPr>
          <w:noProof/>
        </w:rPr>
        <w:t>Article 44</w:t>
      </w:r>
    </w:p>
    <w:p w:rsidR="00E775BE" w:rsidRPr="008431A9" w:rsidRDefault="00E775BE" w:rsidP="0081316A">
      <w:pPr>
        <w:pStyle w:val="NormalCentered"/>
        <w:rPr>
          <w:b/>
          <w:noProof/>
        </w:rPr>
      </w:pPr>
      <w:r w:rsidRPr="008431A9">
        <w:rPr>
          <w:b/>
          <w:noProof/>
        </w:rPr>
        <w:t>Union symbol, indication, abbreviation</w:t>
      </w:r>
    </w:p>
    <w:p w:rsidR="00E775BE" w:rsidRPr="008431A9" w:rsidRDefault="00B34B72" w:rsidP="00B34B72">
      <w:pPr>
        <w:pStyle w:val="ManualNumPar1"/>
        <w:rPr>
          <w:rFonts w:eastAsiaTheme="minorEastAsia"/>
          <w:noProof/>
        </w:rPr>
      </w:pPr>
      <w:r w:rsidRPr="00B34B72">
        <w:t>1.</w:t>
      </w:r>
      <w:r w:rsidRPr="00B34B72">
        <w:tab/>
      </w:r>
      <w:r w:rsidR="183835EF" w:rsidRPr="008431A9">
        <w:rPr>
          <w:noProof/>
          <w:lang w:val="en-US"/>
        </w:rPr>
        <w:t xml:space="preserve">The </w:t>
      </w:r>
      <w:r w:rsidR="183835EF" w:rsidRPr="008431A9">
        <w:rPr>
          <w:noProof/>
        </w:rPr>
        <w:t>Union symbol established for ‘</w:t>
      </w:r>
      <w:r w:rsidR="16F1BE2A" w:rsidRPr="008431A9">
        <w:rPr>
          <w:noProof/>
        </w:rPr>
        <w:t xml:space="preserve">protected </w:t>
      </w:r>
      <w:r w:rsidR="183835EF" w:rsidRPr="008431A9">
        <w:rPr>
          <w:noProof/>
        </w:rPr>
        <w:t>geographical indications’ under Commission Delegated Regulation (EU) 664/2014</w:t>
      </w:r>
      <w:r w:rsidR="00E775BE" w:rsidRPr="008431A9">
        <w:rPr>
          <w:rStyle w:val="FootnoteReference"/>
          <w:noProof/>
        </w:rPr>
        <w:footnoteReference w:id="34"/>
      </w:r>
      <w:r w:rsidR="183835EF" w:rsidRPr="008431A9">
        <w:rPr>
          <w:noProof/>
        </w:rPr>
        <w:t xml:space="preserve"> shall be applicable to geographical indications for craft and industrial products.</w:t>
      </w:r>
    </w:p>
    <w:p w:rsidR="00E775BE" w:rsidRPr="008431A9" w:rsidRDefault="00B34B72" w:rsidP="00B34B72">
      <w:pPr>
        <w:pStyle w:val="ManualNumPar1"/>
        <w:rPr>
          <w:noProof/>
        </w:rPr>
      </w:pPr>
      <w:r w:rsidRPr="00B34B72">
        <w:t>2.</w:t>
      </w:r>
      <w:r w:rsidRPr="00B34B72">
        <w:tab/>
      </w:r>
      <w:r w:rsidR="183835EF" w:rsidRPr="008431A9">
        <w:rPr>
          <w:noProof/>
        </w:rPr>
        <w:t xml:space="preserve">In the case of craft and industrial products originating in the Union that are marketed under a geographical indication, the Union symbol referred to </w:t>
      </w:r>
      <w:r w:rsidR="5423B676" w:rsidRPr="008431A9">
        <w:rPr>
          <w:noProof/>
        </w:rPr>
        <w:t xml:space="preserve">in </w:t>
      </w:r>
      <w:r w:rsidR="183835EF" w:rsidRPr="008431A9">
        <w:rPr>
          <w:noProof/>
        </w:rPr>
        <w:t xml:space="preserve">paragraph 1 may appear on the labelling and advertising material. The geographical indication shall be in the same field of vision as the Union symbol. </w:t>
      </w:r>
    </w:p>
    <w:p w:rsidR="00E775BE" w:rsidRPr="008431A9" w:rsidRDefault="00B34B72" w:rsidP="00B34B72">
      <w:pPr>
        <w:pStyle w:val="ManualNumPar1"/>
        <w:rPr>
          <w:rFonts w:eastAsiaTheme="minorEastAsia"/>
          <w:noProof/>
        </w:rPr>
      </w:pPr>
      <w:r w:rsidRPr="00B34B72">
        <w:t>3.</w:t>
      </w:r>
      <w:r w:rsidRPr="00B34B72">
        <w:tab/>
      </w:r>
      <w:r w:rsidR="183835EF" w:rsidRPr="008431A9">
        <w:rPr>
          <w:noProof/>
        </w:rPr>
        <w:t>The abbreviation ‘PGI’</w:t>
      </w:r>
      <w:r w:rsidR="25D461D4" w:rsidRPr="008431A9">
        <w:rPr>
          <w:noProof/>
        </w:rPr>
        <w:t xml:space="preserve"> corresponding to the</w:t>
      </w:r>
      <w:r w:rsidR="183835EF" w:rsidRPr="008431A9">
        <w:rPr>
          <w:noProof/>
        </w:rPr>
        <w:t xml:space="preserve"> indication ‘protected geographical indication’ may appear on the labelling of products designated by a geographical indication of craft and industrial products. </w:t>
      </w:r>
    </w:p>
    <w:p w:rsidR="00E775BE" w:rsidRPr="008431A9" w:rsidRDefault="00B34B72" w:rsidP="00B34B72">
      <w:pPr>
        <w:pStyle w:val="ManualNumPar1"/>
        <w:rPr>
          <w:noProof/>
        </w:rPr>
      </w:pPr>
      <w:r w:rsidRPr="00B34B72">
        <w:t>4.</w:t>
      </w:r>
      <w:r w:rsidRPr="00B34B72">
        <w:tab/>
      </w:r>
      <w:r w:rsidR="183835EF" w:rsidRPr="008431A9">
        <w:rPr>
          <w:noProof/>
        </w:rPr>
        <w:t xml:space="preserve">Indications, abbreviations and Union symbols may be used in the labelling and advertising materials of manufactured products when the geographical indication refers to a part or component thereof. In that case, </w:t>
      </w:r>
      <w:r w:rsidR="705741A3" w:rsidRPr="008431A9">
        <w:rPr>
          <w:noProof/>
        </w:rPr>
        <w:t>the</w:t>
      </w:r>
      <w:r w:rsidR="183835EF" w:rsidRPr="008431A9">
        <w:rPr>
          <w:noProof/>
        </w:rPr>
        <w:t xml:space="preserve"> indication, abbreviation or </w:t>
      </w:r>
      <w:r w:rsidR="183835EF" w:rsidRPr="008431A9">
        <w:rPr>
          <w:noProof/>
        </w:rPr>
        <w:lastRenderedPageBreak/>
        <w:t>Union symbol shall be placed next to the name of the part or component that is clearly identified as a part or component. The Union symbol shall not be placed in a manner that suggests to the consumer that the manufactured product rather than the part or component is the object of registration.</w:t>
      </w:r>
    </w:p>
    <w:p w:rsidR="00E775BE" w:rsidRPr="008431A9" w:rsidRDefault="00B34B72" w:rsidP="00B34B72">
      <w:pPr>
        <w:pStyle w:val="ManualNumPar1"/>
        <w:rPr>
          <w:noProof/>
        </w:rPr>
      </w:pPr>
      <w:r w:rsidRPr="00B34B72">
        <w:t>5.</w:t>
      </w:r>
      <w:r w:rsidRPr="00B34B72">
        <w:tab/>
      </w:r>
      <w:r w:rsidR="183835EF" w:rsidRPr="008431A9">
        <w:rPr>
          <w:noProof/>
        </w:rPr>
        <w:t xml:space="preserve">After </w:t>
      </w:r>
      <w:r w:rsidR="47D07C09" w:rsidRPr="008431A9">
        <w:rPr>
          <w:noProof/>
        </w:rPr>
        <w:t xml:space="preserve">the submission of </w:t>
      </w:r>
      <w:r w:rsidR="183835EF" w:rsidRPr="008431A9">
        <w:rPr>
          <w:noProof/>
        </w:rPr>
        <w:t>a</w:t>
      </w:r>
      <w:r w:rsidR="47D07C09" w:rsidRPr="008431A9">
        <w:rPr>
          <w:noProof/>
        </w:rPr>
        <w:t xml:space="preserve"> Unio</w:t>
      </w:r>
      <w:r w:rsidR="183835EF" w:rsidRPr="008431A9">
        <w:rPr>
          <w:noProof/>
        </w:rPr>
        <w:t>n application for the registration of a geographical indication, producers may indicate on the labelling</w:t>
      </w:r>
      <w:r w:rsidR="3E149DED" w:rsidRPr="008431A9">
        <w:rPr>
          <w:noProof/>
        </w:rPr>
        <w:t>,</w:t>
      </w:r>
      <w:r w:rsidR="183835EF" w:rsidRPr="008431A9">
        <w:rPr>
          <w:noProof/>
        </w:rPr>
        <w:t xml:space="preserve"> and in </w:t>
      </w:r>
      <w:r w:rsidR="47FA4A06" w:rsidRPr="008431A9">
        <w:rPr>
          <w:noProof/>
        </w:rPr>
        <w:t xml:space="preserve">the </w:t>
      </w:r>
      <w:r w:rsidR="183835EF" w:rsidRPr="008431A9">
        <w:rPr>
          <w:noProof/>
        </w:rPr>
        <w:t>presentation</w:t>
      </w:r>
      <w:r w:rsidR="3E149DED" w:rsidRPr="008431A9">
        <w:rPr>
          <w:noProof/>
        </w:rPr>
        <w:t>,</w:t>
      </w:r>
      <w:r w:rsidR="183835EF" w:rsidRPr="008431A9">
        <w:rPr>
          <w:noProof/>
        </w:rPr>
        <w:t xml:space="preserve"> of the product that an application has been filed in compliance with Union law. </w:t>
      </w:r>
    </w:p>
    <w:p w:rsidR="00E775BE" w:rsidRPr="008431A9" w:rsidRDefault="00B34B72" w:rsidP="00B34B72">
      <w:pPr>
        <w:pStyle w:val="ManualNumPar1"/>
        <w:rPr>
          <w:rFonts w:eastAsia="Calibri"/>
          <w:noProof/>
        </w:rPr>
      </w:pPr>
      <w:r w:rsidRPr="00B34B72">
        <w:t>6.</w:t>
      </w:r>
      <w:r w:rsidRPr="00B34B72">
        <w:tab/>
      </w:r>
      <w:r w:rsidR="183835EF" w:rsidRPr="008431A9">
        <w:rPr>
          <w:noProof/>
        </w:rPr>
        <w:t xml:space="preserve">The Union symbol indicating the protected geographical indication and the Union indication ‘protected geographical indication’ and the abbreviation ‘PGI’ as relevant, may appear on the labelling only after the publication of the decision </w:t>
      </w:r>
      <w:r w:rsidR="3E149DED" w:rsidRPr="008431A9">
        <w:rPr>
          <w:noProof/>
        </w:rPr>
        <w:t>on registration in accordance with Article</w:t>
      </w:r>
      <w:r w:rsidR="0092088E" w:rsidRPr="008431A9">
        <w:rPr>
          <w:noProof/>
        </w:rPr>
        <w:t>s</w:t>
      </w:r>
      <w:r w:rsidR="3E149DED" w:rsidRPr="008431A9">
        <w:rPr>
          <w:noProof/>
        </w:rPr>
        <w:t xml:space="preserve"> 24</w:t>
      </w:r>
      <w:r w:rsidR="006C3367" w:rsidRPr="008431A9">
        <w:rPr>
          <w:noProof/>
        </w:rPr>
        <w:t xml:space="preserve"> and 25</w:t>
      </w:r>
      <w:r w:rsidR="183835EF" w:rsidRPr="008431A9">
        <w:rPr>
          <w:noProof/>
        </w:rPr>
        <w:t xml:space="preserve">. </w:t>
      </w:r>
    </w:p>
    <w:p w:rsidR="3918A901" w:rsidRPr="008431A9" w:rsidRDefault="00B34B72" w:rsidP="00B34B72">
      <w:pPr>
        <w:pStyle w:val="ManualNumPar1"/>
        <w:rPr>
          <w:rFonts w:eastAsiaTheme="minorEastAsia"/>
          <w:noProof/>
        </w:rPr>
      </w:pPr>
      <w:r w:rsidRPr="00B34B72">
        <w:t>7.</w:t>
      </w:r>
      <w:r w:rsidRPr="00B34B72">
        <w:tab/>
      </w:r>
      <w:r w:rsidR="363571BB" w:rsidRPr="008431A9">
        <w:rPr>
          <w:noProof/>
        </w:rPr>
        <w:t>Where an application is rejected, any products labelled in accordance with paragraph 4 may be marketed until the stocks are exhausted.</w:t>
      </w:r>
    </w:p>
    <w:p w:rsidR="00E775BE" w:rsidRPr="008431A9" w:rsidRDefault="00B34B72" w:rsidP="00B34B72">
      <w:pPr>
        <w:pStyle w:val="ManualNumPar1"/>
        <w:rPr>
          <w:noProof/>
        </w:rPr>
      </w:pPr>
      <w:r w:rsidRPr="00B34B72">
        <w:t>8.</w:t>
      </w:r>
      <w:r w:rsidRPr="00B34B72">
        <w:tab/>
      </w:r>
      <w:r w:rsidR="183835EF" w:rsidRPr="008431A9">
        <w:rPr>
          <w:noProof/>
        </w:rPr>
        <w:t xml:space="preserve">The following may also appear on the labelling: </w:t>
      </w:r>
    </w:p>
    <w:p w:rsidR="00E775BE" w:rsidRPr="008431A9" w:rsidRDefault="00B34B72" w:rsidP="00B34B72">
      <w:pPr>
        <w:pStyle w:val="Point1"/>
        <w:rPr>
          <w:noProof/>
        </w:rPr>
      </w:pPr>
      <w:r w:rsidRPr="00B34B72">
        <w:t>(a)</w:t>
      </w:r>
      <w:r w:rsidRPr="00B34B72">
        <w:tab/>
      </w:r>
      <w:r w:rsidR="079A0E87" w:rsidRPr="008431A9">
        <w:rPr>
          <w:noProof/>
        </w:rPr>
        <w:t>depictions of the geographical area of origin, as referred to in the product specification; and</w:t>
      </w:r>
    </w:p>
    <w:p w:rsidR="00E775BE" w:rsidRPr="008431A9" w:rsidRDefault="00B34B72" w:rsidP="00B34B72">
      <w:pPr>
        <w:pStyle w:val="Point1"/>
        <w:rPr>
          <w:noProof/>
        </w:rPr>
      </w:pPr>
      <w:r w:rsidRPr="00B34B72">
        <w:t>(b)</w:t>
      </w:r>
      <w:r w:rsidRPr="00B34B72">
        <w:tab/>
      </w:r>
      <w:r w:rsidR="079A0E87" w:rsidRPr="008431A9">
        <w:rPr>
          <w:noProof/>
        </w:rPr>
        <w:t xml:space="preserve">text, graphics or symbols referring to the Member State </w:t>
      </w:r>
      <w:r w:rsidR="004040DC" w:rsidRPr="008431A9">
        <w:rPr>
          <w:noProof/>
        </w:rPr>
        <w:t xml:space="preserve">or </w:t>
      </w:r>
      <w:r w:rsidR="079A0E87" w:rsidRPr="008431A9">
        <w:rPr>
          <w:noProof/>
        </w:rPr>
        <w:t>the region in which that geographical area of origin is located.</w:t>
      </w:r>
    </w:p>
    <w:p w:rsidR="00E775BE" w:rsidRPr="008431A9" w:rsidRDefault="00B34B72" w:rsidP="00B34B72">
      <w:pPr>
        <w:pStyle w:val="ManualNumPar1"/>
        <w:rPr>
          <w:noProof/>
        </w:rPr>
      </w:pPr>
      <w:r w:rsidRPr="00B34B72">
        <w:t>9.</w:t>
      </w:r>
      <w:r w:rsidRPr="00B34B72">
        <w:tab/>
      </w:r>
      <w:r w:rsidR="183835EF" w:rsidRPr="008431A9">
        <w:rPr>
          <w:noProof/>
        </w:rPr>
        <w:t xml:space="preserve">The Union symbol associated with a geographical indication entered in the </w:t>
      </w:r>
      <w:r w:rsidR="27EEF7E3" w:rsidRPr="008431A9">
        <w:rPr>
          <w:noProof/>
        </w:rPr>
        <w:t xml:space="preserve">Union </w:t>
      </w:r>
      <w:r w:rsidR="183835EF" w:rsidRPr="008431A9">
        <w:rPr>
          <w:noProof/>
        </w:rPr>
        <w:t>Register of geographical indications</w:t>
      </w:r>
      <w:r w:rsidR="005F6945" w:rsidRPr="008431A9">
        <w:rPr>
          <w:noProof/>
        </w:rPr>
        <w:t xml:space="preserve"> for craft and industrial products</w:t>
      </w:r>
      <w:r w:rsidR="183835EF" w:rsidRPr="008431A9">
        <w:rPr>
          <w:noProof/>
        </w:rPr>
        <w:t xml:space="preserve"> designating craft and industrial product originating in third countries, may appear on the product labelling and advertising material, in which case the symbol shall be used in conformity with paragraph 2.</w:t>
      </w:r>
    </w:p>
    <w:p w:rsidR="00E775BE" w:rsidRPr="008431A9" w:rsidRDefault="00B34B72" w:rsidP="00B34B72">
      <w:pPr>
        <w:pStyle w:val="ManualNumPar1"/>
        <w:rPr>
          <w:rFonts w:eastAsia="Calibri"/>
          <w:noProof/>
        </w:rPr>
      </w:pPr>
      <w:r w:rsidRPr="00B34B72">
        <w:t>10.</w:t>
      </w:r>
      <w:r w:rsidRPr="00B34B72">
        <w:tab/>
      </w:r>
      <w:r w:rsidR="183835EF" w:rsidRPr="008431A9">
        <w:rPr>
          <w:noProof/>
        </w:rPr>
        <w:t xml:space="preserve">The Commission may adopt implementing acts </w:t>
      </w:r>
      <w:r w:rsidR="092DD417" w:rsidRPr="008431A9">
        <w:rPr>
          <w:noProof/>
        </w:rPr>
        <w:t xml:space="preserve">specifying </w:t>
      </w:r>
      <w:r w:rsidR="183835EF" w:rsidRPr="008431A9">
        <w:rPr>
          <w:noProof/>
        </w:rPr>
        <w:t xml:space="preserve">the technical characteristics of the Union symbol and indication as well as the rules concerning their use on the products marketed under a registered geographical indication, including rules concerning the appropriate linguistic versions to be used. </w:t>
      </w:r>
      <w:r w:rsidR="183835EF" w:rsidRPr="008431A9">
        <w:rPr>
          <w:rFonts w:eastAsia="Times New Roman"/>
          <w:noProof/>
        </w:rPr>
        <w:t>These implementing acts shall be adopted in accordance with the examination pro</w:t>
      </w:r>
      <w:r w:rsidR="00596A93" w:rsidRPr="008431A9">
        <w:rPr>
          <w:rFonts w:eastAsia="Times New Roman"/>
          <w:noProof/>
        </w:rPr>
        <w:t>cedure referred to in Article 65</w:t>
      </w:r>
      <w:r w:rsidR="183835EF" w:rsidRPr="008431A9">
        <w:rPr>
          <w:rFonts w:eastAsia="Times New Roman"/>
          <w:noProof/>
        </w:rPr>
        <w:t>(2).</w:t>
      </w:r>
    </w:p>
    <w:p w:rsidR="00E775BE" w:rsidRPr="008431A9" w:rsidRDefault="00B754F3" w:rsidP="00C4212C">
      <w:pPr>
        <w:pStyle w:val="PartTitle"/>
        <w:rPr>
          <w:b w:val="0"/>
          <w:bCs/>
          <w:noProof/>
          <w:szCs w:val="24"/>
        </w:rPr>
      </w:pPr>
      <w:r w:rsidRPr="008431A9">
        <w:rPr>
          <w:noProof/>
        </w:rPr>
        <w:lastRenderedPageBreak/>
        <w:t>TITLE IV</w:t>
      </w:r>
      <w:r w:rsidR="00C4212C" w:rsidRPr="008431A9">
        <w:rPr>
          <w:noProof/>
        </w:rPr>
        <w:br/>
      </w:r>
      <w:r w:rsidR="00E775BE" w:rsidRPr="008431A9">
        <w:rPr>
          <w:bCs/>
          <w:noProof/>
          <w:szCs w:val="24"/>
        </w:rPr>
        <w:t>CONTROLS AND ENFORCEMENT</w:t>
      </w:r>
    </w:p>
    <w:p w:rsidR="00E775BE" w:rsidRPr="008431A9" w:rsidRDefault="00E775BE" w:rsidP="0002261F">
      <w:pPr>
        <w:pStyle w:val="Titrearticle"/>
        <w:rPr>
          <w:noProof/>
        </w:rPr>
      </w:pPr>
      <w:r w:rsidRPr="008431A9">
        <w:rPr>
          <w:noProof/>
        </w:rPr>
        <w:t>Article 45</w:t>
      </w:r>
    </w:p>
    <w:p w:rsidR="00E775BE" w:rsidRPr="008431A9" w:rsidRDefault="31155171" w:rsidP="0440D006">
      <w:pPr>
        <w:pStyle w:val="NormalCentered"/>
        <w:rPr>
          <w:b/>
          <w:bCs/>
          <w:noProof/>
        </w:rPr>
      </w:pPr>
      <w:r w:rsidRPr="008431A9">
        <w:rPr>
          <w:b/>
          <w:bCs/>
          <w:noProof/>
        </w:rPr>
        <w:t>Designation of competent authorities</w:t>
      </w:r>
    </w:p>
    <w:p w:rsidR="00E775BE" w:rsidRPr="008431A9" w:rsidRDefault="00B34B72" w:rsidP="00B34B72">
      <w:pPr>
        <w:pStyle w:val="ManualNumPar1"/>
        <w:rPr>
          <w:rFonts w:eastAsiaTheme="minorEastAsia"/>
          <w:noProof/>
          <w:szCs w:val="24"/>
        </w:rPr>
      </w:pPr>
      <w:r w:rsidRPr="00B34B72">
        <w:t>1.</w:t>
      </w:r>
      <w:r w:rsidRPr="00B34B72">
        <w:tab/>
      </w:r>
      <w:r w:rsidR="5132A94D" w:rsidRPr="008431A9">
        <w:rPr>
          <w:noProof/>
        </w:rPr>
        <w:t>Member States shall designate the competent authorities responsible for official controls to verify compliance with this Regulation. Those controls shall include the following:</w:t>
      </w:r>
    </w:p>
    <w:p w:rsidR="00E775BE" w:rsidRPr="008431A9" w:rsidRDefault="00B34B72" w:rsidP="00B34B72">
      <w:pPr>
        <w:pStyle w:val="Point1"/>
        <w:rPr>
          <w:noProof/>
        </w:rPr>
      </w:pPr>
      <w:r w:rsidRPr="00B34B72">
        <w:t>(a)</w:t>
      </w:r>
      <w:r w:rsidRPr="00B34B72">
        <w:tab/>
      </w:r>
      <w:r w:rsidR="079A0E87" w:rsidRPr="008431A9">
        <w:rPr>
          <w:noProof/>
        </w:rPr>
        <w:t>verification that a product designated by a geographical indication has been produced in conformity with the corresponding product specification;</w:t>
      </w:r>
    </w:p>
    <w:p w:rsidR="00E775BE" w:rsidRPr="008431A9" w:rsidRDefault="00B34B72" w:rsidP="00B34B72">
      <w:pPr>
        <w:pStyle w:val="Point1"/>
        <w:rPr>
          <w:noProof/>
        </w:rPr>
      </w:pPr>
      <w:r w:rsidRPr="00B34B72">
        <w:t>(b)</w:t>
      </w:r>
      <w:r w:rsidRPr="00B34B72">
        <w:tab/>
      </w:r>
      <w:r w:rsidR="079A0E87" w:rsidRPr="008431A9">
        <w:rPr>
          <w:noProof/>
        </w:rPr>
        <w:t>monitoring of the use of geographical indications in the marketplace.</w:t>
      </w:r>
    </w:p>
    <w:p w:rsidR="00E775BE" w:rsidRPr="008431A9" w:rsidRDefault="00B34B72" w:rsidP="00B34B72">
      <w:pPr>
        <w:pStyle w:val="ManualNumPar1"/>
        <w:rPr>
          <w:noProof/>
        </w:rPr>
      </w:pPr>
      <w:r w:rsidRPr="00B34B72">
        <w:t>2.</w:t>
      </w:r>
      <w:r w:rsidRPr="00B34B72">
        <w:tab/>
      </w:r>
      <w:r w:rsidR="5132A94D" w:rsidRPr="008431A9">
        <w:rPr>
          <w:noProof/>
        </w:rPr>
        <w:t xml:space="preserve">Competent authorities referred to in paragraph 1 shall be objective and impartial, and shall have at their disposal the qualified staff and resources necessary to carry out their functions. </w:t>
      </w:r>
    </w:p>
    <w:p w:rsidR="00E775BE" w:rsidRPr="008431A9" w:rsidRDefault="00E775BE" w:rsidP="0002261F">
      <w:pPr>
        <w:pStyle w:val="Titrearticle"/>
        <w:rPr>
          <w:noProof/>
        </w:rPr>
      </w:pPr>
      <w:r w:rsidRPr="008431A9">
        <w:rPr>
          <w:noProof/>
        </w:rPr>
        <w:t>Article 46</w:t>
      </w:r>
    </w:p>
    <w:p w:rsidR="00E775BE" w:rsidRPr="008431A9" w:rsidRDefault="00E775BE" w:rsidP="0081316A">
      <w:pPr>
        <w:pStyle w:val="NormalCentered"/>
        <w:rPr>
          <w:b/>
          <w:noProof/>
        </w:rPr>
      </w:pPr>
      <w:r w:rsidRPr="008431A9">
        <w:rPr>
          <w:b/>
          <w:noProof/>
        </w:rPr>
        <w:t>Verification of compliance with the product specifications</w:t>
      </w:r>
    </w:p>
    <w:p w:rsidR="00E775BE" w:rsidRPr="008431A9" w:rsidRDefault="00B34B72" w:rsidP="00B34B72">
      <w:pPr>
        <w:pStyle w:val="ManualNumPar1"/>
        <w:rPr>
          <w:rFonts w:eastAsiaTheme="minorEastAsia"/>
          <w:noProof/>
          <w:szCs w:val="24"/>
        </w:rPr>
      </w:pPr>
      <w:r w:rsidRPr="00B34B72">
        <w:t>1.</w:t>
      </w:r>
      <w:r w:rsidRPr="00B34B72">
        <w:tab/>
      </w:r>
      <w:r w:rsidR="5132A94D" w:rsidRPr="008431A9">
        <w:rPr>
          <w:noProof/>
        </w:rPr>
        <w:t xml:space="preserve">Member States shall draw up and keep up to date a list of producers of products designated by a geographical indication entered in the </w:t>
      </w:r>
      <w:r w:rsidR="000D65CD" w:rsidRPr="008431A9">
        <w:rPr>
          <w:noProof/>
        </w:rPr>
        <w:t xml:space="preserve">Union </w:t>
      </w:r>
      <w:r w:rsidR="005F6945" w:rsidRPr="008431A9">
        <w:rPr>
          <w:noProof/>
        </w:rPr>
        <w:t>r</w:t>
      </w:r>
      <w:r w:rsidR="5132A94D" w:rsidRPr="008431A9">
        <w:rPr>
          <w:noProof/>
        </w:rPr>
        <w:t xml:space="preserve">egister </w:t>
      </w:r>
      <w:r w:rsidR="005F6945" w:rsidRPr="008431A9">
        <w:rPr>
          <w:noProof/>
        </w:rPr>
        <w:t xml:space="preserve">of geographical indications for craft and industrial products </w:t>
      </w:r>
      <w:r w:rsidR="5132A94D" w:rsidRPr="008431A9">
        <w:rPr>
          <w:noProof/>
        </w:rPr>
        <w:t>originating in their territory.</w:t>
      </w:r>
    </w:p>
    <w:p w:rsidR="00E775BE" w:rsidRPr="008431A9" w:rsidRDefault="00B34B72" w:rsidP="00B34B72">
      <w:pPr>
        <w:pStyle w:val="ManualNumPar1"/>
        <w:rPr>
          <w:noProof/>
        </w:rPr>
      </w:pPr>
      <w:r w:rsidRPr="00B34B72">
        <w:t>2.</w:t>
      </w:r>
      <w:r w:rsidRPr="00B34B72">
        <w:tab/>
      </w:r>
      <w:r w:rsidR="5132A94D" w:rsidRPr="008431A9">
        <w:rPr>
          <w:noProof/>
        </w:rPr>
        <w:t>Producers shall be responsible for internal controls that ensure compliance with the product specification of products designated by geographical indications before the product is placed on the market.</w:t>
      </w:r>
    </w:p>
    <w:p w:rsidR="00E775BE" w:rsidRPr="008431A9" w:rsidRDefault="00B34B72" w:rsidP="00B34B72">
      <w:pPr>
        <w:pStyle w:val="ManualNumPar1"/>
        <w:rPr>
          <w:noProof/>
        </w:rPr>
      </w:pPr>
      <w:r w:rsidRPr="00B34B72">
        <w:t>3.</w:t>
      </w:r>
      <w:r w:rsidRPr="00B34B72">
        <w:tab/>
      </w:r>
      <w:r w:rsidR="5132A94D" w:rsidRPr="008431A9">
        <w:rPr>
          <w:noProof/>
        </w:rPr>
        <w:t xml:space="preserve">Without prejudice to Article 49, prior to placing on the market a product designated by a geographical indication and originating in the Union, third party verification of compliance with the product specification </w:t>
      </w:r>
      <w:r w:rsidR="71798059" w:rsidRPr="008431A9">
        <w:rPr>
          <w:noProof/>
        </w:rPr>
        <w:t>shall</w:t>
      </w:r>
      <w:r w:rsidR="5132A94D" w:rsidRPr="008431A9">
        <w:rPr>
          <w:noProof/>
        </w:rPr>
        <w:t xml:space="preserve"> be carried out by : </w:t>
      </w:r>
    </w:p>
    <w:p w:rsidR="00E775BE" w:rsidRPr="008431A9" w:rsidRDefault="00B34B72" w:rsidP="00B34B72">
      <w:pPr>
        <w:pStyle w:val="Point1"/>
        <w:rPr>
          <w:noProof/>
        </w:rPr>
      </w:pPr>
      <w:r w:rsidRPr="00B34B72">
        <w:t>(a)</w:t>
      </w:r>
      <w:r w:rsidRPr="00B34B72">
        <w:tab/>
      </w:r>
      <w:r w:rsidR="079A0E87" w:rsidRPr="008431A9">
        <w:rPr>
          <w:noProof/>
        </w:rPr>
        <w:t>one or more competent authorities as referred to in Article 45 ; or</w:t>
      </w:r>
    </w:p>
    <w:p w:rsidR="00E775BE" w:rsidRPr="008431A9" w:rsidRDefault="00B34B72" w:rsidP="00B34B72">
      <w:pPr>
        <w:pStyle w:val="Point1"/>
        <w:rPr>
          <w:rFonts w:eastAsia="Times New Roman"/>
          <w:noProof/>
        </w:rPr>
      </w:pPr>
      <w:r w:rsidRPr="00B34B72">
        <w:t>(b)</w:t>
      </w:r>
      <w:r w:rsidRPr="00B34B72">
        <w:tab/>
      </w:r>
      <w:r w:rsidR="079A0E87" w:rsidRPr="008431A9">
        <w:rPr>
          <w:noProof/>
        </w:rPr>
        <w:t xml:space="preserve">one or more delegated product certification bodies including natural persons to which responsibilities have been delegated in accordance with </w:t>
      </w:r>
      <w:r w:rsidR="079A0E87" w:rsidRPr="008431A9">
        <w:rPr>
          <w:rFonts w:eastAsia="Times New Roman"/>
          <w:noProof/>
        </w:rPr>
        <w:t>Article 50.</w:t>
      </w:r>
    </w:p>
    <w:p w:rsidR="00E775BE" w:rsidRPr="008431A9" w:rsidRDefault="00B34B72" w:rsidP="00B34B72">
      <w:pPr>
        <w:pStyle w:val="ManualNumPar1"/>
        <w:rPr>
          <w:noProof/>
        </w:rPr>
      </w:pPr>
      <w:r w:rsidRPr="00B34B72">
        <w:t>4.</w:t>
      </w:r>
      <w:r w:rsidRPr="00B34B72">
        <w:tab/>
      </w:r>
      <w:r w:rsidR="5132A94D" w:rsidRPr="008431A9">
        <w:rPr>
          <w:noProof/>
        </w:rPr>
        <w:t>In respect of geographical indications that designate products originating in a third country, the verification of compliance with the specifications before placing the product on the market shall be carried out by :</w:t>
      </w:r>
    </w:p>
    <w:p w:rsidR="00E775BE" w:rsidRPr="008431A9" w:rsidRDefault="00B34B72" w:rsidP="00B34B72">
      <w:pPr>
        <w:pStyle w:val="Point1"/>
        <w:rPr>
          <w:noProof/>
        </w:rPr>
      </w:pPr>
      <w:r w:rsidRPr="00B34B72">
        <w:t>(a)</w:t>
      </w:r>
      <w:r w:rsidRPr="00B34B72">
        <w:tab/>
      </w:r>
      <w:r w:rsidR="079A0E87" w:rsidRPr="008431A9">
        <w:rPr>
          <w:noProof/>
        </w:rPr>
        <w:t>a public competent authority designated by the third country; or</w:t>
      </w:r>
    </w:p>
    <w:p w:rsidR="00E775BE" w:rsidRPr="008431A9" w:rsidRDefault="00B34B72" w:rsidP="00B34B72">
      <w:pPr>
        <w:pStyle w:val="Point1"/>
        <w:rPr>
          <w:noProof/>
        </w:rPr>
      </w:pPr>
      <w:r w:rsidRPr="00B34B72">
        <w:t>(b)</w:t>
      </w:r>
      <w:r w:rsidRPr="00B34B72">
        <w:tab/>
      </w:r>
      <w:r w:rsidR="079A0E87" w:rsidRPr="008431A9">
        <w:rPr>
          <w:noProof/>
        </w:rPr>
        <w:t>one or more product certification bodies</w:t>
      </w:r>
      <w:r w:rsidR="27BB66A0" w:rsidRPr="008431A9">
        <w:rPr>
          <w:noProof/>
        </w:rPr>
        <w:t>.</w:t>
      </w:r>
    </w:p>
    <w:p w:rsidR="00E775BE" w:rsidRPr="008431A9" w:rsidRDefault="00B34B72" w:rsidP="00B34B72">
      <w:pPr>
        <w:pStyle w:val="ManualNumPar1"/>
        <w:rPr>
          <w:noProof/>
        </w:rPr>
      </w:pPr>
      <w:r w:rsidRPr="00B34B72">
        <w:t>5.</w:t>
      </w:r>
      <w:r w:rsidRPr="00B34B72">
        <w:tab/>
      </w:r>
      <w:r w:rsidR="5132A94D" w:rsidRPr="008431A9">
        <w:rPr>
          <w:noProof/>
        </w:rPr>
        <w:t xml:space="preserve">Where, in accordance with the product specification, a production step is carried out by one or more </w:t>
      </w:r>
      <w:r w:rsidR="71798059" w:rsidRPr="008431A9">
        <w:rPr>
          <w:noProof/>
        </w:rPr>
        <w:t>producers</w:t>
      </w:r>
      <w:r w:rsidR="5132A94D" w:rsidRPr="008431A9">
        <w:rPr>
          <w:noProof/>
        </w:rPr>
        <w:t xml:space="preserve"> in a country other than the country of origin of the geographical indication, provisions for verification of compliance of those </w:t>
      </w:r>
      <w:r w:rsidR="71798059" w:rsidRPr="008431A9">
        <w:rPr>
          <w:noProof/>
        </w:rPr>
        <w:t>producers</w:t>
      </w:r>
      <w:r w:rsidR="5132A94D" w:rsidRPr="008431A9">
        <w:rPr>
          <w:noProof/>
        </w:rPr>
        <w:t xml:space="preserve"> shall be set out in the product specification. If the relevant production step takes place in the Union, the </w:t>
      </w:r>
      <w:r w:rsidR="71798059" w:rsidRPr="008431A9">
        <w:rPr>
          <w:noProof/>
        </w:rPr>
        <w:t>producers</w:t>
      </w:r>
      <w:r w:rsidR="5132A94D" w:rsidRPr="008431A9">
        <w:rPr>
          <w:noProof/>
        </w:rPr>
        <w:t xml:space="preserve"> shall be notified to the competent authorities of the Member State where the production step takes place and be subject to verification as a producer of the product designated by a geographical indication.</w:t>
      </w:r>
    </w:p>
    <w:p w:rsidR="00E775BE" w:rsidRPr="008431A9" w:rsidRDefault="00B34B72" w:rsidP="00B34B72">
      <w:pPr>
        <w:pStyle w:val="ManualNumPar1"/>
        <w:rPr>
          <w:noProof/>
        </w:rPr>
      </w:pPr>
      <w:r w:rsidRPr="00B34B72">
        <w:lastRenderedPageBreak/>
        <w:t>6.</w:t>
      </w:r>
      <w:r w:rsidRPr="00B34B72">
        <w:tab/>
      </w:r>
      <w:r w:rsidR="5132A94D" w:rsidRPr="008431A9">
        <w:rPr>
          <w:noProof/>
        </w:rPr>
        <w:t xml:space="preserve">The costs of verification of compliance with the product specification may be borne by the </w:t>
      </w:r>
      <w:r w:rsidR="71798059" w:rsidRPr="008431A9">
        <w:rPr>
          <w:noProof/>
        </w:rPr>
        <w:t>producers</w:t>
      </w:r>
      <w:r w:rsidR="72E24261" w:rsidRPr="008431A9">
        <w:rPr>
          <w:noProof/>
        </w:rPr>
        <w:t>,</w:t>
      </w:r>
      <w:r w:rsidR="5132A94D" w:rsidRPr="008431A9">
        <w:rPr>
          <w:noProof/>
        </w:rPr>
        <w:t xml:space="preserve"> which are subject to those controls. Member States may also contribute to those costs.</w:t>
      </w:r>
    </w:p>
    <w:p w:rsidR="00E775BE" w:rsidRPr="008431A9" w:rsidRDefault="31155171" w:rsidP="0440D006">
      <w:pPr>
        <w:pStyle w:val="Titrearticle"/>
        <w:rPr>
          <w:noProof/>
        </w:rPr>
      </w:pPr>
      <w:r w:rsidRPr="008431A9">
        <w:rPr>
          <w:noProof/>
        </w:rPr>
        <w:t>Article 47</w:t>
      </w:r>
    </w:p>
    <w:p w:rsidR="00E775BE" w:rsidRPr="008431A9" w:rsidRDefault="31155171" w:rsidP="0440D006">
      <w:pPr>
        <w:pStyle w:val="NormalCentered"/>
        <w:rPr>
          <w:b/>
          <w:bCs/>
          <w:noProof/>
        </w:rPr>
      </w:pPr>
      <w:r w:rsidRPr="008431A9">
        <w:rPr>
          <w:b/>
          <w:bCs/>
          <w:noProof/>
        </w:rPr>
        <w:t xml:space="preserve">Due diligence </w:t>
      </w:r>
    </w:p>
    <w:p w:rsidR="00E775BE" w:rsidRPr="008431A9" w:rsidRDefault="5695377F" w:rsidP="0440D006">
      <w:pPr>
        <w:rPr>
          <w:noProof/>
        </w:rPr>
      </w:pPr>
      <w:r w:rsidRPr="008431A9">
        <w:rPr>
          <w:noProof/>
        </w:rPr>
        <w:t>Producers using the geographical indication shall ensure the continuous compliance of the use of the name and symbol in the marketplace with the relevant product specification. They may:</w:t>
      </w:r>
    </w:p>
    <w:p w:rsidR="0092088E" w:rsidRPr="008431A9" w:rsidRDefault="00B34B72" w:rsidP="00B34B72">
      <w:pPr>
        <w:pStyle w:val="Point1"/>
        <w:rPr>
          <w:noProof/>
        </w:rPr>
      </w:pPr>
      <w:r w:rsidRPr="00B34B72">
        <w:t>(a)</w:t>
      </w:r>
      <w:r w:rsidRPr="00B34B72">
        <w:tab/>
      </w:r>
      <w:r w:rsidR="5132A94D" w:rsidRPr="008431A9">
        <w:rPr>
          <w:noProof/>
        </w:rPr>
        <w:t>monitor the commercial use of the geographical indication in the marketplace;</w:t>
      </w:r>
    </w:p>
    <w:p w:rsidR="0092088E" w:rsidRPr="008431A9" w:rsidRDefault="00B34B72" w:rsidP="00B34B72">
      <w:pPr>
        <w:pStyle w:val="Point1"/>
        <w:rPr>
          <w:noProof/>
        </w:rPr>
      </w:pPr>
      <w:r w:rsidRPr="00B34B72">
        <w:t>(b)</w:t>
      </w:r>
      <w:r w:rsidRPr="00B34B72">
        <w:tab/>
      </w:r>
      <w:r w:rsidR="5132A94D" w:rsidRPr="008431A9">
        <w:rPr>
          <w:noProof/>
        </w:rPr>
        <w:t xml:space="preserve">develop activities related to ensuring compliance of a product designated by a geographical indication with its product specification; </w:t>
      </w:r>
    </w:p>
    <w:p w:rsidR="00E775BE" w:rsidRPr="008431A9" w:rsidRDefault="00B34B72" w:rsidP="00B34B72">
      <w:pPr>
        <w:pStyle w:val="Point1"/>
        <w:rPr>
          <w:noProof/>
        </w:rPr>
      </w:pPr>
      <w:r w:rsidRPr="00B34B72">
        <w:t>(c)</w:t>
      </w:r>
      <w:r w:rsidRPr="00B34B72">
        <w:tab/>
      </w:r>
      <w:r w:rsidR="5132A94D" w:rsidRPr="008431A9">
        <w:rPr>
          <w:noProof/>
        </w:rPr>
        <w:t>take action to ensure adequate legal protection of the geographical indication, including, where appropriate, informing the competent authorities as referred to in Article 45(1).</w:t>
      </w:r>
    </w:p>
    <w:p w:rsidR="00E775BE" w:rsidRPr="008431A9" w:rsidRDefault="00E775BE" w:rsidP="0002261F">
      <w:pPr>
        <w:pStyle w:val="Titrearticle"/>
        <w:rPr>
          <w:noProof/>
        </w:rPr>
      </w:pPr>
      <w:r w:rsidRPr="008431A9">
        <w:rPr>
          <w:noProof/>
        </w:rPr>
        <w:t>Article 48</w:t>
      </w:r>
    </w:p>
    <w:p w:rsidR="00E775BE" w:rsidRPr="008431A9" w:rsidRDefault="31155171" w:rsidP="0440D006">
      <w:pPr>
        <w:pStyle w:val="NormalCentered"/>
        <w:rPr>
          <w:b/>
          <w:bCs/>
          <w:noProof/>
        </w:rPr>
      </w:pPr>
      <w:r w:rsidRPr="008431A9">
        <w:rPr>
          <w:b/>
          <w:bCs/>
          <w:noProof/>
        </w:rPr>
        <w:t xml:space="preserve">Controls and enforcement of geographical indications </w:t>
      </w:r>
      <w:r w:rsidR="00A96149" w:rsidRPr="008431A9">
        <w:rPr>
          <w:b/>
          <w:bCs/>
          <w:noProof/>
        </w:rPr>
        <w:t xml:space="preserve">rights </w:t>
      </w:r>
      <w:r w:rsidRPr="008431A9">
        <w:rPr>
          <w:b/>
          <w:bCs/>
          <w:noProof/>
        </w:rPr>
        <w:t>in the marketplace</w:t>
      </w:r>
    </w:p>
    <w:p w:rsidR="00E775BE" w:rsidRPr="008431A9" w:rsidRDefault="00B34B72" w:rsidP="00B34B72">
      <w:pPr>
        <w:pStyle w:val="ManualNumPar1"/>
        <w:rPr>
          <w:rFonts w:eastAsiaTheme="minorEastAsia"/>
          <w:noProof/>
          <w:szCs w:val="24"/>
        </w:rPr>
      </w:pPr>
      <w:r w:rsidRPr="00B34B72">
        <w:t>1.</w:t>
      </w:r>
      <w:r w:rsidRPr="00B34B72">
        <w:tab/>
      </w:r>
      <w:r w:rsidR="5132A94D" w:rsidRPr="008431A9">
        <w:rPr>
          <w:noProof/>
        </w:rPr>
        <w:t>Member States shall designate one or more enforcement authorities, which may be the same as the competent authorities referred to in Art</w:t>
      </w:r>
      <w:r w:rsidR="001513BF" w:rsidRPr="008431A9">
        <w:rPr>
          <w:noProof/>
        </w:rPr>
        <w:t>icle 46(3)</w:t>
      </w:r>
      <w:r w:rsidR="5132A94D" w:rsidRPr="008431A9">
        <w:rPr>
          <w:noProof/>
        </w:rPr>
        <w:t xml:space="preserve"> responsible for controls in the marketplace and enforcement of geographical indications after the craft and industrial product designated by a geographical indication has completed all production steps, whether it is in storage, transit, distribution, or offered for sale at wholesale or retail level, including in electronic commerce. </w:t>
      </w:r>
    </w:p>
    <w:p w:rsidR="00E775BE" w:rsidRPr="008431A9" w:rsidRDefault="00B34B72" w:rsidP="00B34B72">
      <w:pPr>
        <w:pStyle w:val="ManualNumPar1"/>
        <w:rPr>
          <w:noProof/>
        </w:rPr>
      </w:pPr>
      <w:r w:rsidRPr="00B34B72">
        <w:t>2.</w:t>
      </w:r>
      <w:r w:rsidRPr="00B34B72">
        <w:tab/>
      </w:r>
      <w:r w:rsidR="5132A94D" w:rsidRPr="008431A9">
        <w:rPr>
          <w:noProof/>
        </w:rPr>
        <w:t xml:space="preserve">The enforcement authority shall carry out controls, based on a risk analysis and notifications of interested producers of products designated by geographical indications, to ensure conformity with the product specification </w:t>
      </w:r>
      <w:r w:rsidR="5132A94D" w:rsidRPr="008431A9">
        <w:rPr>
          <w:rFonts w:eastAsia="Times New Roman"/>
          <w:noProof/>
        </w:rPr>
        <w:t>or the single document or an equivalent to the latter</w:t>
      </w:r>
      <w:r w:rsidR="5132A94D" w:rsidRPr="008431A9">
        <w:rPr>
          <w:noProof/>
        </w:rPr>
        <w:t>.</w:t>
      </w:r>
    </w:p>
    <w:p w:rsidR="00E775BE" w:rsidRPr="008431A9" w:rsidRDefault="00B34B72" w:rsidP="00B34B72">
      <w:pPr>
        <w:pStyle w:val="ManualNumPar1"/>
        <w:rPr>
          <w:noProof/>
        </w:rPr>
      </w:pPr>
      <w:r w:rsidRPr="00B34B72">
        <w:t>3.</w:t>
      </w:r>
      <w:r w:rsidRPr="00B34B72">
        <w:tab/>
      </w:r>
      <w:r w:rsidR="42DFAFAE" w:rsidRPr="008431A9">
        <w:rPr>
          <w:noProof/>
        </w:rPr>
        <w:t>Member States shall take appropriate administrative and judicial steps to prevent or stop the use of names on products or services that are produced, operated or marketed in their territory and that contravenes the protection of geographical indications provided for in Articles 35 and 36.</w:t>
      </w:r>
    </w:p>
    <w:p w:rsidR="00E775BE" w:rsidRPr="008431A9" w:rsidRDefault="00B34B72" w:rsidP="00B34B72">
      <w:pPr>
        <w:pStyle w:val="ManualNumPar1"/>
        <w:rPr>
          <w:noProof/>
        </w:rPr>
      </w:pPr>
      <w:r w:rsidRPr="00B34B72">
        <w:t>4.</w:t>
      </w:r>
      <w:r w:rsidRPr="00B34B72">
        <w:tab/>
      </w:r>
      <w:r w:rsidR="5132A94D" w:rsidRPr="008431A9">
        <w:rPr>
          <w:noProof/>
        </w:rPr>
        <w:t>The authority designated in accordance with paragraph 1 shall coordinate enforcement of geographical indications among relevant departments, agencies and bodies, including police, anti-counterfeiting agencies, customs, intellectual property offices, market surveillance and consumer protection authorities and retail inspectors.</w:t>
      </w:r>
    </w:p>
    <w:p w:rsidR="3612B38D" w:rsidRPr="008431A9" w:rsidRDefault="00B34B72" w:rsidP="00B34B72">
      <w:pPr>
        <w:pStyle w:val="ManualNumPar1"/>
        <w:rPr>
          <w:noProof/>
        </w:rPr>
      </w:pPr>
      <w:r w:rsidRPr="00B34B72">
        <w:t>5.</w:t>
      </w:r>
      <w:r w:rsidRPr="00B34B72">
        <w:tab/>
      </w:r>
      <w:r w:rsidR="3612B38D" w:rsidRPr="008431A9">
        <w:rPr>
          <w:noProof/>
        </w:rPr>
        <w:t>Member States may collect fees or charges to cover the costs of official controls in the marketplace.</w:t>
      </w:r>
    </w:p>
    <w:p w:rsidR="00E775BE" w:rsidRPr="008431A9" w:rsidRDefault="31155171" w:rsidP="0440D006">
      <w:pPr>
        <w:pStyle w:val="Titrearticle"/>
        <w:rPr>
          <w:noProof/>
        </w:rPr>
      </w:pPr>
      <w:r w:rsidRPr="008431A9">
        <w:rPr>
          <w:noProof/>
        </w:rPr>
        <w:t>Article 49</w:t>
      </w:r>
    </w:p>
    <w:p w:rsidR="00E775BE" w:rsidRPr="008431A9" w:rsidRDefault="31155171" w:rsidP="0440D006">
      <w:pPr>
        <w:pStyle w:val="NormalCentered"/>
        <w:rPr>
          <w:b/>
          <w:bCs/>
          <w:noProof/>
        </w:rPr>
      </w:pPr>
      <w:r w:rsidRPr="008431A9">
        <w:rPr>
          <w:b/>
          <w:bCs/>
          <w:noProof/>
        </w:rPr>
        <w:t>Self-declaration certification procedure</w:t>
      </w:r>
    </w:p>
    <w:p w:rsidR="00E775BE" w:rsidRPr="008431A9" w:rsidRDefault="00B34B72" w:rsidP="00B34B72">
      <w:pPr>
        <w:pStyle w:val="ManualNumPar1"/>
        <w:rPr>
          <w:rFonts w:eastAsiaTheme="minorEastAsia"/>
          <w:noProof/>
          <w:lang w:val="en-US"/>
        </w:rPr>
      </w:pPr>
      <w:r w:rsidRPr="00B34B72">
        <w:t>1.</w:t>
      </w:r>
      <w:r w:rsidRPr="00B34B72">
        <w:tab/>
      </w:r>
      <w:r w:rsidR="5132A94D" w:rsidRPr="008431A9">
        <w:rPr>
          <w:noProof/>
          <w:lang w:val="en-US"/>
        </w:rPr>
        <w:t>Without prejudice to Article 46, Member States may allow a self-declaration for the verification of compliance</w:t>
      </w:r>
      <w:r w:rsidR="00335DC9" w:rsidRPr="008431A9">
        <w:rPr>
          <w:noProof/>
          <w:lang w:val="en-US"/>
        </w:rPr>
        <w:t xml:space="preserve"> with the product specification</w:t>
      </w:r>
      <w:r w:rsidR="5132A94D" w:rsidRPr="008431A9">
        <w:rPr>
          <w:noProof/>
          <w:lang w:val="en-US"/>
        </w:rPr>
        <w:t>. The producer shall submit such self-declaration to the competent authorities referred to in Article 45(1).</w:t>
      </w:r>
    </w:p>
    <w:p w:rsidR="00E775BE" w:rsidRPr="008431A9" w:rsidRDefault="00B34B72" w:rsidP="00B34B72">
      <w:pPr>
        <w:pStyle w:val="ManualNumPar1"/>
        <w:rPr>
          <w:noProof/>
          <w:lang w:val="en-US"/>
        </w:rPr>
      </w:pPr>
      <w:r w:rsidRPr="00B34B72">
        <w:lastRenderedPageBreak/>
        <w:t>2.</w:t>
      </w:r>
      <w:r w:rsidRPr="00B34B72">
        <w:tab/>
      </w:r>
      <w:r w:rsidR="5132A94D" w:rsidRPr="008431A9">
        <w:rPr>
          <w:noProof/>
          <w:lang w:val="en-US"/>
        </w:rPr>
        <w:t xml:space="preserve">Member States may allow producers to submit a self-declaration once every 3 years to the competent authorities to ensure their continuous conformity with the product specification in the marketplace. Where the product specification is amended </w:t>
      </w:r>
      <w:r w:rsidR="5132A94D" w:rsidRPr="008431A9">
        <w:rPr>
          <w:noProof/>
        </w:rPr>
        <w:t>or changed in a way that affects the concerned product,</w:t>
      </w:r>
      <w:r w:rsidR="5132A94D" w:rsidRPr="008431A9">
        <w:rPr>
          <w:noProof/>
          <w:lang w:val="en-US"/>
        </w:rPr>
        <w:t xml:space="preserve"> the self-declaration shall be renewed immediately.</w:t>
      </w:r>
    </w:p>
    <w:p w:rsidR="00E775BE" w:rsidRPr="008431A9" w:rsidRDefault="00B34B72" w:rsidP="00B34B72">
      <w:pPr>
        <w:pStyle w:val="ManualNumPar1"/>
        <w:rPr>
          <w:noProof/>
          <w:lang w:val="en-US"/>
        </w:rPr>
      </w:pPr>
      <w:r w:rsidRPr="00B34B72">
        <w:t>3.</w:t>
      </w:r>
      <w:r w:rsidRPr="00B34B72">
        <w:tab/>
      </w:r>
      <w:r w:rsidR="581119C8" w:rsidRPr="008431A9">
        <w:rPr>
          <w:noProof/>
          <w:lang w:val="en-US"/>
        </w:rPr>
        <w:t>Where self-declarations are used competent authorities shall carry out random controls. In the event of breaches, Member States shall take all necessary measures to remedy the situation.</w:t>
      </w:r>
    </w:p>
    <w:p w:rsidR="00E775BE" w:rsidRPr="008431A9" w:rsidRDefault="00B34B72" w:rsidP="00B34B72">
      <w:pPr>
        <w:pStyle w:val="ManualNumPar1"/>
        <w:rPr>
          <w:noProof/>
        </w:rPr>
      </w:pPr>
      <w:r w:rsidRPr="00B34B72">
        <w:t>4.</w:t>
      </w:r>
      <w:r w:rsidRPr="00B34B72">
        <w:tab/>
      </w:r>
      <w:r w:rsidR="581119C8" w:rsidRPr="008431A9">
        <w:rPr>
          <w:noProof/>
        </w:rPr>
        <w:t xml:space="preserve">The self-declaration shall follow the structure set out in </w:t>
      </w:r>
      <w:r w:rsidR="00654672" w:rsidRPr="008431A9">
        <w:rPr>
          <w:noProof/>
        </w:rPr>
        <w:t>Annex 1</w:t>
      </w:r>
      <w:r w:rsidR="001513BF" w:rsidRPr="008431A9">
        <w:rPr>
          <w:noProof/>
        </w:rPr>
        <w:t xml:space="preserve"> </w:t>
      </w:r>
      <w:r w:rsidR="581119C8" w:rsidRPr="008431A9">
        <w:rPr>
          <w:noProof/>
        </w:rPr>
        <w:t>and shall contain all the information and requirements specified in that Annex.</w:t>
      </w:r>
    </w:p>
    <w:p w:rsidR="00E775BE" w:rsidRPr="008431A9" w:rsidRDefault="00B34B72" w:rsidP="00B34B72">
      <w:pPr>
        <w:pStyle w:val="ManualNumPar1"/>
        <w:rPr>
          <w:noProof/>
        </w:rPr>
      </w:pPr>
      <w:r w:rsidRPr="00B34B72">
        <w:t>5.</w:t>
      </w:r>
      <w:r w:rsidRPr="00B34B72">
        <w:tab/>
      </w:r>
      <w:r w:rsidR="581119C8" w:rsidRPr="008431A9">
        <w:rPr>
          <w:noProof/>
        </w:rPr>
        <w:t>The Commission shall be empowered to adopt delegated acts in accordance with Article 6</w:t>
      </w:r>
      <w:r w:rsidR="00BA28B2" w:rsidRPr="008431A9">
        <w:rPr>
          <w:noProof/>
        </w:rPr>
        <w:t>6</w:t>
      </w:r>
      <w:r w:rsidR="581119C8" w:rsidRPr="008431A9">
        <w:rPr>
          <w:noProof/>
        </w:rPr>
        <w:t>, amending t</w:t>
      </w:r>
      <w:r w:rsidR="007D3035" w:rsidRPr="008431A9">
        <w:rPr>
          <w:noProof/>
        </w:rPr>
        <w:t xml:space="preserve">his Regulation and introducing, </w:t>
      </w:r>
      <w:r w:rsidR="581119C8" w:rsidRPr="008431A9">
        <w:rPr>
          <w:noProof/>
        </w:rPr>
        <w:t xml:space="preserve">where relevant, modifications to the information and requirements specified in </w:t>
      </w:r>
      <w:r w:rsidR="00654672" w:rsidRPr="008431A9">
        <w:rPr>
          <w:noProof/>
        </w:rPr>
        <w:t>Annex 1</w:t>
      </w:r>
      <w:r w:rsidR="581119C8" w:rsidRPr="008431A9">
        <w:rPr>
          <w:noProof/>
        </w:rPr>
        <w:t>.</w:t>
      </w:r>
    </w:p>
    <w:p w:rsidR="00E775BE" w:rsidRPr="008431A9" w:rsidRDefault="31155171" w:rsidP="0440D006">
      <w:pPr>
        <w:pStyle w:val="Titrearticle"/>
        <w:rPr>
          <w:noProof/>
        </w:rPr>
      </w:pPr>
      <w:r w:rsidRPr="008431A9">
        <w:rPr>
          <w:noProof/>
        </w:rPr>
        <w:t>Article 50</w:t>
      </w:r>
    </w:p>
    <w:p w:rsidR="00E775BE" w:rsidRPr="008431A9" w:rsidRDefault="2281F7DC" w:rsidP="0440D006">
      <w:pPr>
        <w:pStyle w:val="NormalCentered"/>
        <w:rPr>
          <w:b/>
          <w:bCs/>
          <w:noProof/>
        </w:rPr>
      </w:pPr>
      <w:r w:rsidRPr="008431A9">
        <w:rPr>
          <w:b/>
          <w:bCs/>
          <w:noProof/>
        </w:rPr>
        <w:t>Delegation by the competent authorities of official control tasks</w:t>
      </w:r>
    </w:p>
    <w:p w:rsidR="00E775BE" w:rsidRPr="008431A9" w:rsidRDefault="00B34B72" w:rsidP="00B34B72">
      <w:pPr>
        <w:pStyle w:val="ManualNumPar1"/>
        <w:rPr>
          <w:rFonts w:eastAsiaTheme="minorEastAsia"/>
          <w:noProof/>
        </w:rPr>
      </w:pPr>
      <w:r w:rsidRPr="00B34B72">
        <w:t>1.</w:t>
      </w:r>
      <w:r w:rsidRPr="00B34B72">
        <w:tab/>
      </w:r>
      <w:r w:rsidR="581119C8" w:rsidRPr="008431A9">
        <w:rPr>
          <w:rFonts w:eastAsia="Calibri"/>
          <w:noProof/>
        </w:rPr>
        <w:t>C</w:t>
      </w:r>
      <w:r w:rsidR="581119C8" w:rsidRPr="008431A9">
        <w:rPr>
          <w:noProof/>
        </w:rPr>
        <w:t>ompetent authorities may delegate official control tasks to one or more product certification bodies including natural persons. The competent authority shall ensure that the delegated product certification body or natural person, to which such tasks have been delegated, have the powers needed to effectively perform these tasks.</w:t>
      </w:r>
    </w:p>
    <w:p w:rsidR="00E775BE" w:rsidRPr="008431A9" w:rsidRDefault="00B34B72" w:rsidP="00B34B72">
      <w:pPr>
        <w:pStyle w:val="ManualNumPar1"/>
        <w:rPr>
          <w:noProof/>
        </w:rPr>
      </w:pPr>
      <w:r w:rsidRPr="00B34B72">
        <w:t>2.</w:t>
      </w:r>
      <w:r w:rsidRPr="00B34B72">
        <w:tab/>
      </w:r>
      <w:r w:rsidR="581119C8" w:rsidRPr="008431A9">
        <w:rPr>
          <w:noProof/>
        </w:rPr>
        <w:t>The delegation of official control tasks shall be in writing and shall comply with the following conditions:</w:t>
      </w:r>
    </w:p>
    <w:p w:rsidR="00E775BE" w:rsidRPr="008431A9" w:rsidRDefault="00B34B72" w:rsidP="00B34B72">
      <w:pPr>
        <w:pStyle w:val="Point1"/>
        <w:rPr>
          <w:noProof/>
        </w:rPr>
      </w:pPr>
      <w:r w:rsidRPr="00B34B72">
        <w:t>(a)</w:t>
      </w:r>
      <w:r w:rsidRPr="00B34B72">
        <w:tab/>
      </w:r>
      <w:r w:rsidR="3FF51D84" w:rsidRPr="008431A9">
        <w:rPr>
          <w:noProof/>
        </w:rPr>
        <w:t>the delegation is to contain a precise description of the official control tasks that the delegated body or the natural person may perform, and the conditions under which it may perform those tasks;</w:t>
      </w:r>
    </w:p>
    <w:p w:rsidR="00E775BE" w:rsidRPr="008431A9" w:rsidRDefault="00B34B72" w:rsidP="00B34B72">
      <w:pPr>
        <w:pStyle w:val="Point1"/>
        <w:rPr>
          <w:rFonts w:eastAsia="Calibri"/>
          <w:noProof/>
        </w:rPr>
      </w:pPr>
      <w:r w:rsidRPr="00B34B72">
        <w:t>(b)</w:t>
      </w:r>
      <w:r w:rsidRPr="00B34B72">
        <w:tab/>
      </w:r>
      <w:r w:rsidR="079A0E87" w:rsidRPr="008431A9">
        <w:rPr>
          <w:noProof/>
        </w:rPr>
        <w:t>the delegated product certification body:</w:t>
      </w:r>
    </w:p>
    <w:p w:rsidR="00E775BE" w:rsidRPr="008431A9" w:rsidRDefault="047C66F8" w:rsidP="007C79ED">
      <w:pPr>
        <w:pStyle w:val="Text2"/>
        <w:rPr>
          <w:rFonts w:eastAsia="Calibri"/>
          <w:noProof/>
        </w:rPr>
      </w:pPr>
      <w:r w:rsidRPr="008431A9">
        <w:rPr>
          <w:noProof/>
        </w:rPr>
        <w:t xml:space="preserve">(i) </w:t>
      </w:r>
      <w:r w:rsidR="2281F7DC" w:rsidRPr="008431A9">
        <w:rPr>
          <w:noProof/>
        </w:rPr>
        <w:t>is to have the expertise, equipment and infrastructure requ</w:t>
      </w:r>
      <w:r w:rsidR="3C3FBD0D" w:rsidRPr="008431A9">
        <w:rPr>
          <w:noProof/>
        </w:rPr>
        <w:t xml:space="preserve">ired to perform the official </w:t>
      </w:r>
      <w:r w:rsidR="2281F7DC" w:rsidRPr="008431A9">
        <w:rPr>
          <w:noProof/>
        </w:rPr>
        <w:t>control tasks delegated to it;</w:t>
      </w:r>
    </w:p>
    <w:p w:rsidR="00E775BE" w:rsidRPr="008431A9" w:rsidRDefault="047C66F8" w:rsidP="007C79ED">
      <w:pPr>
        <w:pStyle w:val="Text2"/>
        <w:rPr>
          <w:rFonts w:eastAsia="Calibri"/>
          <w:noProof/>
        </w:rPr>
      </w:pPr>
      <w:r w:rsidRPr="008431A9">
        <w:rPr>
          <w:noProof/>
          <w:color w:val="000000" w:themeColor="text1"/>
        </w:rPr>
        <w:t>(ii) is to have</w:t>
      </w:r>
      <w:r w:rsidR="2281F7DC" w:rsidRPr="008431A9">
        <w:rPr>
          <w:noProof/>
          <w:color w:val="000000" w:themeColor="text1"/>
        </w:rPr>
        <w:t xml:space="preserve"> a sufficient number of suitably qualified and experienced staff</w:t>
      </w:r>
      <w:r w:rsidR="2281F7DC" w:rsidRPr="008431A9">
        <w:rPr>
          <w:noProof/>
        </w:rPr>
        <w:t>;</w:t>
      </w:r>
    </w:p>
    <w:p w:rsidR="00E775BE" w:rsidRPr="008431A9" w:rsidRDefault="047C66F8" w:rsidP="007C79ED">
      <w:pPr>
        <w:pStyle w:val="Text2"/>
        <w:rPr>
          <w:rFonts w:eastAsia="Calibri"/>
          <w:noProof/>
        </w:rPr>
      </w:pPr>
      <w:r w:rsidRPr="008431A9">
        <w:rPr>
          <w:noProof/>
        </w:rPr>
        <w:t xml:space="preserve">(iii) </w:t>
      </w:r>
      <w:r w:rsidR="2281F7DC" w:rsidRPr="008431A9">
        <w:rPr>
          <w:noProof/>
        </w:rPr>
        <w:t>is to be impartial and free from any conflict of interest and in particular is not to be in a situation which may, directly or indirectly, affect the im</w:t>
      </w:r>
      <w:r w:rsidR="3C3FBD0D" w:rsidRPr="008431A9">
        <w:rPr>
          <w:noProof/>
        </w:rPr>
        <w:t xml:space="preserve">partiality of its professional </w:t>
      </w:r>
      <w:r w:rsidR="2281F7DC" w:rsidRPr="008431A9">
        <w:rPr>
          <w:noProof/>
        </w:rPr>
        <w:t>conduct as regards the performance of those official control tasks delegated to it; and</w:t>
      </w:r>
    </w:p>
    <w:p w:rsidR="00E775BE" w:rsidRPr="008431A9" w:rsidRDefault="047C66F8" w:rsidP="007C79ED">
      <w:pPr>
        <w:pStyle w:val="Text2"/>
        <w:rPr>
          <w:rFonts w:eastAsia="Calibri"/>
          <w:noProof/>
        </w:rPr>
      </w:pPr>
      <w:r w:rsidRPr="008431A9">
        <w:rPr>
          <w:noProof/>
        </w:rPr>
        <w:t xml:space="preserve">(iv) is to have </w:t>
      </w:r>
      <w:r w:rsidR="2281F7DC" w:rsidRPr="008431A9">
        <w:rPr>
          <w:noProof/>
        </w:rPr>
        <w:t>sufficient powers to perform the official control tasks delegated to it; and</w:t>
      </w:r>
    </w:p>
    <w:p w:rsidR="00E775BE" w:rsidRPr="008431A9" w:rsidRDefault="00B34B72" w:rsidP="00B34B72">
      <w:pPr>
        <w:pStyle w:val="Point1"/>
        <w:rPr>
          <w:noProof/>
        </w:rPr>
      </w:pPr>
      <w:r w:rsidRPr="00B34B72">
        <w:t>(c)</w:t>
      </w:r>
      <w:r w:rsidRPr="00B34B72">
        <w:tab/>
      </w:r>
      <w:r w:rsidR="3FF51D84" w:rsidRPr="008431A9">
        <w:rPr>
          <w:noProof/>
        </w:rPr>
        <w:t>where the official control task are delegated to natural persons, those natural persons:</w:t>
      </w:r>
    </w:p>
    <w:p w:rsidR="00E775BE" w:rsidRPr="008431A9" w:rsidRDefault="047C66F8" w:rsidP="007C79ED">
      <w:pPr>
        <w:pStyle w:val="Text2"/>
        <w:rPr>
          <w:noProof/>
        </w:rPr>
      </w:pPr>
      <w:r w:rsidRPr="008431A9">
        <w:rPr>
          <w:noProof/>
        </w:rPr>
        <w:t xml:space="preserve">(i) are to </w:t>
      </w:r>
      <w:r w:rsidR="2281F7DC" w:rsidRPr="008431A9">
        <w:rPr>
          <w:noProof/>
        </w:rPr>
        <w:t>have the expertise, equipment and infrastructure required to perform those official control tasks delegated to them;</w:t>
      </w:r>
    </w:p>
    <w:p w:rsidR="00E775BE" w:rsidRPr="008431A9" w:rsidRDefault="047C66F8" w:rsidP="007C79ED">
      <w:pPr>
        <w:pStyle w:val="Text2"/>
        <w:rPr>
          <w:noProof/>
        </w:rPr>
      </w:pPr>
      <w:r w:rsidRPr="008431A9">
        <w:rPr>
          <w:noProof/>
        </w:rPr>
        <w:t xml:space="preserve">(ii) </w:t>
      </w:r>
      <w:r w:rsidR="2281F7DC" w:rsidRPr="008431A9">
        <w:rPr>
          <w:noProof/>
        </w:rPr>
        <w:t>are to be suitably qualified and experienced;</w:t>
      </w:r>
    </w:p>
    <w:p w:rsidR="00E775BE" w:rsidRPr="008431A9" w:rsidRDefault="047C66F8" w:rsidP="007C79ED">
      <w:pPr>
        <w:pStyle w:val="Text2"/>
        <w:rPr>
          <w:noProof/>
        </w:rPr>
      </w:pPr>
      <w:r w:rsidRPr="008431A9">
        <w:rPr>
          <w:noProof/>
        </w:rPr>
        <w:t xml:space="preserve">(iii) are to </w:t>
      </w:r>
      <w:r w:rsidR="2281F7DC" w:rsidRPr="008431A9">
        <w:rPr>
          <w:noProof/>
        </w:rPr>
        <w:t>act impartially and are to be free from any conflict of interest as regards the exercise of those official control tasks delegated to them; and</w:t>
      </w:r>
    </w:p>
    <w:p w:rsidR="00E775BE" w:rsidRPr="008431A9" w:rsidRDefault="00B34B72" w:rsidP="00B34B72">
      <w:pPr>
        <w:pStyle w:val="Point1"/>
        <w:rPr>
          <w:noProof/>
        </w:rPr>
      </w:pPr>
      <w:r w:rsidRPr="00B34B72">
        <w:lastRenderedPageBreak/>
        <w:t>(d)</w:t>
      </w:r>
      <w:r w:rsidRPr="00B34B72">
        <w:tab/>
      </w:r>
      <w:r w:rsidR="3FF51D84" w:rsidRPr="008431A9">
        <w:rPr>
          <w:noProof/>
        </w:rPr>
        <w:t>there are to be arrangements in place ensuring efficient and effective coordination between the delegating competent authorities and the delegated product certification bodies, including natural persons.</w:t>
      </w:r>
    </w:p>
    <w:p w:rsidR="00E775BE" w:rsidRPr="008431A9" w:rsidRDefault="31155171" w:rsidP="0440D006">
      <w:pPr>
        <w:pStyle w:val="Titrearticle"/>
        <w:rPr>
          <w:noProof/>
        </w:rPr>
      </w:pPr>
      <w:r w:rsidRPr="008431A9">
        <w:rPr>
          <w:noProof/>
        </w:rPr>
        <w:t>Article 51</w:t>
      </w:r>
    </w:p>
    <w:p w:rsidR="00E775BE" w:rsidRPr="008431A9" w:rsidRDefault="31155171" w:rsidP="0440D006">
      <w:pPr>
        <w:pStyle w:val="NormalCentered"/>
        <w:rPr>
          <w:b/>
          <w:bCs/>
          <w:noProof/>
        </w:rPr>
      </w:pPr>
      <w:r w:rsidRPr="008431A9">
        <w:rPr>
          <w:b/>
          <w:bCs/>
          <w:noProof/>
        </w:rPr>
        <w:t>Obligations of the delegated product certification bodies and natural persons</w:t>
      </w:r>
    </w:p>
    <w:p w:rsidR="00E775BE" w:rsidRPr="008431A9" w:rsidRDefault="2281F7DC" w:rsidP="0440D006">
      <w:pPr>
        <w:rPr>
          <w:rFonts w:eastAsia="Calibri"/>
          <w:noProof/>
        </w:rPr>
      </w:pPr>
      <w:r w:rsidRPr="008431A9">
        <w:rPr>
          <w:rFonts w:eastAsia="Calibri"/>
          <w:noProof/>
        </w:rPr>
        <w:t>The product certification bodies or natural persons to which certain official control tasks have been delegated in accordance with Article 50, shall:</w:t>
      </w:r>
    </w:p>
    <w:p w:rsidR="00E775BE" w:rsidRPr="008431A9" w:rsidRDefault="00B34B72" w:rsidP="00B34B72">
      <w:pPr>
        <w:pStyle w:val="Point1"/>
        <w:rPr>
          <w:noProof/>
        </w:rPr>
      </w:pPr>
      <w:r w:rsidRPr="00B34B72">
        <w:t>(a)</w:t>
      </w:r>
      <w:r w:rsidRPr="00B34B72">
        <w:tab/>
      </w:r>
      <w:r w:rsidR="581119C8" w:rsidRPr="008431A9">
        <w:rPr>
          <w:noProof/>
        </w:rPr>
        <w:t>communicate the outcome of the official controls and related activities performed by them to the delegating competent authorities on a regular basis and whenever those authorities so request;</w:t>
      </w:r>
    </w:p>
    <w:p w:rsidR="00E775BE" w:rsidRPr="008431A9" w:rsidRDefault="00B34B72" w:rsidP="00B34B72">
      <w:pPr>
        <w:pStyle w:val="Point1"/>
        <w:rPr>
          <w:noProof/>
        </w:rPr>
      </w:pPr>
      <w:r w:rsidRPr="00B34B72">
        <w:t>(b)</w:t>
      </w:r>
      <w:r w:rsidRPr="00B34B72">
        <w:tab/>
      </w:r>
      <w:r w:rsidR="5132A94D" w:rsidRPr="008431A9">
        <w:rPr>
          <w:noProof/>
        </w:rPr>
        <w:t>immediately inform the delegating competent authorities whenever the outcome of the official controls indicate non-compliance or point to the likelihood of non-compliance, unless specific arrangements as established between the competent authority and the delegated product certification body or the natural person concerned provides otherwise; and</w:t>
      </w:r>
    </w:p>
    <w:p w:rsidR="00E775BE" w:rsidRPr="008431A9" w:rsidRDefault="00B34B72" w:rsidP="00B34B72">
      <w:pPr>
        <w:pStyle w:val="Point1"/>
        <w:rPr>
          <w:noProof/>
        </w:rPr>
      </w:pPr>
      <w:r w:rsidRPr="00B34B72">
        <w:t>(c)</w:t>
      </w:r>
      <w:r w:rsidRPr="00B34B72">
        <w:tab/>
      </w:r>
      <w:r w:rsidR="5132A94D" w:rsidRPr="008431A9">
        <w:rPr>
          <w:noProof/>
        </w:rPr>
        <w:t>give to the competent authorities access to their premises and facilities, cooperate and provide assistance.</w:t>
      </w:r>
    </w:p>
    <w:p w:rsidR="00E775BE" w:rsidRPr="008431A9" w:rsidRDefault="31155171" w:rsidP="0440D006">
      <w:pPr>
        <w:pStyle w:val="Titrearticle"/>
        <w:rPr>
          <w:noProof/>
        </w:rPr>
      </w:pPr>
      <w:r w:rsidRPr="008431A9">
        <w:rPr>
          <w:noProof/>
        </w:rPr>
        <w:t>Article 52</w:t>
      </w:r>
    </w:p>
    <w:p w:rsidR="00E775BE" w:rsidRPr="008431A9" w:rsidRDefault="31155171" w:rsidP="0440D006">
      <w:pPr>
        <w:pStyle w:val="NormalCentered"/>
        <w:rPr>
          <w:b/>
          <w:bCs/>
          <w:noProof/>
        </w:rPr>
      </w:pPr>
      <w:r w:rsidRPr="008431A9">
        <w:rPr>
          <w:b/>
          <w:bCs/>
          <w:noProof/>
        </w:rPr>
        <w:t>Obligations of the delegating competent authorities</w:t>
      </w:r>
    </w:p>
    <w:p w:rsidR="00E775BE" w:rsidRPr="008431A9" w:rsidRDefault="00B34B72" w:rsidP="00B34B72">
      <w:pPr>
        <w:pStyle w:val="ManualNumPar1"/>
        <w:rPr>
          <w:rFonts w:eastAsiaTheme="minorEastAsia"/>
          <w:noProof/>
          <w:szCs w:val="24"/>
        </w:rPr>
      </w:pPr>
      <w:r w:rsidRPr="00B34B72">
        <w:t>1.</w:t>
      </w:r>
      <w:r w:rsidRPr="00B34B72">
        <w:tab/>
      </w:r>
      <w:r w:rsidR="5132A94D" w:rsidRPr="008431A9">
        <w:rPr>
          <w:noProof/>
        </w:rPr>
        <w:t>Competent authorities that have delegated certain official control tasks to delegated product certification bodies or natural persons in accordance with Article 50, shall:</w:t>
      </w:r>
    </w:p>
    <w:p w:rsidR="00BA28B2" w:rsidRPr="008431A9" w:rsidRDefault="00B34B72" w:rsidP="00B34B72">
      <w:pPr>
        <w:pStyle w:val="Point1"/>
        <w:rPr>
          <w:rFonts w:eastAsia="Calibri"/>
          <w:noProof/>
        </w:rPr>
      </w:pPr>
      <w:r w:rsidRPr="00B34B72">
        <w:t>(a)</w:t>
      </w:r>
      <w:r w:rsidRPr="00B34B72">
        <w:tab/>
      </w:r>
      <w:r w:rsidR="079A0E87" w:rsidRPr="008431A9">
        <w:rPr>
          <w:noProof/>
        </w:rPr>
        <w:t>organise audits or inspections of such bodies or persons, as necessary;</w:t>
      </w:r>
      <w:r w:rsidR="00BA28B2" w:rsidRPr="008431A9">
        <w:rPr>
          <w:noProof/>
        </w:rPr>
        <w:t xml:space="preserve"> </w:t>
      </w:r>
    </w:p>
    <w:p w:rsidR="00E775BE" w:rsidRPr="008431A9" w:rsidRDefault="00B34B72" w:rsidP="00B34B72">
      <w:pPr>
        <w:pStyle w:val="Point1"/>
        <w:rPr>
          <w:rFonts w:eastAsia="Calibri"/>
          <w:noProof/>
        </w:rPr>
      </w:pPr>
      <w:r w:rsidRPr="00B34B72">
        <w:t>(b)</w:t>
      </w:r>
      <w:r w:rsidRPr="00B34B72">
        <w:tab/>
      </w:r>
      <w:r w:rsidR="079A0E87" w:rsidRPr="008431A9">
        <w:rPr>
          <w:noProof/>
        </w:rPr>
        <w:t>fully or partly withdraw the delegation without delay where:</w:t>
      </w:r>
    </w:p>
    <w:p w:rsidR="00E775BE" w:rsidRPr="008431A9" w:rsidRDefault="769CC8AA" w:rsidP="007C79ED">
      <w:pPr>
        <w:pStyle w:val="Text2"/>
        <w:rPr>
          <w:rFonts w:eastAsia="Calibri"/>
          <w:noProof/>
        </w:rPr>
      </w:pPr>
      <w:r w:rsidRPr="008431A9">
        <w:rPr>
          <w:noProof/>
        </w:rPr>
        <w:t xml:space="preserve">(i) </w:t>
      </w:r>
      <w:r w:rsidR="31155171" w:rsidRPr="008431A9">
        <w:rPr>
          <w:noProof/>
        </w:rPr>
        <w:t>there is evidence that such a delegated product certification body or natural person is failing to properly perform the tasks delegated to it;</w:t>
      </w:r>
    </w:p>
    <w:p w:rsidR="00E775BE" w:rsidRPr="008431A9" w:rsidRDefault="769CC8AA" w:rsidP="007C79ED">
      <w:pPr>
        <w:pStyle w:val="Text2"/>
        <w:rPr>
          <w:rFonts w:eastAsia="Calibri"/>
          <w:noProof/>
        </w:rPr>
      </w:pPr>
      <w:r w:rsidRPr="008431A9">
        <w:rPr>
          <w:noProof/>
        </w:rPr>
        <w:t xml:space="preserve">(ii) </w:t>
      </w:r>
      <w:r w:rsidR="31155171" w:rsidRPr="008431A9">
        <w:rPr>
          <w:noProof/>
        </w:rPr>
        <w:t>the delegated product certification body or natural person fails to take appropriate and timely action to remedy the shortcomings identified; or</w:t>
      </w:r>
    </w:p>
    <w:p w:rsidR="00E775BE" w:rsidRPr="008431A9" w:rsidRDefault="792D977B" w:rsidP="007C79ED">
      <w:pPr>
        <w:pStyle w:val="Text2"/>
        <w:rPr>
          <w:rFonts w:eastAsia="Calibri"/>
          <w:noProof/>
        </w:rPr>
      </w:pPr>
      <w:r w:rsidRPr="008431A9">
        <w:rPr>
          <w:noProof/>
        </w:rPr>
        <w:t xml:space="preserve">(iii) </w:t>
      </w:r>
      <w:r w:rsidR="2281F7DC" w:rsidRPr="008431A9">
        <w:rPr>
          <w:noProof/>
        </w:rPr>
        <w:t>the independence or impartiality of the delegated product certification body or natural person has been compromised.</w:t>
      </w:r>
    </w:p>
    <w:p w:rsidR="00E775BE" w:rsidRPr="008431A9" w:rsidRDefault="00B34B72" w:rsidP="00B34B72">
      <w:pPr>
        <w:pStyle w:val="ManualNumPar1"/>
        <w:rPr>
          <w:rFonts w:eastAsia="Calibri"/>
          <w:noProof/>
        </w:rPr>
      </w:pPr>
      <w:r w:rsidRPr="00B34B72">
        <w:t>2.</w:t>
      </w:r>
      <w:r w:rsidRPr="00B34B72">
        <w:tab/>
      </w:r>
      <w:r w:rsidR="183835EF" w:rsidRPr="008431A9">
        <w:rPr>
          <w:noProof/>
        </w:rPr>
        <w:t>The competent authorities may also withdraw the delegation for reasons other than those referred to in this Regulation.</w:t>
      </w:r>
    </w:p>
    <w:p w:rsidR="00E775BE" w:rsidRPr="008431A9" w:rsidRDefault="00E775BE" w:rsidP="0002261F">
      <w:pPr>
        <w:pStyle w:val="Titrearticle"/>
        <w:rPr>
          <w:noProof/>
        </w:rPr>
      </w:pPr>
      <w:r w:rsidRPr="008431A9">
        <w:rPr>
          <w:noProof/>
        </w:rPr>
        <w:t>Article 53</w:t>
      </w:r>
    </w:p>
    <w:p w:rsidR="00E775BE" w:rsidRPr="008431A9" w:rsidRDefault="00E775BE" w:rsidP="0081316A">
      <w:pPr>
        <w:pStyle w:val="NormalCentered"/>
        <w:rPr>
          <w:b/>
          <w:noProof/>
        </w:rPr>
      </w:pPr>
      <w:r w:rsidRPr="008431A9">
        <w:rPr>
          <w:b/>
          <w:noProof/>
        </w:rPr>
        <w:t>Public information on competent authorities and product certification bodies</w:t>
      </w:r>
    </w:p>
    <w:p w:rsidR="00E775BE" w:rsidRPr="008431A9" w:rsidRDefault="00B34B72" w:rsidP="00B34B72">
      <w:pPr>
        <w:pStyle w:val="ManualNumPar1"/>
        <w:rPr>
          <w:rFonts w:eastAsiaTheme="minorEastAsia"/>
          <w:noProof/>
          <w:szCs w:val="24"/>
        </w:rPr>
      </w:pPr>
      <w:r w:rsidRPr="00B34B72">
        <w:t>1.</w:t>
      </w:r>
      <w:r w:rsidRPr="00B34B72">
        <w:tab/>
      </w:r>
      <w:r w:rsidR="5132A94D" w:rsidRPr="008431A9">
        <w:rPr>
          <w:noProof/>
        </w:rPr>
        <w:t>Member States shall make public the names and addresses of the designated competent authorities and delegated product certification bodies including natural persons referred to in Article 46(3) and keep that information up-to-date.</w:t>
      </w:r>
    </w:p>
    <w:p w:rsidR="00E775BE" w:rsidRPr="008431A9" w:rsidRDefault="00B34B72" w:rsidP="00B34B72">
      <w:pPr>
        <w:pStyle w:val="ManualNumPar1"/>
        <w:rPr>
          <w:noProof/>
        </w:rPr>
      </w:pPr>
      <w:r w:rsidRPr="00B34B72">
        <w:t>2.</w:t>
      </w:r>
      <w:r w:rsidRPr="00B34B72">
        <w:tab/>
      </w:r>
      <w:r w:rsidR="5132A94D" w:rsidRPr="008431A9">
        <w:rPr>
          <w:noProof/>
        </w:rPr>
        <w:t>The Office shall make public the names and addresses of the competent authorities and product certification b</w:t>
      </w:r>
      <w:r w:rsidR="007D3035" w:rsidRPr="008431A9">
        <w:rPr>
          <w:noProof/>
        </w:rPr>
        <w:t>odies referred to in Article 46</w:t>
      </w:r>
      <w:r w:rsidR="5132A94D" w:rsidRPr="008431A9">
        <w:rPr>
          <w:noProof/>
        </w:rPr>
        <w:t>(4) and update that information periodically.</w:t>
      </w:r>
    </w:p>
    <w:p w:rsidR="00E775BE" w:rsidRPr="008431A9" w:rsidRDefault="00B34B72" w:rsidP="00B34B72">
      <w:pPr>
        <w:pStyle w:val="ManualNumPar1"/>
        <w:rPr>
          <w:rFonts w:eastAsia="Calibri"/>
          <w:noProof/>
        </w:rPr>
      </w:pPr>
      <w:r w:rsidRPr="00B34B72">
        <w:lastRenderedPageBreak/>
        <w:t>3.</w:t>
      </w:r>
      <w:r w:rsidRPr="00B34B72">
        <w:tab/>
      </w:r>
      <w:r w:rsidR="5132A94D" w:rsidRPr="008431A9">
        <w:rPr>
          <w:noProof/>
        </w:rPr>
        <w:t>T</w:t>
      </w:r>
      <w:r w:rsidR="5132A94D" w:rsidRPr="008431A9">
        <w:rPr>
          <w:rFonts w:eastAsia="Calibri"/>
          <w:noProof/>
        </w:rPr>
        <w:t>he Office</w:t>
      </w:r>
      <w:r w:rsidR="5132A94D" w:rsidRPr="008431A9">
        <w:rPr>
          <w:noProof/>
        </w:rPr>
        <w:t xml:space="preserve"> may establish a digital portal where the names and addresses of the competent authorities and delegated product certification bodies including natural persons referred to in paragraphs 1 and 2 are made public.</w:t>
      </w:r>
    </w:p>
    <w:p w:rsidR="00E775BE" w:rsidRPr="008431A9" w:rsidRDefault="00E775BE" w:rsidP="0002261F">
      <w:pPr>
        <w:pStyle w:val="Titrearticle"/>
        <w:rPr>
          <w:noProof/>
        </w:rPr>
      </w:pPr>
      <w:r w:rsidRPr="008431A9">
        <w:rPr>
          <w:noProof/>
        </w:rPr>
        <w:t>Article 54</w:t>
      </w:r>
    </w:p>
    <w:p w:rsidR="00E775BE" w:rsidRPr="008431A9" w:rsidRDefault="31155171" w:rsidP="0440D006">
      <w:pPr>
        <w:pStyle w:val="NormalCentered"/>
        <w:rPr>
          <w:b/>
          <w:bCs/>
          <w:noProof/>
        </w:rPr>
      </w:pPr>
      <w:r w:rsidRPr="008431A9">
        <w:rPr>
          <w:b/>
          <w:bCs/>
          <w:noProof/>
        </w:rPr>
        <w:t>Accreditation of product certification bodies</w:t>
      </w:r>
    </w:p>
    <w:p w:rsidR="00E775BE" w:rsidRPr="008431A9" w:rsidRDefault="00B34B72" w:rsidP="00B34B72">
      <w:pPr>
        <w:pStyle w:val="ManualNumPar1"/>
        <w:rPr>
          <w:rFonts w:eastAsiaTheme="minorEastAsia"/>
          <w:noProof/>
          <w:szCs w:val="24"/>
        </w:rPr>
      </w:pPr>
      <w:r w:rsidRPr="00B34B72">
        <w:t>1.</w:t>
      </w:r>
      <w:r w:rsidRPr="00B34B72">
        <w:tab/>
      </w:r>
      <w:r w:rsidR="42DFAFAE" w:rsidRPr="008431A9">
        <w:rPr>
          <w:noProof/>
        </w:rPr>
        <w:t xml:space="preserve">The product certification bodies referred to in Article 46 (3), point (b) and Article 46 (4), point (b) shall comply with and be accredited in accordance with : </w:t>
      </w:r>
    </w:p>
    <w:p w:rsidR="00E775BE" w:rsidRPr="008431A9" w:rsidRDefault="00B34B72" w:rsidP="00B34B72">
      <w:pPr>
        <w:pStyle w:val="Point1"/>
        <w:rPr>
          <w:rFonts w:eastAsiaTheme="minorEastAsia"/>
          <w:noProof/>
        </w:rPr>
      </w:pPr>
      <w:r w:rsidRPr="00B34B72">
        <w:t>(a)</w:t>
      </w:r>
      <w:r w:rsidRPr="00B34B72">
        <w:tab/>
      </w:r>
      <w:r w:rsidR="079A0E87" w:rsidRPr="008431A9">
        <w:rPr>
          <w:noProof/>
        </w:rPr>
        <w:t>European standard ISO/IEC 17065:2012 ‘Conformity assessment — Requirements for bodies certifying products, processes and services’, including European standard ISO/IEC 17020:2012 ‘Conformity assessment — Requirements for the operation of various types of bodies performing inspection’; or</w:t>
      </w:r>
    </w:p>
    <w:p w:rsidR="00E775BE" w:rsidRPr="008431A9" w:rsidRDefault="00B34B72" w:rsidP="00B34B72">
      <w:pPr>
        <w:pStyle w:val="Point1"/>
        <w:rPr>
          <w:noProof/>
        </w:rPr>
      </w:pPr>
      <w:r w:rsidRPr="00B34B72">
        <w:t>(b)</w:t>
      </w:r>
      <w:r w:rsidRPr="00B34B72">
        <w:tab/>
      </w:r>
      <w:r w:rsidR="1045AAE6" w:rsidRPr="008431A9">
        <w:rPr>
          <w:noProof/>
        </w:rPr>
        <w:t xml:space="preserve">other suitable, internationally recognised standards, including any revisions or amended versions of the European Standards referred to in point (a). </w:t>
      </w:r>
    </w:p>
    <w:p w:rsidR="00E775BE" w:rsidRPr="008431A9" w:rsidRDefault="00B34B72" w:rsidP="00B34B72">
      <w:pPr>
        <w:pStyle w:val="ManualNumPar1"/>
        <w:rPr>
          <w:noProof/>
        </w:rPr>
      </w:pPr>
      <w:r w:rsidRPr="00B34B72">
        <w:t>2.</w:t>
      </w:r>
      <w:r w:rsidRPr="00B34B72">
        <w:tab/>
      </w:r>
      <w:r w:rsidR="5132A94D" w:rsidRPr="008431A9">
        <w:rPr>
          <w:noProof/>
        </w:rPr>
        <w:t xml:space="preserve">Accreditation referred to in paragraph 1 shall be performed by an accreditation body recognised in accordance with Regulation </w:t>
      </w:r>
      <w:r w:rsidR="7DD22D33" w:rsidRPr="008431A9">
        <w:rPr>
          <w:noProof/>
        </w:rPr>
        <w:t>(EC) No 765/2008, that is a member of European Accreditation, or by an accreditation body outside the Union that is a member of International Accreditation Forum.</w:t>
      </w:r>
    </w:p>
    <w:p w:rsidR="006C3367" w:rsidRPr="008431A9" w:rsidRDefault="00E775BE" w:rsidP="0002261F">
      <w:pPr>
        <w:pStyle w:val="Titrearticle"/>
        <w:rPr>
          <w:noProof/>
        </w:rPr>
      </w:pPr>
      <w:r w:rsidRPr="008431A9">
        <w:rPr>
          <w:noProof/>
        </w:rPr>
        <w:t>Article 55</w:t>
      </w:r>
    </w:p>
    <w:p w:rsidR="000848FA" w:rsidRPr="00A412AB" w:rsidRDefault="0062207C" w:rsidP="00A412AB">
      <w:pPr>
        <w:pStyle w:val="NormalCentered"/>
        <w:rPr>
          <w:b/>
          <w:noProof/>
        </w:rPr>
      </w:pPr>
      <w:r w:rsidRPr="00A412AB">
        <w:rPr>
          <w:b/>
          <w:noProof/>
        </w:rPr>
        <w:t>Orders to act against illegal content</w:t>
      </w:r>
    </w:p>
    <w:p w:rsidR="00E775BE" w:rsidRPr="008431A9" w:rsidRDefault="0062207C" w:rsidP="009069F9">
      <w:pPr>
        <w:rPr>
          <w:rFonts w:eastAsia="Calibri"/>
          <w:noProof/>
        </w:rPr>
      </w:pPr>
      <w:r w:rsidRPr="008431A9">
        <w:rPr>
          <w:noProof/>
        </w:rPr>
        <w:t>Where provided by national law and in compliance with Union law, c</w:t>
      </w:r>
      <w:r w:rsidR="5132A94D" w:rsidRPr="008431A9">
        <w:rPr>
          <w:noProof/>
        </w:rPr>
        <w:t xml:space="preserve">ompetent authorities of </w:t>
      </w:r>
      <w:r w:rsidR="5132A94D" w:rsidRPr="0093160D">
        <w:rPr>
          <w:noProof/>
        </w:rPr>
        <w:t xml:space="preserve">the Member States may issue an order to act </w:t>
      </w:r>
      <w:r w:rsidRPr="0093160D">
        <w:rPr>
          <w:noProof/>
        </w:rPr>
        <w:t xml:space="preserve">as referred to in </w:t>
      </w:r>
      <w:r w:rsidR="5132A94D" w:rsidRPr="0093160D">
        <w:rPr>
          <w:noProof/>
        </w:rPr>
        <w:t xml:space="preserve">Article 8 of </w:t>
      </w:r>
      <w:r w:rsidR="0038783F" w:rsidRPr="0093160D">
        <w:rPr>
          <w:noProof/>
        </w:rPr>
        <w:t>Regulation (EU) No xxxx/2022</w:t>
      </w:r>
      <w:r w:rsidR="00E775BE" w:rsidRPr="008431A9">
        <w:rPr>
          <w:rStyle w:val="FootnoteReference"/>
          <w:noProof/>
        </w:rPr>
        <w:footnoteReference w:id="35"/>
      </w:r>
      <w:r w:rsidR="5132A94D" w:rsidRPr="008431A9">
        <w:rPr>
          <w:noProof/>
        </w:rPr>
        <w:t xml:space="preserve"> against illegal content </w:t>
      </w:r>
      <w:r w:rsidRPr="008431A9">
        <w:rPr>
          <w:noProof/>
        </w:rPr>
        <w:t xml:space="preserve">that contravenes Article 35 of this Regulation </w:t>
      </w:r>
      <w:r w:rsidR="5132A94D" w:rsidRPr="008431A9">
        <w:rPr>
          <w:noProof/>
        </w:rPr>
        <w:t>.</w:t>
      </w:r>
    </w:p>
    <w:p w:rsidR="00E775BE" w:rsidRPr="008431A9" w:rsidRDefault="31155171" w:rsidP="0440D006">
      <w:pPr>
        <w:pStyle w:val="Titrearticle"/>
        <w:rPr>
          <w:noProof/>
        </w:rPr>
      </w:pPr>
      <w:r w:rsidRPr="008431A9">
        <w:rPr>
          <w:noProof/>
        </w:rPr>
        <w:t>Article 56</w:t>
      </w:r>
    </w:p>
    <w:p w:rsidR="00E775BE" w:rsidRPr="008431A9" w:rsidRDefault="31155171" w:rsidP="0440D006">
      <w:pPr>
        <w:pStyle w:val="NormalCentered"/>
        <w:rPr>
          <w:b/>
          <w:bCs/>
          <w:noProof/>
        </w:rPr>
      </w:pPr>
      <w:r w:rsidRPr="008431A9">
        <w:rPr>
          <w:b/>
          <w:bCs/>
          <w:noProof/>
        </w:rPr>
        <w:t>Penalties</w:t>
      </w:r>
    </w:p>
    <w:p w:rsidR="00E775BE" w:rsidRPr="008431A9" w:rsidRDefault="2281F7DC" w:rsidP="0A8C9522">
      <w:pPr>
        <w:rPr>
          <w:rFonts w:eastAsia="Times New Roman"/>
          <w:noProof/>
        </w:rPr>
      </w:pPr>
      <w:r w:rsidRPr="008431A9">
        <w:rPr>
          <w:rFonts w:eastAsia="Times New Roman"/>
          <w:noProof/>
        </w:rPr>
        <w:t>Member States shall lay down the rules on penalties applicable to non-compliance with, and infringements of, this Regulation and shall take all measures necessary to ensure that they are implemented. The penalties provided for shall be effective, proportionate and dissuasive. Member States shall, by the entry into force of this Regulation, notify the Commission of those rules and of those measures and shall notify it, without delay, of any subsequent amendment affecting them.</w:t>
      </w:r>
    </w:p>
    <w:p w:rsidR="00E775BE" w:rsidRPr="008431A9" w:rsidRDefault="00E775BE" w:rsidP="0002261F">
      <w:pPr>
        <w:pStyle w:val="Titrearticle"/>
        <w:rPr>
          <w:noProof/>
        </w:rPr>
      </w:pPr>
      <w:r w:rsidRPr="008431A9">
        <w:rPr>
          <w:noProof/>
        </w:rPr>
        <w:t>Article 57</w:t>
      </w:r>
    </w:p>
    <w:p w:rsidR="00E775BE" w:rsidRPr="008431A9" w:rsidRDefault="00E775BE" w:rsidP="0081316A">
      <w:pPr>
        <w:pStyle w:val="NormalCentered"/>
        <w:rPr>
          <w:b/>
          <w:noProof/>
        </w:rPr>
      </w:pPr>
      <w:r w:rsidRPr="008431A9">
        <w:rPr>
          <w:b/>
          <w:noProof/>
        </w:rPr>
        <w:t>Mutual assistance and resources</w:t>
      </w:r>
    </w:p>
    <w:p w:rsidR="00E775BE" w:rsidRPr="008431A9" w:rsidRDefault="00B34B72" w:rsidP="00B34B72">
      <w:pPr>
        <w:pStyle w:val="ManualNumPar1"/>
        <w:rPr>
          <w:rFonts w:eastAsiaTheme="minorEastAsia"/>
          <w:noProof/>
          <w:szCs w:val="24"/>
        </w:rPr>
      </w:pPr>
      <w:r w:rsidRPr="00B34B72">
        <w:t>1.</w:t>
      </w:r>
      <w:r w:rsidRPr="00B34B72">
        <w:tab/>
      </w:r>
      <w:r w:rsidR="5132A94D" w:rsidRPr="008431A9">
        <w:rPr>
          <w:noProof/>
        </w:rPr>
        <w:t xml:space="preserve">Member States shall assist each other for the purposes of carrying out the controls and enforcement provided for in this Title. </w:t>
      </w:r>
    </w:p>
    <w:p w:rsidR="00E775BE" w:rsidRPr="008431A9" w:rsidRDefault="00B34B72" w:rsidP="00B34B72">
      <w:pPr>
        <w:pStyle w:val="ManualNumPar1"/>
        <w:rPr>
          <w:rFonts w:eastAsia="Calibri"/>
          <w:noProof/>
        </w:rPr>
      </w:pPr>
      <w:r w:rsidRPr="00B34B72">
        <w:lastRenderedPageBreak/>
        <w:t>2.</w:t>
      </w:r>
      <w:r w:rsidRPr="00B34B72">
        <w:tab/>
      </w:r>
      <w:r w:rsidR="581119C8" w:rsidRPr="008431A9">
        <w:rPr>
          <w:noProof/>
        </w:rPr>
        <w:t>The Commission may adopt implementing acts specifying the nature and the type of the information to be exchanged and the methods for exchanging information for the purposes of controls and enforcement under this Title. Those implementing acts shall be adopted in accordance with the examination pro</w:t>
      </w:r>
      <w:r w:rsidR="00596A93" w:rsidRPr="008431A9">
        <w:rPr>
          <w:noProof/>
        </w:rPr>
        <w:t>cedure referred to in Article 65</w:t>
      </w:r>
      <w:r w:rsidR="581119C8" w:rsidRPr="008431A9">
        <w:rPr>
          <w:noProof/>
        </w:rPr>
        <w:t>(2).</w:t>
      </w:r>
    </w:p>
    <w:p w:rsidR="00E775BE" w:rsidRPr="008431A9" w:rsidRDefault="00B34B72" w:rsidP="00B34B72">
      <w:pPr>
        <w:pStyle w:val="ManualNumPar1"/>
        <w:rPr>
          <w:noProof/>
        </w:rPr>
      </w:pPr>
      <w:r w:rsidRPr="00B34B72">
        <w:t>3.</w:t>
      </w:r>
      <w:r w:rsidRPr="00B34B72">
        <w:tab/>
      </w:r>
      <w:r w:rsidR="5132A94D" w:rsidRPr="008431A9">
        <w:rPr>
          <w:noProof/>
        </w:rPr>
        <w:t xml:space="preserve">Administrative assistance may include, where appropriate, and, by agreement between the competent authorities concerned, participation by the competent authorities of a Member State in on-the-spot checks that the competent authorities of another Member State perform. </w:t>
      </w:r>
    </w:p>
    <w:p w:rsidR="00E775BE" w:rsidRPr="008431A9" w:rsidRDefault="00B34B72" w:rsidP="00B34B72">
      <w:pPr>
        <w:pStyle w:val="ManualNumPar1"/>
        <w:rPr>
          <w:noProof/>
        </w:rPr>
      </w:pPr>
      <w:r w:rsidRPr="00B34B72">
        <w:t>4.</w:t>
      </w:r>
      <w:r w:rsidRPr="00B34B72">
        <w:tab/>
      </w:r>
      <w:r w:rsidR="5132A94D" w:rsidRPr="008431A9">
        <w:rPr>
          <w:noProof/>
        </w:rPr>
        <w:t xml:space="preserve">In case of a possible violation of </w:t>
      </w:r>
      <w:r w:rsidR="007D3035" w:rsidRPr="008431A9">
        <w:rPr>
          <w:noProof/>
        </w:rPr>
        <w:t xml:space="preserve">the </w:t>
      </w:r>
      <w:r w:rsidR="5132A94D" w:rsidRPr="008431A9">
        <w:rPr>
          <w:noProof/>
        </w:rPr>
        <w:t>protection conferr</w:t>
      </w:r>
      <w:r w:rsidR="0051703B" w:rsidRPr="008431A9">
        <w:rPr>
          <w:noProof/>
        </w:rPr>
        <w:t>ed to a geographical indication</w:t>
      </w:r>
      <w:r w:rsidR="5132A94D" w:rsidRPr="008431A9">
        <w:rPr>
          <w:noProof/>
        </w:rPr>
        <w:t>, Member States shall take measures to facilitate the transmission, from law enforcement authorities, public prosecutors and judicial authorities within the Member State, to the competent authorities referre</w:t>
      </w:r>
      <w:r w:rsidR="007D3035" w:rsidRPr="008431A9">
        <w:rPr>
          <w:noProof/>
        </w:rPr>
        <w:t>d in Article 45</w:t>
      </w:r>
      <w:r w:rsidR="5132A94D" w:rsidRPr="008431A9">
        <w:rPr>
          <w:noProof/>
        </w:rPr>
        <w:t>(1), of information on such possible violation.</w:t>
      </w:r>
    </w:p>
    <w:p w:rsidR="00E775BE" w:rsidRPr="008431A9" w:rsidRDefault="00E775BE" w:rsidP="0002261F">
      <w:pPr>
        <w:pStyle w:val="Titrearticle"/>
        <w:rPr>
          <w:noProof/>
        </w:rPr>
      </w:pPr>
      <w:r w:rsidRPr="008431A9">
        <w:rPr>
          <w:noProof/>
        </w:rPr>
        <w:t>Article 58</w:t>
      </w:r>
    </w:p>
    <w:p w:rsidR="00E775BE" w:rsidRPr="008431A9" w:rsidRDefault="31155171" w:rsidP="0440D006">
      <w:pPr>
        <w:pStyle w:val="NormalCentered"/>
        <w:rPr>
          <w:b/>
          <w:bCs/>
          <w:noProof/>
        </w:rPr>
      </w:pPr>
      <w:r w:rsidRPr="008431A9">
        <w:rPr>
          <w:b/>
          <w:bCs/>
          <w:noProof/>
        </w:rPr>
        <w:t xml:space="preserve">Certificates of authorisation to produce </w:t>
      </w:r>
    </w:p>
    <w:p w:rsidR="00E775BE" w:rsidRPr="008431A9" w:rsidRDefault="00B34B72" w:rsidP="00B34B72">
      <w:pPr>
        <w:pStyle w:val="ManualNumPar1"/>
        <w:rPr>
          <w:rFonts w:eastAsiaTheme="minorEastAsia"/>
          <w:noProof/>
        </w:rPr>
      </w:pPr>
      <w:r w:rsidRPr="00B34B72">
        <w:t>1.</w:t>
      </w:r>
      <w:r w:rsidRPr="00B34B72">
        <w:tab/>
      </w:r>
      <w:r w:rsidR="581119C8" w:rsidRPr="008431A9">
        <w:rPr>
          <w:noProof/>
        </w:rPr>
        <w:t xml:space="preserve">A producer whose product, following the verification of compliance referred to in Article 46, is found to comply with the product specification of a geographical indication protected under this Regulation or that has, if applicable in the Member State concerned, properly submitted a self-declaration to the competent authority, shall be entitled to an official certificate, or other proof of certification, of eligibility to produce the product designated by the geographical indication concerned in respect of the production steps performed by the said producer. </w:t>
      </w:r>
    </w:p>
    <w:p w:rsidR="00E775BE" w:rsidRPr="008431A9" w:rsidRDefault="00B34B72" w:rsidP="00B34B72">
      <w:pPr>
        <w:pStyle w:val="ManualNumPar1"/>
        <w:rPr>
          <w:noProof/>
        </w:rPr>
      </w:pPr>
      <w:r w:rsidRPr="00B34B72">
        <w:t>2.</w:t>
      </w:r>
      <w:r w:rsidRPr="00B34B72">
        <w:tab/>
      </w:r>
      <w:r w:rsidR="5132A94D" w:rsidRPr="008431A9">
        <w:rPr>
          <w:noProof/>
        </w:rPr>
        <w:t>The proof of certification referred to in paragraph 1 shall be made available on request to enforcement authorities, customs or other authorities in the Union engaged in verifying the use of geographical indications on goods declared for free circulation or placed on the internal market. The producer may make the proof of certification available to the public or to any person who requests such proof in the course of business.</w:t>
      </w:r>
    </w:p>
    <w:p w:rsidR="00E775BE" w:rsidRPr="008431A9" w:rsidRDefault="00B754F3" w:rsidP="00704D34">
      <w:pPr>
        <w:jc w:val="center"/>
        <w:rPr>
          <w:b/>
          <w:noProof/>
        </w:rPr>
      </w:pPr>
      <w:r w:rsidRPr="008431A9">
        <w:rPr>
          <w:b/>
          <w:noProof/>
        </w:rPr>
        <w:t>TITLE V</w:t>
      </w:r>
    </w:p>
    <w:p w:rsidR="00E775BE" w:rsidRPr="008431A9" w:rsidRDefault="00E775BE" w:rsidP="00E775BE">
      <w:pPr>
        <w:jc w:val="center"/>
        <w:rPr>
          <w:rFonts w:eastAsia="Times New Roman"/>
          <w:b/>
          <w:noProof/>
          <w:szCs w:val="24"/>
        </w:rPr>
      </w:pPr>
      <w:r w:rsidRPr="008431A9">
        <w:rPr>
          <w:rFonts w:eastAsia="Times New Roman"/>
          <w:b/>
          <w:noProof/>
          <w:szCs w:val="24"/>
        </w:rPr>
        <w:t>GEOGRAPHICAL INDICATIONS ENTERED IN THE INTERNATIONAL REGISTER</w:t>
      </w:r>
      <w:r w:rsidRPr="008431A9">
        <w:rPr>
          <w:rFonts w:eastAsia="Times New Roman"/>
          <w:b/>
          <w:bCs/>
          <w:noProof/>
          <w:szCs w:val="24"/>
        </w:rPr>
        <w:t xml:space="preserve"> AND AMENDMENTS TO OTHER ACTS</w:t>
      </w:r>
    </w:p>
    <w:p w:rsidR="00E775BE" w:rsidRPr="008431A9" w:rsidRDefault="00E775BE" w:rsidP="0002261F">
      <w:pPr>
        <w:pStyle w:val="Titrearticle"/>
        <w:rPr>
          <w:noProof/>
        </w:rPr>
      </w:pPr>
      <w:r w:rsidRPr="008431A9">
        <w:rPr>
          <w:noProof/>
        </w:rPr>
        <w:t>Article 59</w:t>
      </w:r>
    </w:p>
    <w:p w:rsidR="00E775BE" w:rsidRPr="008431A9" w:rsidRDefault="00E775BE" w:rsidP="0081316A">
      <w:pPr>
        <w:pStyle w:val="NormalCentered"/>
        <w:rPr>
          <w:b/>
          <w:noProof/>
        </w:rPr>
      </w:pPr>
      <w:r w:rsidRPr="008431A9">
        <w:rPr>
          <w:b/>
          <w:noProof/>
        </w:rPr>
        <w:t>Amendments to Council Decision (EU) 2019/1754</w:t>
      </w:r>
    </w:p>
    <w:p w:rsidR="00E775BE" w:rsidRPr="008431A9" w:rsidRDefault="00E775BE" w:rsidP="00E775BE">
      <w:pPr>
        <w:spacing w:before="0" w:after="0" w:line="276" w:lineRule="auto"/>
        <w:rPr>
          <w:rFonts w:eastAsia="Times New Roman"/>
          <w:noProof/>
          <w:szCs w:val="24"/>
        </w:rPr>
      </w:pPr>
      <w:r w:rsidRPr="008431A9">
        <w:rPr>
          <w:rFonts w:eastAsia="Times New Roman"/>
          <w:noProof/>
        </w:rPr>
        <w:t>In Article 4(1) of Council Decision (EU) 2019/1754</w:t>
      </w:r>
      <w:r w:rsidRPr="008431A9">
        <w:rPr>
          <w:rStyle w:val="FootnoteReference"/>
          <w:noProof/>
        </w:rPr>
        <w:footnoteReference w:id="36"/>
      </w:r>
      <w:r w:rsidRPr="008431A9">
        <w:rPr>
          <w:rFonts w:eastAsia="Times New Roman"/>
          <w:noProof/>
        </w:rPr>
        <w:t xml:space="preserve"> the following </w:t>
      </w:r>
      <w:r w:rsidR="00643E85" w:rsidRPr="008431A9">
        <w:rPr>
          <w:rFonts w:eastAsia="Times New Roman"/>
          <w:noProof/>
        </w:rPr>
        <w:t>sub</w:t>
      </w:r>
      <w:r w:rsidRPr="008431A9">
        <w:rPr>
          <w:rFonts w:eastAsia="Times New Roman"/>
          <w:noProof/>
        </w:rPr>
        <w:t>paragraph is added:</w:t>
      </w:r>
    </w:p>
    <w:p w:rsidR="00E775BE" w:rsidRPr="008431A9" w:rsidRDefault="00E775BE" w:rsidP="00E775BE">
      <w:pPr>
        <w:spacing w:before="0" w:after="0"/>
        <w:rPr>
          <w:rFonts w:eastAsia="Times New Roman"/>
          <w:noProof/>
          <w:szCs w:val="24"/>
        </w:rPr>
      </w:pPr>
    </w:p>
    <w:p w:rsidR="00E775BE" w:rsidRPr="008431A9" w:rsidRDefault="00E775BE" w:rsidP="00E775BE">
      <w:pPr>
        <w:spacing w:before="0" w:after="0"/>
        <w:rPr>
          <w:rFonts w:eastAsia="Times New Roman"/>
          <w:noProof/>
          <w:szCs w:val="24"/>
        </w:rPr>
      </w:pPr>
      <w:r w:rsidRPr="008431A9">
        <w:rPr>
          <w:rFonts w:eastAsia="Times New Roman"/>
          <w:noProof/>
          <w:szCs w:val="24"/>
        </w:rPr>
        <w:t xml:space="preserve">“In respect of geographical indications protecting craft and industrial products within the meaning of Regulation </w:t>
      </w:r>
      <w:r w:rsidRPr="008431A9">
        <w:rPr>
          <w:rFonts w:eastAsia="Times New Roman"/>
          <w:noProof/>
          <w:szCs w:val="24"/>
          <w:lang w:val="en-US"/>
        </w:rPr>
        <w:t>(EU) 2022/… of the European Parliament and of the Council of … concerning geographical indication protection for craft and industrial products</w:t>
      </w:r>
      <w:r w:rsidRPr="008431A9">
        <w:rPr>
          <w:rFonts w:eastAsia="Times New Roman"/>
          <w:noProof/>
          <w:szCs w:val="24"/>
        </w:rPr>
        <w:t xml:space="preserve">, the European Intellectual Property Office shall be designated as the Competent Authority referred to in </w:t>
      </w:r>
      <w:r w:rsidRPr="008431A9">
        <w:rPr>
          <w:rFonts w:eastAsia="Times New Roman"/>
          <w:noProof/>
          <w:szCs w:val="24"/>
        </w:rPr>
        <w:lastRenderedPageBreak/>
        <w:t>Article 3 of the Geneva Act, and be responsible for the administration of the Geneva Act in the territory of the Union and for notifications and communications with the International Bureau of the WIPO under the Geneva Act and the Common Regulations.”</w:t>
      </w:r>
    </w:p>
    <w:p w:rsidR="00E775BE" w:rsidRPr="008431A9" w:rsidRDefault="00E775BE" w:rsidP="0002261F">
      <w:pPr>
        <w:pStyle w:val="Titrearticle"/>
        <w:rPr>
          <w:noProof/>
        </w:rPr>
      </w:pPr>
      <w:r w:rsidRPr="008431A9">
        <w:rPr>
          <w:noProof/>
        </w:rPr>
        <w:t>Article 60</w:t>
      </w:r>
    </w:p>
    <w:p w:rsidR="00E775BE" w:rsidRPr="008431A9" w:rsidRDefault="00E775BE" w:rsidP="0081316A">
      <w:pPr>
        <w:pStyle w:val="NormalCentered"/>
        <w:rPr>
          <w:b/>
          <w:noProof/>
        </w:rPr>
      </w:pPr>
      <w:r w:rsidRPr="008431A9">
        <w:rPr>
          <w:b/>
          <w:noProof/>
        </w:rPr>
        <w:t xml:space="preserve">Amendments to Regulation (EU) 2019/1753 </w:t>
      </w:r>
    </w:p>
    <w:p w:rsidR="00E775BE" w:rsidRPr="008431A9" w:rsidRDefault="00E775BE" w:rsidP="00E775BE">
      <w:pPr>
        <w:spacing w:before="0" w:after="0"/>
        <w:rPr>
          <w:rFonts w:eastAsia="Times New Roman"/>
          <w:noProof/>
          <w:szCs w:val="24"/>
        </w:rPr>
      </w:pPr>
      <w:r w:rsidRPr="008431A9">
        <w:rPr>
          <w:rFonts w:eastAsia="Times New Roman"/>
          <w:noProof/>
          <w:szCs w:val="24"/>
        </w:rPr>
        <w:t>Regulation (EU) 2019/1753 is amended as follows:</w:t>
      </w:r>
    </w:p>
    <w:p w:rsidR="00643E85" w:rsidRPr="008431A9" w:rsidRDefault="00B34B72" w:rsidP="00B34B72">
      <w:pPr>
        <w:pStyle w:val="Point0"/>
        <w:rPr>
          <w:noProof/>
        </w:rPr>
      </w:pPr>
      <w:r w:rsidRPr="00B34B72">
        <w:t>(1)</w:t>
      </w:r>
      <w:r w:rsidRPr="00B34B72">
        <w:tab/>
      </w:r>
      <w:r w:rsidR="00643E85" w:rsidRPr="008431A9">
        <w:rPr>
          <w:noProof/>
        </w:rPr>
        <w:t>Article 1 is amended as follows:</w:t>
      </w:r>
    </w:p>
    <w:p w:rsidR="00A6123D" w:rsidRPr="008431A9" w:rsidRDefault="00B34B72" w:rsidP="00B34B72">
      <w:pPr>
        <w:pStyle w:val="Point1"/>
        <w:rPr>
          <w:rFonts w:eastAsiaTheme="minorEastAsia"/>
          <w:noProof/>
          <w:szCs w:val="24"/>
        </w:rPr>
      </w:pPr>
      <w:r w:rsidRPr="00B34B72">
        <w:t>(a)</w:t>
      </w:r>
      <w:r w:rsidRPr="00B34B72">
        <w:tab/>
      </w:r>
      <w:r w:rsidR="5132A94D" w:rsidRPr="008431A9">
        <w:rPr>
          <w:noProof/>
        </w:rPr>
        <w:t>paragraph 2 is replaced by the following:</w:t>
      </w:r>
    </w:p>
    <w:p w:rsidR="00E775BE" w:rsidRPr="008431A9" w:rsidRDefault="00E775BE" w:rsidP="00673888">
      <w:pPr>
        <w:pStyle w:val="Text2"/>
        <w:rPr>
          <w:noProof/>
        </w:rPr>
      </w:pPr>
      <w:r w:rsidRPr="008431A9">
        <w:rPr>
          <w:noProof/>
        </w:rPr>
        <w:t>“</w:t>
      </w:r>
      <w:r w:rsidR="00643E85" w:rsidRPr="008431A9">
        <w:rPr>
          <w:noProof/>
        </w:rPr>
        <w:t xml:space="preserve">2. </w:t>
      </w:r>
      <w:r w:rsidRPr="008431A9">
        <w:rPr>
          <w:noProof/>
        </w:rPr>
        <w:t>For the purpose</w:t>
      </w:r>
      <w:r w:rsidR="00643E85" w:rsidRPr="008431A9">
        <w:rPr>
          <w:noProof/>
        </w:rPr>
        <w:t>s</w:t>
      </w:r>
      <w:r w:rsidRPr="008431A9">
        <w:rPr>
          <w:noProof/>
        </w:rPr>
        <w:t xml:space="preserve"> of this Regulation, the term ‘geographical indications’ covers appellations of origin within the meaning of the Geneva Act, including designations of origin within the meaning of Regulations (EU) No 1151/2012 and (EU) No 1308/2013, as well as geographical indications within the meaning of Regulations (EU) No 1151/2012, (EU) No 1308/2013, (EU) No 251/2014, (EU) 2019/787 and Regulation </w:t>
      </w:r>
      <w:r w:rsidRPr="008431A9">
        <w:rPr>
          <w:noProof/>
          <w:lang w:val="en-US"/>
        </w:rPr>
        <w:t>(EU) 2022/… of the European Parliament and of the Council of … concerning geographical indication protection for craft and industrial products</w:t>
      </w:r>
      <w:r w:rsidRPr="008431A9">
        <w:rPr>
          <w:noProof/>
        </w:rPr>
        <w:t>. In respect of appellations of origin relating to craft and industrial products which are subject to an international registration, protection in the EU shall be construed as specified in Articles 5 and 35 of that Regulation</w:t>
      </w:r>
      <w:r w:rsidR="00643E85" w:rsidRPr="008431A9">
        <w:rPr>
          <w:noProof/>
        </w:rPr>
        <w:t>”;</w:t>
      </w:r>
    </w:p>
    <w:p w:rsidR="00A6123D" w:rsidRPr="008431A9" w:rsidRDefault="00B34B72" w:rsidP="00B34B72">
      <w:pPr>
        <w:pStyle w:val="Point1"/>
        <w:rPr>
          <w:rFonts w:eastAsiaTheme="minorEastAsia"/>
          <w:noProof/>
          <w:szCs w:val="24"/>
        </w:rPr>
      </w:pPr>
      <w:r w:rsidRPr="00B34B72">
        <w:t>(b)</w:t>
      </w:r>
      <w:r w:rsidRPr="00B34B72">
        <w:tab/>
      </w:r>
      <w:r w:rsidR="00643E85" w:rsidRPr="008431A9">
        <w:rPr>
          <w:noProof/>
        </w:rPr>
        <w:t>the following paragraph 3 is added</w:t>
      </w:r>
      <w:r w:rsidR="5132A94D" w:rsidRPr="008431A9">
        <w:rPr>
          <w:rFonts w:eastAsia="Times New Roman"/>
          <w:noProof/>
        </w:rPr>
        <w:t>:</w:t>
      </w:r>
    </w:p>
    <w:p w:rsidR="00E775BE" w:rsidRPr="008431A9" w:rsidRDefault="00E775BE" w:rsidP="00673888">
      <w:pPr>
        <w:pStyle w:val="Text2"/>
        <w:rPr>
          <w:noProof/>
        </w:rPr>
      </w:pPr>
      <w:r w:rsidRPr="008431A9">
        <w:rPr>
          <w:noProof/>
        </w:rPr>
        <w:t>“3. For the purpose</w:t>
      </w:r>
      <w:r w:rsidR="00643E85" w:rsidRPr="008431A9">
        <w:rPr>
          <w:noProof/>
        </w:rPr>
        <w:t>s</w:t>
      </w:r>
      <w:r w:rsidRPr="008431A9">
        <w:rPr>
          <w:noProof/>
        </w:rPr>
        <w:t xml:space="preserve"> of this Regulation, “Office” means the European Union Intellectual Property Office.</w:t>
      </w:r>
      <w:r w:rsidR="00A6123D" w:rsidRPr="008431A9">
        <w:rPr>
          <w:noProof/>
        </w:rPr>
        <w:t>”</w:t>
      </w:r>
    </w:p>
    <w:p w:rsidR="00E775BE" w:rsidRPr="008431A9" w:rsidRDefault="00B34B72" w:rsidP="00B34B72">
      <w:pPr>
        <w:pStyle w:val="Point0"/>
        <w:rPr>
          <w:noProof/>
        </w:rPr>
      </w:pPr>
      <w:r w:rsidRPr="00B34B72">
        <w:t>(2)</w:t>
      </w:r>
      <w:r w:rsidRPr="00B34B72">
        <w:tab/>
      </w:r>
      <w:r w:rsidR="5132A94D" w:rsidRPr="008431A9">
        <w:rPr>
          <w:noProof/>
        </w:rPr>
        <w:t>Article 2 is amended as follows:</w:t>
      </w:r>
    </w:p>
    <w:p w:rsidR="00E775BE" w:rsidRPr="008431A9" w:rsidRDefault="00B34B72" w:rsidP="00B34B72">
      <w:pPr>
        <w:pStyle w:val="Point1"/>
        <w:rPr>
          <w:rFonts w:eastAsia="Calibri"/>
          <w:noProof/>
        </w:rPr>
      </w:pPr>
      <w:r w:rsidRPr="00B34B72">
        <w:t>(a)</w:t>
      </w:r>
      <w:r w:rsidRPr="00B34B72">
        <w:tab/>
      </w:r>
      <w:r w:rsidR="079A0E87" w:rsidRPr="008431A9">
        <w:rPr>
          <w:noProof/>
        </w:rPr>
        <w:t>paragraph 1 is replaced by the following:</w:t>
      </w:r>
      <w:r w:rsidR="079A0E87" w:rsidRPr="008431A9">
        <w:rPr>
          <w:rFonts w:eastAsia="Calibri"/>
          <w:noProof/>
        </w:rPr>
        <w:t xml:space="preserve"> </w:t>
      </w:r>
    </w:p>
    <w:p w:rsidR="00E775BE" w:rsidRPr="008431A9" w:rsidRDefault="00E775BE" w:rsidP="00673888">
      <w:pPr>
        <w:pStyle w:val="Text2"/>
        <w:rPr>
          <w:noProof/>
        </w:rPr>
      </w:pPr>
      <w:r w:rsidRPr="008431A9">
        <w:rPr>
          <w:noProof/>
        </w:rPr>
        <w:t>“Upon the accession of the Union to the Geneva Act and thereafter on a regular basis, the Commission or the Office shall, in their respective capacity as Competent Authority within the meaning of Article 3 of the Geneva Act as specified in Article 4(1) of Council Decision (EU) 2019/1754, file applications for the international registration of geographical indications protected and registered under Union law and pertaining to products originating in the Union pursuant to Article 5(1) and Article (2) of the Geneva Act with the International Bureau of the World Intellectual Property Organization (‘the International Bureau’).”;</w:t>
      </w:r>
    </w:p>
    <w:p w:rsidR="00E775BE" w:rsidRPr="008431A9" w:rsidRDefault="00B34B72" w:rsidP="00B34B72">
      <w:pPr>
        <w:pStyle w:val="Point1"/>
        <w:rPr>
          <w:noProof/>
        </w:rPr>
      </w:pPr>
      <w:r w:rsidRPr="00B34B72">
        <w:t>(b)</w:t>
      </w:r>
      <w:r w:rsidRPr="00B34B72">
        <w:tab/>
      </w:r>
      <w:r w:rsidR="079A0E87" w:rsidRPr="008431A9">
        <w:rPr>
          <w:noProof/>
        </w:rPr>
        <w:t>in paragraph 2, the first sentence is replaced by the following:</w:t>
      </w:r>
    </w:p>
    <w:p w:rsidR="00E775BE" w:rsidRPr="008431A9" w:rsidRDefault="00E775BE" w:rsidP="00673888">
      <w:pPr>
        <w:pStyle w:val="Text2"/>
        <w:rPr>
          <w:noProof/>
        </w:rPr>
      </w:pPr>
      <w:r w:rsidRPr="008431A9">
        <w:rPr>
          <w:noProof/>
        </w:rPr>
        <w:t>“For the purpose</w:t>
      </w:r>
      <w:r w:rsidR="00643E85" w:rsidRPr="008431A9">
        <w:rPr>
          <w:noProof/>
        </w:rPr>
        <w:t>s</w:t>
      </w:r>
      <w:r w:rsidRPr="008431A9">
        <w:rPr>
          <w:noProof/>
        </w:rPr>
        <w:t xml:space="preserve"> of paragraph 1, Member States may request the Commission or, in respect of geographical indications protecting craft and industrial products (“craft and industrial geographical indications”), the Office, to register in the International Register geographical indications that originate in the territory of Member States and that are protected</w:t>
      </w:r>
      <w:r w:rsidR="00643E85" w:rsidRPr="008431A9">
        <w:rPr>
          <w:noProof/>
        </w:rPr>
        <w:t xml:space="preserve"> and registered under Union law;</w:t>
      </w:r>
      <w:r w:rsidRPr="008431A9">
        <w:rPr>
          <w:noProof/>
        </w:rPr>
        <w:t>”</w:t>
      </w:r>
    </w:p>
    <w:p w:rsidR="00E775BE" w:rsidRPr="008431A9" w:rsidRDefault="00B34B72" w:rsidP="00B34B72">
      <w:pPr>
        <w:pStyle w:val="Point1"/>
        <w:rPr>
          <w:noProof/>
        </w:rPr>
      </w:pPr>
      <w:r w:rsidRPr="00B34B72">
        <w:t>(c)</w:t>
      </w:r>
      <w:r w:rsidRPr="00B34B72">
        <w:tab/>
      </w:r>
      <w:r w:rsidR="00643E85" w:rsidRPr="008431A9">
        <w:rPr>
          <w:noProof/>
        </w:rPr>
        <w:t>t</w:t>
      </w:r>
      <w:r w:rsidR="079A0E87" w:rsidRPr="008431A9">
        <w:rPr>
          <w:noProof/>
        </w:rPr>
        <w:t>he following paragraph 4 is added:</w:t>
      </w:r>
    </w:p>
    <w:p w:rsidR="00E775BE" w:rsidRPr="008431A9" w:rsidRDefault="16FCBB95" w:rsidP="00673888">
      <w:pPr>
        <w:pStyle w:val="Text2"/>
        <w:rPr>
          <w:noProof/>
        </w:rPr>
      </w:pPr>
      <w:r w:rsidRPr="008431A9">
        <w:rPr>
          <w:noProof/>
        </w:rPr>
        <w:t xml:space="preserve">“4. In respect of requests to register craft and industrial geographical indications in the International Register, the Office shall, in its capacity of </w:t>
      </w:r>
      <w:r w:rsidRPr="008431A9">
        <w:rPr>
          <w:noProof/>
        </w:rPr>
        <w:lastRenderedPageBreak/>
        <w:t>Competent Authority referred to in Article 3 of the Geneva Act as specified in Article 4(1) of Council Decision (EU) 2019/1754, proceed on the basis of its own decision on granting protection in accordance with the proce</w:t>
      </w:r>
      <w:r w:rsidR="00643E85" w:rsidRPr="008431A9">
        <w:rPr>
          <w:noProof/>
        </w:rPr>
        <w:t xml:space="preserve">dure referred to in Articles 17 to </w:t>
      </w:r>
      <w:r w:rsidRPr="008431A9">
        <w:rPr>
          <w:noProof/>
        </w:rPr>
        <w:t xml:space="preserve">34 of Regulation </w:t>
      </w:r>
      <w:r w:rsidR="706359B0" w:rsidRPr="008431A9">
        <w:rPr>
          <w:noProof/>
          <w:lang w:val="en-US"/>
        </w:rPr>
        <w:t>(EU) 2022/…”</w:t>
      </w:r>
      <w:r w:rsidR="00643E85" w:rsidRPr="008431A9">
        <w:rPr>
          <w:noProof/>
          <w:lang w:val="en-US"/>
        </w:rPr>
        <w:t>;</w:t>
      </w:r>
    </w:p>
    <w:p w:rsidR="00873762" w:rsidRPr="008431A9" w:rsidRDefault="00B34B72" w:rsidP="00B34B72">
      <w:pPr>
        <w:pStyle w:val="Point0"/>
        <w:rPr>
          <w:noProof/>
          <w:lang w:val="en-US"/>
        </w:rPr>
      </w:pPr>
      <w:r w:rsidRPr="00B34B72">
        <w:t>(3)</w:t>
      </w:r>
      <w:r w:rsidRPr="00B34B72">
        <w:tab/>
      </w:r>
      <w:r w:rsidR="06D9F0C5" w:rsidRPr="008431A9">
        <w:rPr>
          <w:noProof/>
          <w:lang w:val="en-US"/>
        </w:rPr>
        <w:t>In Article 3</w:t>
      </w:r>
      <w:r w:rsidR="007029D5" w:rsidRPr="008431A9">
        <w:rPr>
          <w:noProof/>
          <w:lang w:val="en-US"/>
        </w:rPr>
        <w:t>,</w:t>
      </w:r>
      <w:r w:rsidR="06D9F0C5" w:rsidRPr="008431A9">
        <w:rPr>
          <w:noProof/>
          <w:lang w:val="en-US"/>
        </w:rPr>
        <w:t xml:space="preserve"> the following paragraph 4 is added:</w:t>
      </w:r>
    </w:p>
    <w:p w:rsidR="0440D006" w:rsidRPr="008431A9" w:rsidRDefault="002F2B2D" w:rsidP="005C2677">
      <w:pPr>
        <w:pStyle w:val="Text2"/>
        <w:rPr>
          <w:noProof/>
          <w:lang w:val="en-US"/>
        </w:rPr>
      </w:pPr>
      <w:r w:rsidRPr="008431A9">
        <w:rPr>
          <w:noProof/>
          <w:lang w:val="en-US"/>
        </w:rPr>
        <w:t>“</w:t>
      </w:r>
      <w:r w:rsidR="007029D5" w:rsidRPr="008431A9">
        <w:rPr>
          <w:noProof/>
          <w:lang w:val="en-US"/>
        </w:rPr>
        <w:t xml:space="preserve">4. </w:t>
      </w:r>
      <w:r w:rsidRPr="008431A9">
        <w:rPr>
          <w:noProof/>
          <w:lang w:val="en-US"/>
        </w:rPr>
        <w:t>In respect of craft and industrial geographical indications, the Office shall request the International Bureau to cancel a registration in the International Register of a geographical indication originating in a Member State if circumstances of paragraph 1 are fulfilled.”</w:t>
      </w:r>
      <w:r w:rsidR="007029D5" w:rsidRPr="008431A9">
        <w:rPr>
          <w:noProof/>
          <w:lang w:val="en-US"/>
        </w:rPr>
        <w:t>;</w:t>
      </w:r>
    </w:p>
    <w:p w:rsidR="007029D5" w:rsidRPr="008431A9" w:rsidRDefault="00B34B72" w:rsidP="00B34B72">
      <w:pPr>
        <w:pStyle w:val="Point0"/>
        <w:rPr>
          <w:noProof/>
        </w:rPr>
      </w:pPr>
      <w:r w:rsidRPr="00B34B72">
        <w:t>(4)</w:t>
      </w:r>
      <w:r w:rsidRPr="00B34B72">
        <w:tab/>
      </w:r>
      <w:r w:rsidR="183835EF" w:rsidRPr="008431A9">
        <w:rPr>
          <w:noProof/>
        </w:rPr>
        <w:t>Article 4 is replaced by the following:</w:t>
      </w:r>
    </w:p>
    <w:p w:rsidR="00E775BE" w:rsidRPr="008431A9" w:rsidRDefault="007029D5" w:rsidP="005C2677">
      <w:pPr>
        <w:pStyle w:val="Ttitre"/>
        <w:rPr>
          <w:b/>
          <w:noProof/>
        </w:rPr>
      </w:pPr>
      <w:r w:rsidRPr="008431A9">
        <w:rPr>
          <w:noProof/>
        </w:rPr>
        <w:t>“Article 4</w:t>
      </w:r>
    </w:p>
    <w:p w:rsidR="007029D5" w:rsidRPr="008431A9" w:rsidRDefault="007029D5" w:rsidP="007029D5">
      <w:pPr>
        <w:pStyle w:val="Text1"/>
        <w:jc w:val="center"/>
        <w:rPr>
          <w:b/>
          <w:noProof/>
        </w:rPr>
      </w:pPr>
      <w:r w:rsidRPr="008431A9">
        <w:rPr>
          <w:b/>
          <w:noProof/>
        </w:rPr>
        <w:t>Publication of third country geographical indications registered in the International Register</w:t>
      </w:r>
    </w:p>
    <w:p w:rsidR="00E775BE" w:rsidRPr="008431A9" w:rsidRDefault="00E775BE" w:rsidP="005C2677">
      <w:pPr>
        <w:pStyle w:val="Text2"/>
        <w:rPr>
          <w:noProof/>
        </w:rPr>
      </w:pPr>
      <w:r w:rsidRPr="008431A9">
        <w:rPr>
          <w:noProof/>
        </w:rPr>
        <w:t>1. The Commission or, in respect of craft and industrial geographical indications, the Office shall publish any international registration notified by the International Bureau pursuant to Article 6(4) of the Geneva Act, which concerns geographical indications registered in the International Register in respect of which the Contracting Party of Origin, as defined in point (xv) of Article 1 of the Geneva Act, is not a Member State.</w:t>
      </w:r>
    </w:p>
    <w:p w:rsidR="00E775BE" w:rsidRPr="008431A9" w:rsidRDefault="00E775BE" w:rsidP="005C2677">
      <w:pPr>
        <w:pStyle w:val="Text2"/>
        <w:rPr>
          <w:noProof/>
        </w:rPr>
      </w:pPr>
      <w:r w:rsidRPr="008431A9">
        <w:rPr>
          <w:noProof/>
        </w:rPr>
        <w:t xml:space="preserve">2. The international registration referred to in paragraph 1 shall be published in the C series of the </w:t>
      </w:r>
      <w:r w:rsidRPr="008431A9">
        <w:rPr>
          <w:i/>
          <w:noProof/>
        </w:rPr>
        <w:t>Official Journal of the European Union</w:t>
      </w:r>
      <w:r w:rsidRPr="008431A9">
        <w:rPr>
          <w:noProof/>
        </w:rPr>
        <w:t xml:space="preserve"> or, in respect of international registrations relating to craft of industrial geographical indications, by the Office. The publication shall include a reference to the product type and country of origin.”</w:t>
      </w:r>
      <w:r w:rsidR="007029D5" w:rsidRPr="008431A9">
        <w:rPr>
          <w:noProof/>
        </w:rPr>
        <w:t>;</w:t>
      </w:r>
    </w:p>
    <w:p w:rsidR="00E775BE" w:rsidRPr="008431A9" w:rsidRDefault="00B34B72" w:rsidP="00B34B72">
      <w:pPr>
        <w:pStyle w:val="Point0"/>
        <w:rPr>
          <w:noProof/>
        </w:rPr>
      </w:pPr>
      <w:r w:rsidRPr="00B34B72">
        <w:t>(5)</w:t>
      </w:r>
      <w:r w:rsidRPr="00B34B72">
        <w:tab/>
      </w:r>
      <w:r w:rsidR="183835EF" w:rsidRPr="008431A9">
        <w:rPr>
          <w:noProof/>
        </w:rPr>
        <w:t>In Article 5, paragraph 1 is replaced by the following:</w:t>
      </w:r>
    </w:p>
    <w:p w:rsidR="00E775BE" w:rsidRPr="008431A9" w:rsidRDefault="00E775BE" w:rsidP="005C2677">
      <w:pPr>
        <w:pStyle w:val="Text2"/>
        <w:rPr>
          <w:noProof/>
        </w:rPr>
      </w:pPr>
      <w:r w:rsidRPr="008431A9">
        <w:rPr>
          <w:noProof/>
        </w:rPr>
        <w:t>“1. The Commission or, in respect of craft and industrial geographical indications, the Office shall assess any international registration notified by the International Bureau pursuant to Article 6(4) of the Geneva Act concerning the geographical indications registered in the International Register and in respect of which the Contracting Party of Origin, as defined in point (xv) of Article 1 of the Geneva Act, is not a Member State, in order to determine whether it includes the mandatory contents laid down in Rule 5(2) of the Common Regulations under the Lisbon Agreement and the Geneva Act (the ‘Common Regulations’), and the particulars concerning the quality, reputation or characteristics as laid down in Rule 5(3) of the Common Regulations.”</w:t>
      </w:r>
      <w:r w:rsidR="007029D5" w:rsidRPr="008431A9">
        <w:rPr>
          <w:noProof/>
        </w:rPr>
        <w:t>;</w:t>
      </w:r>
    </w:p>
    <w:p w:rsidR="00E775BE" w:rsidRPr="008431A9" w:rsidRDefault="00B34B72" w:rsidP="00B34B72">
      <w:pPr>
        <w:pStyle w:val="Point0"/>
        <w:rPr>
          <w:noProof/>
        </w:rPr>
      </w:pPr>
      <w:r w:rsidRPr="00B34B72">
        <w:t>(6)</w:t>
      </w:r>
      <w:r w:rsidRPr="00B34B72">
        <w:tab/>
      </w:r>
      <w:r w:rsidR="183835EF" w:rsidRPr="008431A9">
        <w:rPr>
          <w:noProof/>
        </w:rPr>
        <w:t>Article 6 is amended as follows:</w:t>
      </w:r>
    </w:p>
    <w:p w:rsidR="00415407" w:rsidRPr="008431A9" w:rsidRDefault="00B34B72" w:rsidP="00B34B72">
      <w:pPr>
        <w:pStyle w:val="Point1"/>
        <w:rPr>
          <w:noProof/>
        </w:rPr>
      </w:pPr>
      <w:r w:rsidRPr="00B34B72">
        <w:t>(a)</w:t>
      </w:r>
      <w:r w:rsidRPr="00B34B72">
        <w:tab/>
      </w:r>
      <w:r w:rsidR="079A0E87" w:rsidRPr="008431A9">
        <w:rPr>
          <w:noProof/>
        </w:rPr>
        <w:t>paragraph 1 is replaced by the following:</w:t>
      </w:r>
      <w:r w:rsidR="7C4FE881" w:rsidRPr="008431A9">
        <w:rPr>
          <w:noProof/>
        </w:rPr>
        <w:t xml:space="preserve"> </w:t>
      </w:r>
    </w:p>
    <w:p w:rsidR="00E775BE" w:rsidRPr="008431A9" w:rsidRDefault="00E775BE" w:rsidP="00673888">
      <w:pPr>
        <w:pStyle w:val="Text2"/>
        <w:rPr>
          <w:noProof/>
        </w:rPr>
      </w:pPr>
      <w:r w:rsidRPr="008431A9">
        <w:rPr>
          <w:noProof/>
        </w:rPr>
        <w:t xml:space="preserve">“1. Within four months from the date of publication of the international registration in accordance with Article 4, the competent authorities of a Member State or of a third country other than the Contracting Party of Origin as defined in point (xv) of Article 1 of the Geneva Act, or a natural or legal person having a legitimate interest and established in the Union or in a third country other than the Contracting Party of Origin, may lodge an opposition with the Commission or, in respect of craft and industrial geographical </w:t>
      </w:r>
      <w:r w:rsidRPr="008431A9">
        <w:rPr>
          <w:noProof/>
        </w:rPr>
        <w:lastRenderedPageBreak/>
        <w:t>indications, the Office.</w:t>
      </w:r>
      <w:r w:rsidR="00652DFE" w:rsidRPr="008431A9">
        <w:rPr>
          <w:noProof/>
        </w:rPr>
        <w:t xml:space="preserve"> </w:t>
      </w:r>
      <w:r w:rsidRPr="008431A9">
        <w:rPr>
          <w:noProof/>
        </w:rPr>
        <w:t>The opposition shall be in one of the official languages of the Union.”</w:t>
      </w:r>
      <w:r w:rsidR="007029D5" w:rsidRPr="008431A9">
        <w:rPr>
          <w:noProof/>
        </w:rPr>
        <w:t>;</w:t>
      </w:r>
    </w:p>
    <w:p w:rsidR="00E775BE" w:rsidRPr="008431A9" w:rsidRDefault="00B34B72" w:rsidP="00B34B72">
      <w:pPr>
        <w:pStyle w:val="Point1"/>
        <w:rPr>
          <w:noProof/>
        </w:rPr>
      </w:pPr>
      <w:r w:rsidRPr="00B34B72">
        <w:t>(b)</w:t>
      </w:r>
      <w:r w:rsidRPr="00B34B72">
        <w:tab/>
      </w:r>
      <w:r w:rsidR="079A0E87" w:rsidRPr="008431A9">
        <w:rPr>
          <w:noProof/>
        </w:rPr>
        <w:t>in paragraph 2, point (e) is deleted.</w:t>
      </w:r>
    </w:p>
    <w:p w:rsidR="00415407" w:rsidRPr="008431A9" w:rsidRDefault="00B34B72" w:rsidP="00B34B72">
      <w:pPr>
        <w:pStyle w:val="Point1"/>
        <w:rPr>
          <w:noProof/>
        </w:rPr>
      </w:pPr>
      <w:r w:rsidRPr="00B34B72">
        <w:t>(c)</w:t>
      </w:r>
      <w:r w:rsidRPr="00B34B72">
        <w:tab/>
      </w:r>
      <w:r w:rsidR="079A0E87" w:rsidRPr="008431A9">
        <w:rPr>
          <w:noProof/>
        </w:rPr>
        <w:t xml:space="preserve">paragraph 3 is replaced by the following: </w:t>
      </w:r>
    </w:p>
    <w:p w:rsidR="00E775BE" w:rsidRPr="008431A9" w:rsidRDefault="00E775BE" w:rsidP="00673888">
      <w:pPr>
        <w:pStyle w:val="Text2"/>
        <w:rPr>
          <w:noProof/>
        </w:rPr>
      </w:pPr>
      <w:r w:rsidRPr="008431A9">
        <w:rPr>
          <w:noProof/>
        </w:rPr>
        <w:t>“3. The grounds for opposition set out in paragraph 2 shall be assessed by the Commission or, in respect of craft and industrial geographical indications, the Office, in relation to the territory of the Union or part thereof.”</w:t>
      </w:r>
    </w:p>
    <w:p w:rsidR="00652DFE" w:rsidRPr="008431A9" w:rsidRDefault="00B34B72" w:rsidP="00B34B72">
      <w:pPr>
        <w:pStyle w:val="Point0"/>
        <w:rPr>
          <w:noProof/>
        </w:rPr>
      </w:pPr>
      <w:r w:rsidRPr="00B34B72">
        <w:t>(7)</w:t>
      </w:r>
      <w:r w:rsidRPr="00B34B72">
        <w:tab/>
      </w:r>
      <w:r w:rsidR="183835EF" w:rsidRPr="008431A9">
        <w:rPr>
          <w:noProof/>
        </w:rPr>
        <w:t>Article 7 is amended as follows:</w:t>
      </w:r>
    </w:p>
    <w:p w:rsidR="00415407" w:rsidRPr="008431A9" w:rsidRDefault="00B34B72" w:rsidP="00B34B72">
      <w:pPr>
        <w:pStyle w:val="Point1"/>
        <w:rPr>
          <w:noProof/>
        </w:rPr>
      </w:pPr>
      <w:r w:rsidRPr="00B34B72">
        <w:t>(a)</w:t>
      </w:r>
      <w:r w:rsidRPr="00B34B72">
        <w:tab/>
      </w:r>
      <w:r w:rsidR="079A0E87" w:rsidRPr="008431A9">
        <w:rPr>
          <w:noProof/>
        </w:rPr>
        <w:t>in paragraph 1</w:t>
      </w:r>
      <w:r w:rsidR="007029D5" w:rsidRPr="008431A9">
        <w:rPr>
          <w:noProof/>
        </w:rPr>
        <w:t>,</w:t>
      </w:r>
      <w:r w:rsidR="079A0E87" w:rsidRPr="008431A9">
        <w:rPr>
          <w:noProof/>
        </w:rPr>
        <w:t xml:space="preserve"> the following sentence is added: </w:t>
      </w:r>
    </w:p>
    <w:p w:rsidR="00E775BE" w:rsidRPr="008431A9" w:rsidRDefault="00E775BE" w:rsidP="00673888">
      <w:pPr>
        <w:pStyle w:val="Text2"/>
        <w:rPr>
          <w:noProof/>
        </w:rPr>
      </w:pPr>
      <w:r w:rsidRPr="008431A9">
        <w:rPr>
          <w:noProof/>
        </w:rPr>
        <w:t>“In respect of craft and industrial geographical indications, the Office shall reject any inadmissible opposition and decide to grant protection of the geographical indication.”</w:t>
      </w:r>
      <w:r w:rsidR="007029D5" w:rsidRPr="008431A9">
        <w:rPr>
          <w:noProof/>
        </w:rPr>
        <w:t>;</w:t>
      </w:r>
    </w:p>
    <w:p w:rsidR="00415407" w:rsidRPr="008431A9" w:rsidRDefault="00B34B72" w:rsidP="00B34B72">
      <w:pPr>
        <w:pStyle w:val="Point1"/>
        <w:rPr>
          <w:noProof/>
        </w:rPr>
      </w:pPr>
      <w:r w:rsidRPr="00B34B72">
        <w:t>(b)</w:t>
      </w:r>
      <w:r w:rsidRPr="00B34B72">
        <w:tab/>
      </w:r>
      <w:r w:rsidR="079A0E87" w:rsidRPr="008431A9">
        <w:rPr>
          <w:noProof/>
        </w:rPr>
        <w:t xml:space="preserve">in paragraph 2, the last sentence is replaced by the following: </w:t>
      </w:r>
    </w:p>
    <w:p w:rsidR="00652DFE" w:rsidRPr="008431A9" w:rsidRDefault="00E775BE" w:rsidP="00673888">
      <w:pPr>
        <w:pStyle w:val="Text2"/>
        <w:rPr>
          <w:noProof/>
        </w:rPr>
      </w:pPr>
      <w:r w:rsidRPr="008431A9">
        <w:rPr>
          <w:noProof/>
        </w:rPr>
        <w:t>“In respect of craft and industrial geographical indications, the decision whether to grant protection shall be adopted by the Office</w:t>
      </w:r>
      <w:r w:rsidR="003D038D" w:rsidRPr="008431A9">
        <w:rPr>
          <w:noProof/>
        </w:rPr>
        <w:t>, or, in cases referred to in</w:t>
      </w:r>
      <w:r w:rsidR="25BB47CA" w:rsidRPr="008431A9">
        <w:rPr>
          <w:rFonts w:eastAsia="Times New Roman"/>
          <w:noProof/>
          <w:color w:val="498205"/>
          <w:szCs w:val="24"/>
        </w:rPr>
        <w:t xml:space="preserve"> </w:t>
      </w:r>
      <w:r w:rsidR="25BB47CA" w:rsidRPr="008431A9">
        <w:rPr>
          <w:rFonts w:eastAsia="Times New Roman"/>
          <w:noProof/>
          <w:szCs w:val="24"/>
        </w:rPr>
        <w:t>Article 25 of Regulation (EU) 2022/…</w:t>
      </w:r>
      <w:r w:rsidR="003D038D" w:rsidRPr="008431A9">
        <w:rPr>
          <w:rFonts w:eastAsia="Times New Roman"/>
          <w:noProof/>
          <w:szCs w:val="24"/>
        </w:rPr>
        <w:t>, by the Commission.</w:t>
      </w:r>
      <w:r w:rsidR="25BB47CA" w:rsidRPr="008431A9">
        <w:rPr>
          <w:rFonts w:eastAsia="Times New Roman"/>
          <w:noProof/>
          <w:szCs w:val="24"/>
        </w:rPr>
        <w:t>. The related implementing acts shall be adopted in accordance with the examination procedu</w:t>
      </w:r>
      <w:r w:rsidR="007D3035" w:rsidRPr="008431A9">
        <w:rPr>
          <w:rFonts w:eastAsia="Times New Roman"/>
          <w:noProof/>
          <w:szCs w:val="24"/>
        </w:rPr>
        <w:t>re referred to in Article</w:t>
      </w:r>
      <w:r w:rsidR="007029D5" w:rsidRPr="008431A9">
        <w:rPr>
          <w:rFonts w:eastAsia="Times New Roman"/>
          <w:noProof/>
          <w:szCs w:val="24"/>
        </w:rPr>
        <w:t xml:space="preserve"> </w:t>
      </w:r>
      <w:r w:rsidR="00FE65D9" w:rsidRPr="008431A9">
        <w:rPr>
          <w:rFonts w:eastAsia="Times New Roman"/>
          <w:noProof/>
          <w:szCs w:val="24"/>
        </w:rPr>
        <w:t>1</w:t>
      </w:r>
      <w:r w:rsidR="007029D5" w:rsidRPr="008431A9">
        <w:rPr>
          <w:rFonts w:eastAsia="Times New Roman"/>
          <w:noProof/>
          <w:szCs w:val="24"/>
        </w:rPr>
        <w:t>5(2</w:t>
      </w:r>
      <w:r w:rsidR="007D3035" w:rsidRPr="008431A9">
        <w:rPr>
          <w:rFonts w:eastAsia="Times New Roman"/>
          <w:noProof/>
          <w:szCs w:val="24"/>
        </w:rPr>
        <w:t>)</w:t>
      </w:r>
      <w:r w:rsidR="007D3035" w:rsidRPr="008431A9">
        <w:rPr>
          <w:noProof/>
        </w:rPr>
        <w:t>.”</w:t>
      </w:r>
    </w:p>
    <w:p w:rsidR="00415407" w:rsidRPr="008431A9" w:rsidRDefault="00B34B72" w:rsidP="00B34B72">
      <w:pPr>
        <w:pStyle w:val="Point1"/>
        <w:rPr>
          <w:noProof/>
        </w:rPr>
      </w:pPr>
      <w:r w:rsidRPr="00B34B72">
        <w:t>(c)</w:t>
      </w:r>
      <w:r w:rsidRPr="00B34B72">
        <w:tab/>
      </w:r>
      <w:r w:rsidR="079A0E87" w:rsidRPr="008431A9">
        <w:rPr>
          <w:noProof/>
        </w:rPr>
        <w:t xml:space="preserve">paragraph 4 is replaced by the following: </w:t>
      </w:r>
    </w:p>
    <w:p w:rsidR="00652DFE" w:rsidRPr="008431A9" w:rsidRDefault="00E775BE" w:rsidP="00673888">
      <w:pPr>
        <w:pStyle w:val="Text2"/>
        <w:rPr>
          <w:noProof/>
        </w:rPr>
      </w:pPr>
      <w:r w:rsidRPr="008431A9">
        <w:rPr>
          <w:noProof/>
        </w:rPr>
        <w:t>“</w:t>
      </w:r>
      <w:r w:rsidR="007029D5" w:rsidRPr="008431A9">
        <w:rPr>
          <w:noProof/>
        </w:rPr>
        <w:t xml:space="preserve">4. </w:t>
      </w:r>
      <w:r w:rsidRPr="008431A9">
        <w:rPr>
          <w:noProof/>
        </w:rPr>
        <w:t>In accordance with Article 15(1) of the Geneva Act, the Commission or, in respect of craft and industrial geographical indications, the Office shall notify the International Bureau of the refusal of the effects of the international registration concerned in the territory of the Union, within one year from the receipt of the notification of international registration in accordance with Article 6(4) of the Geneva Act[, or, in the cases referred to in the first paragraph of Article 5 of Decision (EU) 2019/1754, within two years from the receipt of that notification].</w:t>
      </w:r>
      <w:r w:rsidR="00415407" w:rsidRPr="008431A9">
        <w:rPr>
          <w:noProof/>
        </w:rPr>
        <w:t>”</w:t>
      </w:r>
      <w:r w:rsidR="007029D5" w:rsidRPr="008431A9">
        <w:rPr>
          <w:noProof/>
        </w:rPr>
        <w:t>;</w:t>
      </w:r>
      <w:r w:rsidR="00652DFE" w:rsidRPr="008431A9">
        <w:rPr>
          <w:noProof/>
        </w:rPr>
        <w:t xml:space="preserve"> </w:t>
      </w:r>
    </w:p>
    <w:p w:rsidR="00652DFE" w:rsidRPr="008431A9" w:rsidRDefault="00B34B72" w:rsidP="00B34B72">
      <w:pPr>
        <w:pStyle w:val="Point1"/>
        <w:rPr>
          <w:noProof/>
        </w:rPr>
      </w:pPr>
      <w:r w:rsidRPr="00B34B72">
        <w:t>(d)</w:t>
      </w:r>
      <w:r w:rsidRPr="00B34B72">
        <w:tab/>
      </w:r>
      <w:r w:rsidR="079A0E87" w:rsidRPr="008431A9">
        <w:rPr>
          <w:noProof/>
        </w:rPr>
        <w:t>in paragraph 5, the last sentence is deleted;</w:t>
      </w:r>
      <w:r w:rsidR="7C4FE881" w:rsidRPr="008431A9">
        <w:rPr>
          <w:noProof/>
        </w:rPr>
        <w:t xml:space="preserve"> </w:t>
      </w:r>
    </w:p>
    <w:p w:rsidR="00E775BE" w:rsidRPr="008431A9" w:rsidRDefault="00B34B72" w:rsidP="00B34B72">
      <w:pPr>
        <w:pStyle w:val="Point1"/>
        <w:rPr>
          <w:rFonts w:eastAsia="Calibri"/>
          <w:noProof/>
        </w:rPr>
      </w:pPr>
      <w:r w:rsidRPr="00B34B72">
        <w:t>(e)</w:t>
      </w:r>
      <w:r w:rsidRPr="00B34B72">
        <w:tab/>
      </w:r>
      <w:r w:rsidR="079A0E87" w:rsidRPr="008431A9">
        <w:rPr>
          <w:noProof/>
        </w:rPr>
        <w:t xml:space="preserve">the following paragraphs </w:t>
      </w:r>
      <w:r w:rsidR="007029D5" w:rsidRPr="008431A9">
        <w:rPr>
          <w:noProof/>
        </w:rPr>
        <w:t xml:space="preserve">5a and 5b </w:t>
      </w:r>
      <w:r w:rsidR="079A0E87" w:rsidRPr="008431A9">
        <w:rPr>
          <w:noProof/>
        </w:rPr>
        <w:t>are added:</w:t>
      </w:r>
    </w:p>
    <w:p w:rsidR="00E775BE" w:rsidRPr="008431A9" w:rsidRDefault="00E775BE" w:rsidP="00673888">
      <w:pPr>
        <w:pStyle w:val="Text2"/>
        <w:rPr>
          <w:noProof/>
        </w:rPr>
      </w:pPr>
      <w:r w:rsidRPr="008431A9">
        <w:rPr>
          <w:rFonts w:eastAsia="Calibri"/>
          <w:noProof/>
        </w:rPr>
        <w:t>“</w:t>
      </w:r>
      <w:r w:rsidRPr="008431A9">
        <w:rPr>
          <w:noProof/>
        </w:rPr>
        <w:t>5a. In respect of craft and industrial geographical indications concerning the protection of which a previous refusal has been notified by the Office, the Office may, on its own initiative or following a duly substantiated request by a Member State, a third country or a natural or legal person having a legitimate interest, withdraw, in whole or in part, a refusal previously notifi</w:t>
      </w:r>
      <w:r w:rsidR="007029D5" w:rsidRPr="008431A9">
        <w:rPr>
          <w:noProof/>
        </w:rPr>
        <w:t>ed to the International Bureau.</w:t>
      </w:r>
      <w:r w:rsidRPr="008431A9">
        <w:rPr>
          <w:noProof/>
        </w:rPr>
        <w:t>;</w:t>
      </w:r>
    </w:p>
    <w:p w:rsidR="00E775BE" w:rsidRPr="008431A9" w:rsidRDefault="00E775BE" w:rsidP="00673888">
      <w:pPr>
        <w:pStyle w:val="Text2"/>
        <w:rPr>
          <w:noProof/>
        </w:rPr>
      </w:pPr>
      <w:r w:rsidRPr="008431A9">
        <w:rPr>
          <w:noProof/>
        </w:rPr>
        <w:t>5b. The Commission or, in respect of craft and industrial geographical indications, the Office shall notify the International Bureau of such withdrawal witho</w:t>
      </w:r>
      <w:r w:rsidR="0051703B" w:rsidRPr="008431A9">
        <w:rPr>
          <w:noProof/>
        </w:rPr>
        <w:t>ut delay.”</w:t>
      </w:r>
      <w:r w:rsidR="004A3247" w:rsidRPr="008431A9">
        <w:rPr>
          <w:noProof/>
        </w:rPr>
        <w:t>;</w:t>
      </w:r>
    </w:p>
    <w:p w:rsidR="00873762" w:rsidRPr="008431A9" w:rsidRDefault="00B34B72" w:rsidP="00B34B72">
      <w:pPr>
        <w:pStyle w:val="Point0"/>
        <w:rPr>
          <w:noProof/>
        </w:rPr>
      </w:pPr>
      <w:r w:rsidRPr="00B34B72">
        <w:t>(8)</w:t>
      </w:r>
      <w:r w:rsidRPr="00B34B72">
        <w:tab/>
      </w:r>
      <w:r w:rsidR="15AEF857" w:rsidRPr="008431A9">
        <w:rPr>
          <w:noProof/>
        </w:rPr>
        <w:t>In Article 8</w:t>
      </w:r>
      <w:r w:rsidR="004A3247" w:rsidRPr="008431A9">
        <w:rPr>
          <w:noProof/>
        </w:rPr>
        <w:t>(1)</w:t>
      </w:r>
      <w:r w:rsidR="15AEF857" w:rsidRPr="008431A9">
        <w:rPr>
          <w:noProof/>
        </w:rPr>
        <w:t xml:space="preserve"> the following sentence is added: </w:t>
      </w:r>
    </w:p>
    <w:p w:rsidR="00873762" w:rsidRPr="008431A9" w:rsidRDefault="00873762" w:rsidP="00673888">
      <w:pPr>
        <w:pStyle w:val="Text1"/>
        <w:rPr>
          <w:noProof/>
        </w:rPr>
      </w:pPr>
      <w:r w:rsidRPr="008431A9">
        <w:rPr>
          <w:noProof/>
        </w:rPr>
        <w:t>“In respect of craft and industrial geographical indications, the same shall apply to the decision of the Office.</w:t>
      </w:r>
      <w:r w:rsidR="004A3247" w:rsidRPr="008431A9">
        <w:rPr>
          <w:noProof/>
        </w:rPr>
        <w:t>;</w:t>
      </w:r>
      <w:r w:rsidRPr="008431A9">
        <w:rPr>
          <w:noProof/>
        </w:rPr>
        <w:t>”</w:t>
      </w:r>
    </w:p>
    <w:p w:rsidR="00873762" w:rsidRPr="008431A9" w:rsidRDefault="00B34B72" w:rsidP="00B34B72">
      <w:pPr>
        <w:pStyle w:val="Point0"/>
        <w:rPr>
          <w:noProof/>
        </w:rPr>
      </w:pPr>
      <w:r w:rsidRPr="00B34B72">
        <w:t>(9)</w:t>
      </w:r>
      <w:r w:rsidRPr="00B34B72">
        <w:tab/>
      </w:r>
      <w:r w:rsidR="15AEF857" w:rsidRPr="008431A9">
        <w:rPr>
          <w:noProof/>
        </w:rPr>
        <w:t xml:space="preserve">Article 9 is </w:t>
      </w:r>
      <w:r w:rsidR="004A3247" w:rsidRPr="008431A9">
        <w:rPr>
          <w:noProof/>
        </w:rPr>
        <w:t>replaced by the following</w:t>
      </w:r>
      <w:r w:rsidR="15AEF857" w:rsidRPr="008431A9">
        <w:rPr>
          <w:noProof/>
        </w:rPr>
        <w:t>:</w:t>
      </w:r>
    </w:p>
    <w:p w:rsidR="004A3247" w:rsidRPr="008431A9" w:rsidRDefault="004A3247" w:rsidP="005C2677">
      <w:pPr>
        <w:pStyle w:val="Ttitre"/>
        <w:rPr>
          <w:noProof/>
        </w:rPr>
      </w:pPr>
      <w:r w:rsidRPr="008431A9">
        <w:rPr>
          <w:noProof/>
        </w:rPr>
        <w:t>“Article 9</w:t>
      </w:r>
    </w:p>
    <w:p w:rsidR="004A3247" w:rsidRPr="008431A9" w:rsidRDefault="004A3247" w:rsidP="003B2DAB">
      <w:pPr>
        <w:pStyle w:val="NormalCentered"/>
        <w:rPr>
          <w:b/>
          <w:noProof/>
        </w:rPr>
      </w:pPr>
      <w:r w:rsidRPr="008431A9">
        <w:rPr>
          <w:b/>
          <w:noProof/>
        </w:rPr>
        <w:lastRenderedPageBreak/>
        <w:t>Invalidation of effects in the Union of a third country geographical indication registered in the International Register</w:t>
      </w:r>
    </w:p>
    <w:p w:rsidR="00873762" w:rsidRPr="008431A9" w:rsidRDefault="00A32B72" w:rsidP="008B3D53">
      <w:pPr>
        <w:pStyle w:val="Bullet1"/>
        <w:rPr>
          <w:noProof/>
        </w:rPr>
      </w:pPr>
      <w:r>
        <w:rPr>
          <w:noProof/>
        </w:rPr>
        <w:t xml:space="preserve">1. </w:t>
      </w:r>
      <w:r w:rsidR="00873762" w:rsidRPr="008431A9">
        <w:rPr>
          <w:noProof/>
        </w:rPr>
        <w:t>The Commission or, in respect of craft and industrial geographical indications, the Office may, on its own initiative or following a duly substantiated request by a Member State, a third country or a natural or legal person having a legitimate interest, invalidate, in whole or in part the effects of protection in the Union of a geographical indication, in one or more of the following circumstances:</w:t>
      </w:r>
    </w:p>
    <w:p w:rsidR="00873762" w:rsidRPr="008431A9" w:rsidRDefault="00A32B72" w:rsidP="00FC1367">
      <w:pPr>
        <w:pStyle w:val="Bullet2"/>
        <w:numPr>
          <w:ilvl w:val="0"/>
          <w:numId w:val="115"/>
        </w:numPr>
        <w:rPr>
          <w:noProof/>
        </w:rPr>
      </w:pPr>
      <w:r>
        <w:rPr>
          <w:noProof/>
        </w:rPr>
        <w:t xml:space="preserve">a. </w:t>
      </w:r>
      <w:r w:rsidR="15AEF857" w:rsidRPr="008431A9">
        <w:rPr>
          <w:noProof/>
        </w:rPr>
        <w:t>the geographical indication is no longer protected in the Contracting Party of Origin;</w:t>
      </w:r>
    </w:p>
    <w:p w:rsidR="00873762" w:rsidRPr="008431A9" w:rsidRDefault="00A32B72" w:rsidP="0038205B">
      <w:pPr>
        <w:pStyle w:val="Bullet2"/>
        <w:rPr>
          <w:noProof/>
        </w:rPr>
      </w:pPr>
      <w:r>
        <w:rPr>
          <w:noProof/>
        </w:rPr>
        <w:t xml:space="preserve">b. </w:t>
      </w:r>
      <w:r w:rsidR="15AEF857" w:rsidRPr="008431A9">
        <w:rPr>
          <w:noProof/>
        </w:rPr>
        <w:t>the geographical indication is no longer registered in the International Register;</w:t>
      </w:r>
    </w:p>
    <w:p w:rsidR="00873762" w:rsidRPr="008431A9" w:rsidRDefault="00A32B72" w:rsidP="0038205B">
      <w:pPr>
        <w:pStyle w:val="Bullet2"/>
        <w:rPr>
          <w:noProof/>
        </w:rPr>
      </w:pPr>
      <w:r>
        <w:rPr>
          <w:noProof/>
        </w:rPr>
        <w:t xml:space="preserve">c. </w:t>
      </w:r>
      <w:r w:rsidR="15AEF857" w:rsidRPr="008431A9">
        <w:rPr>
          <w:noProof/>
        </w:rPr>
        <w:t>compliance with the mandatory contents laid down in rule 5(2) of the Common Regulations or with the particulars concerning the quality, reputation or characteristics as laid down in Rule 5(3) of the Common Re</w:t>
      </w:r>
      <w:r w:rsidR="0038205B">
        <w:rPr>
          <w:noProof/>
        </w:rPr>
        <w:t>gulations is no longer ensured.</w:t>
      </w:r>
    </w:p>
    <w:p w:rsidR="00873762" w:rsidRPr="008431A9" w:rsidRDefault="00A32B72" w:rsidP="00A32B72">
      <w:pPr>
        <w:pStyle w:val="Bullet1"/>
        <w:rPr>
          <w:noProof/>
        </w:rPr>
      </w:pPr>
      <w:r>
        <w:rPr>
          <w:noProof/>
        </w:rPr>
        <w:t xml:space="preserve">2. </w:t>
      </w:r>
      <w:r w:rsidR="00873762" w:rsidRPr="008431A9">
        <w:rPr>
          <w:noProof/>
        </w:rPr>
        <w:t>The Commission shall adopt implementing acts for the purpose of paragraph 1. The implementing acts in question shall be adopted in accordance with the examination procedure referred to in Article 15(2) and only after the natural persons or legal entities as referred to in point (ii) of Article 5(2) of the Geneva Act or the beneficiaries as defined in point (xvii) of Article 1 of the Geneva Act have been given an oppo</w:t>
      </w:r>
      <w:r w:rsidR="004A3247" w:rsidRPr="008431A9">
        <w:rPr>
          <w:noProof/>
        </w:rPr>
        <w:t>rtunity to defend their rights.</w:t>
      </w:r>
      <w:r w:rsidR="00873762" w:rsidRPr="008431A9">
        <w:rPr>
          <w:noProof/>
        </w:rPr>
        <w:t>;</w:t>
      </w:r>
    </w:p>
    <w:p w:rsidR="00873762" w:rsidRPr="008431A9" w:rsidRDefault="00A32B72" w:rsidP="00A32B72">
      <w:pPr>
        <w:pStyle w:val="Bullet1"/>
        <w:rPr>
          <w:noProof/>
        </w:rPr>
      </w:pPr>
      <w:r>
        <w:rPr>
          <w:noProof/>
        </w:rPr>
        <w:t xml:space="preserve">3. </w:t>
      </w:r>
      <w:r w:rsidR="00873762" w:rsidRPr="008431A9">
        <w:rPr>
          <w:noProof/>
        </w:rPr>
        <w:t>Where the invalidation is no longer subject to appeal, the Commission, or in respect of craft and industrial indications, the Office shall notify the International Bureau without delay of the invalidation of the effects in the territory of the Union of the international registration of the geographical indication in accordance with point (a) or (c) of paragraph 1.”</w:t>
      </w:r>
      <w:r w:rsidR="004A3247" w:rsidRPr="008431A9">
        <w:rPr>
          <w:noProof/>
        </w:rPr>
        <w:t>;</w:t>
      </w:r>
    </w:p>
    <w:p w:rsidR="005B558F" w:rsidRPr="008431A9" w:rsidRDefault="00B34B72" w:rsidP="00B34B72">
      <w:pPr>
        <w:pStyle w:val="Point0"/>
        <w:rPr>
          <w:noProof/>
        </w:rPr>
      </w:pPr>
      <w:r w:rsidRPr="00B34B72">
        <w:t>(10)</w:t>
      </w:r>
      <w:r w:rsidRPr="00B34B72">
        <w:tab/>
      </w:r>
      <w:r w:rsidR="67CA8814" w:rsidRPr="008431A9">
        <w:rPr>
          <w:noProof/>
        </w:rPr>
        <w:t>In Article 11, paragraph 3 is replaced by the following:</w:t>
      </w:r>
    </w:p>
    <w:p w:rsidR="005B558F" w:rsidRPr="008431A9" w:rsidRDefault="005B558F" w:rsidP="00673888">
      <w:pPr>
        <w:pStyle w:val="Text1"/>
        <w:rPr>
          <w:noProof/>
          <w:lang w:eastAsia="en-GB"/>
        </w:rPr>
      </w:pPr>
      <w:r w:rsidRPr="008431A9">
        <w:rPr>
          <w:noProof/>
          <w:lang w:eastAsia="en-GB"/>
        </w:rPr>
        <w:t>“</w:t>
      </w:r>
      <w:r w:rsidR="004A3247" w:rsidRPr="008431A9">
        <w:rPr>
          <w:noProof/>
          <w:lang w:eastAsia="en-GB"/>
        </w:rPr>
        <w:t xml:space="preserve">3. </w:t>
      </w:r>
      <w:r w:rsidRPr="008431A9">
        <w:rPr>
          <w:noProof/>
          <w:lang w:eastAsia="en-GB"/>
        </w:rPr>
        <w:t>In respect of each appellation of origin originating in a Member State which is party to the Lisbon Agreement, for a product falling within the scope of Regulation (EU) 2022/…, but not yet protected under that Regulation, the Member State concerned shall, on the basis of a request by a natural person or legal entity referred to in point (ii) of Article 5(2) of the Geneva Act or a beneficiary as defined in point (xvii) of Article 1 of the Geneva Act, or on its own initiative, choose to request either:</w:t>
      </w:r>
    </w:p>
    <w:p w:rsidR="00CD41E6" w:rsidRPr="008431A9" w:rsidRDefault="694E2801" w:rsidP="00A412AB">
      <w:pPr>
        <w:pStyle w:val="Bullet1"/>
        <w:rPr>
          <w:noProof/>
        </w:rPr>
      </w:pPr>
      <w:r w:rsidRPr="008431A9">
        <w:rPr>
          <w:noProof/>
        </w:rPr>
        <w:t>the registration of that appellation of origin under Regulation (EU) 2022/…; or</w:t>
      </w:r>
    </w:p>
    <w:p w:rsidR="00CD41E6" w:rsidRPr="008431A9" w:rsidRDefault="694E2801" w:rsidP="00A412AB">
      <w:pPr>
        <w:pStyle w:val="Bullet1"/>
        <w:rPr>
          <w:noProof/>
        </w:rPr>
      </w:pPr>
      <w:r w:rsidRPr="008431A9">
        <w:rPr>
          <w:noProof/>
        </w:rPr>
        <w:t>the cancellation of the registration of that appellation of origin in the International Register.</w:t>
      </w:r>
    </w:p>
    <w:p w:rsidR="00CD41E6" w:rsidRPr="008431A9" w:rsidRDefault="00CD41E6" w:rsidP="00673888">
      <w:pPr>
        <w:pStyle w:val="Text2"/>
        <w:rPr>
          <w:noProof/>
          <w:lang w:eastAsia="en-GB"/>
        </w:rPr>
      </w:pPr>
      <w:r w:rsidRPr="008431A9">
        <w:rPr>
          <w:noProof/>
          <w:lang w:eastAsia="en-GB"/>
        </w:rPr>
        <w:t>The Member State concerned shall notify the Office of the choice referred to in the first subparagraph, and lodge the respective request within one year following the adoption of Regulation (EU) 2022/….</w:t>
      </w:r>
      <w:r w:rsidR="00006D2F" w:rsidRPr="008431A9">
        <w:rPr>
          <w:noProof/>
          <w:lang w:eastAsia="en-GB"/>
        </w:rPr>
        <w:t xml:space="preserve">The registration procedure foreseen in Article 67 (3) of Regulation (EU) 2022/… applies </w:t>
      </w:r>
      <w:r w:rsidR="00006D2F" w:rsidRPr="008431A9">
        <w:rPr>
          <w:i/>
          <w:noProof/>
          <w:lang w:eastAsia="en-GB"/>
        </w:rPr>
        <w:t>mutatis mutan</w:t>
      </w:r>
      <w:r w:rsidR="004049F1">
        <w:rPr>
          <w:i/>
          <w:noProof/>
          <w:lang w:eastAsia="en-GB"/>
        </w:rPr>
        <w:t>d</w:t>
      </w:r>
      <w:r w:rsidR="00006D2F" w:rsidRPr="008431A9">
        <w:rPr>
          <w:i/>
          <w:noProof/>
          <w:lang w:eastAsia="en-GB"/>
        </w:rPr>
        <w:t>i</w:t>
      </w:r>
      <w:r w:rsidR="00006D2F" w:rsidRPr="008431A9">
        <w:rPr>
          <w:noProof/>
          <w:lang w:eastAsia="en-GB"/>
        </w:rPr>
        <w:t xml:space="preserve">. </w:t>
      </w:r>
    </w:p>
    <w:p w:rsidR="00CD41E6" w:rsidRPr="008431A9" w:rsidRDefault="00CD41E6" w:rsidP="00673888">
      <w:pPr>
        <w:pStyle w:val="Text2"/>
        <w:rPr>
          <w:rFonts w:eastAsia="Calibri"/>
          <w:noProof/>
        </w:rPr>
      </w:pPr>
      <w:r w:rsidRPr="008431A9">
        <w:rPr>
          <w:noProof/>
          <w:lang w:eastAsia="en-GB"/>
        </w:rPr>
        <w:t xml:space="preserve">In the situations referred to in point (a) of the first subparagraph, the Member State concerned shall request the international registration of that appellation of origin under the Geneva Act, if that Member State has ratified or acceded to </w:t>
      </w:r>
      <w:r w:rsidRPr="008431A9">
        <w:rPr>
          <w:noProof/>
          <w:lang w:eastAsia="en-GB"/>
        </w:rPr>
        <w:lastRenderedPageBreak/>
        <w:t xml:space="preserve">the Geneva Act pursuant to the authorisation referred to in Article 3 of Decision (EU) 2019/1754, within </w:t>
      </w:r>
      <w:r w:rsidR="003D038D" w:rsidRPr="008431A9">
        <w:rPr>
          <w:noProof/>
          <w:lang w:eastAsia="en-GB"/>
        </w:rPr>
        <w:t>six months</w:t>
      </w:r>
      <w:r w:rsidRPr="008431A9">
        <w:rPr>
          <w:noProof/>
          <w:lang w:eastAsia="en-GB"/>
        </w:rPr>
        <w:t xml:space="preserve"> from the date of registration of the geographical indication under Regulation (EU) 2022/….</w:t>
      </w:r>
    </w:p>
    <w:p w:rsidR="00CD41E6" w:rsidRPr="008431A9" w:rsidRDefault="00CD41E6" w:rsidP="00673888">
      <w:pPr>
        <w:pStyle w:val="Text2"/>
        <w:rPr>
          <w:noProof/>
          <w:lang w:eastAsia="en-GB"/>
        </w:rPr>
      </w:pPr>
      <w:r w:rsidRPr="008431A9">
        <w:rPr>
          <w:noProof/>
          <w:lang w:eastAsia="en-GB"/>
        </w:rPr>
        <w:t xml:space="preserve">The Member State concerned shall, in coordination with the Office, verify with the International Bureau whether there are any modifications to be made under Rule 7(4) of the Common Regulations for the purpose of registration under the Geneva Act. The Office shall authorise the Member State concerned to provide for the necessary modifications and to notify the International Bureau. </w:t>
      </w:r>
    </w:p>
    <w:p w:rsidR="00CD41E6" w:rsidRPr="008431A9" w:rsidRDefault="00CD41E6" w:rsidP="00673888">
      <w:pPr>
        <w:pStyle w:val="Text2"/>
        <w:rPr>
          <w:rFonts w:eastAsia="Calibri"/>
          <w:noProof/>
        </w:rPr>
      </w:pPr>
      <w:r w:rsidRPr="008431A9">
        <w:rPr>
          <w:noProof/>
          <w:lang w:eastAsia="en-GB"/>
        </w:rPr>
        <w:t>If the request for registration under Regulation (EU) 2022/… is refused and related administrative and judicial remedies have been exhausted, or if the request for registration under the Geneva Act has not been made pursuant to the third subparagraph of this paragraph, the Member State concerned shall, without delay, request the cancellation of the registration of that appellation of origin in the International Register.</w:t>
      </w:r>
      <w:r w:rsidR="004049F1">
        <w:rPr>
          <w:noProof/>
          <w:lang w:eastAsia="en-GB"/>
        </w:rPr>
        <w:t>”</w:t>
      </w:r>
    </w:p>
    <w:p w:rsidR="005C2677" w:rsidRPr="008431A9" w:rsidRDefault="00B34B72" w:rsidP="00B34B72">
      <w:pPr>
        <w:pStyle w:val="Point0"/>
        <w:rPr>
          <w:noProof/>
          <w:lang w:eastAsia="en-GB"/>
        </w:rPr>
      </w:pPr>
      <w:r w:rsidRPr="00B34B72">
        <w:t>(11)</w:t>
      </w:r>
      <w:r w:rsidRPr="00B34B72">
        <w:tab/>
      </w:r>
      <w:r w:rsidR="004A3247" w:rsidRPr="008431A9">
        <w:rPr>
          <w:noProof/>
          <w:lang w:eastAsia="en-GB"/>
        </w:rPr>
        <w:t>i</w:t>
      </w:r>
      <w:r w:rsidR="00C533D5" w:rsidRPr="008431A9">
        <w:rPr>
          <w:noProof/>
          <w:lang w:eastAsia="en-GB"/>
        </w:rPr>
        <w:t>n Article 15</w:t>
      </w:r>
      <w:r w:rsidR="25BB47CA" w:rsidRPr="008431A9">
        <w:rPr>
          <w:noProof/>
          <w:lang w:eastAsia="en-GB"/>
        </w:rPr>
        <w:t>(1) the following point (e) is added:</w:t>
      </w:r>
    </w:p>
    <w:p w:rsidR="00CD41E6" w:rsidRPr="008431A9" w:rsidRDefault="25BB47CA" w:rsidP="00673888">
      <w:pPr>
        <w:pStyle w:val="Text1"/>
        <w:rPr>
          <w:noProof/>
        </w:rPr>
      </w:pPr>
      <w:r w:rsidRPr="008431A9">
        <w:rPr>
          <w:noProof/>
        </w:rPr>
        <w:t>“</w:t>
      </w:r>
      <w:r w:rsidR="004A3247" w:rsidRPr="008431A9">
        <w:rPr>
          <w:noProof/>
        </w:rPr>
        <w:t xml:space="preserve">(e) </w:t>
      </w:r>
      <w:r w:rsidRPr="008431A9">
        <w:rPr>
          <w:noProof/>
        </w:rPr>
        <w:t xml:space="preserve">for craft and industrial products falling within the scope of Article 2(1) of Regulation (EU) 2022/…, by the Craft and Industrial </w:t>
      </w:r>
      <w:r w:rsidR="00F267B1" w:rsidRPr="008431A9">
        <w:rPr>
          <w:noProof/>
        </w:rPr>
        <w:t>G</w:t>
      </w:r>
      <w:r w:rsidR="0042576E" w:rsidRPr="008431A9">
        <w:rPr>
          <w:noProof/>
        </w:rPr>
        <w:t xml:space="preserve">eographical </w:t>
      </w:r>
      <w:r w:rsidR="00F267B1" w:rsidRPr="008431A9">
        <w:rPr>
          <w:noProof/>
        </w:rPr>
        <w:t>I</w:t>
      </w:r>
      <w:r w:rsidR="0042576E" w:rsidRPr="008431A9">
        <w:rPr>
          <w:noProof/>
        </w:rPr>
        <w:t xml:space="preserve">ndication </w:t>
      </w:r>
      <w:r w:rsidRPr="008431A9">
        <w:rPr>
          <w:noProof/>
        </w:rPr>
        <w:t xml:space="preserve"> Committee established by Article 65 of that Regulation.”</w:t>
      </w:r>
    </w:p>
    <w:p w:rsidR="00E775BE" w:rsidRPr="008431A9" w:rsidRDefault="00E775BE" w:rsidP="0002261F">
      <w:pPr>
        <w:pStyle w:val="Titrearticle"/>
        <w:rPr>
          <w:noProof/>
        </w:rPr>
      </w:pPr>
      <w:r w:rsidRPr="008431A9">
        <w:rPr>
          <w:noProof/>
        </w:rPr>
        <w:t>Article</w:t>
      </w:r>
      <w:r w:rsidRPr="008431A9">
        <w:rPr>
          <w:rFonts w:eastAsia="Times New Roman"/>
          <w:noProof/>
        </w:rPr>
        <w:t xml:space="preserve"> 61</w:t>
      </w:r>
    </w:p>
    <w:p w:rsidR="00E775BE" w:rsidRPr="008431A9" w:rsidRDefault="00E775BE" w:rsidP="0081316A">
      <w:pPr>
        <w:pStyle w:val="NormalCentered"/>
        <w:rPr>
          <w:b/>
          <w:noProof/>
          <w:lang w:val="en-US"/>
        </w:rPr>
      </w:pPr>
      <w:r w:rsidRPr="008431A9">
        <w:rPr>
          <w:b/>
          <w:noProof/>
          <w:lang w:val="en-US"/>
        </w:rPr>
        <w:t>Amendments to Regulation (EU) 2017/1001</w:t>
      </w:r>
    </w:p>
    <w:p w:rsidR="00E775BE" w:rsidRPr="008431A9" w:rsidRDefault="00E775BE" w:rsidP="00E775BE">
      <w:pPr>
        <w:spacing w:line="257" w:lineRule="auto"/>
        <w:rPr>
          <w:rFonts w:eastAsia="Times New Roman"/>
          <w:noProof/>
          <w:szCs w:val="24"/>
          <w:lang w:val="en-US"/>
        </w:rPr>
      </w:pPr>
      <w:r w:rsidRPr="008431A9">
        <w:rPr>
          <w:rFonts w:eastAsia="Times New Roman"/>
          <w:noProof/>
          <w:szCs w:val="24"/>
          <w:lang w:val="en-US"/>
        </w:rPr>
        <w:t>Regulation (EU) 2017/1001 is amended as follows:</w:t>
      </w:r>
    </w:p>
    <w:p w:rsidR="00E775BE" w:rsidRPr="008431A9" w:rsidRDefault="00B34B72" w:rsidP="00B34B72">
      <w:pPr>
        <w:pStyle w:val="Point1"/>
        <w:rPr>
          <w:rFonts w:eastAsiaTheme="minorEastAsia"/>
          <w:noProof/>
          <w:szCs w:val="24"/>
          <w:lang w:val="en-US"/>
        </w:rPr>
      </w:pPr>
      <w:r w:rsidRPr="00B34B72">
        <w:t>(1)</w:t>
      </w:r>
      <w:r w:rsidRPr="00B34B72">
        <w:tab/>
      </w:r>
      <w:r w:rsidR="00C533D5" w:rsidRPr="008431A9">
        <w:rPr>
          <w:noProof/>
          <w:lang w:val="en-US"/>
        </w:rPr>
        <w:t>in Article 151</w:t>
      </w:r>
      <w:r w:rsidR="5132A94D" w:rsidRPr="008431A9">
        <w:rPr>
          <w:noProof/>
          <w:lang w:val="en-US"/>
        </w:rPr>
        <w:t>(1), the following point (ba) is inserted after point (b):</w:t>
      </w:r>
    </w:p>
    <w:p w:rsidR="006C3367" w:rsidRPr="008431A9" w:rsidRDefault="00E775BE" w:rsidP="005C2677">
      <w:pPr>
        <w:pStyle w:val="Text2"/>
        <w:rPr>
          <w:rFonts w:eastAsia="Calibri"/>
          <w:noProof/>
          <w:lang w:val="en-US"/>
        </w:rPr>
      </w:pPr>
      <w:r w:rsidRPr="008431A9">
        <w:rPr>
          <w:noProof/>
          <w:lang w:val="en-US"/>
        </w:rPr>
        <w:t>“(ba) administration and promotion of geographical indications, in particular the tasks conferred on it under the Regulation (EU) No 2022/[this regulation] of the European Parliament and of the Council and promotion of the geographical indications system.”</w:t>
      </w:r>
    </w:p>
    <w:p w:rsidR="00E775BE" w:rsidRPr="008431A9" w:rsidRDefault="00B34B72" w:rsidP="00B34B72">
      <w:pPr>
        <w:pStyle w:val="Point1"/>
        <w:rPr>
          <w:noProof/>
          <w:lang w:val="en-US"/>
        </w:rPr>
      </w:pPr>
      <w:r w:rsidRPr="00B34B72">
        <w:t>(2)</w:t>
      </w:r>
      <w:r w:rsidRPr="00B34B72">
        <w:tab/>
      </w:r>
      <w:r w:rsidR="5132A94D" w:rsidRPr="008431A9">
        <w:rPr>
          <w:noProof/>
          <w:lang w:val="en-US"/>
        </w:rPr>
        <w:t>the following Article 170a is inserted:</w:t>
      </w:r>
    </w:p>
    <w:p w:rsidR="00E775BE" w:rsidRPr="008431A9" w:rsidRDefault="00E775BE" w:rsidP="00E775BE">
      <w:pPr>
        <w:jc w:val="center"/>
        <w:rPr>
          <w:rFonts w:eastAsia="Times New Roman"/>
          <w:noProof/>
          <w:szCs w:val="24"/>
          <w:lang w:val="en-US"/>
        </w:rPr>
      </w:pPr>
      <w:r w:rsidRPr="008431A9">
        <w:rPr>
          <w:rFonts w:eastAsia="Times New Roman"/>
          <w:noProof/>
          <w:szCs w:val="24"/>
          <w:lang w:val="en-US"/>
        </w:rPr>
        <w:t xml:space="preserve">“Article 170a </w:t>
      </w:r>
    </w:p>
    <w:p w:rsidR="00E775BE" w:rsidRPr="008431A9" w:rsidRDefault="00E775BE" w:rsidP="00E775BE">
      <w:pPr>
        <w:jc w:val="center"/>
        <w:rPr>
          <w:rFonts w:eastAsia="Times New Roman"/>
          <w:b/>
          <w:noProof/>
          <w:szCs w:val="24"/>
          <w:lang w:val="en-US"/>
        </w:rPr>
      </w:pPr>
      <w:r w:rsidRPr="008431A9">
        <w:rPr>
          <w:rFonts w:eastAsia="Times New Roman"/>
          <w:b/>
          <w:noProof/>
          <w:szCs w:val="24"/>
          <w:lang w:val="en-US"/>
        </w:rPr>
        <w:t xml:space="preserve">Establishment of a domain name information and alert system </w:t>
      </w:r>
    </w:p>
    <w:p w:rsidR="00E775BE" w:rsidRPr="008431A9" w:rsidRDefault="00B34B72" w:rsidP="00B34B72">
      <w:pPr>
        <w:pStyle w:val="ManualNumPar1"/>
        <w:rPr>
          <w:rStyle w:val="num"/>
          <w:noProof/>
        </w:rPr>
      </w:pPr>
      <w:r w:rsidRPr="00B34B72">
        <w:rPr>
          <w:rStyle w:val="num"/>
        </w:rPr>
        <w:t>1.</w:t>
      </w:r>
      <w:r w:rsidRPr="00B34B72">
        <w:rPr>
          <w:rStyle w:val="num"/>
        </w:rPr>
        <w:tab/>
      </w:r>
      <w:r w:rsidR="5132A94D" w:rsidRPr="008431A9">
        <w:rPr>
          <w:rStyle w:val="num"/>
          <w:noProof/>
        </w:rPr>
        <w:t xml:space="preserve">For domain names registered under a country-code top-level domain name, administered or managed by a registry established in the Union, the Office shall provide a domain name information and alert system. </w:t>
      </w:r>
      <w:r w:rsidR="359966F3" w:rsidRPr="008431A9">
        <w:rPr>
          <w:rStyle w:val="num"/>
          <w:noProof/>
        </w:rPr>
        <w:t xml:space="preserve">Upon submission of an application for an EU trade mark, </w:t>
      </w:r>
      <w:r w:rsidR="5132A94D" w:rsidRPr="008431A9">
        <w:rPr>
          <w:rStyle w:val="num"/>
          <w:noProof/>
        </w:rPr>
        <w:t xml:space="preserve">that information and alert system shall inform applicants for an EU trade mark about the availability of their mark as a domain name, and applicants for and proprietors of an EU trade mark on an optional basis once a domain name </w:t>
      </w:r>
      <w:r w:rsidR="00B60265" w:rsidRPr="008431A9">
        <w:rPr>
          <w:rStyle w:val="num"/>
          <w:noProof/>
        </w:rPr>
        <w:t xml:space="preserve">containing an identical or similar name </w:t>
      </w:r>
      <w:r w:rsidR="00244CFF" w:rsidRPr="008431A9">
        <w:rPr>
          <w:rStyle w:val="num"/>
          <w:noProof/>
        </w:rPr>
        <w:t xml:space="preserve">with </w:t>
      </w:r>
      <w:r w:rsidR="5132A94D" w:rsidRPr="008431A9">
        <w:rPr>
          <w:rStyle w:val="num"/>
          <w:noProof/>
        </w:rPr>
        <w:t xml:space="preserve">their mark is registered (domain name alerts). </w:t>
      </w:r>
    </w:p>
    <w:p w:rsidR="00211E75" w:rsidRPr="008431A9" w:rsidRDefault="00B34B72" w:rsidP="00B34B72">
      <w:pPr>
        <w:pStyle w:val="ManualNumPar1"/>
        <w:rPr>
          <w:noProof/>
          <w:lang w:val="en-US"/>
        </w:rPr>
      </w:pPr>
      <w:r w:rsidRPr="00B34B72">
        <w:t>2.</w:t>
      </w:r>
      <w:r w:rsidRPr="00B34B72">
        <w:tab/>
      </w:r>
      <w:r w:rsidR="5132A94D" w:rsidRPr="008431A9">
        <w:rPr>
          <w:rStyle w:val="num"/>
          <w:noProof/>
        </w:rPr>
        <w:t>For the purpose of paragraph 1, country-code top-level domain name registries, established in the Union, shall provide th</w:t>
      </w:r>
      <w:r w:rsidR="5132A94D" w:rsidRPr="008431A9">
        <w:rPr>
          <w:noProof/>
          <w:lang w:val="en-US"/>
        </w:rPr>
        <w:t>e Office with all information and data in their possession necessary to run the domain name information and alert system.”</w:t>
      </w:r>
    </w:p>
    <w:p w:rsidR="001B405C" w:rsidRPr="008431A9" w:rsidRDefault="007619A3" w:rsidP="003B2DAB">
      <w:pPr>
        <w:pStyle w:val="PartTitle"/>
        <w:rPr>
          <w:noProof/>
        </w:rPr>
      </w:pPr>
      <w:r w:rsidRPr="008431A9">
        <w:rPr>
          <w:noProof/>
        </w:rPr>
        <w:lastRenderedPageBreak/>
        <w:t>T</w:t>
      </w:r>
      <w:r w:rsidR="00714EEE" w:rsidRPr="008431A9">
        <w:rPr>
          <w:noProof/>
        </w:rPr>
        <w:t>ITLE</w:t>
      </w:r>
      <w:r w:rsidR="001664E1" w:rsidRPr="008431A9">
        <w:rPr>
          <w:noProof/>
        </w:rPr>
        <w:t xml:space="preserve"> VI</w:t>
      </w:r>
      <w:r w:rsidRPr="008431A9">
        <w:rPr>
          <w:noProof/>
        </w:rPr>
        <w:br/>
        <w:t>T</w:t>
      </w:r>
      <w:r w:rsidR="00436EFA" w:rsidRPr="008431A9">
        <w:rPr>
          <w:noProof/>
        </w:rPr>
        <w:t>ECHNICAL ASSISTANCE</w:t>
      </w:r>
      <w:r w:rsidRPr="008431A9">
        <w:rPr>
          <w:noProof/>
        </w:rPr>
        <w:t xml:space="preserve"> </w:t>
      </w:r>
    </w:p>
    <w:p w:rsidR="007619A3" w:rsidRPr="008431A9" w:rsidRDefault="007619A3" w:rsidP="000B67EB">
      <w:pPr>
        <w:pStyle w:val="Titrearticle"/>
        <w:rPr>
          <w:noProof/>
        </w:rPr>
      </w:pPr>
      <w:r w:rsidRPr="008431A9">
        <w:rPr>
          <w:noProof/>
        </w:rPr>
        <w:t>Article 62</w:t>
      </w:r>
    </w:p>
    <w:p w:rsidR="007619A3" w:rsidRPr="008431A9" w:rsidRDefault="007619A3" w:rsidP="00D62A5E">
      <w:pPr>
        <w:pStyle w:val="NormalCentered"/>
        <w:rPr>
          <w:noProof/>
        </w:rPr>
      </w:pPr>
      <w:r w:rsidRPr="008431A9">
        <w:rPr>
          <w:b/>
          <w:bCs/>
          <w:noProof/>
        </w:rPr>
        <w:t xml:space="preserve">Technical assistance of </w:t>
      </w:r>
      <w:r w:rsidR="00267031" w:rsidRPr="008431A9">
        <w:rPr>
          <w:b/>
          <w:bCs/>
          <w:noProof/>
        </w:rPr>
        <w:t>the Office</w:t>
      </w:r>
    </w:p>
    <w:p w:rsidR="001B405C" w:rsidRPr="008431A9" w:rsidRDefault="007619A3" w:rsidP="0051703B">
      <w:pPr>
        <w:rPr>
          <w:noProof/>
        </w:rPr>
      </w:pPr>
      <w:r w:rsidRPr="008431A9">
        <w:rPr>
          <w:noProof/>
        </w:rPr>
        <w:t>The Commission shall be empowered to adopt delegated acts supplementing this Regulation by rules on entrus</w:t>
      </w:r>
      <w:r w:rsidR="0306FB18" w:rsidRPr="008431A9">
        <w:rPr>
          <w:noProof/>
        </w:rPr>
        <w:t xml:space="preserve">ting </w:t>
      </w:r>
      <w:r w:rsidR="00267031" w:rsidRPr="008431A9">
        <w:rPr>
          <w:noProof/>
        </w:rPr>
        <w:t>the Office</w:t>
      </w:r>
      <w:r w:rsidR="0306FB18" w:rsidRPr="008431A9">
        <w:rPr>
          <w:noProof/>
        </w:rPr>
        <w:t xml:space="preserve"> with the examination</w:t>
      </w:r>
      <w:r w:rsidRPr="008431A9">
        <w:rPr>
          <w:noProof/>
        </w:rPr>
        <w:t xml:space="preserve"> </w:t>
      </w:r>
      <w:r w:rsidR="00756EB5" w:rsidRPr="008431A9">
        <w:rPr>
          <w:noProof/>
        </w:rPr>
        <w:t>and other administrative tasks concerning</w:t>
      </w:r>
      <w:r w:rsidR="1E89ADBB" w:rsidRPr="008431A9">
        <w:rPr>
          <w:noProof/>
        </w:rPr>
        <w:t xml:space="preserve"> </w:t>
      </w:r>
      <w:r w:rsidRPr="008431A9">
        <w:rPr>
          <w:noProof/>
        </w:rPr>
        <w:t>third country geographical indications</w:t>
      </w:r>
      <w:r w:rsidR="00D80054" w:rsidRPr="008431A9">
        <w:rPr>
          <w:noProof/>
        </w:rPr>
        <w:t xml:space="preserve"> for craft and industrial products</w:t>
      </w:r>
      <w:r w:rsidRPr="008431A9">
        <w:rPr>
          <w:noProof/>
        </w:rPr>
        <w:t>, other than geographical indications under the Geneva Act of the Lisbon Agreement on Appellations of Origin and Geographical Indications, proposed for protection pursuant to international negotiations or international agreements.</w:t>
      </w:r>
    </w:p>
    <w:p w:rsidR="00E775BE" w:rsidRPr="008431A9" w:rsidRDefault="00E775BE" w:rsidP="003B2DAB">
      <w:pPr>
        <w:pStyle w:val="PartTitle"/>
        <w:rPr>
          <w:bCs/>
          <w:noProof/>
        </w:rPr>
      </w:pPr>
      <w:r w:rsidRPr="008431A9">
        <w:rPr>
          <w:noProof/>
        </w:rPr>
        <w:lastRenderedPageBreak/>
        <w:t xml:space="preserve">TITLE </w:t>
      </w:r>
      <w:r w:rsidR="001664E1" w:rsidRPr="008431A9">
        <w:rPr>
          <w:noProof/>
        </w:rPr>
        <w:t>VII</w:t>
      </w:r>
      <w:r w:rsidR="003B2DAB" w:rsidRPr="008431A9">
        <w:rPr>
          <w:noProof/>
        </w:rPr>
        <w:br/>
      </w:r>
      <w:r w:rsidR="005F4FC2" w:rsidRPr="008431A9">
        <w:rPr>
          <w:bCs/>
          <w:noProof/>
        </w:rPr>
        <w:t>SUPPLEMENTARY PROVISIONS</w:t>
      </w:r>
    </w:p>
    <w:p w:rsidR="00E775BE" w:rsidRPr="008431A9" w:rsidRDefault="00E775BE" w:rsidP="0002261F">
      <w:pPr>
        <w:pStyle w:val="Titrearticle"/>
        <w:rPr>
          <w:noProof/>
        </w:rPr>
      </w:pPr>
      <w:r w:rsidRPr="008431A9">
        <w:rPr>
          <w:noProof/>
        </w:rPr>
        <w:t>Article 6</w:t>
      </w:r>
      <w:r w:rsidR="007619A3" w:rsidRPr="008431A9">
        <w:rPr>
          <w:noProof/>
        </w:rPr>
        <w:t>3</w:t>
      </w:r>
    </w:p>
    <w:p w:rsidR="00E775BE" w:rsidRPr="008431A9" w:rsidRDefault="00E775BE" w:rsidP="0081316A">
      <w:pPr>
        <w:pStyle w:val="NormalCentered"/>
        <w:rPr>
          <w:b/>
          <w:noProof/>
          <w:lang w:val="en-US"/>
        </w:rPr>
      </w:pPr>
      <w:r w:rsidRPr="008431A9">
        <w:rPr>
          <w:b/>
          <w:noProof/>
          <w:lang w:val="en-US"/>
        </w:rPr>
        <w:t>Procedural languages</w:t>
      </w:r>
    </w:p>
    <w:p w:rsidR="001664E1" w:rsidRPr="008431A9" w:rsidRDefault="00B34B72" w:rsidP="00B34B72">
      <w:pPr>
        <w:pStyle w:val="ManualNumPar1"/>
        <w:rPr>
          <w:noProof/>
        </w:rPr>
      </w:pPr>
      <w:r w:rsidRPr="00B34B72">
        <w:t>1.</w:t>
      </w:r>
      <w:r w:rsidRPr="00B34B72">
        <w:tab/>
      </w:r>
      <w:r w:rsidR="00E775BE" w:rsidRPr="008431A9">
        <w:rPr>
          <w:noProof/>
        </w:rPr>
        <w:t xml:space="preserve">All documents and information sent to the Office in respect of </w:t>
      </w:r>
      <w:r w:rsidR="008E73A1" w:rsidRPr="008431A9">
        <w:rPr>
          <w:noProof/>
        </w:rPr>
        <w:t>the procedures under this Regulation</w:t>
      </w:r>
      <w:r w:rsidR="00E775BE" w:rsidRPr="008431A9">
        <w:rPr>
          <w:noProof/>
        </w:rPr>
        <w:t>, shall be in one of the official languages of the Union</w:t>
      </w:r>
      <w:r w:rsidR="000C01A5" w:rsidRPr="008431A9">
        <w:rPr>
          <w:noProof/>
        </w:rPr>
        <w:t>.</w:t>
      </w:r>
      <w:r w:rsidR="001664E1" w:rsidRPr="008431A9">
        <w:rPr>
          <w:noProof/>
        </w:rPr>
        <w:t xml:space="preserve"> </w:t>
      </w:r>
    </w:p>
    <w:p w:rsidR="001664E1" w:rsidRPr="008431A9" w:rsidRDefault="00B34B72" w:rsidP="00B34B72">
      <w:pPr>
        <w:pStyle w:val="ManualNumPar1"/>
        <w:rPr>
          <w:noProof/>
        </w:rPr>
      </w:pPr>
      <w:r w:rsidRPr="00B34B72">
        <w:t>2.</w:t>
      </w:r>
      <w:r w:rsidRPr="00B34B72">
        <w:tab/>
      </w:r>
      <w:r w:rsidR="001664E1" w:rsidRPr="008431A9">
        <w:rPr>
          <w:noProof/>
        </w:rPr>
        <w:t>For the tasks conferred on the Office under this Regulation, the languages of the Office shall be all the official languages of the Union</w:t>
      </w:r>
      <w:r w:rsidR="003F088C" w:rsidRPr="008431A9">
        <w:rPr>
          <w:noProof/>
        </w:rPr>
        <w:t xml:space="preserve"> in accordance with Regulation 1</w:t>
      </w:r>
      <w:r w:rsidR="003F088C" w:rsidRPr="008431A9">
        <w:rPr>
          <w:rStyle w:val="FootnoteReference"/>
          <w:noProof/>
        </w:rPr>
        <w:footnoteReference w:id="37"/>
      </w:r>
      <w:r w:rsidR="001664E1" w:rsidRPr="008431A9">
        <w:rPr>
          <w:noProof/>
        </w:rPr>
        <w:t>.</w:t>
      </w:r>
    </w:p>
    <w:p w:rsidR="00E775BE" w:rsidRPr="008431A9" w:rsidRDefault="00E775BE" w:rsidP="00E775BE">
      <w:pPr>
        <w:rPr>
          <w:noProof/>
        </w:rPr>
      </w:pPr>
    </w:p>
    <w:p w:rsidR="004C5EC9" w:rsidRPr="008431A9" w:rsidRDefault="004C5EC9" w:rsidP="00D62A5E">
      <w:pPr>
        <w:jc w:val="center"/>
        <w:rPr>
          <w:i/>
          <w:noProof/>
        </w:rPr>
      </w:pPr>
      <w:r w:rsidRPr="008431A9">
        <w:rPr>
          <w:i/>
          <w:noProof/>
        </w:rPr>
        <w:t>Article 6</w:t>
      </w:r>
      <w:r w:rsidR="007619A3" w:rsidRPr="008431A9">
        <w:rPr>
          <w:i/>
          <w:noProof/>
        </w:rPr>
        <w:t>4</w:t>
      </w:r>
    </w:p>
    <w:p w:rsidR="004C5EC9" w:rsidRPr="008431A9" w:rsidRDefault="004C5EC9" w:rsidP="00D62A5E">
      <w:pPr>
        <w:jc w:val="center"/>
        <w:rPr>
          <w:b/>
          <w:noProof/>
        </w:rPr>
      </w:pPr>
      <w:r w:rsidRPr="008431A9">
        <w:rPr>
          <w:b/>
          <w:noProof/>
        </w:rPr>
        <w:t>IT system</w:t>
      </w:r>
    </w:p>
    <w:p w:rsidR="004C5EC9" w:rsidRPr="008431A9" w:rsidRDefault="004C5EC9" w:rsidP="00E775BE">
      <w:pPr>
        <w:rPr>
          <w:noProof/>
          <w:sz w:val="22"/>
        </w:rPr>
      </w:pPr>
      <w:r w:rsidRPr="008431A9">
        <w:rPr>
          <w:noProof/>
        </w:rPr>
        <w:t>The digital system referred to in Article 18(1) and the Union register of geographical indications for craft and industrial products referred to in Article 26 shall be developed</w:t>
      </w:r>
      <w:r w:rsidR="007E7968" w:rsidRPr="008431A9">
        <w:rPr>
          <w:noProof/>
        </w:rPr>
        <w:t xml:space="preserve">, kept </w:t>
      </w:r>
      <w:r w:rsidRPr="008431A9">
        <w:rPr>
          <w:noProof/>
        </w:rPr>
        <w:t xml:space="preserve">and maintained by the Office. </w:t>
      </w:r>
    </w:p>
    <w:p w:rsidR="00E775BE" w:rsidRPr="008431A9" w:rsidRDefault="00E775BE" w:rsidP="0002261F">
      <w:pPr>
        <w:pStyle w:val="Titrearticle"/>
        <w:rPr>
          <w:noProof/>
        </w:rPr>
      </w:pPr>
      <w:r w:rsidRPr="008431A9">
        <w:rPr>
          <w:noProof/>
        </w:rPr>
        <w:t>Article 6</w:t>
      </w:r>
      <w:r w:rsidR="007619A3" w:rsidRPr="008431A9">
        <w:rPr>
          <w:noProof/>
        </w:rPr>
        <w:t>5</w:t>
      </w:r>
    </w:p>
    <w:p w:rsidR="00E775BE" w:rsidRPr="008431A9" w:rsidRDefault="00E775BE" w:rsidP="0081316A">
      <w:pPr>
        <w:pStyle w:val="NormalCentered"/>
        <w:rPr>
          <w:b/>
          <w:noProof/>
          <w:lang w:val="en-US"/>
        </w:rPr>
      </w:pPr>
      <w:r w:rsidRPr="008431A9">
        <w:rPr>
          <w:b/>
          <w:noProof/>
          <w:lang w:val="en-US"/>
        </w:rPr>
        <w:t>Committee procedure</w:t>
      </w:r>
    </w:p>
    <w:p w:rsidR="00E775BE" w:rsidRPr="008431A9" w:rsidRDefault="00B34B72" w:rsidP="00B34B72">
      <w:pPr>
        <w:pStyle w:val="ManualNumPar1"/>
        <w:rPr>
          <w:rFonts w:eastAsiaTheme="minorEastAsia"/>
          <w:noProof/>
          <w:szCs w:val="24"/>
        </w:rPr>
      </w:pPr>
      <w:r w:rsidRPr="00B34B72">
        <w:t>1.</w:t>
      </w:r>
      <w:r w:rsidRPr="00B34B72">
        <w:tab/>
      </w:r>
      <w:r w:rsidR="5132A94D" w:rsidRPr="008431A9">
        <w:rPr>
          <w:noProof/>
        </w:rPr>
        <w:t xml:space="preserve">The Commission shall be assisted by the Craft and Industrial </w:t>
      </w:r>
      <w:r w:rsidR="00000DA3" w:rsidRPr="008431A9">
        <w:rPr>
          <w:noProof/>
        </w:rPr>
        <w:t xml:space="preserve">Geographical Indications </w:t>
      </w:r>
      <w:r w:rsidR="5132A94D" w:rsidRPr="008431A9">
        <w:rPr>
          <w:noProof/>
        </w:rPr>
        <w:t>Committee. That committee shall be a committee within the meaning of Regulation (EU) No 182/2011.</w:t>
      </w:r>
    </w:p>
    <w:p w:rsidR="00E775BE" w:rsidRPr="008431A9" w:rsidRDefault="00B34B72" w:rsidP="00B34B72">
      <w:pPr>
        <w:pStyle w:val="ManualNumPar1"/>
        <w:rPr>
          <w:noProof/>
        </w:rPr>
      </w:pPr>
      <w:r w:rsidRPr="00B34B72">
        <w:t>2.</w:t>
      </w:r>
      <w:r w:rsidRPr="00B34B72">
        <w:tab/>
      </w:r>
      <w:r w:rsidR="5132A94D" w:rsidRPr="008431A9">
        <w:rPr>
          <w:noProof/>
        </w:rPr>
        <w:t>Where reference is made to this paragraph, Article 5 of Regulation (EU) No 182/2011 shall apply.</w:t>
      </w:r>
    </w:p>
    <w:p w:rsidR="00E775BE" w:rsidRPr="008431A9" w:rsidRDefault="00E775BE" w:rsidP="0002261F">
      <w:pPr>
        <w:pStyle w:val="Titrearticle"/>
        <w:rPr>
          <w:noProof/>
        </w:rPr>
      </w:pPr>
      <w:r w:rsidRPr="008431A9">
        <w:rPr>
          <w:noProof/>
        </w:rPr>
        <w:t>Article 6</w:t>
      </w:r>
      <w:r w:rsidR="007619A3" w:rsidRPr="008431A9">
        <w:rPr>
          <w:noProof/>
        </w:rPr>
        <w:t>6</w:t>
      </w:r>
    </w:p>
    <w:p w:rsidR="00E775BE" w:rsidRPr="008431A9" w:rsidRDefault="005F4FC2" w:rsidP="0081316A">
      <w:pPr>
        <w:pStyle w:val="NormalCentered"/>
        <w:rPr>
          <w:b/>
          <w:noProof/>
          <w:lang w:val="en-US"/>
        </w:rPr>
      </w:pPr>
      <w:r w:rsidRPr="008431A9">
        <w:rPr>
          <w:b/>
          <w:noProof/>
          <w:lang w:val="en-US"/>
        </w:rPr>
        <w:t>Exercise of the delegation</w:t>
      </w:r>
    </w:p>
    <w:p w:rsidR="00E775BE" w:rsidRPr="008431A9" w:rsidRDefault="00B34B72" w:rsidP="00B34B72">
      <w:pPr>
        <w:pStyle w:val="ManualNumPar1"/>
        <w:rPr>
          <w:rFonts w:eastAsiaTheme="minorEastAsia"/>
          <w:noProof/>
          <w:szCs w:val="24"/>
          <w:lang w:val="en-IE"/>
        </w:rPr>
      </w:pPr>
      <w:r w:rsidRPr="00B34B72">
        <w:t>1.</w:t>
      </w:r>
      <w:r w:rsidRPr="00B34B72">
        <w:tab/>
      </w:r>
      <w:r w:rsidR="5132A94D" w:rsidRPr="008431A9">
        <w:rPr>
          <w:noProof/>
          <w:lang w:val="en-IE"/>
        </w:rPr>
        <w:t>The power to adopt delegated acts is conferred on the Commission subject to the conditions laid down in this Article.</w:t>
      </w:r>
    </w:p>
    <w:p w:rsidR="00E775BE" w:rsidRPr="008431A9" w:rsidRDefault="00B34B72" w:rsidP="00B34B72">
      <w:pPr>
        <w:pStyle w:val="ManualNumPar1"/>
        <w:rPr>
          <w:noProof/>
          <w:lang w:val="en-IE"/>
        </w:rPr>
      </w:pPr>
      <w:r w:rsidRPr="00B34B72">
        <w:t>2.</w:t>
      </w:r>
      <w:r w:rsidRPr="00B34B72">
        <w:tab/>
      </w:r>
      <w:r w:rsidR="5132A94D" w:rsidRPr="008431A9">
        <w:rPr>
          <w:noProof/>
          <w:lang w:val="en-IE"/>
        </w:rPr>
        <w:t xml:space="preserve">The power to adopt delegated acts referred to in </w:t>
      </w:r>
      <w:r w:rsidR="373B1112" w:rsidRPr="008431A9">
        <w:rPr>
          <w:noProof/>
          <w:lang w:val="en-IE"/>
        </w:rPr>
        <w:t>Article</w:t>
      </w:r>
      <w:r w:rsidR="005F4FC2" w:rsidRPr="008431A9">
        <w:rPr>
          <w:noProof/>
          <w:lang w:val="en-IE"/>
        </w:rPr>
        <w:t>s 29, 30</w:t>
      </w:r>
      <w:r w:rsidR="2533DA9A" w:rsidRPr="008431A9">
        <w:rPr>
          <w:noProof/>
          <w:lang w:val="en-IE"/>
        </w:rPr>
        <w:t xml:space="preserve"> </w:t>
      </w:r>
      <w:r w:rsidR="005F4FC2" w:rsidRPr="008431A9">
        <w:rPr>
          <w:noProof/>
          <w:lang w:val="en-IE"/>
        </w:rPr>
        <w:t xml:space="preserve">and </w:t>
      </w:r>
      <w:r w:rsidR="5132A94D" w:rsidRPr="008431A9">
        <w:rPr>
          <w:noProof/>
          <w:lang w:val="en-IE"/>
        </w:rPr>
        <w:t>4</w:t>
      </w:r>
      <w:r w:rsidR="1B9AF0BD" w:rsidRPr="008431A9">
        <w:rPr>
          <w:noProof/>
          <w:lang w:val="en-IE"/>
        </w:rPr>
        <w:t>9</w:t>
      </w:r>
      <w:r w:rsidR="5132A94D" w:rsidRPr="008431A9">
        <w:rPr>
          <w:noProof/>
          <w:lang w:val="en-IE"/>
        </w:rPr>
        <w:t xml:space="preserve"> shall be conferred on the Commission for a period of </w:t>
      </w:r>
      <w:r w:rsidR="003F088C" w:rsidRPr="008431A9">
        <w:rPr>
          <w:noProof/>
          <w:lang w:val="en-IE"/>
        </w:rPr>
        <w:t>seven</w:t>
      </w:r>
      <w:r w:rsidR="5132A94D" w:rsidRPr="008431A9">
        <w:rPr>
          <w:noProof/>
          <w:lang w:val="en-IE"/>
        </w:rPr>
        <w:t xml:space="preserve"> years from [</w:t>
      </w:r>
      <w:r w:rsidR="005F4FC2" w:rsidRPr="008431A9">
        <w:rPr>
          <w:noProof/>
          <w:lang w:val="en-IE"/>
        </w:rPr>
        <w:t xml:space="preserve">OJ: </w:t>
      </w:r>
      <w:r w:rsidR="5132A94D" w:rsidRPr="008431A9">
        <w:rPr>
          <w:noProof/>
          <w:lang w:val="en-IE"/>
        </w:rPr>
        <w:t>da</w:t>
      </w:r>
      <w:r w:rsidR="005F4FC2" w:rsidRPr="008431A9">
        <w:rPr>
          <w:noProof/>
          <w:lang w:val="en-IE"/>
        </w:rPr>
        <w:t>te of entry into force of this R</w:t>
      </w:r>
      <w:r w:rsidR="5132A94D" w:rsidRPr="008431A9">
        <w:rPr>
          <w:noProof/>
          <w:lang w:val="en-IE"/>
        </w:rPr>
        <w:t xml:space="preserve">egulation]. The Commission shall draw up a report in respect of the delegation of power not later than </w:t>
      </w:r>
      <w:r w:rsidR="003F088C" w:rsidRPr="008431A9">
        <w:rPr>
          <w:noProof/>
          <w:lang w:val="en-IE"/>
        </w:rPr>
        <w:t>nine</w:t>
      </w:r>
      <w:r w:rsidR="5132A94D" w:rsidRPr="008431A9">
        <w:rPr>
          <w:noProof/>
          <w:lang w:val="en-IE"/>
        </w:rPr>
        <w:t xml:space="preserve"> months before the end of the seven-year period. The delegation of power shall be tacitly extended for periods of an identical duration, unless the European Parliament or the Council opposes such extension not later than </w:t>
      </w:r>
      <w:r w:rsidR="003F088C" w:rsidRPr="008431A9">
        <w:rPr>
          <w:noProof/>
          <w:lang w:val="en-IE"/>
        </w:rPr>
        <w:t>three</w:t>
      </w:r>
      <w:r w:rsidR="5132A94D" w:rsidRPr="008431A9">
        <w:rPr>
          <w:noProof/>
          <w:lang w:val="en-IE"/>
        </w:rPr>
        <w:t xml:space="preserve"> months before the end of each period.</w:t>
      </w:r>
    </w:p>
    <w:p w:rsidR="00E775BE" w:rsidRPr="008431A9" w:rsidRDefault="00B34B72" w:rsidP="00B34B72">
      <w:pPr>
        <w:pStyle w:val="ManualNumPar1"/>
        <w:rPr>
          <w:noProof/>
          <w:lang w:val="en-IE"/>
        </w:rPr>
      </w:pPr>
      <w:r w:rsidRPr="00B34B72">
        <w:t>3.</w:t>
      </w:r>
      <w:r w:rsidRPr="00B34B72">
        <w:tab/>
      </w:r>
      <w:r w:rsidR="5132A94D" w:rsidRPr="008431A9">
        <w:rPr>
          <w:noProof/>
          <w:lang w:val="en-IE"/>
        </w:rPr>
        <w:t xml:space="preserve">The delegation of power </w:t>
      </w:r>
      <w:r w:rsidR="005F4FC2" w:rsidRPr="008431A9">
        <w:rPr>
          <w:noProof/>
          <w:lang w:val="en-IE"/>
        </w:rPr>
        <w:t>referred</w:t>
      </w:r>
      <w:r w:rsidR="5132A94D" w:rsidRPr="008431A9">
        <w:rPr>
          <w:noProof/>
          <w:lang w:val="en-IE"/>
        </w:rPr>
        <w:t xml:space="preserve"> to </w:t>
      </w:r>
      <w:r w:rsidR="005F4FC2" w:rsidRPr="008431A9">
        <w:rPr>
          <w:noProof/>
          <w:lang w:val="en-IE"/>
        </w:rPr>
        <w:t xml:space="preserve">in </w:t>
      </w:r>
      <w:r w:rsidR="0441B097" w:rsidRPr="008431A9">
        <w:rPr>
          <w:noProof/>
          <w:lang w:val="en-IE"/>
        </w:rPr>
        <w:t xml:space="preserve">Article 29, 30 </w:t>
      </w:r>
      <w:r w:rsidR="005F4FC2" w:rsidRPr="008431A9">
        <w:rPr>
          <w:noProof/>
          <w:lang w:val="en-IE"/>
        </w:rPr>
        <w:t>and</w:t>
      </w:r>
      <w:r w:rsidR="5132A94D" w:rsidRPr="008431A9">
        <w:rPr>
          <w:noProof/>
          <w:lang w:val="en-IE"/>
        </w:rPr>
        <w:t xml:space="preserve"> 4</w:t>
      </w:r>
      <w:r w:rsidR="303787EF" w:rsidRPr="008431A9">
        <w:rPr>
          <w:noProof/>
          <w:lang w:val="en-IE"/>
        </w:rPr>
        <w:t>9</w:t>
      </w:r>
      <w:r w:rsidR="5132A94D" w:rsidRPr="008431A9">
        <w:rPr>
          <w:noProof/>
          <w:lang w:val="en-IE"/>
        </w:rPr>
        <w:t xml:space="preserve"> may be revoked at any time by the European Parliament or by the Council. A decision to revoke shall put an end to the delegation of power specified in that decision. It shall take effect the day </w:t>
      </w:r>
      <w:r w:rsidR="5132A94D" w:rsidRPr="008431A9">
        <w:rPr>
          <w:noProof/>
          <w:lang w:val="en-IE"/>
        </w:rPr>
        <w:lastRenderedPageBreak/>
        <w:t>following the publication of the decision in the Official Journal of the European Union or at a later date specified therein. It shall not affect the validity of any delegated acts already in force.</w:t>
      </w:r>
    </w:p>
    <w:p w:rsidR="00E775BE" w:rsidRPr="008431A9" w:rsidRDefault="00B34B72" w:rsidP="00B34B72">
      <w:pPr>
        <w:pStyle w:val="ManualNumPar1"/>
        <w:rPr>
          <w:noProof/>
          <w:lang w:val="en-IE"/>
        </w:rPr>
      </w:pPr>
      <w:r w:rsidRPr="00B34B72">
        <w:t>4.</w:t>
      </w:r>
      <w:r w:rsidRPr="00B34B72">
        <w:tab/>
      </w:r>
      <w:r w:rsidR="5132A94D" w:rsidRPr="008431A9">
        <w:rPr>
          <w:noProof/>
          <w:lang w:val="en-IE"/>
        </w:rPr>
        <w:t>Before adopting a delegated act, the Commission shall consult experts designated by each Member State in accordance with the principles laid down in the Interinstitutional Agreement of 13 April 2016 on Better Law-Making.</w:t>
      </w:r>
    </w:p>
    <w:p w:rsidR="00E775BE" w:rsidRPr="008431A9" w:rsidRDefault="00B34B72" w:rsidP="00B34B72">
      <w:pPr>
        <w:pStyle w:val="ManualNumPar1"/>
        <w:rPr>
          <w:noProof/>
          <w:lang w:val="en-IE"/>
        </w:rPr>
      </w:pPr>
      <w:r w:rsidRPr="00B34B72">
        <w:t>5.</w:t>
      </w:r>
      <w:r w:rsidRPr="00B34B72">
        <w:tab/>
      </w:r>
      <w:r w:rsidR="5132A94D" w:rsidRPr="008431A9">
        <w:rPr>
          <w:noProof/>
          <w:lang w:val="en-IE"/>
        </w:rPr>
        <w:t>As soon as it adopts a delegated act, the Commission shall notify it simultaneously to the European Parliament and to the Council.</w:t>
      </w:r>
    </w:p>
    <w:p w:rsidR="00E775BE" w:rsidRPr="008431A9" w:rsidRDefault="00B34B72" w:rsidP="00B34B72">
      <w:pPr>
        <w:pStyle w:val="ManualNumPar1"/>
        <w:rPr>
          <w:noProof/>
          <w:lang w:val="en-IE"/>
        </w:rPr>
      </w:pPr>
      <w:r w:rsidRPr="00B34B72">
        <w:t>6.</w:t>
      </w:r>
      <w:r w:rsidRPr="00B34B72">
        <w:tab/>
      </w:r>
      <w:r w:rsidR="5132A94D" w:rsidRPr="008431A9">
        <w:rPr>
          <w:noProof/>
          <w:lang w:val="en-IE"/>
        </w:rPr>
        <w:t>A delegated act adopted pursuant to the Article</w:t>
      </w:r>
      <w:r w:rsidR="05342B1F" w:rsidRPr="008431A9">
        <w:rPr>
          <w:noProof/>
          <w:lang w:val="en-IE"/>
        </w:rPr>
        <w:t>s</w:t>
      </w:r>
      <w:r w:rsidR="5132A94D" w:rsidRPr="008431A9">
        <w:rPr>
          <w:noProof/>
          <w:lang w:val="en-IE"/>
        </w:rPr>
        <w:t xml:space="preserve"> </w:t>
      </w:r>
      <w:r w:rsidR="005F4FC2" w:rsidRPr="008431A9">
        <w:rPr>
          <w:noProof/>
          <w:lang w:val="en-IE"/>
        </w:rPr>
        <w:t>29, 30 and 49</w:t>
      </w:r>
      <w:r w:rsidR="5132A94D" w:rsidRPr="008431A9">
        <w:rPr>
          <w:noProof/>
          <w:lang w:val="en-IE"/>
        </w:rPr>
        <w:t xml:space="preserve"> shall enter into force only if no objection has been expressed either by the European Parliament or by the Council within a period of </w:t>
      </w:r>
      <w:r w:rsidR="00295BCA">
        <w:rPr>
          <w:noProof/>
          <w:lang w:val="en-IE"/>
        </w:rPr>
        <w:t>two</w:t>
      </w:r>
      <w:r w:rsidR="5132A94D" w:rsidRPr="008431A9">
        <w:rPr>
          <w:noProof/>
          <w:lang w:val="en-IE"/>
        </w:rPr>
        <w:t xml:space="preserve"> months of notification of that act to the European Parliament and the Council or if, before the expiry of that period, the European Parliament and the Council have both informed the Commission that they will not object. That period shall be extended by </w:t>
      </w:r>
      <w:r w:rsidR="00295BCA">
        <w:rPr>
          <w:noProof/>
          <w:lang w:val="en-IE"/>
        </w:rPr>
        <w:t>two</w:t>
      </w:r>
      <w:r w:rsidR="5132A94D" w:rsidRPr="008431A9">
        <w:rPr>
          <w:noProof/>
          <w:lang w:val="en-IE"/>
        </w:rPr>
        <w:t xml:space="preserve"> months at the initiative of the European Parliament or of the Council.</w:t>
      </w:r>
    </w:p>
    <w:p w:rsidR="005F4FC2" w:rsidRPr="008431A9" w:rsidRDefault="005F4FC2" w:rsidP="00355102">
      <w:pPr>
        <w:pStyle w:val="PartTitle"/>
        <w:rPr>
          <w:noProof/>
        </w:rPr>
      </w:pPr>
      <w:r w:rsidRPr="008431A9">
        <w:rPr>
          <w:noProof/>
        </w:rPr>
        <w:lastRenderedPageBreak/>
        <w:t>TITLE VIII</w:t>
      </w:r>
      <w:r w:rsidR="00355102" w:rsidRPr="008431A9">
        <w:rPr>
          <w:noProof/>
        </w:rPr>
        <w:t xml:space="preserve"> </w:t>
      </w:r>
      <w:r w:rsidR="00355102" w:rsidRPr="008431A9">
        <w:rPr>
          <w:noProof/>
        </w:rPr>
        <w:br/>
      </w:r>
      <w:r w:rsidRPr="008431A9">
        <w:rPr>
          <w:noProof/>
        </w:rPr>
        <w:t>TRANSITIONAL AND FINAL PROVISIONS</w:t>
      </w:r>
    </w:p>
    <w:p w:rsidR="00E775BE" w:rsidRPr="008431A9" w:rsidRDefault="00E775BE" w:rsidP="0002261F">
      <w:pPr>
        <w:pStyle w:val="Titrearticle"/>
        <w:rPr>
          <w:noProof/>
        </w:rPr>
      </w:pPr>
      <w:r w:rsidRPr="008431A9">
        <w:rPr>
          <w:noProof/>
        </w:rPr>
        <w:t>Article 6</w:t>
      </w:r>
      <w:r w:rsidR="007619A3" w:rsidRPr="008431A9">
        <w:rPr>
          <w:noProof/>
        </w:rPr>
        <w:t>7</w:t>
      </w:r>
    </w:p>
    <w:p w:rsidR="00E775BE" w:rsidRPr="008431A9" w:rsidRDefault="00E24E45" w:rsidP="0081316A">
      <w:pPr>
        <w:pStyle w:val="NormalCentered"/>
        <w:rPr>
          <w:b/>
          <w:noProof/>
          <w:lang w:val="en-US"/>
        </w:rPr>
      </w:pPr>
      <w:r w:rsidRPr="008431A9">
        <w:rPr>
          <w:b/>
          <w:noProof/>
          <w:lang w:val="en-US"/>
        </w:rPr>
        <w:t xml:space="preserve">Transitional </w:t>
      </w:r>
      <w:r w:rsidR="00087751" w:rsidRPr="008431A9">
        <w:rPr>
          <w:b/>
          <w:noProof/>
          <w:lang w:val="en-US"/>
        </w:rPr>
        <w:t xml:space="preserve">Geographical Indication </w:t>
      </w:r>
      <w:r w:rsidRPr="008431A9">
        <w:rPr>
          <w:b/>
          <w:noProof/>
          <w:lang w:val="en-US"/>
        </w:rPr>
        <w:t>protection</w:t>
      </w:r>
      <w:r w:rsidR="00087751" w:rsidRPr="008431A9">
        <w:rPr>
          <w:b/>
          <w:noProof/>
          <w:lang w:val="en-US"/>
        </w:rPr>
        <w:t xml:space="preserve"> </w:t>
      </w:r>
    </w:p>
    <w:p w:rsidR="00087751" w:rsidRPr="008431A9" w:rsidRDefault="00B34B72" w:rsidP="00B34B72">
      <w:pPr>
        <w:pStyle w:val="ManualNumPar1"/>
        <w:rPr>
          <w:rFonts w:eastAsiaTheme="minorEastAsia"/>
          <w:noProof/>
          <w:szCs w:val="24"/>
        </w:rPr>
      </w:pPr>
      <w:r w:rsidRPr="00B34B72">
        <w:t>1.</w:t>
      </w:r>
      <w:r w:rsidRPr="00B34B72">
        <w:tab/>
      </w:r>
      <w:r w:rsidR="00087751" w:rsidRPr="008431A9">
        <w:rPr>
          <w:noProof/>
        </w:rPr>
        <w:t xml:space="preserve">National specific protection for geographical indications for craft and industrial products </w:t>
      </w:r>
      <w:r w:rsidR="005F4FC2" w:rsidRPr="008431A9">
        <w:rPr>
          <w:noProof/>
        </w:rPr>
        <w:t>shall</w:t>
      </w:r>
      <w:r w:rsidR="00087751" w:rsidRPr="008431A9">
        <w:rPr>
          <w:noProof/>
        </w:rPr>
        <w:t xml:space="preserve"> cease to exist </w:t>
      </w:r>
      <w:r w:rsidR="005F4FC2" w:rsidRPr="008431A9">
        <w:rPr>
          <w:noProof/>
        </w:rPr>
        <w:t>by [</w:t>
      </w:r>
      <w:r w:rsidR="00087751" w:rsidRPr="008431A9">
        <w:rPr>
          <w:noProof/>
        </w:rPr>
        <w:t>one year afte</w:t>
      </w:r>
      <w:r w:rsidR="005F4FC2" w:rsidRPr="008431A9">
        <w:rPr>
          <w:noProof/>
        </w:rPr>
        <w:t>r the date of entry into force of this R</w:t>
      </w:r>
      <w:r w:rsidR="00087751" w:rsidRPr="008431A9">
        <w:rPr>
          <w:noProof/>
        </w:rPr>
        <w:t>egulation</w:t>
      </w:r>
      <w:r w:rsidR="005F4FC2" w:rsidRPr="008431A9">
        <w:rPr>
          <w:noProof/>
        </w:rPr>
        <w:t>]</w:t>
      </w:r>
      <w:r w:rsidR="00087751" w:rsidRPr="008431A9">
        <w:rPr>
          <w:noProof/>
        </w:rPr>
        <w:t xml:space="preserve">. </w:t>
      </w:r>
    </w:p>
    <w:p w:rsidR="00E775BE" w:rsidRPr="008431A9" w:rsidRDefault="00B34B72" w:rsidP="00B34B72">
      <w:pPr>
        <w:pStyle w:val="ManualNumPar1"/>
        <w:rPr>
          <w:rFonts w:eastAsiaTheme="minorEastAsia"/>
          <w:noProof/>
          <w:szCs w:val="24"/>
        </w:rPr>
      </w:pPr>
      <w:r w:rsidRPr="00B34B72">
        <w:t>2.</w:t>
      </w:r>
      <w:r w:rsidRPr="00B34B72">
        <w:tab/>
      </w:r>
      <w:r w:rsidR="005F4FC2" w:rsidRPr="008431A9">
        <w:rPr>
          <w:noProof/>
        </w:rPr>
        <w:t>By</w:t>
      </w:r>
      <w:r w:rsidR="5132A94D" w:rsidRPr="008431A9">
        <w:rPr>
          <w:noProof/>
        </w:rPr>
        <w:t xml:space="preserve"> </w:t>
      </w:r>
      <w:r w:rsidR="005F4FC2" w:rsidRPr="008431A9">
        <w:rPr>
          <w:noProof/>
        </w:rPr>
        <w:t>[</w:t>
      </w:r>
      <w:r w:rsidR="00472932" w:rsidRPr="008431A9">
        <w:rPr>
          <w:noProof/>
        </w:rPr>
        <w:t>six months</w:t>
      </w:r>
      <w:r w:rsidR="5132A94D" w:rsidRPr="008431A9">
        <w:rPr>
          <w:noProof/>
        </w:rPr>
        <w:t xml:space="preserve"> </w:t>
      </w:r>
      <w:r w:rsidR="005F4FC2" w:rsidRPr="008431A9">
        <w:rPr>
          <w:noProof/>
        </w:rPr>
        <w:t xml:space="preserve">after </w:t>
      </w:r>
      <w:r w:rsidR="5132A94D" w:rsidRPr="008431A9">
        <w:rPr>
          <w:noProof/>
        </w:rPr>
        <w:t>the</w:t>
      </w:r>
      <w:r w:rsidR="005F4FC2" w:rsidRPr="008431A9">
        <w:rPr>
          <w:noProof/>
        </w:rPr>
        <w:t xml:space="preserve"> date of</w:t>
      </w:r>
      <w:r w:rsidR="5132A94D" w:rsidRPr="008431A9">
        <w:rPr>
          <w:noProof/>
        </w:rPr>
        <w:t xml:space="preserve"> entry into force of th</w:t>
      </w:r>
      <w:r w:rsidR="005F4FC2" w:rsidRPr="008431A9">
        <w:rPr>
          <w:noProof/>
        </w:rPr>
        <w:t>is</w:t>
      </w:r>
      <w:r w:rsidR="5132A94D" w:rsidRPr="008431A9">
        <w:rPr>
          <w:noProof/>
        </w:rPr>
        <w:t xml:space="preserve"> Regulation</w:t>
      </w:r>
      <w:r w:rsidR="005F4FC2" w:rsidRPr="008431A9">
        <w:rPr>
          <w:noProof/>
        </w:rPr>
        <w:t>]</w:t>
      </w:r>
      <w:r w:rsidR="5132A94D" w:rsidRPr="008431A9">
        <w:rPr>
          <w:noProof/>
        </w:rPr>
        <w:t xml:space="preserve">, </w:t>
      </w:r>
      <w:r w:rsidR="00087751" w:rsidRPr="008431A9">
        <w:rPr>
          <w:noProof/>
        </w:rPr>
        <w:t xml:space="preserve">interested </w:t>
      </w:r>
      <w:r w:rsidR="5132A94D" w:rsidRPr="008431A9">
        <w:rPr>
          <w:noProof/>
        </w:rPr>
        <w:t xml:space="preserve">Member States shall inform the Commission and the Office, </w:t>
      </w:r>
      <w:r w:rsidR="00EE62C1" w:rsidRPr="008431A9">
        <w:rPr>
          <w:noProof/>
        </w:rPr>
        <w:t xml:space="preserve">which of their legally protected names or </w:t>
      </w:r>
      <w:r w:rsidR="5132A94D" w:rsidRPr="008431A9">
        <w:rPr>
          <w:noProof/>
        </w:rPr>
        <w:t xml:space="preserve">in the Member States where there is no protection system, which of their names established by usage they wish to register </w:t>
      </w:r>
      <w:r w:rsidR="00087751" w:rsidRPr="008431A9">
        <w:rPr>
          <w:noProof/>
        </w:rPr>
        <w:t xml:space="preserve">and protect </w:t>
      </w:r>
      <w:r w:rsidR="5132A94D" w:rsidRPr="008431A9">
        <w:rPr>
          <w:noProof/>
        </w:rPr>
        <w:t>pursuant to this Regulation.</w:t>
      </w:r>
    </w:p>
    <w:p w:rsidR="00E775BE" w:rsidRPr="008431A9" w:rsidRDefault="00B34B72" w:rsidP="00B34B72">
      <w:pPr>
        <w:pStyle w:val="ManualNumPar1"/>
        <w:rPr>
          <w:rFonts w:eastAsiaTheme="minorEastAsia"/>
          <w:noProof/>
        </w:rPr>
      </w:pPr>
      <w:r w:rsidRPr="00B34B72">
        <w:t>3.</w:t>
      </w:r>
      <w:r w:rsidRPr="00B34B72">
        <w:tab/>
      </w:r>
      <w:r w:rsidR="5132A94D" w:rsidRPr="008431A9">
        <w:rPr>
          <w:noProof/>
        </w:rPr>
        <w:t>In accordance with the procedure laid down in Articles 17</w:t>
      </w:r>
      <w:r w:rsidR="5132A94D" w:rsidRPr="008431A9">
        <w:rPr>
          <w:b/>
          <w:bCs/>
          <w:noProof/>
          <w:lang w:val="en-US"/>
        </w:rPr>
        <w:t xml:space="preserve"> </w:t>
      </w:r>
      <w:r w:rsidR="5132A94D" w:rsidRPr="008431A9">
        <w:rPr>
          <w:noProof/>
          <w:lang w:val="en-US"/>
        </w:rPr>
        <w:t>to 2</w:t>
      </w:r>
      <w:r w:rsidR="00472932" w:rsidRPr="008431A9">
        <w:rPr>
          <w:noProof/>
          <w:lang w:val="en-US"/>
        </w:rPr>
        <w:t>5</w:t>
      </w:r>
      <w:r w:rsidR="5132A94D" w:rsidRPr="008431A9">
        <w:rPr>
          <w:noProof/>
        </w:rPr>
        <w:t>, the Office</w:t>
      </w:r>
      <w:r w:rsidR="00472932" w:rsidRPr="008431A9">
        <w:rPr>
          <w:noProof/>
        </w:rPr>
        <w:t xml:space="preserve"> or, in </w:t>
      </w:r>
      <w:r w:rsidR="00472932" w:rsidRPr="008431A9">
        <w:rPr>
          <w:noProof/>
          <w:color w:val="000000" w:themeColor="text1"/>
        </w:rPr>
        <w:t>cases referred to in Article 25, the Commission</w:t>
      </w:r>
      <w:r w:rsidR="5132A94D" w:rsidRPr="008431A9">
        <w:rPr>
          <w:noProof/>
          <w:color w:val="000000" w:themeColor="text1"/>
        </w:rPr>
        <w:t xml:space="preserve"> </w:t>
      </w:r>
      <w:r w:rsidR="5132A94D" w:rsidRPr="008431A9">
        <w:rPr>
          <w:noProof/>
        </w:rPr>
        <w:t xml:space="preserve">shall register the </w:t>
      </w:r>
      <w:r w:rsidR="005F4FC2" w:rsidRPr="008431A9">
        <w:rPr>
          <w:noProof/>
        </w:rPr>
        <w:t xml:space="preserve">names referred to in paragraph </w:t>
      </w:r>
      <w:r w:rsidR="00087751" w:rsidRPr="008431A9">
        <w:rPr>
          <w:noProof/>
        </w:rPr>
        <w:t>2</w:t>
      </w:r>
      <w:r w:rsidR="5132A94D" w:rsidRPr="008431A9">
        <w:rPr>
          <w:noProof/>
        </w:rPr>
        <w:t xml:space="preserve"> </w:t>
      </w:r>
      <w:r w:rsidR="005F4FC2" w:rsidRPr="008431A9">
        <w:rPr>
          <w:noProof/>
        </w:rPr>
        <w:t xml:space="preserve">of this Article, </w:t>
      </w:r>
      <w:r w:rsidR="5132A94D" w:rsidRPr="008431A9">
        <w:rPr>
          <w:noProof/>
        </w:rPr>
        <w:t>which comply with Articles 2, 5</w:t>
      </w:r>
      <w:r w:rsidR="00E24E45" w:rsidRPr="008431A9">
        <w:rPr>
          <w:noProof/>
        </w:rPr>
        <w:t>, 7</w:t>
      </w:r>
      <w:r w:rsidR="5132A94D" w:rsidRPr="008431A9">
        <w:rPr>
          <w:noProof/>
        </w:rPr>
        <w:t xml:space="preserve"> and </w:t>
      </w:r>
      <w:r w:rsidR="00E24E45" w:rsidRPr="008431A9">
        <w:rPr>
          <w:noProof/>
        </w:rPr>
        <w:t>8</w:t>
      </w:r>
      <w:r w:rsidR="5132A94D" w:rsidRPr="008431A9">
        <w:rPr>
          <w:noProof/>
        </w:rPr>
        <w:t>. Article 21 and 22 shall not apply. However</w:t>
      </w:r>
      <w:r w:rsidR="5132A94D" w:rsidRPr="00295BCA">
        <w:rPr>
          <w:noProof/>
        </w:rPr>
        <w:t>, generic ter</w:t>
      </w:r>
      <w:r w:rsidR="5132A94D" w:rsidRPr="008431A9">
        <w:rPr>
          <w:noProof/>
        </w:rPr>
        <w:t>ms shall not be registered.</w:t>
      </w:r>
    </w:p>
    <w:p w:rsidR="00E775BE" w:rsidRPr="008431A9" w:rsidRDefault="00B34B72" w:rsidP="00B34B72">
      <w:pPr>
        <w:pStyle w:val="ManualNumPar1"/>
        <w:rPr>
          <w:rFonts w:eastAsia="Calibri"/>
          <w:noProof/>
        </w:rPr>
      </w:pPr>
      <w:r w:rsidRPr="00B34B72">
        <w:t>4.</w:t>
      </w:r>
      <w:r w:rsidRPr="00B34B72">
        <w:tab/>
      </w:r>
      <w:r w:rsidR="005F4FC2" w:rsidRPr="008431A9">
        <w:rPr>
          <w:noProof/>
        </w:rPr>
        <w:t xml:space="preserve">Without prejudice to paragraph </w:t>
      </w:r>
      <w:r w:rsidR="00087751" w:rsidRPr="008431A9">
        <w:rPr>
          <w:noProof/>
        </w:rPr>
        <w:t xml:space="preserve">1, </w:t>
      </w:r>
      <w:r w:rsidR="5132A94D" w:rsidRPr="008431A9">
        <w:rPr>
          <w:noProof/>
        </w:rPr>
        <w:t>national protection of the names communicate</w:t>
      </w:r>
      <w:r w:rsidR="005F4FC2" w:rsidRPr="008431A9">
        <w:rPr>
          <w:noProof/>
        </w:rPr>
        <w:t xml:space="preserve">d in accordance with paragraph </w:t>
      </w:r>
      <w:r w:rsidR="00087751" w:rsidRPr="008431A9">
        <w:rPr>
          <w:noProof/>
        </w:rPr>
        <w:t>2</w:t>
      </w:r>
      <w:r w:rsidR="5132A94D" w:rsidRPr="008431A9">
        <w:rPr>
          <w:noProof/>
        </w:rPr>
        <w:t xml:space="preserve"> </w:t>
      </w:r>
      <w:r w:rsidR="0007231C" w:rsidRPr="008431A9">
        <w:rPr>
          <w:noProof/>
        </w:rPr>
        <w:t xml:space="preserve">shall be maintained </w:t>
      </w:r>
      <w:r w:rsidR="5132A94D" w:rsidRPr="008431A9">
        <w:rPr>
          <w:noProof/>
        </w:rPr>
        <w:t>until such time as a decision on registration has been taken.</w:t>
      </w:r>
      <w:r w:rsidR="00087751" w:rsidRPr="008431A9">
        <w:rPr>
          <w:noProof/>
        </w:rPr>
        <w:t xml:space="preserve"> </w:t>
      </w:r>
      <w:r w:rsidR="0007231C" w:rsidRPr="008431A9">
        <w:rPr>
          <w:noProof/>
        </w:rPr>
        <w:t xml:space="preserve">The decision </w:t>
      </w:r>
      <w:r w:rsidR="005F4FC2" w:rsidRPr="008431A9">
        <w:rPr>
          <w:noProof/>
        </w:rPr>
        <w:t>may</w:t>
      </w:r>
      <w:r w:rsidR="0007231C" w:rsidRPr="008431A9">
        <w:rPr>
          <w:noProof/>
        </w:rPr>
        <w:t xml:space="preserve"> be subject of </w:t>
      </w:r>
      <w:r w:rsidR="0064640A" w:rsidRPr="008431A9">
        <w:rPr>
          <w:noProof/>
        </w:rPr>
        <w:t xml:space="preserve">appeal referred to in Article 30. </w:t>
      </w:r>
    </w:p>
    <w:p w:rsidR="00E775BE" w:rsidRPr="008431A9" w:rsidRDefault="00E775BE" w:rsidP="0002261F">
      <w:pPr>
        <w:pStyle w:val="Titrearticle"/>
        <w:rPr>
          <w:noProof/>
        </w:rPr>
      </w:pPr>
      <w:r w:rsidRPr="008431A9">
        <w:rPr>
          <w:noProof/>
        </w:rPr>
        <w:t>Article 6</w:t>
      </w:r>
      <w:r w:rsidR="007619A3" w:rsidRPr="008431A9">
        <w:rPr>
          <w:noProof/>
        </w:rPr>
        <w:t>8</w:t>
      </w:r>
    </w:p>
    <w:p w:rsidR="00E775BE" w:rsidRPr="008431A9" w:rsidRDefault="00E775BE" w:rsidP="0081316A">
      <w:pPr>
        <w:pStyle w:val="NormalCentered"/>
        <w:rPr>
          <w:b/>
          <w:noProof/>
          <w:lang w:val="en-US"/>
        </w:rPr>
      </w:pPr>
      <w:r w:rsidRPr="008431A9">
        <w:rPr>
          <w:b/>
          <w:noProof/>
          <w:lang w:val="en-US"/>
        </w:rPr>
        <w:t>Member States reporting obligation</w:t>
      </w:r>
    </w:p>
    <w:p w:rsidR="00E775BE" w:rsidRPr="008431A9" w:rsidRDefault="00B34B72" w:rsidP="00B34B72">
      <w:pPr>
        <w:pStyle w:val="ManualNumPar1"/>
        <w:rPr>
          <w:rFonts w:eastAsiaTheme="minorEastAsia"/>
          <w:noProof/>
          <w:szCs w:val="24"/>
        </w:rPr>
      </w:pPr>
      <w:r w:rsidRPr="00B34B72">
        <w:t>1.</w:t>
      </w:r>
      <w:r w:rsidRPr="00B34B72">
        <w:tab/>
      </w:r>
      <w:r w:rsidR="005F4FC2" w:rsidRPr="008431A9">
        <w:rPr>
          <w:rFonts w:eastAsia="Calibri"/>
          <w:noProof/>
        </w:rPr>
        <w:t xml:space="preserve">Member States </w:t>
      </w:r>
      <w:r w:rsidR="5132A94D" w:rsidRPr="008431A9">
        <w:rPr>
          <w:rFonts w:eastAsia="Calibri"/>
          <w:noProof/>
        </w:rPr>
        <w:t xml:space="preserve">or their national authorities shall </w:t>
      </w:r>
      <w:r w:rsidR="5132A94D" w:rsidRPr="008431A9">
        <w:rPr>
          <w:noProof/>
        </w:rPr>
        <w:t xml:space="preserve">report every four years to the Commission on the strategy and results of all the geographical indication controls carried out to verify compliance with the legal requirements related to the protection scheme established by this Regulation and of the enforcement of geographical indications </w:t>
      </w:r>
      <w:r w:rsidR="00B64746" w:rsidRPr="008431A9">
        <w:rPr>
          <w:noProof/>
        </w:rPr>
        <w:t xml:space="preserve">for craft and industrial products </w:t>
      </w:r>
      <w:r w:rsidR="5132A94D" w:rsidRPr="008431A9">
        <w:rPr>
          <w:noProof/>
        </w:rPr>
        <w:t>in the market place including online as referred to in Article 45</w:t>
      </w:r>
      <w:r w:rsidR="00AA5202" w:rsidRPr="008431A9">
        <w:rPr>
          <w:noProof/>
        </w:rPr>
        <w:t xml:space="preserve"> on d</w:t>
      </w:r>
      <w:r w:rsidR="5132A94D" w:rsidRPr="008431A9">
        <w:rPr>
          <w:noProof/>
        </w:rPr>
        <w:t xml:space="preserve">esignation of competent authority, </w:t>
      </w:r>
      <w:r w:rsidR="46DF5688" w:rsidRPr="008431A9">
        <w:rPr>
          <w:noProof/>
        </w:rPr>
        <w:t xml:space="preserve">Article </w:t>
      </w:r>
      <w:r w:rsidR="5132A94D" w:rsidRPr="008431A9">
        <w:rPr>
          <w:noProof/>
        </w:rPr>
        <w:t>46 on</w:t>
      </w:r>
      <w:r w:rsidR="00AA5202" w:rsidRPr="008431A9">
        <w:rPr>
          <w:noProof/>
          <w:lang w:val="en-US"/>
        </w:rPr>
        <w:t xml:space="preserve"> v</w:t>
      </w:r>
      <w:r w:rsidR="5132A94D" w:rsidRPr="008431A9">
        <w:rPr>
          <w:noProof/>
          <w:lang w:val="en-US"/>
        </w:rPr>
        <w:t>erification of compliance with the product specifications</w:t>
      </w:r>
      <w:r w:rsidR="5132A94D" w:rsidRPr="008431A9">
        <w:rPr>
          <w:noProof/>
        </w:rPr>
        <w:t xml:space="preserve">, </w:t>
      </w:r>
      <w:r w:rsidR="21F387F6" w:rsidRPr="008431A9">
        <w:rPr>
          <w:noProof/>
        </w:rPr>
        <w:t>Article</w:t>
      </w:r>
      <w:r w:rsidR="1B488731" w:rsidRPr="008431A9">
        <w:rPr>
          <w:noProof/>
        </w:rPr>
        <w:t xml:space="preserve"> </w:t>
      </w:r>
      <w:r w:rsidR="00AA5202" w:rsidRPr="008431A9">
        <w:rPr>
          <w:noProof/>
        </w:rPr>
        <w:t>47 on d</w:t>
      </w:r>
      <w:r w:rsidR="5132A94D" w:rsidRPr="008431A9">
        <w:rPr>
          <w:noProof/>
        </w:rPr>
        <w:t xml:space="preserve">ue diligence, </w:t>
      </w:r>
      <w:r w:rsidR="5D471291" w:rsidRPr="008431A9">
        <w:rPr>
          <w:noProof/>
        </w:rPr>
        <w:t xml:space="preserve">Article </w:t>
      </w:r>
      <w:r w:rsidR="00AA5202" w:rsidRPr="008431A9">
        <w:rPr>
          <w:noProof/>
        </w:rPr>
        <w:t>48 on e</w:t>
      </w:r>
      <w:r w:rsidR="5132A94D" w:rsidRPr="008431A9">
        <w:rPr>
          <w:noProof/>
        </w:rPr>
        <w:t xml:space="preserve">nforcement of geographical indications in the marketplace, and </w:t>
      </w:r>
      <w:r w:rsidR="141AB70E" w:rsidRPr="008431A9">
        <w:rPr>
          <w:noProof/>
        </w:rPr>
        <w:t xml:space="preserve">Article </w:t>
      </w:r>
      <w:r w:rsidR="00AA5202" w:rsidRPr="008431A9">
        <w:rPr>
          <w:noProof/>
        </w:rPr>
        <w:t>55 on o</w:t>
      </w:r>
      <w:r w:rsidR="5132A94D" w:rsidRPr="008431A9">
        <w:rPr>
          <w:noProof/>
        </w:rPr>
        <w:t>nline platforms</w:t>
      </w:r>
      <w:r w:rsidR="0A94C28A" w:rsidRPr="008431A9">
        <w:rPr>
          <w:noProof/>
        </w:rPr>
        <w:t>.</w:t>
      </w:r>
    </w:p>
    <w:p w:rsidR="00E775BE" w:rsidRPr="008431A9" w:rsidRDefault="00B34B72" w:rsidP="00B34B72">
      <w:pPr>
        <w:pStyle w:val="ManualNumPar1"/>
        <w:rPr>
          <w:noProof/>
        </w:rPr>
      </w:pPr>
      <w:r w:rsidRPr="00B34B72">
        <w:t>2.</w:t>
      </w:r>
      <w:r w:rsidRPr="00B34B72">
        <w:tab/>
      </w:r>
      <w:r w:rsidR="5132A94D" w:rsidRPr="008431A9">
        <w:rPr>
          <w:noProof/>
        </w:rPr>
        <w:t xml:space="preserve">Eligible Member States shall provide the Commission </w:t>
      </w:r>
      <w:r w:rsidR="00AA5202" w:rsidRPr="008431A9">
        <w:rPr>
          <w:noProof/>
        </w:rPr>
        <w:t>by</w:t>
      </w:r>
      <w:r w:rsidR="5132A94D" w:rsidRPr="008431A9">
        <w:rPr>
          <w:noProof/>
        </w:rPr>
        <w:t xml:space="preserve"> </w:t>
      </w:r>
      <w:r w:rsidR="00AA5202" w:rsidRPr="008431A9">
        <w:rPr>
          <w:noProof/>
        </w:rPr>
        <w:t>[</w:t>
      </w:r>
      <w:r w:rsidR="009F303D" w:rsidRPr="008431A9">
        <w:rPr>
          <w:noProof/>
        </w:rPr>
        <w:t xml:space="preserve">six months </w:t>
      </w:r>
      <w:r w:rsidR="5132A94D" w:rsidRPr="008431A9">
        <w:rPr>
          <w:noProof/>
        </w:rPr>
        <w:t xml:space="preserve">after the </w:t>
      </w:r>
      <w:r w:rsidR="00AA5202" w:rsidRPr="008431A9">
        <w:rPr>
          <w:noProof/>
        </w:rPr>
        <w:t xml:space="preserve">date of </w:t>
      </w:r>
      <w:r w:rsidR="5132A94D" w:rsidRPr="008431A9">
        <w:rPr>
          <w:noProof/>
        </w:rPr>
        <w:t>entry into force of this Regulation</w:t>
      </w:r>
      <w:r w:rsidR="00AA5202" w:rsidRPr="008431A9">
        <w:rPr>
          <w:noProof/>
        </w:rPr>
        <w:t>]</w:t>
      </w:r>
      <w:r w:rsidR="5132A94D" w:rsidRPr="008431A9">
        <w:rPr>
          <w:noProof/>
        </w:rPr>
        <w:t xml:space="preserve"> with the information requested in Article 15 in order to opt for the “direct registration” procedure. On the basis of the information received, the Commission </w:t>
      </w:r>
      <w:r w:rsidR="00AA5202" w:rsidRPr="008431A9">
        <w:rPr>
          <w:noProof/>
        </w:rPr>
        <w:t>shall</w:t>
      </w:r>
      <w:r w:rsidR="5132A94D" w:rsidRPr="008431A9">
        <w:rPr>
          <w:noProof/>
        </w:rPr>
        <w:t xml:space="preserve"> adopt a Decision on the right of the concerned Member State to opt for the “direct registration” procedure and hence, to not designate a national authority for the management at national level of the procedures for the application, amendment of the product specification and cancellation as referred to in Article 15.</w:t>
      </w:r>
    </w:p>
    <w:p w:rsidR="00E775BE" w:rsidRPr="008431A9" w:rsidRDefault="00B34B72" w:rsidP="00B34B72">
      <w:pPr>
        <w:pStyle w:val="ManualNumPar1"/>
        <w:rPr>
          <w:noProof/>
        </w:rPr>
      </w:pPr>
      <w:r w:rsidRPr="00B34B72">
        <w:t>3.</w:t>
      </w:r>
      <w:r w:rsidRPr="00B34B72">
        <w:tab/>
      </w:r>
      <w:r w:rsidR="5132A94D" w:rsidRPr="008431A9">
        <w:rPr>
          <w:noProof/>
        </w:rPr>
        <w:t xml:space="preserve">Member States shall inform the Commission </w:t>
      </w:r>
      <w:r w:rsidR="00AA5202" w:rsidRPr="008431A9">
        <w:rPr>
          <w:noProof/>
        </w:rPr>
        <w:t>by</w:t>
      </w:r>
      <w:r w:rsidR="5132A94D" w:rsidRPr="008431A9">
        <w:rPr>
          <w:noProof/>
        </w:rPr>
        <w:t xml:space="preserve"> </w:t>
      </w:r>
      <w:r w:rsidR="00AA5202" w:rsidRPr="008431A9">
        <w:rPr>
          <w:noProof/>
        </w:rPr>
        <w:t>[</w:t>
      </w:r>
      <w:r w:rsidR="009F303D" w:rsidRPr="008431A9">
        <w:rPr>
          <w:noProof/>
        </w:rPr>
        <w:t>six months</w:t>
      </w:r>
      <w:r w:rsidR="5132A94D" w:rsidRPr="008431A9">
        <w:rPr>
          <w:noProof/>
        </w:rPr>
        <w:t xml:space="preserve"> after </w:t>
      </w:r>
      <w:r w:rsidR="00AA5202" w:rsidRPr="008431A9">
        <w:rPr>
          <w:noProof/>
        </w:rPr>
        <w:t xml:space="preserve">the date of </w:t>
      </w:r>
      <w:r w:rsidR="5132A94D" w:rsidRPr="008431A9">
        <w:rPr>
          <w:noProof/>
        </w:rPr>
        <w:t>the en</w:t>
      </w:r>
      <w:r w:rsidR="00AA5202" w:rsidRPr="008431A9">
        <w:rPr>
          <w:noProof/>
        </w:rPr>
        <w:t>try into force of this R</w:t>
      </w:r>
      <w:r w:rsidR="5132A94D" w:rsidRPr="008431A9">
        <w:rPr>
          <w:noProof/>
        </w:rPr>
        <w:t>egulation</w:t>
      </w:r>
      <w:r w:rsidR="00EE62C1" w:rsidRPr="008431A9">
        <w:rPr>
          <w:noProof/>
        </w:rPr>
        <w:t>]</w:t>
      </w:r>
      <w:r w:rsidR="5132A94D" w:rsidRPr="008431A9">
        <w:rPr>
          <w:noProof/>
        </w:rPr>
        <w:t xml:space="preserve"> if they decide to cooperate with each other for the management of the national procedures foreseen in Chapter II of Titl</w:t>
      </w:r>
      <w:r w:rsidR="00AA5202" w:rsidRPr="008431A9">
        <w:rPr>
          <w:noProof/>
        </w:rPr>
        <w:t>e II as laid down in Article 6</w:t>
      </w:r>
      <w:r w:rsidR="5132A94D" w:rsidRPr="008431A9">
        <w:rPr>
          <w:noProof/>
        </w:rPr>
        <w:t xml:space="preserve">(4). </w:t>
      </w:r>
    </w:p>
    <w:p w:rsidR="00E775BE" w:rsidRPr="008431A9" w:rsidRDefault="00E775BE" w:rsidP="0002261F">
      <w:pPr>
        <w:pStyle w:val="Titrearticle"/>
        <w:rPr>
          <w:noProof/>
        </w:rPr>
      </w:pPr>
      <w:r w:rsidRPr="008431A9">
        <w:rPr>
          <w:noProof/>
        </w:rPr>
        <w:lastRenderedPageBreak/>
        <w:t>Article 6</w:t>
      </w:r>
      <w:r w:rsidR="007619A3" w:rsidRPr="008431A9">
        <w:rPr>
          <w:noProof/>
        </w:rPr>
        <w:t>9</w:t>
      </w:r>
    </w:p>
    <w:p w:rsidR="00E775BE" w:rsidRPr="008431A9" w:rsidRDefault="00E775BE" w:rsidP="0081316A">
      <w:pPr>
        <w:pStyle w:val="NormalCentered"/>
        <w:rPr>
          <w:b/>
          <w:noProof/>
          <w:lang w:val="en-US"/>
        </w:rPr>
      </w:pPr>
      <w:r w:rsidRPr="008431A9">
        <w:rPr>
          <w:b/>
          <w:noProof/>
          <w:lang w:val="en-US"/>
        </w:rPr>
        <w:t>Review clause</w:t>
      </w:r>
    </w:p>
    <w:p w:rsidR="00E775BE" w:rsidRPr="008431A9" w:rsidRDefault="00AA5202" w:rsidP="0090716A">
      <w:pPr>
        <w:rPr>
          <w:noProof/>
        </w:rPr>
      </w:pPr>
      <w:r w:rsidRPr="008431A9">
        <w:rPr>
          <w:noProof/>
        </w:rPr>
        <w:t>By</w:t>
      </w:r>
      <w:r w:rsidR="00E775BE" w:rsidRPr="008431A9">
        <w:rPr>
          <w:noProof/>
        </w:rPr>
        <w:t xml:space="preserve"> </w:t>
      </w:r>
      <w:r w:rsidRPr="008431A9">
        <w:rPr>
          <w:noProof/>
        </w:rPr>
        <w:t>[</w:t>
      </w:r>
      <w:r w:rsidR="00E775BE" w:rsidRPr="008431A9">
        <w:rPr>
          <w:noProof/>
        </w:rPr>
        <w:t xml:space="preserve">five years after the </w:t>
      </w:r>
      <w:r w:rsidRPr="008431A9">
        <w:rPr>
          <w:noProof/>
        </w:rPr>
        <w:t xml:space="preserve">date of </w:t>
      </w:r>
      <w:r w:rsidR="00E775BE" w:rsidRPr="008431A9">
        <w:rPr>
          <w:noProof/>
        </w:rPr>
        <w:t>entry into force of this Regulation</w:t>
      </w:r>
      <w:r w:rsidRPr="008431A9">
        <w:rPr>
          <w:noProof/>
        </w:rPr>
        <w:t>]</w:t>
      </w:r>
      <w:r w:rsidR="00E775BE" w:rsidRPr="008431A9">
        <w:rPr>
          <w:noProof/>
        </w:rPr>
        <w:t xml:space="preserve">, the Commission shall draw up a report on the implementation of this Regulation, accompanied by any proposals for revision that it may deem appropriate. </w:t>
      </w:r>
    </w:p>
    <w:p w:rsidR="00E775BE" w:rsidRPr="008431A9" w:rsidRDefault="00E775BE" w:rsidP="00E775BE">
      <w:pPr>
        <w:pStyle w:val="Titrearticle"/>
        <w:rPr>
          <w:noProof/>
          <w:szCs w:val="24"/>
        </w:rPr>
      </w:pPr>
      <w:r w:rsidRPr="008431A9">
        <w:rPr>
          <w:noProof/>
          <w:szCs w:val="24"/>
        </w:rPr>
        <w:t xml:space="preserve">Article </w:t>
      </w:r>
      <w:r w:rsidR="007619A3" w:rsidRPr="008431A9">
        <w:rPr>
          <w:noProof/>
          <w:szCs w:val="24"/>
        </w:rPr>
        <w:t>70</w:t>
      </w:r>
    </w:p>
    <w:p w:rsidR="00AA16F5" w:rsidRPr="008431A9" w:rsidRDefault="00AA16F5" w:rsidP="00AA16F5">
      <w:pPr>
        <w:pStyle w:val="NormalCentered"/>
        <w:rPr>
          <w:b/>
          <w:noProof/>
        </w:rPr>
      </w:pPr>
      <w:r w:rsidRPr="008431A9">
        <w:rPr>
          <w:b/>
          <w:noProof/>
        </w:rPr>
        <w:t>Entry into force</w:t>
      </w:r>
    </w:p>
    <w:p w:rsidR="00E775BE" w:rsidRPr="008431A9" w:rsidRDefault="00E775BE" w:rsidP="00E775BE">
      <w:pPr>
        <w:rPr>
          <w:noProof/>
        </w:rPr>
      </w:pPr>
      <w:r w:rsidRPr="008431A9">
        <w:rPr>
          <w:noProof/>
        </w:rPr>
        <w:t xml:space="preserve">This Regulation shall enter into force on the twentieth day following that of its publication in the </w:t>
      </w:r>
      <w:r w:rsidRPr="008431A9">
        <w:rPr>
          <w:i/>
          <w:iCs/>
          <w:noProof/>
        </w:rPr>
        <w:t>Official Journal of the European Union</w:t>
      </w:r>
      <w:r w:rsidRPr="008431A9">
        <w:rPr>
          <w:noProof/>
        </w:rPr>
        <w:t>.</w:t>
      </w:r>
      <w:r w:rsidR="7990E1AD" w:rsidRPr="008431A9">
        <w:rPr>
          <w:noProof/>
        </w:rPr>
        <w:t xml:space="preserve"> It shall apply from 1 J</w:t>
      </w:r>
      <w:r w:rsidR="006F1E39" w:rsidRPr="008431A9">
        <w:rPr>
          <w:noProof/>
        </w:rPr>
        <w:t>anuary</w:t>
      </w:r>
      <w:r w:rsidR="7990E1AD" w:rsidRPr="008431A9">
        <w:rPr>
          <w:noProof/>
        </w:rPr>
        <w:t xml:space="preserve"> </w:t>
      </w:r>
      <w:r w:rsidR="006F1E39" w:rsidRPr="008431A9">
        <w:rPr>
          <w:noProof/>
        </w:rPr>
        <w:t>2024</w:t>
      </w:r>
      <w:r w:rsidR="7990E1AD" w:rsidRPr="008431A9">
        <w:rPr>
          <w:noProof/>
        </w:rPr>
        <w:t>.</w:t>
      </w:r>
    </w:p>
    <w:p w:rsidR="00E775BE" w:rsidRPr="008431A9" w:rsidRDefault="00E775BE" w:rsidP="00E775BE">
      <w:pPr>
        <w:rPr>
          <w:noProof/>
          <w:szCs w:val="24"/>
        </w:rPr>
      </w:pPr>
      <w:r w:rsidRPr="008431A9">
        <w:rPr>
          <w:noProof/>
          <w:szCs w:val="24"/>
        </w:rPr>
        <w:t>This Regulation shall be binding in its entirety and directly applicable in all Member States.</w:t>
      </w:r>
    </w:p>
    <w:p w:rsidR="00B70EFD" w:rsidRPr="008431A9" w:rsidRDefault="00860070" w:rsidP="0028003C">
      <w:pPr>
        <w:pStyle w:val="Fait"/>
        <w:rPr>
          <w:noProof/>
        </w:rPr>
      </w:pPr>
      <w:r w:rsidRPr="00860070">
        <w:t>Done at Brussels,</w:t>
      </w:r>
    </w:p>
    <w:p w:rsidR="00B70EFD" w:rsidRPr="008431A9" w:rsidRDefault="00B70EFD" w:rsidP="0028003C">
      <w:pPr>
        <w:pStyle w:val="Institutionquisigne"/>
        <w:rPr>
          <w:noProof/>
        </w:rPr>
      </w:pPr>
      <w:r w:rsidRPr="008431A9">
        <w:rPr>
          <w:noProof/>
        </w:rPr>
        <w:t>For the European Parliament</w:t>
      </w:r>
      <w:r w:rsidRPr="008431A9">
        <w:rPr>
          <w:noProof/>
        </w:rPr>
        <w:tab/>
        <w:t>For the Council</w:t>
      </w:r>
    </w:p>
    <w:p w:rsidR="00E023DE" w:rsidRPr="008431A9" w:rsidRDefault="00B70EFD" w:rsidP="00B70EFD">
      <w:pPr>
        <w:pStyle w:val="Personnequisigne"/>
        <w:rPr>
          <w:noProof/>
        </w:rPr>
      </w:pPr>
      <w:r w:rsidRPr="008431A9">
        <w:rPr>
          <w:noProof/>
        </w:rPr>
        <w:t>The President</w:t>
      </w:r>
      <w:r w:rsidRPr="008431A9">
        <w:rPr>
          <w:noProof/>
        </w:rPr>
        <w:tab/>
        <w:t>The President</w:t>
      </w:r>
    </w:p>
    <w:sectPr w:rsidR="00E023DE" w:rsidRPr="008431A9" w:rsidSect="00F10E8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C4E" w:rsidRDefault="00DA5C4E" w:rsidP="00B70EFD">
      <w:pPr>
        <w:spacing w:before="0" w:after="0"/>
      </w:pPr>
      <w:r>
        <w:separator/>
      </w:r>
    </w:p>
  </w:endnote>
  <w:endnote w:type="continuationSeparator" w:id="0">
    <w:p w:rsidR="00DA5C4E" w:rsidRDefault="00DA5C4E" w:rsidP="00B70EFD">
      <w:pPr>
        <w:spacing w:before="0" w:after="0"/>
      </w:pPr>
      <w:r>
        <w:continuationSeparator/>
      </w:r>
    </w:p>
  </w:endnote>
  <w:endnote w:type="continuationNotice" w:id="1">
    <w:p w:rsidR="00DA5C4E" w:rsidRDefault="00DA5C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8E" w:rsidRPr="00F10E8E" w:rsidRDefault="00F10E8E" w:rsidP="00F10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4E" w:rsidRPr="00F10E8E" w:rsidRDefault="00F10E8E" w:rsidP="00F10E8E">
    <w:pPr>
      <w:pStyle w:val="Footer"/>
      <w:rPr>
        <w:rFonts w:ascii="Arial" w:hAnsi="Arial" w:cs="Arial"/>
        <w:b/>
        <w:sz w:val="48"/>
      </w:rPr>
    </w:pPr>
    <w:r w:rsidRPr="00F10E8E">
      <w:rPr>
        <w:rFonts w:ascii="Arial" w:hAnsi="Arial" w:cs="Arial"/>
        <w:b/>
        <w:sz w:val="48"/>
      </w:rPr>
      <w:t>EN</w:t>
    </w:r>
    <w:r w:rsidRPr="00F10E8E">
      <w:rPr>
        <w:rFonts w:ascii="Arial" w:hAnsi="Arial" w:cs="Arial"/>
        <w:b/>
        <w:sz w:val="48"/>
      </w:rPr>
      <w:tab/>
    </w:r>
    <w:r w:rsidRPr="00F10E8E">
      <w:rPr>
        <w:rFonts w:ascii="Arial" w:hAnsi="Arial" w:cs="Arial"/>
        <w:b/>
        <w:sz w:val="48"/>
      </w:rPr>
      <w:tab/>
    </w:r>
    <w:r w:rsidRPr="00F10E8E">
      <w:tab/>
    </w:r>
    <w:r w:rsidRPr="00F10E8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8E" w:rsidRPr="00F10E8E" w:rsidRDefault="00F10E8E" w:rsidP="00F10E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8E" w:rsidRPr="00F10E8E" w:rsidRDefault="00F10E8E" w:rsidP="00F10E8E">
    <w:pPr>
      <w:pStyle w:val="Footer"/>
      <w:rPr>
        <w:rFonts w:ascii="Arial" w:hAnsi="Arial" w:cs="Arial"/>
        <w:b/>
        <w:sz w:val="48"/>
      </w:rPr>
    </w:pPr>
    <w:r w:rsidRPr="00F10E8E">
      <w:rPr>
        <w:rFonts w:ascii="Arial" w:hAnsi="Arial" w:cs="Arial"/>
        <w:b/>
        <w:sz w:val="48"/>
      </w:rPr>
      <w:t>EN</w:t>
    </w:r>
    <w:r w:rsidRPr="00F10E8E">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10E8E">
      <w:tab/>
    </w:r>
    <w:r w:rsidRPr="00F10E8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8E" w:rsidRPr="00F10E8E" w:rsidRDefault="00F10E8E" w:rsidP="00F1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C4E" w:rsidRDefault="00DA5C4E" w:rsidP="00B70EFD">
      <w:pPr>
        <w:spacing w:before="0" w:after="0"/>
      </w:pPr>
      <w:r>
        <w:separator/>
      </w:r>
    </w:p>
  </w:footnote>
  <w:footnote w:type="continuationSeparator" w:id="0">
    <w:p w:rsidR="00DA5C4E" w:rsidRDefault="00DA5C4E" w:rsidP="00B70EFD">
      <w:pPr>
        <w:spacing w:before="0" w:after="0"/>
      </w:pPr>
      <w:r>
        <w:continuationSeparator/>
      </w:r>
    </w:p>
  </w:footnote>
  <w:footnote w:type="continuationNotice" w:id="1">
    <w:p w:rsidR="00DA5C4E" w:rsidRDefault="00DA5C4E">
      <w:pPr>
        <w:spacing w:before="0" w:after="0"/>
      </w:pPr>
    </w:p>
  </w:footnote>
  <w:footnote w:id="2">
    <w:p w:rsidR="00DA5C4E" w:rsidRDefault="00DA5C4E" w:rsidP="00D62A5E">
      <w:pPr>
        <w:pStyle w:val="FootnoteText"/>
        <w:rPr>
          <w:rFonts w:eastAsia="Calibri"/>
          <w:lang w:val="en-US"/>
        </w:rPr>
      </w:pPr>
      <w:r w:rsidRPr="00754887">
        <w:rPr>
          <w:rStyle w:val="FootnoteReference"/>
        </w:rPr>
        <w:footnoteRef/>
      </w:r>
      <w:r>
        <w:rPr>
          <w:rFonts w:eastAsia="Calibri"/>
        </w:rPr>
        <w:tab/>
      </w:r>
      <w:r w:rsidRPr="5020D22F">
        <w:rPr>
          <w:rFonts w:eastAsia="Times New Roman"/>
          <w:lang w:val="en-US"/>
        </w:rPr>
        <w:t>COM(2021) 350 final</w:t>
      </w:r>
    </w:p>
  </w:footnote>
  <w:footnote w:id="3">
    <w:p w:rsidR="00DA5C4E" w:rsidRDefault="00DA5C4E" w:rsidP="005F7D45">
      <w:pPr>
        <w:rPr>
          <w:rFonts w:eastAsia="Calibri"/>
        </w:rPr>
      </w:pPr>
      <w:r w:rsidRPr="00BC3DEC">
        <w:rPr>
          <w:rStyle w:val="FootnoteReference"/>
        </w:rPr>
        <w:footnoteRef/>
      </w:r>
      <w:r>
        <w:rPr>
          <w:rFonts w:eastAsia="Times New Roman"/>
          <w:sz w:val="16"/>
          <w:szCs w:val="16"/>
        </w:rPr>
        <w:tab/>
        <w:t>R</w:t>
      </w:r>
      <w:r w:rsidRPr="00570D77">
        <w:rPr>
          <w:rFonts w:eastAsia="Times New Roman"/>
          <w:sz w:val="16"/>
          <w:szCs w:val="16"/>
        </w:rPr>
        <w:t>egulation of the European Parliament and of the Council on a Single Market For Digital Services (DSA) and amending Directive 2000/31/EC.</w:t>
      </w:r>
    </w:p>
  </w:footnote>
  <w:footnote w:id="4">
    <w:p w:rsidR="00DA5C4E" w:rsidRPr="00DA5C4E" w:rsidRDefault="00DA5C4E" w:rsidP="000818F4">
      <w:pPr>
        <w:pStyle w:val="FootnoteText"/>
      </w:pPr>
      <w:r>
        <w:rPr>
          <w:rStyle w:val="FootnoteReference"/>
        </w:rPr>
        <w:footnoteRef/>
      </w:r>
      <w:r w:rsidRPr="00DA5C4E">
        <w:tab/>
      </w:r>
      <w:r w:rsidR="001F1539">
        <w:t xml:space="preserve">OJ C </w:t>
      </w:r>
      <w:r w:rsidR="001F1539" w:rsidRPr="00901830">
        <w:t>[…]</w:t>
      </w:r>
      <w:r w:rsidR="001F1539" w:rsidRPr="000234FF">
        <w:t xml:space="preserve">, </w:t>
      </w:r>
      <w:r w:rsidR="001F1539" w:rsidRPr="00901830">
        <w:t>[…]</w:t>
      </w:r>
      <w:r w:rsidR="001F1539" w:rsidRPr="000234FF">
        <w:t xml:space="preserve">, p. </w:t>
      </w:r>
      <w:r w:rsidR="001F1539" w:rsidRPr="00901830">
        <w:t>[…]</w:t>
      </w:r>
      <w:r w:rsidR="001F1539" w:rsidRPr="000234FF">
        <w:t>.</w:t>
      </w:r>
    </w:p>
  </w:footnote>
  <w:footnote w:id="5">
    <w:p w:rsidR="00DA5C4E" w:rsidRPr="00DA5C4E" w:rsidRDefault="00DA5C4E" w:rsidP="000818F4">
      <w:pPr>
        <w:pStyle w:val="FootnoteText"/>
      </w:pPr>
      <w:r>
        <w:rPr>
          <w:rStyle w:val="FootnoteReference"/>
        </w:rPr>
        <w:footnoteRef/>
      </w:r>
      <w:r w:rsidRPr="00DA5C4E">
        <w:tab/>
      </w:r>
      <w:r>
        <w:t xml:space="preserve">OJ C </w:t>
      </w:r>
      <w:r w:rsidRPr="00901830">
        <w:t>[…]</w:t>
      </w:r>
      <w:r w:rsidRPr="000234FF">
        <w:t xml:space="preserve">, </w:t>
      </w:r>
      <w:r w:rsidRPr="00901830">
        <w:t>[…]</w:t>
      </w:r>
      <w:r w:rsidRPr="000234FF">
        <w:t xml:space="preserve">, p. </w:t>
      </w:r>
      <w:r w:rsidRPr="00901830">
        <w:t>[…]</w:t>
      </w:r>
      <w:r w:rsidRPr="000234FF">
        <w:t>.</w:t>
      </w:r>
    </w:p>
  </w:footnote>
  <w:footnote w:id="6">
    <w:p w:rsidR="00DA5C4E" w:rsidRPr="009775DE" w:rsidRDefault="00DA5C4E" w:rsidP="007729D7">
      <w:pPr>
        <w:pStyle w:val="FootnoteText"/>
        <w:rPr>
          <w:lang w:val="en-IE"/>
        </w:rPr>
      </w:pPr>
      <w:r w:rsidRPr="00754887">
        <w:rPr>
          <w:rStyle w:val="FootnoteReference"/>
        </w:rPr>
        <w:footnoteRef/>
      </w:r>
      <w:r>
        <w:tab/>
        <w:t>Council conclusions on intellectual property policy and the revision of the industrial designs system in the Union, 10 November 2020.</w:t>
      </w:r>
    </w:p>
  </w:footnote>
  <w:footnote w:id="7">
    <w:p w:rsidR="00DA5C4E" w:rsidRPr="00DD6AD1" w:rsidRDefault="00DA5C4E" w:rsidP="000E20D4">
      <w:pPr>
        <w:spacing w:before="0" w:after="0"/>
        <w:rPr>
          <w:rFonts w:eastAsia="Calibri"/>
          <w:sz w:val="20"/>
          <w:szCs w:val="20"/>
        </w:rPr>
      </w:pPr>
      <w:r w:rsidRPr="00BC3DEC">
        <w:rPr>
          <w:rStyle w:val="FootnoteReference"/>
        </w:rPr>
        <w:footnoteRef/>
      </w:r>
      <w:r>
        <w:rPr>
          <w:sz w:val="20"/>
          <w:szCs w:val="20"/>
        </w:rPr>
        <w:tab/>
      </w:r>
      <w:r w:rsidRPr="004E379C">
        <w:rPr>
          <w:rFonts w:eastAsia="Times New Roman"/>
          <w:sz w:val="20"/>
          <w:szCs w:val="20"/>
        </w:rPr>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 (OJ L 130, 17.5.2019, p. 1).</w:t>
      </w:r>
    </w:p>
  </w:footnote>
  <w:footnote w:id="8">
    <w:p w:rsidR="00DA5C4E" w:rsidRPr="00DD6AD1" w:rsidRDefault="00DA5C4E" w:rsidP="000E20D4">
      <w:pPr>
        <w:spacing w:before="0" w:after="0"/>
        <w:rPr>
          <w:rFonts w:eastAsia="Calibri"/>
          <w:sz w:val="20"/>
          <w:szCs w:val="20"/>
        </w:rPr>
      </w:pPr>
      <w:r w:rsidRPr="00BC3DEC">
        <w:rPr>
          <w:rStyle w:val="FootnoteReference"/>
        </w:rPr>
        <w:footnoteRef/>
      </w:r>
      <w:r>
        <w:rPr>
          <w:sz w:val="20"/>
          <w:szCs w:val="20"/>
        </w:rPr>
        <w:tab/>
      </w:r>
      <w:r w:rsidRPr="004E379C">
        <w:rPr>
          <w:rFonts w:eastAsia="Times New Roman"/>
          <w:sz w:val="20"/>
          <w:szCs w:val="20"/>
        </w:rPr>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9">
    <w:p w:rsidR="00DA5C4E" w:rsidRPr="004E379C" w:rsidRDefault="00DA5C4E" w:rsidP="000E20D4">
      <w:pPr>
        <w:spacing w:before="0" w:after="0"/>
        <w:ind w:left="720" w:hanging="720"/>
        <w:rPr>
          <w:rFonts w:eastAsia="Times New Roman"/>
          <w:sz w:val="20"/>
          <w:szCs w:val="20"/>
        </w:rPr>
      </w:pPr>
      <w:r w:rsidRPr="00BC3DEC">
        <w:rPr>
          <w:rStyle w:val="FootnoteReference"/>
        </w:rPr>
        <w:footnoteRef/>
      </w:r>
      <w:r>
        <w:rPr>
          <w:sz w:val="20"/>
          <w:szCs w:val="20"/>
        </w:rPr>
        <w:tab/>
      </w:r>
      <w:r w:rsidRPr="0A8C9522">
        <w:rPr>
          <w:rFonts w:eastAsia="Times New Roman"/>
          <w:sz w:val="20"/>
          <w:szCs w:val="20"/>
        </w:rPr>
        <w:t>Regulation (EU) No 1151/2012 of the European Parliament and of the Council of 21 November 2012 on quality schemes for agricultural products and foodstuffs (OJ L 343, 14.12.2012, p. 1).</w:t>
      </w:r>
    </w:p>
  </w:footnote>
  <w:footnote w:id="10">
    <w:p w:rsidR="00DA5C4E" w:rsidRPr="00754887" w:rsidRDefault="00DA5C4E">
      <w:pPr>
        <w:pStyle w:val="FootnoteText"/>
      </w:pPr>
      <w:r w:rsidRPr="00754887">
        <w:rPr>
          <w:rStyle w:val="FootnoteReference"/>
        </w:rPr>
        <w:footnoteRef/>
      </w:r>
      <w:r>
        <w:tab/>
      </w:r>
      <w:r w:rsidRPr="00754887">
        <w:rPr>
          <w:rStyle w:val="Emphasis"/>
          <w:i w:val="0"/>
          <w:color w:val="444444"/>
          <w:sz w:val="21"/>
          <w:szCs w:val="21"/>
          <w:shd w:val="clear" w:color="auto" w:fill="FFFFFF"/>
        </w:rPr>
        <w:t>OJ L 271, 24.10.2019, p. 15.</w:t>
      </w:r>
    </w:p>
  </w:footnote>
  <w:footnote w:id="11">
    <w:p w:rsidR="00DA5C4E" w:rsidRPr="00DD6AD1" w:rsidRDefault="00DA5C4E" w:rsidP="00295BCA">
      <w:pPr>
        <w:pStyle w:val="FootnoteText"/>
      </w:pPr>
      <w:r w:rsidRPr="00DD6AD1">
        <w:rPr>
          <w:rStyle w:val="FootnoteReference"/>
        </w:rPr>
        <w:footnoteRef/>
      </w:r>
      <w:r>
        <w:tab/>
      </w:r>
      <w:r w:rsidRPr="00DD6AD1">
        <w:t>Council Regulation (EEC) N</w:t>
      </w:r>
      <w:r>
        <w:t>o</w:t>
      </w:r>
      <w:r w:rsidRPr="00DD6AD1">
        <w:t xml:space="preserve"> 2685/87 of 23 July 1987 </w:t>
      </w:r>
      <w:r w:rsidRPr="00DD6AD1">
        <w:rPr>
          <w:rFonts w:eastAsia="Times New Roman"/>
        </w:rPr>
        <w:t>on the tariff and statistical nomenclature and on the Common Customs Tariff</w:t>
      </w:r>
      <w:r w:rsidRPr="00DD6AD1">
        <w:t xml:space="preserve"> Regulation (OJ L 256, 7.9.1987 p.1)</w:t>
      </w:r>
      <w:r>
        <w:t>.</w:t>
      </w:r>
    </w:p>
  </w:footnote>
  <w:footnote w:id="12">
    <w:p w:rsidR="00DA5C4E" w:rsidRPr="00295BCA" w:rsidRDefault="00DA5C4E" w:rsidP="00295BCA">
      <w:pPr>
        <w:pStyle w:val="FootnoteText"/>
        <w:rPr>
          <w:rFonts w:eastAsia="Calibri"/>
          <w:szCs w:val="24"/>
        </w:rPr>
      </w:pPr>
      <w:r w:rsidRPr="00DD6AD1">
        <w:rPr>
          <w:rStyle w:val="FootnoteReference"/>
        </w:rPr>
        <w:footnoteRef/>
      </w:r>
      <w:r>
        <w:tab/>
      </w:r>
      <w:r w:rsidRPr="00451ECF">
        <w:rPr>
          <w:rFonts w:eastAsia="Times New Roman"/>
          <w:sz w:val="21"/>
          <w:szCs w:val="21"/>
        </w:rPr>
        <w:t>Reg</w:t>
      </w:r>
      <w:r w:rsidRPr="00295BCA">
        <w:rPr>
          <w:rFonts w:eastAsia="Times New Roman"/>
          <w:sz w:val="21"/>
          <w:szCs w:val="21"/>
        </w:rPr>
        <w:t>ulation (EU) 2016/679 of the European Parliament and of the Council of 27 April 2016 on the protection of natural persons with regard to the processing of personal data and on the free movement of such data, and repealing Directive 95/46/EC (OJ L 119, 4.5.2016, p. 1</w:t>
      </w:r>
      <w:r w:rsidRPr="00295BCA">
        <w:rPr>
          <w:rFonts w:eastAsia="Times New Roman"/>
          <w:i/>
          <w:sz w:val="21"/>
          <w:szCs w:val="21"/>
        </w:rPr>
        <w:t>).</w:t>
      </w:r>
    </w:p>
  </w:footnote>
  <w:footnote w:id="13">
    <w:p w:rsidR="00DA5C4E" w:rsidRPr="00295BCA" w:rsidRDefault="00DA5C4E" w:rsidP="00B06DF6">
      <w:pPr>
        <w:pStyle w:val="FootnoteText"/>
      </w:pPr>
      <w:r w:rsidRPr="00295BCA">
        <w:rPr>
          <w:rStyle w:val="FootnoteReference"/>
        </w:rPr>
        <w:footnoteRef/>
      </w:r>
      <w:r w:rsidRPr="00295BCA">
        <w:tab/>
        <w:t>Directive 2002/58/EC of the European Parliament and of the Council of 12 July 2002 concerning the processing of personal data and the protection of privacy in the electronic communications sector (Directive on privacy and electronic communications) (OJ L 201</w:t>
      </w:r>
      <w:r w:rsidRPr="00295BCA">
        <w:rPr>
          <w:i/>
          <w:iCs/>
        </w:rPr>
        <w:t xml:space="preserve">, </w:t>
      </w:r>
      <w:r w:rsidRPr="00295BCA">
        <w:rPr>
          <w:iCs/>
        </w:rPr>
        <w:t>31. 7.2002, p. 37</w:t>
      </w:r>
      <w:r w:rsidRPr="00295BCA">
        <w:t xml:space="preserve">). </w:t>
      </w:r>
    </w:p>
  </w:footnote>
  <w:footnote w:id="14">
    <w:p w:rsidR="00DA5C4E" w:rsidRPr="007956F6" w:rsidRDefault="00DA5C4E">
      <w:pPr>
        <w:pStyle w:val="FootnoteText"/>
        <w:rPr>
          <w:lang w:val="en-US"/>
        </w:rPr>
      </w:pPr>
      <w:r w:rsidRPr="00295BCA">
        <w:rPr>
          <w:rStyle w:val="FootnoteReference"/>
        </w:rPr>
        <w:footnoteRef/>
      </w:r>
      <w:r w:rsidRPr="00295BCA">
        <w:tab/>
      </w:r>
      <w:r w:rsidRPr="00295BCA">
        <w:rPr>
          <w:rFonts w:eastAsia="Times New Roman"/>
        </w:rPr>
        <w:t>Regulation (E</w:t>
      </w:r>
      <w:r w:rsidRPr="2CA0069F">
        <w:rPr>
          <w:rFonts w:eastAsia="Times New Roman"/>
        </w:rPr>
        <w:t>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15">
    <w:p w:rsidR="00DA5C4E" w:rsidRPr="00BA174B" w:rsidRDefault="00DA5C4E" w:rsidP="00FB6BAE">
      <w:pPr>
        <w:pStyle w:val="FootnoteText"/>
        <w:rPr>
          <w:lang w:val="en-IE"/>
        </w:rPr>
      </w:pPr>
      <w:r w:rsidRPr="00754887">
        <w:rPr>
          <w:rStyle w:val="FootnoteReference"/>
        </w:rPr>
        <w:footnoteRef/>
      </w:r>
      <w:r>
        <w:tab/>
        <w:t xml:space="preserve">Regulation (EU) No 182/2011 of the European Parliament and of the Council of 16 February 2011 laying down the rules and general principles concerning mechanisms for control by Member States of the Commission’s exercise of implementing powers </w:t>
      </w:r>
      <w:r w:rsidRPr="00BA174B">
        <w:t>(</w:t>
      </w:r>
      <w:r w:rsidRPr="00754887">
        <w:rPr>
          <w:rStyle w:val="Emphasis"/>
          <w:i w:val="0"/>
          <w:color w:val="444444"/>
          <w:sz w:val="21"/>
          <w:szCs w:val="21"/>
          <w:shd w:val="clear" w:color="auto" w:fill="FFFFFF"/>
        </w:rPr>
        <w:t>OJ L 55, 28.2.2011, p. 13</w:t>
      </w:r>
      <w:r w:rsidRPr="00BA174B">
        <w:t>).</w:t>
      </w:r>
    </w:p>
  </w:footnote>
  <w:footnote w:id="16">
    <w:p w:rsidR="00DA5C4E" w:rsidRDefault="00DA5C4E" w:rsidP="00B60265">
      <w:r w:rsidRPr="00355102">
        <w:rPr>
          <w:rStyle w:val="FootnoteReference"/>
        </w:rPr>
        <w:footnoteRef/>
      </w:r>
      <w:r>
        <w:tab/>
        <w:t>Council Decision 94/800/EC of 22 December 1994 concerning the conclusion on behalf of the European Community, as regards matters within its competence, of the agreements reached in the Uruguay Round multilateral negotiations (1986-1994) (OJ L 336, 23.12.1994, p. 1).</w:t>
      </w:r>
    </w:p>
    <w:p w:rsidR="00DA5C4E" w:rsidRPr="00B60265" w:rsidRDefault="00DA5C4E">
      <w:pPr>
        <w:pStyle w:val="FootnoteText"/>
      </w:pPr>
    </w:p>
  </w:footnote>
  <w:footnote w:id="17">
    <w:p w:rsidR="00DA5C4E" w:rsidRPr="004B34B1" w:rsidRDefault="00DA5C4E" w:rsidP="00232FC2">
      <w:pPr>
        <w:pStyle w:val="FootnoteText"/>
      </w:pPr>
      <w:r w:rsidRPr="00754887">
        <w:rPr>
          <w:rStyle w:val="FootnoteReference"/>
        </w:rPr>
        <w:footnoteRef/>
      </w:r>
      <w:r>
        <w:tab/>
      </w:r>
      <w:r w:rsidRPr="00841B06">
        <w:t>Commission Delegated Regulation (EU) No 664/2014 of 18 December 2013 supplementing Regulation (EU) No 1151/2012 of the European Parliament and of the Council with regard to the establishment of the Union symbols for protected designations of origin, protected geographical indications and traditional specialities guaranteed and with regard to certain rules on sourcing, certain procedural rules and certain additional transitional rules</w:t>
      </w:r>
      <w:r>
        <w:t xml:space="preserve"> (</w:t>
      </w:r>
      <w:r w:rsidRPr="00841B06">
        <w:t>OJ L 179, 19.6.2014, p. 17</w:t>
      </w:r>
      <w:r>
        <w:t>).</w:t>
      </w:r>
    </w:p>
    <w:p w:rsidR="00DA5C4E" w:rsidRPr="004B34B1" w:rsidRDefault="00DA5C4E" w:rsidP="00232FC2">
      <w:pPr>
        <w:pStyle w:val="FootnoteText"/>
      </w:pPr>
    </w:p>
  </w:footnote>
  <w:footnote w:id="18">
    <w:p w:rsidR="00DA5C4E" w:rsidRDefault="00DA5C4E" w:rsidP="00D62A5E">
      <w:pPr>
        <w:pStyle w:val="FootnoteText"/>
        <w:rPr>
          <w:rFonts w:eastAsia="Calibri"/>
        </w:rPr>
      </w:pPr>
      <w:r w:rsidRPr="00754887">
        <w:rPr>
          <w:rStyle w:val="FootnoteReference"/>
        </w:rPr>
        <w:footnoteRef/>
      </w:r>
      <w:r>
        <w:rPr>
          <w:rFonts w:eastAsia="Calibri"/>
        </w:rPr>
        <w:tab/>
      </w:r>
      <w:r w:rsidRPr="6A6B7DA9">
        <w:t>Directive 2004/48/EC of the European Parliament and of the Council of 29 April 2004 on the enforcement of intellectual property rights.</w:t>
      </w:r>
    </w:p>
  </w:footnote>
  <w:footnote w:id="19">
    <w:p w:rsidR="00DA5C4E" w:rsidRDefault="00DA5C4E" w:rsidP="00227B75">
      <w:pPr>
        <w:rPr>
          <w:rFonts w:eastAsia="Calibri"/>
          <w:szCs w:val="24"/>
        </w:rPr>
      </w:pPr>
      <w:r w:rsidRPr="00BC3DEC">
        <w:rPr>
          <w:rStyle w:val="FootnoteReference"/>
        </w:rPr>
        <w:footnoteRef/>
      </w:r>
      <w:r>
        <w:rPr>
          <w:vertAlign w:val="superscript"/>
        </w:rPr>
        <w:tab/>
      </w:r>
      <w:r w:rsidRPr="290B484B">
        <w:rPr>
          <w:rFonts w:eastAsia="Times New Roman"/>
          <w:sz w:val="20"/>
          <w:szCs w:val="20"/>
        </w:rPr>
        <w:t>Regulation (EC) No 765/2008 of the European Parliament and of the Council of 9 July 2008 setting out the requirements for accreditation and repealing Regulation (EEC) No 339/93 (OJ L 218 13.8.2008, p. 30).</w:t>
      </w:r>
    </w:p>
  </w:footnote>
  <w:footnote w:id="20">
    <w:p w:rsidR="00DA5C4E" w:rsidRPr="00196242" w:rsidRDefault="00DA5C4E">
      <w:pPr>
        <w:pStyle w:val="FootnoteText"/>
        <w:rPr>
          <w:lang w:val="en-IE"/>
        </w:rPr>
      </w:pPr>
      <w:r w:rsidRPr="00355102">
        <w:rPr>
          <w:rStyle w:val="FootnoteReference"/>
        </w:rPr>
        <w:footnoteRef/>
      </w:r>
      <w:r>
        <w:tab/>
      </w:r>
      <w:r w:rsidRPr="0062207C">
        <w:t>Regulation of the European Parliament and of the Council on a Single Market For Digital Services (DSA) and amending Directive 2000/31/EC.</w:t>
      </w:r>
    </w:p>
  </w:footnote>
  <w:footnote w:id="21">
    <w:p w:rsidR="00DA5C4E" w:rsidRPr="00D62A5E" w:rsidRDefault="00DA5C4E">
      <w:pPr>
        <w:pStyle w:val="FootnoteText"/>
        <w:rPr>
          <w:lang w:val="en-US"/>
        </w:rPr>
      </w:pPr>
      <w:r w:rsidRPr="00754887">
        <w:rPr>
          <w:rStyle w:val="FootnoteReference"/>
        </w:rPr>
        <w:footnoteRef/>
      </w:r>
      <w:r>
        <w:tab/>
      </w:r>
      <w:r w:rsidRPr="00D62A5E">
        <w:rPr>
          <w:sz w:val="16"/>
          <w:szCs w:val="16"/>
        </w:rPr>
        <w:t>R</w:t>
      </w:r>
      <w:r w:rsidRPr="00D62A5E">
        <w:rPr>
          <w:color w:val="444444"/>
          <w:sz w:val="16"/>
          <w:szCs w:val="16"/>
          <w:lang w:val="en-US"/>
        </w:rPr>
        <w:t>egulation (EU) 2019/1753 of the European Parliament and of the Council of 23 October 2019 on the action of the Union following its accession to the Geneva Act of the Lisbon Agreement on Appellations of Origin and Geographical Indications (</w:t>
      </w:r>
      <w:r w:rsidRPr="00D62A5E">
        <w:rPr>
          <w:iCs/>
          <w:color w:val="444444"/>
          <w:sz w:val="16"/>
          <w:szCs w:val="16"/>
          <w:lang w:val="en-US"/>
        </w:rPr>
        <w:t>OJ L 271, 24.10.2019, p. 1</w:t>
      </w:r>
      <w:r w:rsidRPr="00D62A5E">
        <w:rPr>
          <w:i/>
          <w:iCs/>
          <w:color w:val="444444"/>
          <w:sz w:val="16"/>
          <w:szCs w:val="16"/>
          <w:lang w:val="en-US"/>
        </w:rPr>
        <w:t>).</w:t>
      </w:r>
    </w:p>
  </w:footnote>
  <w:footnote w:id="22">
    <w:p w:rsidR="00DA5C4E" w:rsidRPr="00D62A5E" w:rsidRDefault="00DA5C4E">
      <w:pPr>
        <w:pStyle w:val="FootnoteText"/>
        <w:rPr>
          <w:lang w:val="en-US"/>
        </w:rPr>
      </w:pPr>
      <w:r w:rsidRPr="00754887">
        <w:rPr>
          <w:rStyle w:val="FootnoteReference"/>
        </w:rPr>
        <w:footnoteRef/>
      </w:r>
      <w:r>
        <w:tab/>
      </w:r>
      <w:r w:rsidRPr="00D62A5E">
        <w:rPr>
          <w:color w:val="444444"/>
          <w:sz w:val="16"/>
          <w:szCs w:val="16"/>
          <w:lang w:val="en-US"/>
        </w:rPr>
        <w:t>Regulation (EU) 2017/1001 of the European Parliament and of the Council of 14 June 2017 on the European Union trade mark (OJ L 154, 16.6.2017, p. 1).</w:t>
      </w:r>
    </w:p>
  </w:footnote>
  <w:footnote w:id="23">
    <w:p w:rsidR="00DA5C4E" w:rsidRDefault="00DA5C4E" w:rsidP="00227B75">
      <w:pPr>
        <w:rPr>
          <w:rFonts w:eastAsia="Calibri"/>
        </w:rPr>
      </w:pPr>
      <w:r w:rsidRPr="00DD6AD1">
        <w:rPr>
          <w:rStyle w:val="FootnoteReference"/>
        </w:rPr>
        <w:footnoteRef/>
      </w:r>
      <w:r>
        <w:rPr>
          <w:rFonts w:eastAsia="Times New Roman"/>
          <w:sz w:val="16"/>
          <w:szCs w:val="16"/>
          <w:vertAlign w:val="superscript"/>
        </w:rPr>
        <w:tab/>
      </w:r>
      <w:r w:rsidRPr="00570D77">
        <w:rPr>
          <w:rFonts w:eastAsia="Times New Roman"/>
          <w:sz w:val="16"/>
          <w:szCs w:val="16"/>
        </w:rPr>
        <w:t>OJ L 55, 28.2.2011, p. 13.</w:t>
      </w:r>
    </w:p>
  </w:footnote>
  <w:footnote w:id="24">
    <w:p w:rsidR="00DA5C4E" w:rsidRPr="00D62A5E" w:rsidRDefault="00DA5C4E" w:rsidP="00051858">
      <w:pPr>
        <w:pStyle w:val="FootnoteText"/>
        <w:rPr>
          <w:lang w:val="en-US"/>
        </w:rPr>
      </w:pPr>
      <w:r w:rsidRPr="00754887">
        <w:rPr>
          <w:rStyle w:val="FootnoteReference"/>
        </w:rPr>
        <w:footnoteRef/>
      </w:r>
      <w:r>
        <w:tab/>
      </w:r>
      <w:r w:rsidRPr="00D62A5E">
        <w:rPr>
          <w:color w:val="444444"/>
          <w:sz w:val="16"/>
          <w:szCs w:val="16"/>
          <w:lang w:val="en-US"/>
        </w:rPr>
        <w:t>Interinstitutional Agreement between the European Parliament, the Council of the European Union and the European Commission on Better Law-Making (</w:t>
      </w:r>
      <w:r w:rsidRPr="00D62A5E">
        <w:rPr>
          <w:iCs/>
          <w:color w:val="444444"/>
          <w:sz w:val="16"/>
          <w:szCs w:val="16"/>
          <w:lang w:val="en-US"/>
        </w:rPr>
        <w:t>OJ L 123, 12.5.2016, p. 1)</w:t>
      </w:r>
      <w:r w:rsidRPr="00D62A5E">
        <w:rPr>
          <w:i/>
          <w:iCs/>
          <w:color w:val="444444"/>
          <w:sz w:val="16"/>
          <w:szCs w:val="16"/>
          <w:lang w:val="en-US"/>
        </w:rPr>
        <w:t>.</w:t>
      </w:r>
    </w:p>
  </w:footnote>
  <w:footnote w:id="25">
    <w:p w:rsidR="00DA5C4E" w:rsidRPr="00DD6AD1" w:rsidRDefault="00DA5C4E" w:rsidP="00E775BE">
      <w:pPr>
        <w:rPr>
          <w:sz w:val="20"/>
          <w:szCs w:val="20"/>
        </w:rPr>
      </w:pPr>
      <w:r w:rsidRPr="00DD6AD1">
        <w:rPr>
          <w:rStyle w:val="FootnoteReference"/>
        </w:rPr>
        <w:footnoteRef/>
      </w:r>
      <w:r>
        <w:rPr>
          <w:sz w:val="20"/>
          <w:szCs w:val="20"/>
        </w:rPr>
        <w:tab/>
      </w:r>
      <w:r w:rsidRPr="00DD6AD1">
        <w:rPr>
          <w:sz w:val="20"/>
          <w:szCs w:val="20"/>
        </w:rPr>
        <w:t xml:space="preserve">Council Regulation (EEC) N0 2685/87 of 23 July 1987 </w:t>
      </w:r>
      <w:r w:rsidRPr="00DD6AD1">
        <w:rPr>
          <w:rFonts w:eastAsia="Times New Roman"/>
          <w:sz w:val="20"/>
          <w:szCs w:val="20"/>
        </w:rPr>
        <w:t>on the tariff and statistical nomenclature and on the Common Customs Tariff</w:t>
      </w:r>
      <w:r w:rsidRPr="00DD6AD1">
        <w:rPr>
          <w:sz w:val="20"/>
          <w:szCs w:val="20"/>
        </w:rPr>
        <w:t xml:space="preserve"> Regulation (OJ L 256, 7.9.1987 p.1)</w:t>
      </w:r>
    </w:p>
  </w:footnote>
  <w:footnote w:id="26">
    <w:p w:rsidR="00DA5C4E" w:rsidRPr="00DD6AD1" w:rsidRDefault="00DA5C4E" w:rsidP="00E775BE">
      <w:pPr>
        <w:spacing w:before="0" w:after="0"/>
        <w:rPr>
          <w:rFonts w:eastAsia="Calibri"/>
          <w:sz w:val="20"/>
          <w:szCs w:val="20"/>
        </w:rPr>
      </w:pPr>
      <w:r w:rsidRPr="00BC3DEC">
        <w:rPr>
          <w:rStyle w:val="FootnoteReference"/>
        </w:rPr>
        <w:footnoteRef/>
      </w:r>
      <w:r>
        <w:rPr>
          <w:sz w:val="20"/>
          <w:szCs w:val="20"/>
        </w:rPr>
        <w:tab/>
      </w:r>
      <w:r w:rsidRPr="004E379C">
        <w:rPr>
          <w:rFonts w:eastAsia="Times New Roman"/>
          <w:sz w:val="20"/>
          <w:szCs w:val="20"/>
        </w:rPr>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 (OJ L 130, 17.5.2019, p. 1).</w:t>
      </w:r>
    </w:p>
  </w:footnote>
  <w:footnote w:id="27">
    <w:p w:rsidR="00DA5C4E" w:rsidRPr="00DD6AD1" w:rsidRDefault="00DA5C4E" w:rsidP="00E775BE">
      <w:pPr>
        <w:spacing w:before="0" w:after="0"/>
        <w:rPr>
          <w:rFonts w:eastAsia="Calibri"/>
          <w:sz w:val="20"/>
          <w:szCs w:val="20"/>
        </w:rPr>
      </w:pPr>
      <w:r w:rsidRPr="00BC3DEC">
        <w:rPr>
          <w:rStyle w:val="FootnoteReference"/>
        </w:rPr>
        <w:footnoteRef/>
      </w:r>
      <w:r>
        <w:rPr>
          <w:sz w:val="20"/>
          <w:szCs w:val="20"/>
        </w:rPr>
        <w:tab/>
      </w:r>
      <w:r w:rsidRPr="004E379C">
        <w:rPr>
          <w:rFonts w:eastAsia="Times New Roman"/>
          <w:sz w:val="20"/>
          <w:szCs w:val="20"/>
        </w:rPr>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28">
    <w:p w:rsidR="00DA5C4E" w:rsidRPr="004E379C" w:rsidRDefault="00DA5C4E" w:rsidP="00E775BE">
      <w:pPr>
        <w:spacing w:before="0" w:after="0"/>
        <w:ind w:left="720" w:hanging="720"/>
        <w:rPr>
          <w:rFonts w:eastAsia="Times New Roman"/>
          <w:sz w:val="20"/>
          <w:szCs w:val="20"/>
        </w:rPr>
      </w:pPr>
      <w:r w:rsidRPr="00BC3DEC">
        <w:rPr>
          <w:rStyle w:val="FootnoteReference"/>
        </w:rPr>
        <w:footnoteRef/>
      </w:r>
      <w:r>
        <w:rPr>
          <w:sz w:val="20"/>
          <w:szCs w:val="20"/>
        </w:rPr>
        <w:tab/>
      </w:r>
      <w:r w:rsidRPr="004E379C">
        <w:rPr>
          <w:rFonts w:eastAsia="Times New Roman"/>
          <w:sz w:val="20"/>
          <w:szCs w:val="20"/>
        </w:rPr>
        <w:t>Regulation (EU) No 1151/2012 of the European Parliament and of the Council of 21 November 2012 on quality schemes for agricultural products and foodstuffs (OJ L 343, 14.12.2012, p. 1).</w:t>
      </w:r>
    </w:p>
  </w:footnote>
  <w:footnote w:id="29">
    <w:p w:rsidR="00DA5C4E" w:rsidRDefault="00DA5C4E" w:rsidP="00E775BE">
      <w:pPr>
        <w:spacing w:before="0" w:after="0"/>
        <w:rPr>
          <w:rFonts w:eastAsia="Calibri"/>
          <w:szCs w:val="24"/>
        </w:rPr>
      </w:pPr>
      <w:r w:rsidRPr="00BC3DEC">
        <w:rPr>
          <w:rStyle w:val="FootnoteReference"/>
        </w:rPr>
        <w:footnoteRef/>
      </w:r>
      <w:r>
        <w:rPr>
          <w:sz w:val="20"/>
          <w:szCs w:val="20"/>
        </w:rPr>
        <w:tab/>
      </w:r>
      <w:r w:rsidRPr="004E379C">
        <w:rPr>
          <w:rFonts w:eastAsia="Times New Roman"/>
          <w:sz w:val="20"/>
          <w:szCs w:val="20"/>
        </w:rPr>
        <w:t>Directive (EU) 2015/1535 of the European Parliament and of the Council of 9 September 2015 laying down a procedure for the provision of information in the field of technical regulations and of rules on Information Society services (OJ L 241, 17.9.2015, p. 1).</w:t>
      </w:r>
    </w:p>
  </w:footnote>
  <w:footnote w:id="30">
    <w:p w:rsidR="00DA5C4E" w:rsidRDefault="00DA5C4E" w:rsidP="00E775BE">
      <w:pPr>
        <w:spacing w:before="0" w:after="0"/>
        <w:rPr>
          <w:rFonts w:eastAsia="Calibri"/>
          <w:szCs w:val="24"/>
        </w:rPr>
      </w:pPr>
      <w:r w:rsidRPr="00DD6AD1">
        <w:rPr>
          <w:rStyle w:val="FootnoteReference"/>
        </w:rPr>
        <w:footnoteRef/>
      </w:r>
      <w:r>
        <w:tab/>
      </w:r>
      <w:r w:rsidRPr="2CA0069F">
        <w:rPr>
          <w:rFonts w:eastAsia="Times New Roman"/>
          <w:sz w:val="20"/>
          <w:szCs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1">
    <w:p w:rsidR="00DA5C4E" w:rsidRPr="00451ECF" w:rsidRDefault="00DA5C4E" w:rsidP="00E775BE">
      <w:pPr>
        <w:spacing w:before="0" w:after="0"/>
        <w:rPr>
          <w:rFonts w:ascii="Roboto" w:eastAsia="Roboto" w:hAnsi="Roboto" w:cs="Roboto"/>
          <w:i/>
          <w:sz w:val="21"/>
          <w:szCs w:val="21"/>
        </w:rPr>
      </w:pPr>
      <w:r w:rsidRPr="00DD6AD1">
        <w:rPr>
          <w:rStyle w:val="FootnoteReference"/>
        </w:rPr>
        <w:footnoteRef/>
      </w:r>
      <w:r>
        <w:tab/>
      </w:r>
      <w:r w:rsidRPr="00451ECF">
        <w:rPr>
          <w:rFonts w:eastAsia="Times New Roman"/>
          <w:sz w:val="21"/>
          <w:szCs w:val="21"/>
        </w:rPr>
        <w:t xml:space="preserve">Regulation (EU) 2016/679 of the European Parliament and of the Council of 27 April 2016 on the protection of natural persons with regard to the processing of personal data and on the free movement of such data, and repealing Directive 95/46/EC , </w:t>
      </w:r>
      <w:r w:rsidRPr="00451ECF">
        <w:rPr>
          <w:rFonts w:eastAsia="Times New Roman"/>
          <w:i/>
          <w:sz w:val="21"/>
          <w:szCs w:val="21"/>
        </w:rPr>
        <w:t>OJ L 119, 4.5.2016, p. 1–88.</w:t>
      </w:r>
    </w:p>
    <w:p w:rsidR="00DA5C4E" w:rsidRDefault="00DA5C4E" w:rsidP="00E775BE">
      <w:pPr>
        <w:rPr>
          <w:rFonts w:eastAsia="Calibri"/>
          <w:szCs w:val="24"/>
        </w:rPr>
      </w:pPr>
    </w:p>
  </w:footnote>
  <w:footnote w:id="32">
    <w:p w:rsidR="00DA5C4E" w:rsidRPr="00760E68" w:rsidRDefault="00DA5C4E">
      <w:pPr>
        <w:pStyle w:val="FootnoteText"/>
        <w:rPr>
          <w:lang w:val="en-IE"/>
        </w:rPr>
      </w:pPr>
      <w:r>
        <w:rPr>
          <w:rStyle w:val="FootnoteReference"/>
        </w:rPr>
        <w:footnoteRef/>
      </w:r>
      <w:r w:rsidRPr="00760E68">
        <w:rPr>
          <w:lang w:val="en-IE"/>
        </w:rPr>
        <w:tab/>
      </w:r>
      <w:r w:rsidRPr="006171B8">
        <w:rPr>
          <w:lang w:val="en-IE"/>
        </w:rPr>
        <w:t>Regulation (EU) 2019/1753 of the European Parliament and of the Council</w:t>
      </w:r>
      <w:r w:rsidRPr="006171B8" w:rsidDel="0078258A">
        <w:rPr>
          <w:lang w:val="en-IE"/>
        </w:rPr>
        <w:t xml:space="preserve"> </w:t>
      </w:r>
      <w:r w:rsidRPr="006171B8">
        <w:rPr>
          <w:lang w:val="en-IE"/>
        </w:rPr>
        <w:t>of 23 October 2019 on the action of the Union following its accession to the Geneva Act of the Lisbon Agreement on Appellations of Origin and Geographical Indications (OJ L 271, 24.10.2019, p. 1–11</w:t>
      </w:r>
      <w:r>
        <w:rPr>
          <w:lang w:val="en-IE"/>
        </w:rPr>
        <w:t>)</w:t>
      </w:r>
    </w:p>
  </w:footnote>
  <w:footnote w:id="33">
    <w:p w:rsidR="00DA5C4E" w:rsidRPr="004B34B1" w:rsidRDefault="00DA5C4E" w:rsidP="00E775BE">
      <w:pPr>
        <w:pStyle w:val="FootnoteText"/>
      </w:pPr>
      <w:r w:rsidRPr="00DD6AD1">
        <w:rPr>
          <w:rStyle w:val="FootnoteReference"/>
        </w:rPr>
        <w:footnoteRef/>
      </w:r>
      <w:r>
        <w:tab/>
      </w:r>
      <w:r w:rsidRPr="0046092F">
        <w:t>Directive (EU) 2015/2436 of the European Parliament and of the Council of 16 December 2015 to approximate the laws of the Member States relating to trade marks (OJ L 336, 23.12.2015, p. 1).</w:t>
      </w:r>
    </w:p>
  </w:footnote>
  <w:footnote w:id="34">
    <w:p w:rsidR="00DA5C4E" w:rsidRPr="004B34B1" w:rsidRDefault="00DA5C4E" w:rsidP="00E775BE">
      <w:pPr>
        <w:pStyle w:val="FootnoteText"/>
      </w:pPr>
      <w:r w:rsidRPr="00BC3DEC">
        <w:rPr>
          <w:rStyle w:val="FootnoteReference"/>
        </w:rPr>
        <w:footnoteRef/>
      </w:r>
      <w:r>
        <w:tab/>
      </w:r>
      <w:r w:rsidRPr="00841B06">
        <w:t>Commission Delegated Regulation (EU) No 664/2014 of 18 December 2013 supplementing Regulation (EU) No 1151/2012 of the European Parliament and of the Council with regard to the establishment of the Union symbols for protected designations of origin, protected geographical indications and traditional specialities guaranteed and with regard to certain rules on sourcing, certain procedural rules and certain additional transitional rules</w:t>
      </w:r>
      <w:r>
        <w:t xml:space="preserve"> (</w:t>
      </w:r>
      <w:r w:rsidRPr="00841B06">
        <w:t>OJ L 179, 19.6.2014, p. 17</w:t>
      </w:r>
      <w:r>
        <w:t>).</w:t>
      </w:r>
    </w:p>
    <w:p w:rsidR="00DA5C4E" w:rsidRPr="004B34B1" w:rsidRDefault="00DA5C4E" w:rsidP="00E775BE">
      <w:pPr>
        <w:pStyle w:val="FootnoteText"/>
      </w:pPr>
    </w:p>
  </w:footnote>
  <w:footnote w:id="35">
    <w:p w:rsidR="00DA5C4E" w:rsidRDefault="00DA5C4E" w:rsidP="00E775BE">
      <w:pPr>
        <w:rPr>
          <w:rFonts w:eastAsia="Calibri"/>
        </w:rPr>
      </w:pPr>
      <w:r w:rsidRPr="00DD6AD1">
        <w:rPr>
          <w:rStyle w:val="FootnoteReference"/>
        </w:rPr>
        <w:footnoteRef/>
      </w:r>
      <w:r>
        <w:rPr>
          <w:rFonts w:eastAsia="Times New Roman"/>
          <w:sz w:val="16"/>
          <w:szCs w:val="16"/>
        </w:rPr>
        <w:tab/>
      </w:r>
      <w:bookmarkStart w:id="3" w:name="_Hlk99573861"/>
      <w:r w:rsidRPr="00570D77">
        <w:rPr>
          <w:rFonts w:eastAsia="Times New Roman"/>
          <w:sz w:val="16"/>
          <w:szCs w:val="16"/>
        </w:rPr>
        <w:t>Regulation of the European Parliament and of the Council on a Single Market For Digital Services (DSA) and amending Directive 2000/31/EC.</w:t>
      </w:r>
      <w:bookmarkEnd w:id="3"/>
    </w:p>
  </w:footnote>
  <w:footnote w:id="36">
    <w:p w:rsidR="00DA5C4E" w:rsidRDefault="00DA5C4E" w:rsidP="00E775BE">
      <w:pPr>
        <w:rPr>
          <w:rFonts w:eastAsia="Calibri"/>
          <w:szCs w:val="24"/>
        </w:rPr>
      </w:pPr>
      <w:r w:rsidRPr="00DD6AD1">
        <w:rPr>
          <w:rStyle w:val="FootnoteReference"/>
        </w:rPr>
        <w:footnoteRef/>
      </w:r>
      <w:r>
        <w:tab/>
      </w:r>
      <w:r w:rsidRPr="0BD26F51">
        <w:rPr>
          <w:rFonts w:eastAsia="Times New Roman"/>
          <w:sz w:val="20"/>
          <w:szCs w:val="20"/>
        </w:rPr>
        <w:t>Council Decision (EU) 2019/1754 of 7 October 2019 on the accession of the European Union to the Geneva Act of the Lisbon Agreement on Appellations of Origin and Geographical Indications (OJ L 271, 24.10.2019, p. 12).</w:t>
      </w:r>
    </w:p>
  </w:footnote>
  <w:footnote w:id="37">
    <w:p w:rsidR="00DA5C4E" w:rsidRPr="00196242" w:rsidRDefault="00DA5C4E">
      <w:pPr>
        <w:pStyle w:val="FootnoteText"/>
        <w:rPr>
          <w:lang w:val="en-US"/>
        </w:rPr>
      </w:pPr>
      <w:r w:rsidRPr="00295BCA">
        <w:rPr>
          <w:rStyle w:val="FootnoteReference"/>
        </w:rPr>
        <w:footnoteRef/>
      </w:r>
      <w:r w:rsidRPr="00295BCA">
        <w:tab/>
        <w:t>Council Regulation No 1 determining the languages to be used by the European Economic Community (OJ 17, 6.10.1958, p. 385.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8E" w:rsidRPr="00F10E8E" w:rsidRDefault="00F10E8E" w:rsidP="00F10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8E" w:rsidRPr="00F10E8E" w:rsidRDefault="00F10E8E" w:rsidP="00F10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8E" w:rsidRPr="00F10E8E" w:rsidRDefault="00F10E8E" w:rsidP="00F1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674D9C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B8437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B1C068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B867CF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AAB58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BF85F3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044734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88EA4D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num>
  <w:num w:numId="13">
    <w:abstractNumId w:val="15"/>
    <w:lvlOverride w:ilvl="0">
      <w:startOverride w:val="1"/>
    </w:lvlOverride>
  </w:num>
  <w:num w:numId="14">
    <w:abstractNumId w:val="19"/>
    <w:lvlOverride w:ilvl="0">
      <w:startOverride w:val="1"/>
    </w:lvlOverride>
  </w:num>
  <w:num w:numId="15">
    <w:abstractNumId w:val="12"/>
    <w:lvlOverride w:ilvl="0">
      <w:startOverride w:val="1"/>
    </w:lvlOverride>
  </w:num>
  <w:num w:numId="16">
    <w:abstractNumId w:val="21"/>
    <w:lvlOverride w:ilvl="0">
      <w:startOverride w:val="1"/>
    </w:lvlOverride>
  </w:num>
  <w:num w:numId="17">
    <w:abstractNumId w:val="8"/>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
    <w:lvlOverride w:ilvl="0">
      <w:startOverride w:val="1"/>
    </w:lvlOverride>
  </w:num>
  <w:num w:numId="111">
    <w:abstractNumId w:val="19"/>
    <w:lvlOverride w:ilvl="0">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lvlOverride w:ilvl="0">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
    <w:lvlOverride w:ilvl="0">
      <w:startOverride w:val="1"/>
    </w:lvlOverride>
  </w:num>
  <w:num w:numId="116">
    <w:abstractNumId w:val="19"/>
  </w:num>
  <w:num w:numId="117">
    <w:abstractNumId w:val="12"/>
  </w:num>
  <w:num w:numId="118">
    <w:abstractNumId w:val="21"/>
  </w:num>
  <w:num w:numId="119">
    <w:abstractNumId w:val="11"/>
  </w:num>
  <w:num w:numId="120">
    <w:abstractNumId w:val="13"/>
  </w:num>
  <w:num w:numId="121">
    <w:abstractNumId w:val="14"/>
  </w:num>
  <w:num w:numId="122">
    <w:abstractNumId w:val="9"/>
  </w:num>
  <w:num w:numId="123">
    <w:abstractNumId w:val="20"/>
  </w:num>
  <w:num w:numId="124">
    <w:abstractNumId w:val="8"/>
  </w:num>
  <w:num w:numId="125">
    <w:abstractNumId w:val="15"/>
  </w:num>
  <w:num w:numId="126">
    <w:abstractNumId w:val="17"/>
  </w:num>
  <w:num w:numId="127">
    <w:abstractNumId w:val="18"/>
  </w:num>
  <w:num w:numId="128">
    <w:abstractNumId w:val="10"/>
  </w:num>
  <w:num w:numId="129">
    <w:abstractNumId w:val="16"/>
  </w:num>
  <w:num w:numId="130">
    <w:abstractNumId w:val="2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s-ES_tradnl" w:vendorID="64" w:dllVersion="131078" w:nlCheck="1" w:checkStyle="0"/>
  <w:activeWritingStyle w:appName="MSWord" w:lang="it-IT" w:vendorID="64" w:dllVersion="131078" w:nlCheck="1" w:checkStyle="1"/>
  <w:attachedTemplate r:id="rId1"/>
  <w:revisionView w:markup="0"/>
  <w:defaultTabStop w:val="720"/>
  <w:hyphenationZone w:val="425"/>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4-11 12:20:20"/>
    <w:docVar w:name="DQCNUMB_1" w:val="276"/>
    <w:docVar w:name="DQCNUMB_10" w:val="440"/>
    <w:docVar w:name="DQCNUMB_100" w:val="493"/>
    <w:docVar w:name="DQCNUMB_101" w:val="500"/>
    <w:docVar w:name="DQCNUMB_102" w:val="503"/>
    <w:docVar w:name="DQCNUMB_103" w:val="508"/>
    <w:docVar w:name="DQCNUMB_104" w:val="513"/>
    <w:docVar w:name="DQCNUMB_105" w:val="514"/>
    <w:docVar w:name="DQCNUMB_106" w:val="515"/>
    <w:docVar w:name="DQCNUMB_107" w:val="516"/>
    <w:docVar w:name="DQCNUMB_108" w:val="517"/>
    <w:docVar w:name="DQCNUMB_109" w:val="518"/>
    <w:docVar w:name="DQCNUMB_11" w:val="593"/>
    <w:docVar w:name="DQCNUMB_110" w:val="531"/>
    <w:docVar w:name="DQCNUMB_111" w:val="532"/>
    <w:docVar w:name="DQCNUMB_112" w:val="533"/>
    <w:docVar w:name="DQCNUMB_113" w:val="534"/>
    <w:docVar w:name="DQCNUMB_114" w:val="535"/>
    <w:docVar w:name="DQCNUMB_115" w:val="536"/>
    <w:docVar w:name="DQCNUMB_116" w:val="537"/>
    <w:docVar w:name="DQCNUMB_117" w:val="538"/>
    <w:docVar w:name="DQCNUMB_118" w:val="539"/>
    <w:docVar w:name="DQCNUMB_119" w:val="540"/>
    <w:docVar w:name="DQCNUMB_12" w:val="594"/>
    <w:docVar w:name="DQCNUMB_120" w:val="561"/>
    <w:docVar w:name="DQCNUMB_121" w:val="562"/>
    <w:docVar w:name="DQCNUMB_122" w:val="570"/>
    <w:docVar w:name="DQCNUMB_123" w:val="571"/>
    <w:docVar w:name="DQCNUMB_124" w:val="589"/>
    <w:docVar w:name="DQCNUMB_125" w:val="594"/>
    <w:docVar w:name="DQCNUMB_126" w:val="595"/>
    <w:docVar w:name="DQCNUMB_127" w:val="596"/>
    <w:docVar w:name="DQCNUMB_128" w:val="599"/>
    <w:docVar w:name="DQCNUMB_129" w:val="600"/>
    <w:docVar w:name="DQCNUMB_13" w:val="640"/>
    <w:docVar w:name="DQCNUMB_130" w:val="601"/>
    <w:docVar w:name="DQCNUMB_131" w:val="604"/>
    <w:docVar w:name="DQCNUMB_132" w:val="605"/>
    <w:docVar w:name="DQCNUMB_133" w:val="608"/>
    <w:docVar w:name="DQCNUMB_134" w:val="609"/>
    <w:docVar w:name="DQCNUMB_135" w:val="610"/>
    <w:docVar w:name="DQCNUMB_136" w:val="611"/>
    <w:docVar w:name="DQCNUMB_137" w:val="614"/>
    <w:docVar w:name="DQCNUMB_138" w:val="615"/>
    <w:docVar w:name="DQCNUMB_139" w:val="616"/>
    <w:docVar w:name="DQCNUMB_14" w:val="271"/>
    <w:docVar w:name="DQCNUMB_140" w:val="621"/>
    <w:docVar w:name="DQCNUMB_141" w:val="627"/>
    <w:docVar w:name="DQCNUMB_142" w:val="628"/>
    <w:docVar w:name="DQCNUMB_143" w:val="630"/>
    <w:docVar w:name="DQCNUMB_144" w:val="631"/>
    <w:docVar w:name="DQCNUMB_145" w:val="632"/>
    <w:docVar w:name="DQCNUMB_146" w:val="638"/>
    <w:docVar w:name="DQCNUMB_147" w:val="641"/>
    <w:docVar w:name="DQCNUMB_148" w:val="642"/>
    <w:docVar w:name="DQCNUMB_149" w:val="645"/>
    <w:docVar w:name="DQCNUMB_15" w:val="272"/>
    <w:docVar w:name="DQCNUMB_150" w:val="646"/>
    <w:docVar w:name="DQCNUMB_151" w:val="647"/>
    <w:docVar w:name="DQCNUMB_152" w:val="648"/>
    <w:docVar w:name="DQCNUMB_153" w:val="649"/>
    <w:docVar w:name="DQCNUMB_154" w:val="650"/>
    <w:docVar w:name="DQCNUMB_155" w:val="651"/>
    <w:docVar w:name="DQCNUMB_156" w:val="654"/>
    <w:docVar w:name="DQCNUMB_157" w:val="655"/>
    <w:docVar w:name="DQCNUMB_158" w:val="658"/>
    <w:docVar w:name="DQCNUMB_159" w:val="659"/>
    <w:docVar w:name="DQCNUMB_16" w:val="276"/>
    <w:docVar w:name="DQCNUMB_160" w:val="660"/>
    <w:docVar w:name="DQCNUMB_161" w:val="661"/>
    <w:docVar w:name="DQCNUMB_162" w:val="662"/>
    <w:docVar w:name="DQCNUMB_163" w:val="663"/>
    <w:docVar w:name="DQCNUMB_164" w:val="664"/>
    <w:docVar w:name="DQCNUMB_165" w:val="665"/>
    <w:docVar w:name="DQCNUMB_166" w:val="668"/>
    <w:docVar w:name="DQCNUMB_167" w:val="669"/>
    <w:docVar w:name="DQCNUMB_168" w:val="693"/>
    <w:docVar w:name="DQCNUMB_169" w:val="694"/>
    <w:docVar w:name="DQCNUMB_17" w:val="277"/>
    <w:docVar w:name="DQCNUMB_170" w:val="695"/>
    <w:docVar w:name="DQCNUMB_171" w:val="714"/>
    <w:docVar w:name="DQCNUMB_172" w:val="715"/>
    <w:docVar w:name="DQCNUMB_173" w:val="720"/>
    <w:docVar w:name="DQCNUMB_174" w:val="724"/>
    <w:docVar w:name="DQCNUMB_175" w:val="748"/>
    <w:docVar w:name="DQCNUMB_176" w:val="749"/>
    <w:docVar w:name="DQCNUMB_177" w:val="750"/>
    <w:docVar w:name="DQCNUMB_178" w:val="752"/>
    <w:docVar w:name="DQCNUMB_179" w:val="754"/>
    <w:docVar w:name="DQCNUMB_18" w:val="281"/>
    <w:docVar w:name="DQCNUMB_180" w:val="795"/>
    <w:docVar w:name="DQCNUMB_181" w:val="797"/>
    <w:docVar w:name="DQCNUMB_182" w:val="800"/>
    <w:docVar w:name="DQCNUMB_183" w:val="802"/>
    <w:docVar w:name="DQCNUMB_184" w:val="808"/>
    <w:docVar w:name="DQCNUMB_185" w:val="819"/>
    <w:docVar w:name="DQCNUMB_186" w:val="821"/>
    <w:docVar w:name="DQCNUMB_187" w:val="831"/>
    <w:docVar w:name="DQCNUMB_188" w:val="882"/>
    <w:docVar w:name="DQCNUMB_189" w:val="887"/>
    <w:docVar w:name="DQCNUMB_19" w:val="282"/>
    <w:docVar w:name="DQCNUMB_2" w:val="277"/>
    <w:docVar w:name="DQCNUMB_20" w:val="283"/>
    <w:docVar w:name="DQCNUMB_21" w:val="293"/>
    <w:docVar w:name="DQCNUMB_22" w:val="294"/>
    <w:docVar w:name="DQCNUMB_23" w:val="296"/>
    <w:docVar w:name="DQCNUMB_24" w:val="301"/>
    <w:docVar w:name="DQCNUMB_25" w:val="302"/>
    <w:docVar w:name="DQCNUMB_26" w:val="303"/>
    <w:docVar w:name="DQCNUMB_27" w:val="304"/>
    <w:docVar w:name="DQCNUMB_28" w:val="305"/>
    <w:docVar w:name="DQCNUMB_29" w:val="306"/>
    <w:docVar w:name="DQCNUMB_3" w:val="278"/>
    <w:docVar w:name="DQCNUMB_30" w:val="309"/>
    <w:docVar w:name="DQCNUMB_31" w:val="311"/>
    <w:docVar w:name="DQCNUMB_32" w:val="315"/>
    <w:docVar w:name="DQCNUMB_33" w:val="316"/>
    <w:docVar w:name="DQCNUMB_34" w:val="317"/>
    <w:docVar w:name="DQCNUMB_35" w:val="318"/>
    <w:docVar w:name="DQCNUMB_36" w:val="319"/>
    <w:docVar w:name="DQCNUMB_37" w:val="320"/>
    <w:docVar w:name="DQCNUMB_38" w:val="321"/>
    <w:docVar w:name="DQCNUMB_39" w:val="325"/>
    <w:docVar w:name="DQCNUMB_4" w:val="308"/>
    <w:docVar w:name="DQCNUMB_40" w:val="326"/>
    <w:docVar w:name="DQCNUMB_41" w:val="327"/>
    <w:docVar w:name="DQCNUMB_42" w:val="328"/>
    <w:docVar w:name="DQCNUMB_43" w:val="329"/>
    <w:docVar w:name="DQCNUMB_44" w:val="340"/>
    <w:docVar w:name="DQCNUMB_45" w:val="341"/>
    <w:docVar w:name="DQCNUMB_46" w:val="348"/>
    <w:docVar w:name="DQCNUMB_47" w:val="349"/>
    <w:docVar w:name="DQCNUMB_48" w:val="350"/>
    <w:docVar w:name="DQCNUMB_49" w:val="367"/>
    <w:docVar w:name="DQCNUMB_5" w:val="311"/>
    <w:docVar w:name="DQCNUMB_50" w:val="368"/>
    <w:docVar w:name="DQCNUMB_51" w:val="369"/>
    <w:docVar w:name="DQCNUMB_52" w:val="407"/>
    <w:docVar w:name="DQCNUMB_53" w:val="408"/>
    <w:docVar w:name="DQCNUMB_54" w:val="409"/>
    <w:docVar w:name="DQCNUMB_55" w:val="410"/>
    <w:docVar w:name="DQCNUMB_56" w:val="411"/>
    <w:docVar w:name="DQCNUMB_57" w:val="412"/>
    <w:docVar w:name="DQCNUMB_58" w:val="413"/>
    <w:docVar w:name="DQCNUMB_59" w:val="414"/>
    <w:docVar w:name="DQCNUMB_6" w:val="312"/>
    <w:docVar w:name="DQCNUMB_60" w:val="415"/>
    <w:docVar w:name="DQCNUMB_61" w:val="416"/>
    <w:docVar w:name="DQCNUMB_62" w:val="417"/>
    <w:docVar w:name="DQCNUMB_63" w:val="418"/>
    <w:docVar w:name="DQCNUMB_64" w:val="419"/>
    <w:docVar w:name="DQCNUMB_65" w:val="420"/>
    <w:docVar w:name="DQCNUMB_66" w:val="421"/>
    <w:docVar w:name="DQCNUMB_67" w:val="422"/>
    <w:docVar w:name="DQCNUMB_68" w:val="423"/>
    <w:docVar w:name="DQCNUMB_69" w:val="441"/>
    <w:docVar w:name="DQCNUMB_7" w:val="338"/>
    <w:docVar w:name="DQCNUMB_70" w:val="442"/>
    <w:docVar w:name="DQCNUMB_71" w:val="443"/>
    <w:docVar w:name="DQCNUMB_72" w:val="444"/>
    <w:docVar w:name="DQCNUMB_73" w:val="448"/>
    <w:docVar w:name="DQCNUMB_74" w:val="449"/>
    <w:docVar w:name="DQCNUMB_75" w:val="450"/>
    <w:docVar w:name="DQCNUMB_76" w:val="451"/>
    <w:docVar w:name="DQCNUMB_77" w:val="452"/>
    <w:docVar w:name="DQCNUMB_78" w:val="453"/>
    <w:docVar w:name="DQCNUMB_79" w:val="454"/>
    <w:docVar w:name="DQCNUMB_8" w:val="339"/>
    <w:docVar w:name="DQCNUMB_80" w:val="455"/>
    <w:docVar w:name="DQCNUMB_81" w:val="456"/>
    <w:docVar w:name="DQCNUMB_82" w:val="457"/>
    <w:docVar w:name="DQCNUMB_83" w:val="458"/>
    <w:docVar w:name="DQCNUMB_84" w:val="463"/>
    <w:docVar w:name="DQCNUMB_85" w:val="464"/>
    <w:docVar w:name="DQCNUMB_86" w:val="465"/>
    <w:docVar w:name="DQCNUMB_87" w:val="470"/>
    <w:docVar w:name="DQCNUMB_88" w:val="471"/>
    <w:docVar w:name="DQCNUMB_89" w:val="472"/>
    <w:docVar w:name="DQCNUMB_9" w:val="340"/>
    <w:docVar w:name="DQCNUMB_90" w:val="473"/>
    <w:docVar w:name="DQCNUMB_91" w:val="475"/>
    <w:docVar w:name="DQCNUMB_92" w:val="476"/>
    <w:docVar w:name="DQCNUMB_93" w:val="477"/>
    <w:docVar w:name="DQCNUMB_94" w:val="478"/>
    <w:docVar w:name="DQCNUMB_95" w:val="479"/>
    <w:docVar w:name="DQCNUMB_96" w:val="480"/>
    <w:docVar w:name="DQCNUMB_97" w:val="481"/>
    <w:docVar w:name="DQCNUMB_98" w:val="491"/>
    <w:docVar w:name="DQCNUMB_99" w:val="49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291DAA2A-B670-4AAA-A9E4-FAA9BD6D9651"/>
    <w:docVar w:name="LW_COVERPAGE_TYPE" w:val="1"/>
    <w:docVar w:name="LW_CROSSREFERENCE" w:val="{SEC(2022) 193 final} - {SWD(2022) 114 final} - {SWD(2022) 115 final} - {SWD(2022) 116 final}"/>
    <w:docVar w:name="LW_DocType" w:val="COM"/>
    <w:docVar w:name="LW_EMISSION" w:val="13.4.2022"/>
    <w:docVar w:name="LW_EMISSION_ISODATE" w:val="2022-04-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5"/>
    <w:docVar w:name="LW_REF.II.NEW.CP_YEAR" w:val="2022"/>
    <w:docVar w:name="LW_REF.INST.NEW" w:val="COM"/>
    <w:docVar w:name="LW_REF.INST.NEW_ADOPTED" w:val="final"/>
    <w:docVar w:name="LW_REF.INST.NEW_TEXT" w:val="(2022)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geographical indication protection for craft and industrial products and amending Regulations (EU) 2017/1001 and (EU) 2019/1753 of the European Parliament and of the Council and Council Decision (EU) 2019/1754"/>
    <w:docVar w:name="LW_TYPE.DOC.CP" w:val="REGULATION OF THE EUROPEAN PARLIAMENT AND OF THE COUNCIL"/>
    <w:docVar w:name="LwApiVersions" w:val="LW4CoDe 1.23.2.0; LW 8.0, Build 20211117"/>
  </w:docVars>
  <w:rsids>
    <w:rsidRoot w:val="00B70EFD"/>
    <w:rsid w:val="00000DA3"/>
    <w:rsid w:val="00000F06"/>
    <w:rsid w:val="0000107A"/>
    <w:rsid w:val="00003C42"/>
    <w:rsid w:val="0000488C"/>
    <w:rsid w:val="00006D2F"/>
    <w:rsid w:val="00007071"/>
    <w:rsid w:val="00007C43"/>
    <w:rsid w:val="00010034"/>
    <w:rsid w:val="00010BAF"/>
    <w:rsid w:val="0001106D"/>
    <w:rsid w:val="00015764"/>
    <w:rsid w:val="00015A5B"/>
    <w:rsid w:val="00015E23"/>
    <w:rsid w:val="00017546"/>
    <w:rsid w:val="0002052E"/>
    <w:rsid w:val="00021284"/>
    <w:rsid w:val="000219CD"/>
    <w:rsid w:val="0002261F"/>
    <w:rsid w:val="000226C2"/>
    <w:rsid w:val="000234FF"/>
    <w:rsid w:val="00023575"/>
    <w:rsid w:val="00024D19"/>
    <w:rsid w:val="0002622C"/>
    <w:rsid w:val="00026F1E"/>
    <w:rsid w:val="00027729"/>
    <w:rsid w:val="000277A3"/>
    <w:rsid w:val="00030FE5"/>
    <w:rsid w:val="00031ED2"/>
    <w:rsid w:val="00036C90"/>
    <w:rsid w:val="00037E07"/>
    <w:rsid w:val="00040A14"/>
    <w:rsid w:val="00042B28"/>
    <w:rsid w:val="00044343"/>
    <w:rsid w:val="00044B26"/>
    <w:rsid w:val="000458BA"/>
    <w:rsid w:val="000460E4"/>
    <w:rsid w:val="00046B07"/>
    <w:rsid w:val="00051640"/>
    <w:rsid w:val="00051858"/>
    <w:rsid w:val="00051888"/>
    <w:rsid w:val="000522F3"/>
    <w:rsid w:val="00053982"/>
    <w:rsid w:val="00056B5E"/>
    <w:rsid w:val="0006130F"/>
    <w:rsid w:val="00062327"/>
    <w:rsid w:val="00064846"/>
    <w:rsid w:val="000665DA"/>
    <w:rsid w:val="00066D0C"/>
    <w:rsid w:val="0006768B"/>
    <w:rsid w:val="00067703"/>
    <w:rsid w:val="00070F3C"/>
    <w:rsid w:val="0007231C"/>
    <w:rsid w:val="0007405F"/>
    <w:rsid w:val="00075AD1"/>
    <w:rsid w:val="000801B4"/>
    <w:rsid w:val="0008041A"/>
    <w:rsid w:val="00081570"/>
    <w:rsid w:val="000818F4"/>
    <w:rsid w:val="000824A1"/>
    <w:rsid w:val="000848FA"/>
    <w:rsid w:val="000864CE"/>
    <w:rsid w:val="00087751"/>
    <w:rsid w:val="00091205"/>
    <w:rsid w:val="00092BDC"/>
    <w:rsid w:val="00092DDF"/>
    <w:rsid w:val="0009419A"/>
    <w:rsid w:val="0009504D"/>
    <w:rsid w:val="00097210"/>
    <w:rsid w:val="000A0337"/>
    <w:rsid w:val="000A255E"/>
    <w:rsid w:val="000A280B"/>
    <w:rsid w:val="000A5FB6"/>
    <w:rsid w:val="000A6D63"/>
    <w:rsid w:val="000A7517"/>
    <w:rsid w:val="000B1035"/>
    <w:rsid w:val="000B2CAA"/>
    <w:rsid w:val="000B67EB"/>
    <w:rsid w:val="000BE7B6"/>
    <w:rsid w:val="000C01A5"/>
    <w:rsid w:val="000C2430"/>
    <w:rsid w:val="000C274D"/>
    <w:rsid w:val="000C28DF"/>
    <w:rsid w:val="000C3BCB"/>
    <w:rsid w:val="000CC9ED"/>
    <w:rsid w:val="000D0031"/>
    <w:rsid w:val="000D2C94"/>
    <w:rsid w:val="000D2D52"/>
    <w:rsid w:val="000D3181"/>
    <w:rsid w:val="000D65CD"/>
    <w:rsid w:val="000E03E9"/>
    <w:rsid w:val="000E198E"/>
    <w:rsid w:val="000E20D4"/>
    <w:rsid w:val="000E4F67"/>
    <w:rsid w:val="000E5FB1"/>
    <w:rsid w:val="000E6F44"/>
    <w:rsid w:val="000F0FB7"/>
    <w:rsid w:val="000F5D45"/>
    <w:rsid w:val="000F7612"/>
    <w:rsid w:val="00100F5C"/>
    <w:rsid w:val="00101299"/>
    <w:rsid w:val="0010238E"/>
    <w:rsid w:val="001025CC"/>
    <w:rsid w:val="001036C5"/>
    <w:rsid w:val="00104F17"/>
    <w:rsid w:val="00105B49"/>
    <w:rsid w:val="00110155"/>
    <w:rsid w:val="00112E7A"/>
    <w:rsid w:val="001161CF"/>
    <w:rsid w:val="00116354"/>
    <w:rsid w:val="00121D65"/>
    <w:rsid w:val="001254BE"/>
    <w:rsid w:val="0012591A"/>
    <w:rsid w:val="0013196E"/>
    <w:rsid w:val="00132BC9"/>
    <w:rsid w:val="0013422A"/>
    <w:rsid w:val="00135A55"/>
    <w:rsid w:val="00135FA5"/>
    <w:rsid w:val="00141C6C"/>
    <w:rsid w:val="00142AC6"/>
    <w:rsid w:val="00143D6B"/>
    <w:rsid w:val="0014743A"/>
    <w:rsid w:val="001513BF"/>
    <w:rsid w:val="00151B7E"/>
    <w:rsid w:val="00151F66"/>
    <w:rsid w:val="00152769"/>
    <w:rsid w:val="0015298C"/>
    <w:rsid w:val="001538A4"/>
    <w:rsid w:val="001601DA"/>
    <w:rsid w:val="00161830"/>
    <w:rsid w:val="00161E63"/>
    <w:rsid w:val="001644D3"/>
    <w:rsid w:val="00164DE8"/>
    <w:rsid w:val="00164EC3"/>
    <w:rsid w:val="0016529F"/>
    <w:rsid w:val="001664E1"/>
    <w:rsid w:val="00167346"/>
    <w:rsid w:val="0016756A"/>
    <w:rsid w:val="00167826"/>
    <w:rsid w:val="001700C8"/>
    <w:rsid w:val="001711D9"/>
    <w:rsid w:val="001741B2"/>
    <w:rsid w:val="00177C8A"/>
    <w:rsid w:val="001803C7"/>
    <w:rsid w:val="00180B31"/>
    <w:rsid w:val="00181217"/>
    <w:rsid w:val="001817C3"/>
    <w:rsid w:val="00186E21"/>
    <w:rsid w:val="001878B2"/>
    <w:rsid w:val="00190767"/>
    <w:rsid w:val="00192D5D"/>
    <w:rsid w:val="00193392"/>
    <w:rsid w:val="00193695"/>
    <w:rsid w:val="00193CA7"/>
    <w:rsid w:val="00195B8A"/>
    <w:rsid w:val="00195FA3"/>
    <w:rsid w:val="00196242"/>
    <w:rsid w:val="00196C0B"/>
    <w:rsid w:val="00196CA3"/>
    <w:rsid w:val="001A2FD8"/>
    <w:rsid w:val="001A3D01"/>
    <w:rsid w:val="001A5571"/>
    <w:rsid w:val="001B14D9"/>
    <w:rsid w:val="001B162C"/>
    <w:rsid w:val="001B2220"/>
    <w:rsid w:val="001B365F"/>
    <w:rsid w:val="001B405C"/>
    <w:rsid w:val="001B7CC4"/>
    <w:rsid w:val="001C02FD"/>
    <w:rsid w:val="001C1103"/>
    <w:rsid w:val="001C1876"/>
    <w:rsid w:val="001C23EC"/>
    <w:rsid w:val="001C2816"/>
    <w:rsid w:val="001C2B1D"/>
    <w:rsid w:val="001C4A8B"/>
    <w:rsid w:val="001C4E21"/>
    <w:rsid w:val="001C5512"/>
    <w:rsid w:val="001C5EB2"/>
    <w:rsid w:val="001D0912"/>
    <w:rsid w:val="001D11A4"/>
    <w:rsid w:val="001D1C05"/>
    <w:rsid w:val="001D2267"/>
    <w:rsid w:val="001D6035"/>
    <w:rsid w:val="001D733B"/>
    <w:rsid w:val="001E20C5"/>
    <w:rsid w:val="001E2D0C"/>
    <w:rsid w:val="001E5868"/>
    <w:rsid w:val="001E5FFB"/>
    <w:rsid w:val="001E611A"/>
    <w:rsid w:val="001E6CDF"/>
    <w:rsid w:val="001F052A"/>
    <w:rsid w:val="001F1539"/>
    <w:rsid w:val="001F17DF"/>
    <w:rsid w:val="001F2628"/>
    <w:rsid w:val="001F5CAC"/>
    <w:rsid w:val="001F7D0F"/>
    <w:rsid w:val="0020163D"/>
    <w:rsid w:val="00204C9C"/>
    <w:rsid w:val="00205837"/>
    <w:rsid w:val="00211E75"/>
    <w:rsid w:val="0021565B"/>
    <w:rsid w:val="00215C5A"/>
    <w:rsid w:val="00217750"/>
    <w:rsid w:val="00217A00"/>
    <w:rsid w:val="00222701"/>
    <w:rsid w:val="00227041"/>
    <w:rsid w:val="00227B75"/>
    <w:rsid w:val="00227E86"/>
    <w:rsid w:val="00227ED8"/>
    <w:rsid w:val="00231063"/>
    <w:rsid w:val="00232E98"/>
    <w:rsid w:val="00232FC2"/>
    <w:rsid w:val="00233BA4"/>
    <w:rsid w:val="002347E2"/>
    <w:rsid w:val="00237491"/>
    <w:rsid w:val="00240BCE"/>
    <w:rsid w:val="00241E92"/>
    <w:rsid w:val="00242600"/>
    <w:rsid w:val="00244745"/>
    <w:rsid w:val="00244CFF"/>
    <w:rsid w:val="002458AB"/>
    <w:rsid w:val="00245C0B"/>
    <w:rsid w:val="00246B1C"/>
    <w:rsid w:val="00246F39"/>
    <w:rsid w:val="00247FB9"/>
    <w:rsid w:val="002503D2"/>
    <w:rsid w:val="00251AF3"/>
    <w:rsid w:val="00253F1A"/>
    <w:rsid w:val="00254659"/>
    <w:rsid w:val="002553BE"/>
    <w:rsid w:val="002627FC"/>
    <w:rsid w:val="00263658"/>
    <w:rsid w:val="002659AC"/>
    <w:rsid w:val="00267031"/>
    <w:rsid w:val="00267033"/>
    <w:rsid w:val="00270033"/>
    <w:rsid w:val="00271080"/>
    <w:rsid w:val="002713BE"/>
    <w:rsid w:val="0027143E"/>
    <w:rsid w:val="00271B1A"/>
    <w:rsid w:val="00271C37"/>
    <w:rsid w:val="00272919"/>
    <w:rsid w:val="00272979"/>
    <w:rsid w:val="00274771"/>
    <w:rsid w:val="00274BE5"/>
    <w:rsid w:val="0028003C"/>
    <w:rsid w:val="00282D37"/>
    <w:rsid w:val="0028465F"/>
    <w:rsid w:val="0028657D"/>
    <w:rsid w:val="00286E40"/>
    <w:rsid w:val="00291A35"/>
    <w:rsid w:val="00291DCA"/>
    <w:rsid w:val="00295BCA"/>
    <w:rsid w:val="002A2764"/>
    <w:rsid w:val="002A2B6F"/>
    <w:rsid w:val="002A2F89"/>
    <w:rsid w:val="002A316E"/>
    <w:rsid w:val="002A32F4"/>
    <w:rsid w:val="002A468A"/>
    <w:rsid w:val="002B13CC"/>
    <w:rsid w:val="002B1FE6"/>
    <w:rsid w:val="002B5361"/>
    <w:rsid w:val="002B7C53"/>
    <w:rsid w:val="002C36B2"/>
    <w:rsid w:val="002C3A82"/>
    <w:rsid w:val="002C48CD"/>
    <w:rsid w:val="002D260A"/>
    <w:rsid w:val="002D4413"/>
    <w:rsid w:val="002D63BE"/>
    <w:rsid w:val="002D6A85"/>
    <w:rsid w:val="002D71F3"/>
    <w:rsid w:val="002E0214"/>
    <w:rsid w:val="002E12EF"/>
    <w:rsid w:val="002E27BD"/>
    <w:rsid w:val="002E2B7A"/>
    <w:rsid w:val="002E5CF6"/>
    <w:rsid w:val="002E7AE8"/>
    <w:rsid w:val="002F2B2D"/>
    <w:rsid w:val="002F4AE6"/>
    <w:rsid w:val="002F4BC9"/>
    <w:rsid w:val="002F5F15"/>
    <w:rsid w:val="002F6578"/>
    <w:rsid w:val="0030386E"/>
    <w:rsid w:val="00312094"/>
    <w:rsid w:val="00312800"/>
    <w:rsid w:val="00314DE5"/>
    <w:rsid w:val="003151FB"/>
    <w:rsid w:val="00316245"/>
    <w:rsid w:val="00317F20"/>
    <w:rsid w:val="00320313"/>
    <w:rsid w:val="003205A4"/>
    <w:rsid w:val="0032061E"/>
    <w:rsid w:val="00321828"/>
    <w:rsid w:val="00321E69"/>
    <w:rsid w:val="00322F35"/>
    <w:rsid w:val="003265E8"/>
    <w:rsid w:val="00327AA6"/>
    <w:rsid w:val="0033010F"/>
    <w:rsid w:val="00330CBD"/>
    <w:rsid w:val="003328F2"/>
    <w:rsid w:val="00333202"/>
    <w:rsid w:val="00333590"/>
    <w:rsid w:val="00335DC9"/>
    <w:rsid w:val="003423F5"/>
    <w:rsid w:val="003426FE"/>
    <w:rsid w:val="00343068"/>
    <w:rsid w:val="00344367"/>
    <w:rsid w:val="00350474"/>
    <w:rsid w:val="00351EFF"/>
    <w:rsid w:val="003522B4"/>
    <w:rsid w:val="003539A1"/>
    <w:rsid w:val="00355102"/>
    <w:rsid w:val="0036020C"/>
    <w:rsid w:val="00360DCF"/>
    <w:rsid w:val="003616CC"/>
    <w:rsid w:val="003620D5"/>
    <w:rsid w:val="003652F0"/>
    <w:rsid w:val="003660A8"/>
    <w:rsid w:val="00367D60"/>
    <w:rsid w:val="00370ECF"/>
    <w:rsid w:val="00370F51"/>
    <w:rsid w:val="003717E8"/>
    <w:rsid w:val="00373F0F"/>
    <w:rsid w:val="00374D98"/>
    <w:rsid w:val="00376460"/>
    <w:rsid w:val="00376AB1"/>
    <w:rsid w:val="003778CF"/>
    <w:rsid w:val="00380DE7"/>
    <w:rsid w:val="0038158B"/>
    <w:rsid w:val="00381794"/>
    <w:rsid w:val="00381C96"/>
    <w:rsid w:val="0038205B"/>
    <w:rsid w:val="003847F4"/>
    <w:rsid w:val="003851A5"/>
    <w:rsid w:val="0038783F"/>
    <w:rsid w:val="003904BA"/>
    <w:rsid w:val="003911E6"/>
    <w:rsid w:val="00391FCA"/>
    <w:rsid w:val="00393F56"/>
    <w:rsid w:val="00394D91"/>
    <w:rsid w:val="00396D1D"/>
    <w:rsid w:val="003A4130"/>
    <w:rsid w:val="003A5F0A"/>
    <w:rsid w:val="003A65F1"/>
    <w:rsid w:val="003A69FE"/>
    <w:rsid w:val="003A7839"/>
    <w:rsid w:val="003B2DAB"/>
    <w:rsid w:val="003B4A51"/>
    <w:rsid w:val="003B4C1B"/>
    <w:rsid w:val="003B722B"/>
    <w:rsid w:val="003C564B"/>
    <w:rsid w:val="003C5B1C"/>
    <w:rsid w:val="003D038D"/>
    <w:rsid w:val="003D0DD9"/>
    <w:rsid w:val="003D18B1"/>
    <w:rsid w:val="003D29B3"/>
    <w:rsid w:val="003D7C23"/>
    <w:rsid w:val="003E040F"/>
    <w:rsid w:val="003E09FA"/>
    <w:rsid w:val="003E318F"/>
    <w:rsid w:val="003E3C40"/>
    <w:rsid w:val="003E713F"/>
    <w:rsid w:val="003E7215"/>
    <w:rsid w:val="003F088C"/>
    <w:rsid w:val="003F10A5"/>
    <w:rsid w:val="003F2746"/>
    <w:rsid w:val="003F2D04"/>
    <w:rsid w:val="003F3339"/>
    <w:rsid w:val="003F3E8F"/>
    <w:rsid w:val="003F518E"/>
    <w:rsid w:val="004009BA"/>
    <w:rsid w:val="004040DC"/>
    <w:rsid w:val="004049F1"/>
    <w:rsid w:val="00404B3F"/>
    <w:rsid w:val="00406AB0"/>
    <w:rsid w:val="00406F97"/>
    <w:rsid w:val="00406FBF"/>
    <w:rsid w:val="00407011"/>
    <w:rsid w:val="00407DC5"/>
    <w:rsid w:val="004108C0"/>
    <w:rsid w:val="00412DB4"/>
    <w:rsid w:val="004130B3"/>
    <w:rsid w:val="00414ECE"/>
    <w:rsid w:val="00415407"/>
    <w:rsid w:val="004169A5"/>
    <w:rsid w:val="00420FCF"/>
    <w:rsid w:val="00421BED"/>
    <w:rsid w:val="00421ECD"/>
    <w:rsid w:val="004221EC"/>
    <w:rsid w:val="00422340"/>
    <w:rsid w:val="00422696"/>
    <w:rsid w:val="0042279B"/>
    <w:rsid w:val="00424DBF"/>
    <w:rsid w:val="0042573C"/>
    <w:rsid w:val="00425746"/>
    <w:rsid w:val="0042576E"/>
    <w:rsid w:val="00425C6C"/>
    <w:rsid w:val="00425C71"/>
    <w:rsid w:val="004270A9"/>
    <w:rsid w:val="00431A01"/>
    <w:rsid w:val="00436318"/>
    <w:rsid w:val="00436EFA"/>
    <w:rsid w:val="00440D64"/>
    <w:rsid w:val="00441A72"/>
    <w:rsid w:val="00441B2A"/>
    <w:rsid w:val="00442B0D"/>
    <w:rsid w:val="00442FCC"/>
    <w:rsid w:val="00443A80"/>
    <w:rsid w:val="00443E0B"/>
    <w:rsid w:val="004443C3"/>
    <w:rsid w:val="00445329"/>
    <w:rsid w:val="00445669"/>
    <w:rsid w:val="00452EAC"/>
    <w:rsid w:val="00453B4F"/>
    <w:rsid w:val="00457A35"/>
    <w:rsid w:val="00460B42"/>
    <w:rsid w:val="004611DC"/>
    <w:rsid w:val="00461DF4"/>
    <w:rsid w:val="00466FBD"/>
    <w:rsid w:val="00472932"/>
    <w:rsid w:val="004737DD"/>
    <w:rsid w:val="00476609"/>
    <w:rsid w:val="0047772E"/>
    <w:rsid w:val="004778FE"/>
    <w:rsid w:val="00480153"/>
    <w:rsid w:val="00481259"/>
    <w:rsid w:val="00483030"/>
    <w:rsid w:val="004836C6"/>
    <w:rsid w:val="004845F5"/>
    <w:rsid w:val="00485DEC"/>
    <w:rsid w:val="00487D62"/>
    <w:rsid w:val="004902C4"/>
    <w:rsid w:val="00495779"/>
    <w:rsid w:val="0049629D"/>
    <w:rsid w:val="00496CDA"/>
    <w:rsid w:val="004A1500"/>
    <w:rsid w:val="004A3247"/>
    <w:rsid w:val="004A3BAD"/>
    <w:rsid w:val="004A4570"/>
    <w:rsid w:val="004A4A5C"/>
    <w:rsid w:val="004A6363"/>
    <w:rsid w:val="004B12E6"/>
    <w:rsid w:val="004B2271"/>
    <w:rsid w:val="004B2FDB"/>
    <w:rsid w:val="004B51B7"/>
    <w:rsid w:val="004B7EDC"/>
    <w:rsid w:val="004C1413"/>
    <w:rsid w:val="004C5EC9"/>
    <w:rsid w:val="004C6DBC"/>
    <w:rsid w:val="004C739C"/>
    <w:rsid w:val="004D12BA"/>
    <w:rsid w:val="004D188E"/>
    <w:rsid w:val="004D1CDB"/>
    <w:rsid w:val="004D1ECC"/>
    <w:rsid w:val="004D42F7"/>
    <w:rsid w:val="004E3207"/>
    <w:rsid w:val="004E379C"/>
    <w:rsid w:val="004E43B3"/>
    <w:rsid w:val="004E475B"/>
    <w:rsid w:val="004E55E9"/>
    <w:rsid w:val="004E6F35"/>
    <w:rsid w:val="004E763A"/>
    <w:rsid w:val="004E7E57"/>
    <w:rsid w:val="004F03B3"/>
    <w:rsid w:val="004F342A"/>
    <w:rsid w:val="004F4C76"/>
    <w:rsid w:val="004F52CD"/>
    <w:rsid w:val="004F6836"/>
    <w:rsid w:val="0050203C"/>
    <w:rsid w:val="005039DB"/>
    <w:rsid w:val="00507C00"/>
    <w:rsid w:val="005104CC"/>
    <w:rsid w:val="005127F8"/>
    <w:rsid w:val="0051378A"/>
    <w:rsid w:val="0051703B"/>
    <w:rsid w:val="00517CB7"/>
    <w:rsid w:val="00520C49"/>
    <w:rsid w:val="00522F40"/>
    <w:rsid w:val="00522F90"/>
    <w:rsid w:val="00525100"/>
    <w:rsid w:val="00527613"/>
    <w:rsid w:val="005277A6"/>
    <w:rsid w:val="00530CB4"/>
    <w:rsid w:val="005325AD"/>
    <w:rsid w:val="005336AD"/>
    <w:rsid w:val="00534BE9"/>
    <w:rsid w:val="00535664"/>
    <w:rsid w:val="00535F89"/>
    <w:rsid w:val="00541A7E"/>
    <w:rsid w:val="00542B2C"/>
    <w:rsid w:val="0054386A"/>
    <w:rsid w:val="00550094"/>
    <w:rsid w:val="00550E76"/>
    <w:rsid w:val="00554194"/>
    <w:rsid w:val="00555916"/>
    <w:rsid w:val="00555F13"/>
    <w:rsid w:val="005645CE"/>
    <w:rsid w:val="0056496F"/>
    <w:rsid w:val="005649BF"/>
    <w:rsid w:val="00571903"/>
    <w:rsid w:val="0057418C"/>
    <w:rsid w:val="005755AB"/>
    <w:rsid w:val="0057576B"/>
    <w:rsid w:val="00576FA2"/>
    <w:rsid w:val="00577E28"/>
    <w:rsid w:val="005808B4"/>
    <w:rsid w:val="00582A65"/>
    <w:rsid w:val="0058383F"/>
    <w:rsid w:val="00584250"/>
    <w:rsid w:val="005909DE"/>
    <w:rsid w:val="005924D5"/>
    <w:rsid w:val="00596A93"/>
    <w:rsid w:val="00597942"/>
    <w:rsid w:val="00597DA0"/>
    <w:rsid w:val="005A05D1"/>
    <w:rsid w:val="005A2D04"/>
    <w:rsid w:val="005A38C3"/>
    <w:rsid w:val="005A509B"/>
    <w:rsid w:val="005A50BE"/>
    <w:rsid w:val="005A5B36"/>
    <w:rsid w:val="005A7A22"/>
    <w:rsid w:val="005B0A64"/>
    <w:rsid w:val="005B0B99"/>
    <w:rsid w:val="005B1C09"/>
    <w:rsid w:val="005B1FAC"/>
    <w:rsid w:val="005B22E8"/>
    <w:rsid w:val="005B2A4E"/>
    <w:rsid w:val="005B5584"/>
    <w:rsid w:val="005B558F"/>
    <w:rsid w:val="005B6829"/>
    <w:rsid w:val="005C0E10"/>
    <w:rsid w:val="005C2677"/>
    <w:rsid w:val="005C466D"/>
    <w:rsid w:val="005D1E15"/>
    <w:rsid w:val="005D3EE5"/>
    <w:rsid w:val="005D641A"/>
    <w:rsid w:val="005D6BFB"/>
    <w:rsid w:val="005E0D0F"/>
    <w:rsid w:val="005E1C32"/>
    <w:rsid w:val="005E2B6B"/>
    <w:rsid w:val="005E4CE4"/>
    <w:rsid w:val="005E587F"/>
    <w:rsid w:val="005E5B6D"/>
    <w:rsid w:val="005F3481"/>
    <w:rsid w:val="005F4FC2"/>
    <w:rsid w:val="005F6945"/>
    <w:rsid w:val="005F6C8D"/>
    <w:rsid w:val="005F7D45"/>
    <w:rsid w:val="0060120E"/>
    <w:rsid w:val="00602198"/>
    <w:rsid w:val="006022FF"/>
    <w:rsid w:val="0060315A"/>
    <w:rsid w:val="00603732"/>
    <w:rsid w:val="00603925"/>
    <w:rsid w:val="00606A2B"/>
    <w:rsid w:val="00606E5D"/>
    <w:rsid w:val="00606EAF"/>
    <w:rsid w:val="006122A9"/>
    <w:rsid w:val="006143F2"/>
    <w:rsid w:val="006150A9"/>
    <w:rsid w:val="00616931"/>
    <w:rsid w:val="00617331"/>
    <w:rsid w:val="00617FB9"/>
    <w:rsid w:val="00620E05"/>
    <w:rsid w:val="00621C65"/>
    <w:rsid w:val="0062207C"/>
    <w:rsid w:val="0062229E"/>
    <w:rsid w:val="00622663"/>
    <w:rsid w:val="00625BEB"/>
    <w:rsid w:val="0063040D"/>
    <w:rsid w:val="006324DA"/>
    <w:rsid w:val="00634812"/>
    <w:rsid w:val="0063582A"/>
    <w:rsid w:val="00635D30"/>
    <w:rsid w:val="0063639D"/>
    <w:rsid w:val="00637D97"/>
    <w:rsid w:val="00642E25"/>
    <w:rsid w:val="00643E85"/>
    <w:rsid w:val="0064437F"/>
    <w:rsid w:val="0064640A"/>
    <w:rsid w:val="00651F0A"/>
    <w:rsid w:val="00652338"/>
    <w:rsid w:val="00652DFE"/>
    <w:rsid w:val="00654672"/>
    <w:rsid w:val="00662A74"/>
    <w:rsid w:val="006634F0"/>
    <w:rsid w:val="006646F9"/>
    <w:rsid w:val="00665E61"/>
    <w:rsid w:val="0066616E"/>
    <w:rsid w:val="00669BF0"/>
    <w:rsid w:val="0067090C"/>
    <w:rsid w:val="00672B07"/>
    <w:rsid w:val="00673888"/>
    <w:rsid w:val="006749CE"/>
    <w:rsid w:val="006754A1"/>
    <w:rsid w:val="006755E8"/>
    <w:rsid w:val="00676F0D"/>
    <w:rsid w:val="00680822"/>
    <w:rsid w:val="006808B7"/>
    <w:rsid w:val="0068216A"/>
    <w:rsid w:val="0068238C"/>
    <w:rsid w:val="00682EC9"/>
    <w:rsid w:val="00686EFE"/>
    <w:rsid w:val="00687FD9"/>
    <w:rsid w:val="006900F0"/>
    <w:rsid w:val="006901F8"/>
    <w:rsid w:val="0069424B"/>
    <w:rsid w:val="006947AD"/>
    <w:rsid w:val="0069669E"/>
    <w:rsid w:val="00697C69"/>
    <w:rsid w:val="006A0095"/>
    <w:rsid w:val="006A18D9"/>
    <w:rsid w:val="006A2620"/>
    <w:rsid w:val="006A395B"/>
    <w:rsid w:val="006A451E"/>
    <w:rsid w:val="006A493C"/>
    <w:rsid w:val="006A51BD"/>
    <w:rsid w:val="006A51FD"/>
    <w:rsid w:val="006A79AD"/>
    <w:rsid w:val="006B3F16"/>
    <w:rsid w:val="006B5D51"/>
    <w:rsid w:val="006C03EB"/>
    <w:rsid w:val="006C2B5B"/>
    <w:rsid w:val="006C32CB"/>
    <w:rsid w:val="006C3367"/>
    <w:rsid w:val="006C399E"/>
    <w:rsid w:val="006C4744"/>
    <w:rsid w:val="006C6B78"/>
    <w:rsid w:val="006C7459"/>
    <w:rsid w:val="006D0115"/>
    <w:rsid w:val="006D0B29"/>
    <w:rsid w:val="006D0CC3"/>
    <w:rsid w:val="006D27F2"/>
    <w:rsid w:val="006D3AB1"/>
    <w:rsid w:val="006D4AA1"/>
    <w:rsid w:val="006D6382"/>
    <w:rsid w:val="006D7CB9"/>
    <w:rsid w:val="006E0C62"/>
    <w:rsid w:val="006E0D5B"/>
    <w:rsid w:val="006E0E28"/>
    <w:rsid w:val="006E22C3"/>
    <w:rsid w:val="006E555F"/>
    <w:rsid w:val="006E7D6B"/>
    <w:rsid w:val="006F0237"/>
    <w:rsid w:val="006F1E39"/>
    <w:rsid w:val="006F22DA"/>
    <w:rsid w:val="006F3EEA"/>
    <w:rsid w:val="006F4AF7"/>
    <w:rsid w:val="006F4C0E"/>
    <w:rsid w:val="006F6D78"/>
    <w:rsid w:val="006F74DF"/>
    <w:rsid w:val="006F7FD8"/>
    <w:rsid w:val="0070128F"/>
    <w:rsid w:val="007029D5"/>
    <w:rsid w:val="00702A46"/>
    <w:rsid w:val="0070385A"/>
    <w:rsid w:val="00704D34"/>
    <w:rsid w:val="00710ACA"/>
    <w:rsid w:val="00711560"/>
    <w:rsid w:val="007116BC"/>
    <w:rsid w:val="0071293F"/>
    <w:rsid w:val="00712EDD"/>
    <w:rsid w:val="00714EEE"/>
    <w:rsid w:val="007165ED"/>
    <w:rsid w:val="007239FB"/>
    <w:rsid w:val="0072498A"/>
    <w:rsid w:val="00725A7B"/>
    <w:rsid w:val="00725ED3"/>
    <w:rsid w:val="00734B12"/>
    <w:rsid w:val="00735873"/>
    <w:rsid w:val="00736388"/>
    <w:rsid w:val="00736394"/>
    <w:rsid w:val="00740FF1"/>
    <w:rsid w:val="00743649"/>
    <w:rsid w:val="007438AC"/>
    <w:rsid w:val="00752574"/>
    <w:rsid w:val="00754887"/>
    <w:rsid w:val="0075666C"/>
    <w:rsid w:val="00756EB5"/>
    <w:rsid w:val="00756FBD"/>
    <w:rsid w:val="00760E68"/>
    <w:rsid w:val="007619A3"/>
    <w:rsid w:val="00764CE9"/>
    <w:rsid w:val="0076531F"/>
    <w:rsid w:val="00765620"/>
    <w:rsid w:val="00767C62"/>
    <w:rsid w:val="007729D7"/>
    <w:rsid w:val="0077323F"/>
    <w:rsid w:val="00777C59"/>
    <w:rsid w:val="00780191"/>
    <w:rsid w:val="00780F1B"/>
    <w:rsid w:val="00781DDA"/>
    <w:rsid w:val="0078258A"/>
    <w:rsid w:val="00783108"/>
    <w:rsid w:val="0078415A"/>
    <w:rsid w:val="0078451C"/>
    <w:rsid w:val="00784546"/>
    <w:rsid w:val="007902E4"/>
    <w:rsid w:val="0079471F"/>
    <w:rsid w:val="00795295"/>
    <w:rsid w:val="007956F6"/>
    <w:rsid w:val="00796012"/>
    <w:rsid w:val="007A01E5"/>
    <w:rsid w:val="007A0613"/>
    <w:rsid w:val="007A0FAE"/>
    <w:rsid w:val="007A231D"/>
    <w:rsid w:val="007A3BD7"/>
    <w:rsid w:val="007A4418"/>
    <w:rsid w:val="007A6823"/>
    <w:rsid w:val="007B6665"/>
    <w:rsid w:val="007C06F6"/>
    <w:rsid w:val="007C39D0"/>
    <w:rsid w:val="007C5D15"/>
    <w:rsid w:val="007C79ED"/>
    <w:rsid w:val="007D0A06"/>
    <w:rsid w:val="007D0BBC"/>
    <w:rsid w:val="007D12B8"/>
    <w:rsid w:val="007D1500"/>
    <w:rsid w:val="007D3035"/>
    <w:rsid w:val="007D5052"/>
    <w:rsid w:val="007D5803"/>
    <w:rsid w:val="007D61C6"/>
    <w:rsid w:val="007E097C"/>
    <w:rsid w:val="007E1208"/>
    <w:rsid w:val="007E2649"/>
    <w:rsid w:val="007E52B5"/>
    <w:rsid w:val="007E5EAB"/>
    <w:rsid w:val="007E6293"/>
    <w:rsid w:val="007E7968"/>
    <w:rsid w:val="007F2D6D"/>
    <w:rsid w:val="007F3B05"/>
    <w:rsid w:val="007F405C"/>
    <w:rsid w:val="007F5067"/>
    <w:rsid w:val="007F634A"/>
    <w:rsid w:val="00801245"/>
    <w:rsid w:val="008015E2"/>
    <w:rsid w:val="00807996"/>
    <w:rsid w:val="0080AE51"/>
    <w:rsid w:val="00811526"/>
    <w:rsid w:val="00811DC5"/>
    <w:rsid w:val="00811E70"/>
    <w:rsid w:val="008125A2"/>
    <w:rsid w:val="0081316A"/>
    <w:rsid w:val="00814CBE"/>
    <w:rsid w:val="0081518D"/>
    <w:rsid w:val="00815328"/>
    <w:rsid w:val="00816A2D"/>
    <w:rsid w:val="00821390"/>
    <w:rsid w:val="0082197B"/>
    <w:rsid w:val="008242C3"/>
    <w:rsid w:val="00824A4B"/>
    <w:rsid w:val="00826977"/>
    <w:rsid w:val="00831832"/>
    <w:rsid w:val="008348FF"/>
    <w:rsid w:val="00837ABC"/>
    <w:rsid w:val="00838671"/>
    <w:rsid w:val="00840C2E"/>
    <w:rsid w:val="00842159"/>
    <w:rsid w:val="00842577"/>
    <w:rsid w:val="008431A9"/>
    <w:rsid w:val="00843204"/>
    <w:rsid w:val="0084330F"/>
    <w:rsid w:val="0084365D"/>
    <w:rsid w:val="00843D97"/>
    <w:rsid w:val="0084446E"/>
    <w:rsid w:val="008474BB"/>
    <w:rsid w:val="0084754B"/>
    <w:rsid w:val="00847C7B"/>
    <w:rsid w:val="00850E4F"/>
    <w:rsid w:val="0085224A"/>
    <w:rsid w:val="0085227F"/>
    <w:rsid w:val="00852721"/>
    <w:rsid w:val="00853687"/>
    <w:rsid w:val="00853CDE"/>
    <w:rsid w:val="008569CB"/>
    <w:rsid w:val="00860070"/>
    <w:rsid w:val="008624B9"/>
    <w:rsid w:val="0086651E"/>
    <w:rsid w:val="00873762"/>
    <w:rsid w:val="00876D1B"/>
    <w:rsid w:val="00883919"/>
    <w:rsid w:val="00885CE4"/>
    <w:rsid w:val="0088643A"/>
    <w:rsid w:val="00887494"/>
    <w:rsid w:val="0089065E"/>
    <w:rsid w:val="0089103A"/>
    <w:rsid w:val="00891E7F"/>
    <w:rsid w:val="00892D5C"/>
    <w:rsid w:val="00896230"/>
    <w:rsid w:val="0089652C"/>
    <w:rsid w:val="00896534"/>
    <w:rsid w:val="00896B65"/>
    <w:rsid w:val="00897F66"/>
    <w:rsid w:val="008A1BD5"/>
    <w:rsid w:val="008A26ED"/>
    <w:rsid w:val="008A35ED"/>
    <w:rsid w:val="008A4506"/>
    <w:rsid w:val="008A628E"/>
    <w:rsid w:val="008A7957"/>
    <w:rsid w:val="008A7B42"/>
    <w:rsid w:val="008B3D53"/>
    <w:rsid w:val="008B4C8A"/>
    <w:rsid w:val="008B5633"/>
    <w:rsid w:val="008B5B42"/>
    <w:rsid w:val="008B6B47"/>
    <w:rsid w:val="008B7418"/>
    <w:rsid w:val="008C188C"/>
    <w:rsid w:val="008C2A22"/>
    <w:rsid w:val="008C657C"/>
    <w:rsid w:val="008D0E28"/>
    <w:rsid w:val="008D2258"/>
    <w:rsid w:val="008D3102"/>
    <w:rsid w:val="008D6410"/>
    <w:rsid w:val="008E365B"/>
    <w:rsid w:val="008E3E51"/>
    <w:rsid w:val="008E73A1"/>
    <w:rsid w:val="008F2192"/>
    <w:rsid w:val="008F3B42"/>
    <w:rsid w:val="008F5BDC"/>
    <w:rsid w:val="008F5DD7"/>
    <w:rsid w:val="008F6133"/>
    <w:rsid w:val="008F64AB"/>
    <w:rsid w:val="00901830"/>
    <w:rsid w:val="00903007"/>
    <w:rsid w:val="009038E3"/>
    <w:rsid w:val="00904C09"/>
    <w:rsid w:val="00905B7F"/>
    <w:rsid w:val="009069F9"/>
    <w:rsid w:val="0090716A"/>
    <w:rsid w:val="00907EFD"/>
    <w:rsid w:val="00911BE5"/>
    <w:rsid w:val="009138DC"/>
    <w:rsid w:val="00917E08"/>
    <w:rsid w:val="0092088E"/>
    <w:rsid w:val="00921C0B"/>
    <w:rsid w:val="00921E2E"/>
    <w:rsid w:val="0092380D"/>
    <w:rsid w:val="009242A8"/>
    <w:rsid w:val="0092473C"/>
    <w:rsid w:val="009251A6"/>
    <w:rsid w:val="009263C8"/>
    <w:rsid w:val="00927356"/>
    <w:rsid w:val="009275D3"/>
    <w:rsid w:val="00927B06"/>
    <w:rsid w:val="0093046B"/>
    <w:rsid w:val="0093103C"/>
    <w:rsid w:val="0093160D"/>
    <w:rsid w:val="00935737"/>
    <w:rsid w:val="0094141F"/>
    <w:rsid w:val="009424BB"/>
    <w:rsid w:val="00942750"/>
    <w:rsid w:val="009508F2"/>
    <w:rsid w:val="00950F3F"/>
    <w:rsid w:val="00955925"/>
    <w:rsid w:val="00956192"/>
    <w:rsid w:val="00957A07"/>
    <w:rsid w:val="00960BAC"/>
    <w:rsid w:val="00962F62"/>
    <w:rsid w:val="00962FD5"/>
    <w:rsid w:val="00963D1C"/>
    <w:rsid w:val="00965979"/>
    <w:rsid w:val="00970A12"/>
    <w:rsid w:val="00972490"/>
    <w:rsid w:val="00974024"/>
    <w:rsid w:val="009775D6"/>
    <w:rsid w:val="00977820"/>
    <w:rsid w:val="00980FE9"/>
    <w:rsid w:val="00984198"/>
    <w:rsid w:val="00986B33"/>
    <w:rsid w:val="00987AD5"/>
    <w:rsid w:val="00992F5D"/>
    <w:rsid w:val="009934CB"/>
    <w:rsid w:val="0099404B"/>
    <w:rsid w:val="00994E9B"/>
    <w:rsid w:val="00996DE8"/>
    <w:rsid w:val="00997D19"/>
    <w:rsid w:val="0099BC6C"/>
    <w:rsid w:val="009A00A3"/>
    <w:rsid w:val="009A01B8"/>
    <w:rsid w:val="009A19FC"/>
    <w:rsid w:val="009A20BD"/>
    <w:rsid w:val="009A4305"/>
    <w:rsid w:val="009A4365"/>
    <w:rsid w:val="009A54A1"/>
    <w:rsid w:val="009A57AB"/>
    <w:rsid w:val="009A6A23"/>
    <w:rsid w:val="009A724D"/>
    <w:rsid w:val="009A7384"/>
    <w:rsid w:val="009B0A8F"/>
    <w:rsid w:val="009B13A9"/>
    <w:rsid w:val="009B44FC"/>
    <w:rsid w:val="009B4B79"/>
    <w:rsid w:val="009B647C"/>
    <w:rsid w:val="009B7138"/>
    <w:rsid w:val="009C0339"/>
    <w:rsid w:val="009C2982"/>
    <w:rsid w:val="009C42C0"/>
    <w:rsid w:val="009C7F94"/>
    <w:rsid w:val="009D0595"/>
    <w:rsid w:val="009D2462"/>
    <w:rsid w:val="009D2C48"/>
    <w:rsid w:val="009D3E08"/>
    <w:rsid w:val="009D65B3"/>
    <w:rsid w:val="009E2349"/>
    <w:rsid w:val="009E2C5C"/>
    <w:rsid w:val="009E3A3D"/>
    <w:rsid w:val="009E3C75"/>
    <w:rsid w:val="009E4357"/>
    <w:rsid w:val="009E5667"/>
    <w:rsid w:val="009E6AD7"/>
    <w:rsid w:val="009F0DFA"/>
    <w:rsid w:val="009F303D"/>
    <w:rsid w:val="009F4499"/>
    <w:rsid w:val="009F506E"/>
    <w:rsid w:val="009F6909"/>
    <w:rsid w:val="009F6AE5"/>
    <w:rsid w:val="009F791A"/>
    <w:rsid w:val="009F7E23"/>
    <w:rsid w:val="00A0102B"/>
    <w:rsid w:val="00A02A59"/>
    <w:rsid w:val="00A035E9"/>
    <w:rsid w:val="00A03668"/>
    <w:rsid w:val="00A03BC2"/>
    <w:rsid w:val="00A05B00"/>
    <w:rsid w:val="00A07C55"/>
    <w:rsid w:val="00A14D72"/>
    <w:rsid w:val="00A15A7C"/>
    <w:rsid w:val="00A21064"/>
    <w:rsid w:val="00A216E7"/>
    <w:rsid w:val="00A225E9"/>
    <w:rsid w:val="00A32B72"/>
    <w:rsid w:val="00A351A5"/>
    <w:rsid w:val="00A36D91"/>
    <w:rsid w:val="00A37618"/>
    <w:rsid w:val="00A4113B"/>
    <w:rsid w:val="00A412AB"/>
    <w:rsid w:val="00A41C56"/>
    <w:rsid w:val="00A439E9"/>
    <w:rsid w:val="00A43B1E"/>
    <w:rsid w:val="00A44849"/>
    <w:rsid w:val="00A460D0"/>
    <w:rsid w:val="00A470B0"/>
    <w:rsid w:val="00A53CC7"/>
    <w:rsid w:val="00A54A43"/>
    <w:rsid w:val="00A54D3C"/>
    <w:rsid w:val="00A60FAF"/>
    <w:rsid w:val="00A6123D"/>
    <w:rsid w:val="00A62786"/>
    <w:rsid w:val="00A62954"/>
    <w:rsid w:val="00A62E54"/>
    <w:rsid w:val="00A63628"/>
    <w:rsid w:val="00A64E9F"/>
    <w:rsid w:val="00A64F88"/>
    <w:rsid w:val="00A66CB3"/>
    <w:rsid w:val="00A67B94"/>
    <w:rsid w:val="00A730AC"/>
    <w:rsid w:val="00A747D0"/>
    <w:rsid w:val="00A74FB0"/>
    <w:rsid w:val="00A77AE6"/>
    <w:rsid w:val="00A78BF5"/>
    <w:rsid w:val="00A80DEA"/>
    <w:rsid w:val="00A81863"/>
    <w:rsid w:val="00A819B1"/>
    <w:rsid w:val="00A8391D"/>
    <w:rsid w:val="00A84D61"/>
    <w:rsid w:val="00A85508"/>
    <w:rsid w:val="00A86268"/>
    <w:rsid w:val="00A867C4"/>
    <w:rsid w:val="00A879CA"/>
    <w:rsid w:val="00A87D61"/>
    <w:rsid w:val="00A90174"/>
    <w:rsid w:val="00A91579"/>
    <w:rsid w:val="00A926B3"/>
    <w:rsid w:val="00A939AF"/>
    <w:rsid w:val="00A94C40"/>
    <w:rsid w:val="00A95B2D"/>
    <w:rsid w:val="00A96149"/>
    <w:rsid w:val="00AA16F5"/>
    <w:rsid w:val="00AA3CE0"/>
    <w:rsid w:val="00AA51AA"/>
    <w:rsid w:val="00AA5202"/>
    <w:rsid w:val="00AA6B69"/>
    <w:rsid w:val="00AB25E3"/>
    <w:rsid w:val="00AB281F"/>
    <w:rsid w:val="00AB326E"/>
    <w:rsid w:val="00AB3655"/>
    <w:rsid w:val="00AB44B7"/>
    <w:rsid w:val="00AB47BF"/>
    <w:rsid w:val="00AB6CDB"/>
    <w:rsid w:val="00AC0EB9"/>
    <w:rsid w:val="00AC12F4"/>
    <w:rsid w:val="00AC19C8"/>
    <w:rsid w:val="00AC2092"/>
    <w:rsid w:val="00AC3863"/>
    <w:rsid w:val="00AC4146"/>
    <w:rsid w:val="00AC58C3"/>
    <w:rsid w:val="00AC5DB4"/>
    <w:rsid w:val="00AC5F07"/>
    <w:rsid w:val="00AC639D"/>
    <w:rsid w:val="00AD0343"/>
    <w:rsid w:val="00AD2AB2"/>
    <w:rsid w:val="00AD330E"/>
    <w:rsid w:val="00AD5A38"/>
    <w:rsid w:val="00AD70F3"/>
    <w:rsid w:val="00AD7E13"/>
    <w:rsid w:val="00AE01E5"/>
    <w:rsid w:val="00AE1A29"/>
    <w:rsid w:val="00AE211B"/>
    <w:rsid w:val="00AE241B"/>
    <w:rsid w:val="00AE307F"/>
    <w:rsid w:val="00AF0848"/>
    <w:rsid w:val="00AF1030"/>
    <w:rsid w:val="00AF37A6"/>
    <w:rsid w:val="00AF6C1E"/>
    <w:rsid w:val="00AF6E33"/>
    <w:rsid w:val="00AF72F8"/>
    <w:rsid w:val="00B01EB7"/>
    <w:rsid w:val="00B03438"/>
    <w:rsid w:val="00B0442C"/>
    <w:rsid w:val="00B054BC"/>
    <w:rsid w:val="00B05B38"/>
    <w:rsid w:val="00B05C06"/>
    <w:rsid w:val="00B06572"/>
    <w:rsid w:val="00B06DF6"/>
    <w:rsid w:val="00B07034"/>
    <w:rsid w:val="00B077E6"/>
    <w:rsid w:val="00B10EAF"/>
    <w:rsid w:val="00B120BC"/>
    <w:rsid w:val="00B13702"/>
    <w:rsid w:val="00B13FB3"/>
    <w:rsid w:val="00B141A0"/>
    <w:rsid w:val="00B15335"/>
    <w:rsid w:val="00B17746"/>
    <w:rsid w:val="00B2272B"/>
    <w:rsid w:val="00B23457"/>
    <w:rsid w:val="00B23E88"/>
    <w:rsid w:val="00B272D4"/>
    <w:rsid w:val="00B27B6C"/>
    <w:rsid w:val="00B33B67"/>
    <w:rsid w:val="00B33DCC"/>
    <w:rsid w:val="00B34B72"/>
    <w:rsid w:val="00B35364"/>
    <w:rsid w:val="00B41AC9"/>
    <w:rsid w:val="00B45636"/>
    <w:rsid w:val="00B47355"/>
    <w:rsid w:val="00B51474"/>
    <w:rsid w:val="00B5194C"/>
    <w:rsid w:val="00B51978"/>
    <w:rsid w:val="00B54219"/>
    <w:rsid w:val="00B54935"/>
    <w:rsid w:val="00B55BED"/>
    <w:rsid w:val="00B569CF"/>
    <w:rsid w:val="00B57302"/>
    <w:rsid w:val="00B5744A"/>
    <w:rsid w:val="00B57A73"/>
    <w:rsid w:val="00B60265"/>
    <w:rsid w:val="00B606B4"/>
    <w:rsid w:val="00B644C9"/>
    <w:rsid w:val="00B64643"/>
    <w:rsid w:val="00B64746"/>
    <w:rsid w:val="00B64CB0"/>
    <w:rsid w:val="00B66306"/>
    <w:rsid w:val="00B70EFD"/>
    <w:rsid w:val="00B752A4"/>
    <w:rsid w:val="00B754F3"/>
    <w:rsid w:val="00B77186"/>
    <w:rsid w:val="00B809F4"/>
    <w:rsid w:val="00B81F08"/>
    <w:rsid w:val="00B824DE"/>
    <w:rsid w:val="00B916FF"/>
    <w:rsid w:val="00B92E1E"/>
    <w:rsid w:val="00B954C9"/>
    <w:rsid w:val="00B9684D"/>
    <w:rsid w:val="00BA097A"/>
    <w:rsid w:val="00BA10A0"/>
    <w:rsid w:val="00BA28B2"/>
    <w:rsid w:val="00BB082D"/>
    <w:rsid w:val="00BB1174"/>
    <w:rsid w:val="00BB2B2F"/>
    <w:rsid w:val="00BB30EC"/>
    <w:rsid w:val="00BB35FB"/>
    <w:rsid w:val="00BB3EE3"/>
    <w:rsid w:val="00BB500E"/>
    <w:rsid w:val="00BC1835"/>
    <w:rsid w:val="00BC2513"/>
    <w:rsid w:val="00BC3216"/>
    <w:rsid w:val="00BC3DEC"/>
    <w:rsid w:val="00BC6A7F"/>
    <w:rsid w:val="00BD0759"/>
    <w:rsid w:val="00BD12A0"/>
    <w:rsid w:val="00BD2E6F"/>
    <w:rsid w:val="00BD395A"/>
    <w:rsid w:val="00BD3AAB"/>
    <w:rsid w:val="00BD52BA"/>
    <w:rsid w:val="00BD56A0"/>
    <w:rsid w:val="00BE07AF"/>
    <w:rsid w:val="00BE16D9"/>
    <w:rsid w:val="00BE246D"/>
    <w:rsid w:val="00BE3061"/>
    <w:rsid w:val="00BF09B1"/>
    <w:rsid w:val="00BF17AA"/>
    <w:rsid w:val="00BF2702"/>
    <w:rsid w:val="00BF2B32"/>
    <w:rsid w:val="00BF369C"/>
    <w:rsid w:val="00BF3EF7"/>
    <w:rsid w:val="00BF4175"/>
    <w:rsid w:val="00BF719E"/>
    <w:rsid w:val="00C00645"/>
    <w:rsid w:val="00C008F9"/>
    <w:rsid w:val="00C0341B"/>
    <w:rsid w:val="00C04958"/>
    <w:rsid w:val="00C06103"/>
    <w:rsid w:val="00C1123A"/>
    <w:rsid w:val="00C121E1"/>
    <w:rsid w:val="00C130C1"/>
    <w:rsid w:val="00C2277D"/>
    <w:rsid w:val="00C24556"/>
    <w:rsid w:val="00C26329"/>
    <w:rsid w:val="00C30286"/>
    <w:rsid w:val="00C30317"/>
    <w:rsid w:val="00C30EE0"/>
    <w:rsid w:val="00C34145"/>
    <w:rsid w:val="00C35089"/>
    <w:rsid w:val="00C4212C"/>
    <w:rsid w:val="00C44E80"/>
    <w:rsid w:val="00C4634E"/>
    <w:rsid w:val="00C4798D"/>
    <w:rsid w:val="00C504C1"/>
    <w:rsid w:val="00C509E8"/>
    <w:rsid w:val="00C514A3"/>
    <w:rsid w:val="00C51B60"/>
    <w:rsid w:val="00C533D5"/>
    <w:rsid w:val="00C6053E"/>
    <w:rsid w:val="00C64AF4"/>
    <w:rsid w:val="00C661C3"/>
    <w:rsid w:val="00C6799F"/>
    <w:rsid w:val="00C70360"/>
    <w:rsid w:val="00C71240"/>
    <w:rsid w:val="00C72DD1"/>
    <w:rsid w:val="00C8250E"/>
    <w:rsid w:val="00C8335E"/>
    <w:rsid w:val="00C84D3B"/>
    <w:rsid w:val="00C857F4"/>
    <w:rsid w:val="00C85B34"/>
    <w:rsid w:val="00C86FD9"/>
    <w:rsid w:val="00C87013"/>
    <w:rsid w:val="00C87FD9"/>
    <w:rsid w:val="00C92153"/>
    <w:rsid w:val="00C94485"/>
    <w:rsid w:val="00C96128"/>
    <w:rsid w:val="00C968DB"/>
    <w:rsid w:val="00C973DF"/>
    <w:rsid w:val="00C97B0D"/>
    <w:rsid w:val="00CA0584"/>
    <w:rsid w:val="00CA06ED"/>
    <w:rsid w:val="00CA09F4"/>
    <w:rsid w:val="00CA0AEF"/>
    <w:rsid w:val="00CA289D"/>
    <w:rsid w:val="00CA62BB"/>
    <w:rsid w:val="00CA6668"/>
    <w:rsid w:val="00CA6DDA"/>
    <w:rsid w:val="00CB0EAE"/>
    <w:rsid w:val="00CB39D3"/>
    <w:rsid w:val="00CB631A"/>
    <w:rsid w:val="00CC091D"/>
    <w:rsid w:val="00CC332E"/>
    <w:rsid w:val="00CC3B1B"/>
    <w:rsid w:val="00CC4034"/>
    <w:rsid w:val="00CC4178"/>
    <w:rsid w:val="00CD3D48"/>
    <w:rsid w:val="00CD41E6"/>
    <w:rsid w:val="00CD473B"/>
    <w:rsid w:val="00CD4F29"/>
    <w:rsid w:val="00CD62F4"/>
    <w:rsid w:val="00CD6DB4"/>
    <w:rsid w:val="00CE1C85"/>
    <w:rsid w:val="00CE1E53"/>
    <w:rsid w:val="00CE249B"/>
    <w:rsid w:val="00CE2D24"/>
    <w:rsid w:val="00CE421B"/>
    <w:rsid w:val="00CE4E63"/>
    <w:rsid w:val="00CE5A9B"/>
    <w:rsid w:val="00CE5FD0"/>
    <w:rsid w:val="00CE6360"/>
    <w:rsid w:val="00CF142A"/>
    <w:rsid w:val="00CF40A3"/>
    <w:rsid w:val="00CF5529"/>
    <w:rsid w:val="00D01886"/>
    <w:rsid w:val="00D02638"/>
    <w:rsid w:val="00D03761"/>
    <w:rsid w:val="00D03BB6"/>
    <w:rsid w:val="00D03E77"/>
    <w:rsid w:val="00D04360"/>
    <w:rsid w:val="00D057AD"/>
    <w:rsid w:val="00D06F95"/>
    <w:rsid w:val="00D0707F"/>
    <w:rsid w:val="00D13421"/>
    <w:rsid w:val="00D144C0"/>
    <w:rsid w:val="00D14D11"/>
    <w:rsid w:val="00D16144"/>
    <w:rsid w:val="00D171C6"/>
    <w:rsid w:val="00D1760C"/>
    <w:rsid w:val="00D220F7"/>
    <w:rsid w:val="00D245B6"/>
    <w:rsid w:val="00D3007E"/>
    <w:rsid w:val="00D30181"/>
    <w:rsid w:val="00D313AF"/>
    <w:rsid w:val="00D336B0"/>
    <w:rsid w:val="00D339F5"/>
    <w:rsid w:val="00D34019"/>
    <w:rsid w:val="00D35031"/>
    <w:rsid w:val="00D356D3"/>
    <w:rsid w:val="00D36AED"/>
    <w:rsid w:val="00D3738B"/>
    <w:rsid w:val="00D37947"/>
    <w:rsid w:val="00D37AE4"/>
    <w:rsid w:val="00D403F3"/>
    <w:rsid w:val="00D4405A"/>
    <w:rsid w:val="00D511E3"/>
    <w:rsid w:val="00D5365A"/>
    <w:rsid w:val="00D540A9"/>
    <w:rsid w:val="00D54508"/>
    <w:rsid w:val="00D54B00"/>
    <w:rsid w:val="00D55927"/>
    <w:rsid w:val="00D62A5E"/>
    <w:rsid w:val="00D6350D"/>
    <w:rsid w:val="00D64E5F"/>
    <w:rsid w:val="00D658DE"/>
    <w:rsid w:val="00D65F8E"/>
    <w:rsid w:val="00D7106B"/>
    <w:rsid w:val="00D7149D"/>
    <w:rsid w:val="00D71F12"/>
    <w:rsid w:val="00D7212C"/>
    <w:rsid w:val="00D74C55"/>
    <w:rsid w:val="00D75FA8"/>
    <w:rsid w:val="00D774FC"/>
    <w:rsid w:val="00D776F6"/>
    <w:rsid w:val="00D77DF6"/>
    <w:rsid w:val="00D7D1DF"/>
    <w:rsid w:val="00D80054"/>
    <w:rsid w:val="00D82F71"/>
    <w:rsid w:val="00D84FEB"/>
    <w:rsid w:val="00D85ADB"/>
    <w:rsid w:val="00D90914"/>
    <w:rsid w:val="00D90DB6"/>
    <w:rsid w:val="00D92B36"/>
    <w:rsid w:val="00D93055"/>
    <w:rsid w:val="00D93BCD"/>
    <w:rsid w:val="00D95D2B"/>
    <w:rsid w:val="00D97DFD"/>
    <w:rsid w:val="00DA0638"/>
    <w:rsid w:val="00DA08A2"/>
    <w:rsid w:val="00DA41CE"/>
    <w:rsid w:val="00DA5C4E"/>
    <w:rsid w:val="00DA5FEA"/>
    <w:rsid w:val="00DB6D39"/>
    <w:rsid w:val="00DC0530"/>
    <w:rsid w:val="00DC16E3"/>
    <w:rsid w:val="00DC36E2"/>
    <w:rsid w:val="00DC5B17"/>
    <w:rsid w:val="00DC7143"/>
    <w:rsid w:val="00DC7165"/>
    <w:rsid w:val="00DD0D6F"/>
    <w:rsid w:val="00DD106F"/>
    <w:rsid w:val="00DD13FC"/>
    <w:rsid w:val="00DD1E5C"/>
    <w:rsid w:val="00DD2A07"/>
    <w:rsid w:val="00DD43A2"/>
    <w:rsid w:val="00DD6AD1"/>
    <w:rsid w:val="00DE0D7B"/>
    <w:rsid w:val="00DE3EF0"/>
    <w:rsid w:val="00DE463A"/>
    <w:rsid w:val="00DE5879"/>
    <w:rsid w:val="00DE7446"/>
    <w:rsid w:val="00DE797F"/>
    <w:rsid w:val="00DF36EB"/>
    <w:rsid w:val="00DF5B06"/>
    <w:rsid w:val="00DF6FE7"/>
    <w:rsid w:val="00E01094"/>
    <w:rsid w:val="00E0118C"/>
    <w:rsid w:val="00E023DE"/>
    <w:rsid w:val="00E04D37"/>
    <w:rsid w:val="00E05EDB"/>
    <w:rsid w:val="00E06AA7"/>
    <w:rsid w:val="00E07603"/>
    <w:rsid w:val="00E079D6"/>
    <w:rsid w:val="00E1284D"/>
    <w:rsid w:val="00E13E97"/>
    <w:rsid w:val="00E16F60"/>
    <w:rsid w:val="00E204C0"/>
    <w:rsid w:val="00E209DB"/>
    <w:rsid w:val="00E24D7F"/>
    <w:rsid w:val="00E24E45"/>
    <w:rsid w:val="00E25065"/>
    <w:rsid w:val="00E25B24"/>
    <w:rsid w:val="00E264A8"/>
    <w:rsid w:val="00E27FD8"/>
    <w:rsid w:val="00E32042"/>
    <w:rsid w:val="00E3258E"/>
    <w:rsid w:val="00E34520"/>
    <w:rsid w:val="00E35A6D"/>
    <w:rsid w:val="00E35FA6"/>
    <w:rsid w:val="00E361AF"/>
    <w:rsid w:val="00E40503"/>
    <w:rsid w:val="00E406E6"/>
    <w:rsid w:val="00E40B34"/>
    <w:rsid w:val="00E41721"/>
    <w:rsid w:val="00E419A4"/>
    <w:rsid w:val="00E44494"/>
    <w:rsid w:val="00E46996"/>
    <w:rsid w:val="00E49089"/>
    <w:rsid w:val="00E55D6E"/>
    <w:rsid w:val="00E564AE"/>
    <w:rsid w:val="00E56F76"/>
    <w:rsid w:val="00E57391"/>
    <w:rsid w:val="00E57C31"/>
    <w:rsid w:val="00E612D6"/>
    <w:rsid w:val="00E61A5D"/>
    <w:rsid w:val="00E62779"/>
    <w:rsid w:val="00E70AEA"/>
    <w:rsid w:val="00E70BB5"/>
    <w:rsid w:val="00E726F7"/>
    <w:rsid w:val="00E728CB"/>
    <w:rsid w:val="00E74068"/>
    <w:rsid w:val="00E75B15"/>
    <w:rsid w:val="00E775BE"/>
    <w:rsid w:val="00E77ACC"/>
    <w:rsid w:val="00E82204"/>
    <w:rsid w:val="00E86A9F"/>
    <w:rsid w:val="00E91ED3"/>
    <w:rsid w:val="00E946CA"/>
    <w:rsid w:val="00E9506B"/>
    <w:rsid w:val="00E97C76"/>
    <w:rsid w:val="00EA2B2B"/>
    <w:rsid w:val="00EA3C06"/>
    <w:rsid w:val="00EA3FCC"/>
    <w:rsid w:val="00EA52C9"/>
    <w:rsid w:val="00EB6A3B"/>
    <w:rsid w:val="00EC061A"/>
    <w:rsid w:val="00EC0EA4"/>
    <w:rsid w:val="00EC12C1"/>
    <w:rsid w:val="00EC29D9"/>
    <w:rsid w:val="00EC3FA7"/>
    <w:rsid w:val="00EC507F"/>
    <w:rsid w:val="00EC6D13"/>
    <w:rsid w:val="00EC78B7"/>
    <w:rsid w:val="00ED03A7"/>
    <w:rsid w:val="00ED217F"/>
    <w:rsid w:val="00ED2A5A"/>
    <w:rsid w:val="00ED2D27"/>
    <w:rsid w:val="00ED3175"/>
    <w:rsid w:val="00ED31BB"/>
    <w:rsid w:val="00ED484D"/>
    <w:rsid w:val="00ED4E79"/>
    <w:rsid w:val="00ED6B86"/>
    <w:rsid w:val="00ED6D0F"/>
    <w:rsid w:val="00ED7DFA"/>
    <w:rsid w:val="00EE1DA5"/>
    <w:rsid w:val="00EE3C5E"/>
    <w:rsid w:val="00EE62C1"/>
    <w:rsid w:val="00EE762C"/>
    <w:rsid w:val="00EE768D"/>
    <w:rsid w:val="00EE7EC5"/>
    <w:rsid w:val="00EF0496"/>
    <w:rsid w:val="00EF749E"/>
    <w:rsid w:val="00EF792A"/>
    <w:rsid w:val="00F01765"/>
    <w:rsid w:val="00F01DB1"/>
    <w:rsid w:val="00F02796"/>
    <w:rsid w:val="00F0323D"/>
    <w:rsid w:val="00F055CA"/>
    <w:rsid w:val="00F074B4"/>
    <w:rsid w:val="00F10E8E"/>
    <w:rsid w:val="00F11222"/>
    <w:rsid w:val="00F11562"/>
    <w:rsid w:val="00F11C86"/>
    <w:rsid w:val="00F140F6"/>
    <w:rsid w:val="00F20062"/>
    <w:rsid w:val="00F20E8B"/>
    <w:rsid w:val="00F210A3"/>
    <w:rsid w:val="00F210F3"/>
    <w:rsid w:val="00F217B9"/>
    <w:rsid w:val="00F21FD6"/>
    <w:rsid w:val="00F2393B"/>
    <w:rsid w:val="00F23A69"/>
    <w:rsid w:val="00F262C9"/>
    <w:rsid w:val="00F267B1"/>
    <w:rsid w:val="00F26C09"/>
    <w:rsid w:val="00F30599"/>
    <w:rsid w:val="00F31D88"/>
    <w:rsid w:val="00F33C40"/>
    <w:rsid w:val="00F33D3B"/>
    <w:rsid w:val="00F3583B"/>
    <w:rsid w:val="00F40692"/>
    <w:rsid w:val="00F4083B"/>
    <w:rsid w:val="00F4083C"/>
    <w:rsid w:val="00F43682"/>
    <w:rsid w:val="00F512A3"/>
    <w:rsid w:val="00F518EE"/>
    <w:rsid w:val="00F520E3"/>
    <w:rsid w:val="00F536D6"/>
    <w:rsid w:val="00F554A9"/>
    <w:rsid w:val="00F56A6D"/>
    <w:rsid w:val="00F601E5"/>
    <w:rsid w:val="00F62302"/>
    <w:rsid w:val="00F62931"/>
    <w:rsid w:val="00F63D99"/>
    <w:rsid w:val="00F64CB9"/>
    <w:rsid w:val="00F65F32"/>
    <w:rsid w:val="00F66C05"/>
    <w:rsid w:val="00F678DB"/>
    <w:rsid w:val="00F71441"/>
    <w:rsid w:val="00F76F39"/>
    <w:rsid w:val="00F8118B"/>
    <w:rsid w:val="00F81461"/>
    <w:rsid w:val="00F82332"/>
    <w:rsid w:val="00F8260E"/>
    <w:rsid w:val="00F831EF"/>
    <w:rsid w:val="00F83B5C"/>
    <w:rsid w:val="00F90791"/>
    <w:rsid w:val="00F91479"/>
    <w:rsid w:val="00F91827"/>
    <w:rsid w:val="00F92443"/>
    <w:rsid w:val="00F943F0"/>
    <w:rsid w:val="00F94492"/>
    <w:rsid w:val="00F952C0"/>
    <w:rsid w:val="00F95B5A"/>
    <w:rsid w:val="00F960AA"/>
    <w:rsid w:val="00F9731B"/>
    <w:rsid w:val="00FA1A0D"/>
    <w:rsid w:val="00FA20BF"/>
    <w:rsid w:val="00FA2E83"/>
    <w:rsid w:val="00FA4829"/>
    <w:rsid w:val="00FA6894"/>
    <w:rsid w:val="00FA7A5F"/>
    <w:rsid w:val="00FB6BAE"/>
    <w:rsid w:val="00FB6FCE"/>
    <w:rsid w:val="00FC1367"/>
    <w:rsid w:val="00FC27CA"/>
    <w:rsid w:val="00FC3137"/>
    <w:rsid w:val="00FC319C"/>
    <w:rsid w:val="00FC4ECB"/>
    <w:rsid w:val="00FD15E4"/>
    <w:rsid w:val="00FD2280"/>
    <w:rsid w:val="00FD3DF4"/>
    <w:rsid w:val="00FD54B6"/>
    <w:rsid w:val="00FD5AB2"/>
    <w:rsid w:val="00FD6299"/>
    <w:rsid w:val="00FD77B3"/>
    <w:rsid w:val="00FE0946"/>
    <w:rsid w:val="00FE0A3E"/>
    <w:rsid w:val="00FE2F95"/>
    <w:rsid w:val="00FE4CA7"/>
    <w:rsid w:val="00FE4D1E"/>
    <w:rsid w:val="00FE556B"/>
    <w:rsid w:val="00FE614A"/>
    <w:rsid w:val="00FE65D9"/>
    <w:rsid w:val="00FE7C3C"/>
    <w:rsid w:val="00FF1051"/>
    <w:rsid w:val="00FF1C66"/>
    <w:rsid w:val="00FF2169"/>
    <w:rsid w:val="00FF2EBF"/>
    <w:rsid w:val="00FF394C"/>
    <w:rsid w:val="00FF4158"/>
    <w:rsid w:val="00FF4687"/>
    <w:rsid w:val="00FF5771"/>
    <w:rsid w:val="00FF6032"/>
    <w:rsid w:val="010DF771"/>
    <w:rsid w:val="011AB140"/>
    <w:rsid w:val="01352D63"/>
    <w:rsid w:val="013A935D"/>
    <w:rsid w:val="01410309"/>
    <w:rsid w:val="01567B4B"/>
    <w:rsid w:val="0165933F"/>
    <w:rsid w:val="017749BF"/>
    <w:rsid w:val="018C3DC7"/>
    <w:rsid w:val="018D33A0"/>
    <w:rsid w:val="019DA1CC"/>
    <w:rsid w:val="01A2B8DA"/>
    <w:rsid w:val="01A4CA08"/>
    <w:rsid w:val="01BEB616"/>
    <w:rsid w:val="01D28F03"/>
    <w:rsid w:val="01E2A0CB"/>
    <w:rsid w:val="01EAFCC7"/>
    <w:rsid w:val="01F2472C"/>
    <w:rsid w:val="01FF9ED3"/>
    <w:rsid w:val="0209C5DD"/>
    <w:rsid w:val="02272CC2"/>
    <w:rsid w:val="0232BF7C"/>
    <w:rsid w:val="023F1794"/>
    <w:rsid w:val="0266FC1F"/>
    <w:rsid w:val="027FE1F1"/>
    <w:rsid w:val="028BBBC7"/>
    <w:rsid w:val="02909F75"/>
    <w:rsid w:val="02A213F6"/>
    <w:rsid w:val="02A457E3"/>
    <w:rsid w:val="02A4FFA5"/>
    <w:rsid w:val="02A894A7"/>
    <w:rsid w:val="02B91D13"/>
    <w:rsid w:val="02BDCFDF"/>
    <w:rsid w:val="02CE7638"/>
    <w:rsid w:val="02D11B9E"/>
    <w:rsid w:val="02D8EE8B"/>
    <w:rsid w:val="0306FB18"/>
    <w:rsid w:val="030F1BDE"/>
    <w:rsid w:val="032F94ED"/>
    <w:rsid w:val="0332AA82"/>
    <w:rsid w:val="033573FA"/>
    <w:rsid w:val="0352081B"/>
    <w:rsid w:val="035E0BE2"/>
    <w:rsid w:val="0372A5BE"/>
    <w:rsid w:val="037D3B65"/>
    <w:rsid w:val="0381F122"/>
    <w:rsid w:val="039524AE"/>
    <w:rsid w:val="0398400F"/>
    <w:rsid w:val="03A0B52E"/>
    <w:rsid w:val="03BC32E2"/>
    <w:rsid w:val="03C30DA9"/>
    <w:rsid w:val="03CE5E65"/>
    <w:rsid w:val="03DD9A1B"/>
    <w:rsid w:val="03DF0762"/>
    <w:rsid w:val="03E7B0F6"/>
    <w:rsid w:val="03F04239"/>
    <w:rsid w:val="04022417"/>
    <w:rsid w:val="04297B19"/>
    <w:rsid w:val="0440D006"/>
    <w:rsid w:val="0441B097"/>
    <w:rsid w:val="044DEA8D"/>
    <w:rsid w:val="044F217D"/>
    <w:rsid w:val="04511FF9"/>
    <w:rsid w:val="0451F9CA"/>
    <w:rsid w:val="04521B56"/>
    <w:rsid w:val="047341AD"/>
    <w:rsid w:val="047C66F8"/>
    <w:rsid w:val="048B6B18"/>
    <w:rsid w:val="048DB385"/>
    <w:rsid w:val="049763A3"/>
    <w:rsid w:val="049BD732"/>
    <w:rsid w:val="04C21E87"/>
    <w:rsid w:val="04C6B72B"/>
    <w:rsid w:val="04D8BB1C"/>
    <w:rsid w:val="04EA38BA"/>
    <w:rsid w:val="05058119"/>
    <w:rsid w:val="050925AD"/>
    <w:rsid w:val="051DE759"/>
    <w:rsid w:val="05248E30"/>
    <w:rsid w:val="052635C2"/>
    <w:rsid w:val="05342B1F"/>
    <w:rsid w:val="0572EA3D"/>
    <w:rsid w:val="05BF11A2"/>
    <w:rsid w:val="05D79D42"/>
    <w:rsid w:val="05EC9C60"/>
    <w:rsid w:val="060616FA"/>
    <w:rsid w:val="0625E280"/>
    <w:rsid w:val="06274F3D"/>
    <w:rsid w:val="063C0D8E"/>
    <w:rsid w:val="06467464"/>
    <w:rsid w:val="06472848"/>
    <w:rsid w:val="064D07BC"/>
    <w:rsid w:val="0669EE63"/>
    <w:rsid w:val="06747013"/>
    <w:rsid w:val="06B0DAD5"/>
    <w:rsid w:val="06B71F7C"/>
    <w:rsid w:val="06C40EA3"/>
    <w:rsid w:val="06CBCF63"/>
    <w:rsid w:val="06CDD0D2"/>
    <w:rsid w:val="06D7366D"/>
    <w:rsid w:val="06D9F0C5"/>
    <w:rsid w:val="06DC272E"/>
    <w:rsid w:val="070004E5"/>
    <w:rsid w:val="0716A824"/>
    <w:rsid w:val="07203BD0"/>
    <w:rsid w:val="0720F6C2"/>
    <w:rsid w:val="07210DE3"/>
    <w:rsid w:val="074EF43D"/>
    <w:rsid w:val="076C50DF"/>
    <w:rsid w:val="0778DE60"/>
    <w:rsid w:val="079A0E87"/>
    <w:rsid w:val="079AD563"/>
    <w:rsid w:val="079E6CCB"/>
    <w:rsid w:val="07C90C6D"/>
    <w:rsid w:val="08001677"/>
    <w:rsid w:val="080D9E28"/>
    <w:rsid w:val="081465C8"/>
    <w:rsid w:val="0815D5F8"/>
    <w:rsid w:val="0824764F"/>
    <w:rsid w:val="085DCDF2"/>
    <w:rsid w:val="0872E2B2"/>
    <w:rsid w:val="0883744B"/>
    <w:rsid w:val="08AD101D"/>
    <w:rsid w:val="08B5D122"/>
    <w:rsid w:val="08BD7C3A"/>
    <w:rsid w:val="08C5E29E"/>
    <w:rsid w:val="08CE1E1A"/>
    <w:rsid w:val="08F256D5"/>
    <w:rsid w:val="090C2679"/>
    <w:rsid w:val="090DAE89"/>
    <w:rsid w:val="09169692"/>
    <w:rsid w:val="091D28C9"/>
    <w:rsid w:val="091FAB3B"/>
    <w:rsid w:val="092DD417"/>
    <w:rsid w:val="092F07B2"/>
    <w:rsid w:val="0953AF59"/>
    <w:rsid w:val="0956E019"/>
    <w:rsid w:val="0973AE50"/>
    <w:rsid w:val="09766FDC"/>
    <w:rsid w:val="09872F8E"/>
    <w:rsid w:val="098C7312"/>
    <w:rsid w:val="098FFAB9"/>
    <w:rsid w:val="099F9974"/>
    <w:rsid w:val="09AA4BCF"/>
    <w:rsid w:val="09BECCEE"/>
    <w:rsid w:val="09C9BDF2"/>
    <w:rsid w:val="09CD4DF3"/>
    <w:rsid w:val="09D1DE14"/>
    <w:rsid w:val="09ECDAFB"/>
    <w:rsid w:val="09FEABBE"/>
    <w:rsid w:val="0A17660E"/>
    <w:rsid w:val="0A264053"/>
    <w:rsid w:val="0A2EED25"/>
    <w:rsid w:val="0A5F1B05"/>
    <w:rsid w:val="0A6D4895"/>
    <w:rsid w:val="0A7C24C0"/>
    <w:rsid w:val="0A7F6C41"/>
    <w:rsid w:val="0A8C1D83"/>
    <w:rsid w:val="0A8C9522"/>
    <w:rsid w:val="0A921E1E"/>
    <w:rsid w:val="0A936055"/>
    <w:rsid w:val="0A94A472"/>
    <w:rsid w:val="0A94C28A"/>
    <w:rsid w:val="0A9B60F0"/>
    <w:rsid w:val="0AA70A8C"/>
    <w:rsid w:val="0AADCCCF"/>
    <w:rsid w:val="0ABCCAE3"/>
    <w:rsid w:val="0ABED223"/>
    <w:rsid w:val="0ABF642F"/>
    <w:rsid w:val="0AD27625"/>
    <w:rsid w:val="0AD9881D"/>
    <w:rsid w:val="0AFB8BA2"/>
    <w:rsid w:val="0AFC11B5"/>
    <w:rsid w:val="0B09C06D"/>
    <w:rsid w:val="0B12403D"/>
    <w:rsid w:val="0B17621B"/>
    <w:rsid w:val="0B18CD27"/>
    <w:rsid w:val="0B50EEA4"/>
    <w:rsid w:val="0B55C089"/>
    <w:rsid w:val="0B784771"/>
    <w:rsid w:val="0B793BD4"/>
    <w:rsid w:val="0B8039C4"/>
    <w:rsid w:val="0B88B4A9"/>
    <w:rsid w:val="0B9BF770"/>
    <w:rsid w:val="0B9FFE29"/>
    <w:rsid w:val="0BA18FC2"/>
    <w:rsid w:val="0BB52779"/>
    <w:rsid w:val="0BC57554"/>
    <w:rsid w:val="0BCE0AD7"/>
    <w:rsid w:val="0BE22BC1"/>
    <w:rsid w:val="0BE2EB2E"/>
    <w:rsid w:val="0C008E0E"/>
    <w:rsid w:val="0C09B37F"/>
    <w:rsid w:val="0C14BBA3"/>
    <w:rsid w:val="0C19B652"/>
    <w:rsid w:val="0C1A9CFA"/>
    <w:rsid w:val="0C1A9EC4"/>
    <w:rsid w:val="0C2CFC7D"/>
    <w:rsid w:val="0C2EA0E3"/>
    <w:rsid w:val="0C3BBF93"/>
    <w:rsid w:val="0C41399A"/>
    <w:rsid w:val="0C48E512"/>
    <w:rsid w:val="0C4C7F6E"/>
    <w:rsid w:val="0C57014C"/>
    <w:rsid w:val="0C6C48CF"/>
    <w:rsid w:val="0C849688"/>
    <w:rsid w:val="0C953953"/>
    <w:rsid w:val="0CACB3F9"/>
    <w:rsid w:val="0CB90655"/>
    <w:rsid w:val="0CB9B546"/>
    <w:rsid w:val="0CBA38EA"/>
    <w:rsid w:val="0CC09DF8"/>
    <w:rsid w:val="0CC550D4"/>
    <w:rsid w:val="0CD82479"/>
    <w:rsid w:val="0CE11D6D"/>
    <w:rsid w:val="0CE87FAD"/>
    <w:rsid w:val="0CF99824"/>
    <w:rsid w:val="0D1541AA"/>
    <w:rsid w:val="0D2EE523"/>
    <w:rsid w:val="0D37C7D1"/>
    <w:rsid w:val="0D38D985"/>
    <w:rsid w:val="0D61C19C"/>
    <w:rsid w:val="0D6F4669"/>
    <w:rsid w:val="0D886EC6"/>
    <w:rsid w:val="0D9971DF"/>
    <w:rsid w:val="0DA042DB"/>
    <w:rsid w:val="0DA6828F"/>
    <w:rsid w:val="0DA8B99C"/>
    <w:rsid w:val="0DAB0D87"/>
    <w:rsid w:val="0DCB0117"/>
    <w:rsid w:val="0DD3521C"/>
    <w:rsid w:val="0DDE85E8"/>
    <w:rsid w:val="0DE66F6D"/>
    <w:rsid w:val="0DEE9BAD"/>
    <w:rsid w:val="0E0FF50A"/>
    <w:rsid w:val="0E36146D"/>
    <w:rsid w:val="0E377D5C"/>
    <w:rsid w:val="0E8946DD"/>
    <w:rsid w:val="0E92AA1B"/>
    <w:rsid w:val="0E92D522"/>
    <w:rsid w:val="0EC00827"/>
    <w:rsid w:val="0ECA90C4"/>
    <w:rsid w:val="0ED46C8C"/>
    <w:rsid w:val="0EF02AAC"/>
    <w:rsid w:val="0F01B3BB"/>
    <w:rsid w:val="0F0BB9FF"/>
    <w:rsid w:val="0F0C64DC"/>
    <w:rsid w:val="0F243F27"/>
    <w:rsid w:val="0F542A1B"/>
    <w:rsid w:val="0F736055"/>
    <w:rsid w:val="0F797AC3"/>
    <w:rsid w:val="0F958D0F"/>
    <w:rsid w:val="0FB77193"/>
    <w:rsid w:val="0FBABA50"/>
    <w:rsid w:val="0FC4A187"/>
    <w:rsid w:val="0FC6219D"/>
    <w:rsid w:val="0FCA0711"/>
    <w:rsid w:val="0FCAB14F"/>
    <w:rsid w:val="0FDB48A9"/>
    <w:rsid w:val="0FE5B160"/>
    <w:rsid w:val="100A121C"/>
    <w:rsid w:val="101E0AFF"/>
    <w:rsid w:val="102019BD"/>
    <w:rsid w:val="10235B49"/>
    <w:rsid w:val="10280743"/>
    <w:rsid w:val="103A87C8"/>
    <w:rsid w:val="103B576B"/>
    <w:rsid w:val="1045AAE6"/>
    <w:rsid w:val="1054CFF2"/>
    <w:rsid w:val="10574339"/>
    <w:rsid w:val="106C6A5F"/>
    <w:rsid w:val="106F6893"/>
    <w:rsid w:val="108E7ACD"/>
    <w:rsid w:val="10C72532"/>
    <w:rsid w:val="10DF6BC4"/>
    <w:rsid w:val="10F845F5"/>
    <w:rsid w:val="111509BA"/>
    <w:rsid w:val="111897F3"/>
    <w:rsid w:val="11190E42"/>
    <w:rsid w:val="111C7C91"/>
    <w:rsid w:val="115BE17D"/>
    <w:rsid w:val="11702C3D"/>
    <w:rsid w:val="117F6830"/>
    <w:rsid w:val="1183C621"/>
    <w:rsid w:val="11999BED"/>
    <w:rsid w:val="11C04281"/>
    <w:rsid w:val="11C9ABB9"/>
    <w:rsid w:val="11CA75E4"/>
    <w:rsid w:val="11F6FEEA"/>
    <w:rsid w:val="11F9D223"/>
    <w:rsid w:val="12102096"/>
    <w:rsid w:val="12126E3F"/>
    <w:rsid w:val="1213267A"/>
    <w:rsid w:val="121907C6"/>
    <w:rsid w:val="122DAEDC"/>
    <w:rsid w:val="1233E762"/>
    <w:rsid w:val="123A8E50"/>
    <w:rsid w:val="124B89FA"/>
    <w:rsid w:val="1250BF4A"/>
    <w:rsid w:val="12595ACB"/>
    <w:rsid w:val="125BDFE9"/>
    <w:rsid w:val="1262EDE3"/>
    <w:rsid w:val="127005A2"/>
    <w:rsid w:val="1271A6A9"/>
    <w:rsid w:val="127844CE"/>
    <w:rsid w:val="12798D3B"/>
    <w:rsid w:val="127D1FE9"/>
    <w:rsid w:val="128F2926"/>
    <w:rsid w:val="12B42018"/>
    <w:rsid w:val="12DA1045"/>
    <w:rsid w:val="12DBD36A"/>
    <w:rsid w:val="12DD6701"/>
    <w:rsid w:val="12E0F802"/>
    <w:rsid w:val="12F9AE63"/>
    <w:rsid w:val="13104D91"/>
    <w:rsid w:val="1312E96B"/>
    <w:rsid w:val="131834B8"/>
    <w:rsid w:val="131D5222"/>
    <w:rsid w:val="133532C3"/>
    <w:rsid w:val="1344B06A"/>
    <w:rsid w:val="13463994"/>
    <w:rsid w:val="1360EC22"/>
    <w:rsid w:val="1368D9A8"/>
    <w:rsid w:val="136EE495"/>
    <w:rsid w:val="138039EF"/>
    <w:rsid w:val="1384B4E3"/>
    <w:rsid w:val="138EA19C"/>
    <w:rsid w:val="13974209"/>
    <w:rsid w:val="13A906B7"/>
    <w:rsid w:val="13AF869A"/>
    <w:rsid w:val="13B4D05A"/>
    <w:rsid w:val="13C01026"/>
    <w:rsid w:val="13C0FBD3"/>
    <w:rsid w:val="13DBE36C"/>
    <w:rsid w:val="13F01F67"/>
    <w:rsid w:val="141AB70E"/>
    <w:rsid w:val="14230C01"/>
    <w:rsid w:val="143B9B0D"/>
    <w:rsid w:val="1448FB6A"/>
    <w:rsid w:val="144DECD2"/>
    <w:rsid w:val="1465BA1D"/>
    <w:rsid w:val="146B19A1"/>
    <w:rsid w:val="1490EEE9"/>
    <w:rsid w:val="14AEB9CC"/>
    <w:rsid w:val="14BBA8DC"/>
    <w:rsid w:val="14D10324"/>
    <w:rsid w:val="14D32CEA"/>
    <w:rsid w:val="14D4830F"/>
    <w:rsid w:val="14FC66E2"/>
    <w:rsid w:val="15284115"/>
    <w:rsid w:val="15578A69"/>
    <w:rsid w:val="155EBBAA"/>
    <w:rsid w:val="15A474FD"/>
    <w:rsid w:val="15AEF857"/>
    <w:rsid w:val="15AF5ED9"/>
    <w:rsid w:val="15B96F8F"/>
    <w:rsid w:val="15C2EC04"/>
    <w:rsid w:val="15DF7CEF"/>
    <w:rsid w:val="15E1895A"/>
    <w:rsid w:val="15E549D5"/>
    <w:rsid w:val="15EA8F5F"/>
    <w:rsid w:val="16111463"/>
    <w:rsid w:val="161D3269"/>
    <w:rsid w:val="161DC606"/>
    <w:rsid w:val="161EA0D8"/>
    <w:rsid w:val="162DE268"/>
    <w:rsid w:val="16327D36"/>
    <w:rsid w:val="1652A218"/>
    <w:rsid w:val="165C07DC"/>
    <w:rsid w:val="16781FB5"/>
    <w:rsid w:val="169596D4"/>
    <w:rsid w:val="1696E5C4"/>
    <w:rsid w:val="169DD84A"/>
    <w:rsid w:val="16A6C6DC"/>
    <w:rsid w:val="16ADAB30"/>
    <w:rsid w:val="16D23820"/>
    <w:rsid w:val="16DDC4A9"/>
    <w:rsid w:val="16DEAA17"/>
    <w:rsid w:val="16E6979D"/>
    <w:rsid w:val="16E80EC1"/>
    <w:rsid w:val="16F1BE2A"/>
    <w:rsid w:val="16F4FA0B"/>
    <w:rsid w:val="16FCBB95"/>
    <w:rsid w:val="16FDE311"/>
    <w:rsid w:val="17044184"/>
    <w:rsid w:val="170E3111"/>
    <w:rsid w:val="171628AF"/>
    <w:rsid w:val="171E52A3"/>
    <w:rsid w:val="1740310D"/>
    <w:rsid w:val="174B25B7"/>
    <w:rsid w:val="17502E0A"/>
    <w:rsid w:val="175E3DEF"/>
    <w:rsid w:val="176CB08F"/>
    <w:rsid w:val="176D4FE5"/>
    <w:rsid w:val="17A6D5C8"/>
    <w:rsid w:val="17A89065"/>
    <w:rsid w:val="17AA0D62"/>
    <w:rsid w:val="17AFDBBC"/>
    <w:rsid w:val="17BC56AB"/>
    <w:rsid w:val="17BDDA47"/>
    <w:rsid w:val="17CA01F9"/>
    <w:rsid w:val="180C46F8"/>
    <w:rsid w:val="180CE1D7"/>
    <w:rsid w:val="180D0F90"/>
    <w:rsid w:val="181DE695"/>
    <w:rsid w:val="1823506D"/>
    <w:rsid w:val="183835EF"/>
    <w:rsid w:val="184D6AD7"/>
    <w:rsid w:val="1854CEF8"/>
    <w:rsid w:val="1860C150"/>
    <w:rsid w:val="1860D318"/>
    <w:rsid w:val="18CDF71D"/>
    <w:rsid w:val="18D542A6"/>
    <w:rsid w:val="18DE07C9"/>
    <w:rsid w:val="18E0160C"/>
    <w:rsid w:val="18E05F0D"/>
    <w:rsid w:val="18EC616D"/>
    <w:rsid w:val="1905C638"/>
    <w:rsid w:val="19077807"/>
    <w:rsid w:val="1913FAD8"/>
    <w:rsid w:val="19414BB8"/>
    <w:rsid w:val="19493173"/>
    <w:rsid w:val="194B9BC3"/>
    <w:rsid w:val="195A1DF4"/>
    <w:rsid w:val="195AF997"/>
    <w:rsid w:val="1969ABC4"/>
    <w:rsid w:val="196E3F00"/>
    <w:rsid w:val="197D61AD"/>
    <w:rsid w:val="1981D4D0"/>
    <w:rsid w:val="199A789D"/>
    <w:rsid w:val="199F9C3A"/>
    <w:rsid w:val="19BFA075"/>
    <w:rsid w:val="19DA36D1"/>
    <w:rsid w:val="19E71CB8"/>
    <w:rsid w:val="1A03E019"/>
    <w:rsid w:val="1A16FA33"/>
    <w:rsid w:val="1A23DACB"/>
    <w:rsid w:val="1A2BBF6B"/>
    <w:rsid w:val="1A4C6688"/>
    <w:rsid w:val="1A50AD43"/>
    <w:rsid w:val="1A618679"/>
    <w:rsid w:val="1A695EB5"/>
    <w:rsid w:val="1A717591"/>
    <w:rsid w:val="1A881178"/>
    <w:rsid w:val="1A8AB324"/>
    <w:rsid w:val="1A90780D"/>
    <w:rsid w:val="1A932EF2"/>
    <w:rsid w:val="1AADAA7A"/>
    <w:rsid w:val="1ABBBF4A"/>
    <w:rsid w:val="1AC12A6E"/>
    <w:rsid w:val="1AC51BDC"/>
    <w:rsid w:val="1AD6B668"/>
    <w:rsid w:val="1AD83448"/>
    <w:rsid w:val="1AE48586"/>
    <w:rsid w:val="1AEBF834"/>
    <w:rsid w:val="1AEE5020"/>
    <w:rsid w:val="1B1DA531"/>
    <w:rsid w:val="1B30518D"/>
    <w:rsid w:val="1B485751"/>
    <w:rsid w:val="1B488731"/>
    <w:rsid w:val="1B525FAD"/>
    <w:rsid w:val="1B676E38"/>
    <w:rsid w:val="1B83CC7A"/>
    <w:rsid w:val="1B88B520"/>
    <w:rsid w:val="1B9AF0BD"/>
    <w:rsid w:val="1BA8AD08"/>
    <w:rsid w:val="1BADA390"/>
    <w:rsid w:val="1BD8078D"/>
    <w:rsid w:val="1BE5AAE6"/>
    <w:rsid w:val="1BF2DB63"/>
    <w:rsid w:val="1C10E87D"/>
    <w:rsid w:val="1C23E1D9"/>
    <w:rsid w:val="1C29FB1E"/>
    <w:rsid w:val="1C41DA01"/>
    <w:rsid w:val="1C497ADB"/>
    <w:rsid w:val="1C60EC3D"/>
    <w:rsid w:val="1C81B0C9"/>
    <w:rsid w:val="1C9369CE"/>
    <w:rsid w:val="1C952993"/>
    <w:rsid w:val="1C973F79"/>
    <w:rsid w:val="1C9C3E12"/>
    <w:rsid w:val="1CA472F9"/>
    <w:rsid w:val="1CAB74E4"/>
    <w:rsid w:val="1CAD7BAB"/>
    <w:rsid w:val="1CB8F9DD"/>
    <w:rsid w:val="1CBAE717"/>
    <w:rsid w:val="1CD85A96"/>
    <w:rsid w:val="1CDAE439"/>
    <w:rsid w:val="1CDD5CC5"/>
    <w:rsid w:val="1CED0735"/>
    <w:rsid w:val="1D0FBBEE"/>
    <w:rsid w:val="1D28401B"/>
    <w:rsid w:val="1D2DB183"/>
    <w:rsid w:val="1D343273"/>
    <w:rsid w:val="1D37C4E4"/>
    <w:rsid w:val="1D460B96"/>
    <w:rsid w:val="1D5B2537"/>
    <w:rsid w:val="1D9CBB49"/>
    <w:rsid w:val="1DB7D9EB"/>
    <w:rsid w:val="1DD8316D"/>
    <w:rsid w:val="1DDC4B9E"/>
    <w:rsid w:val="1DE01804"/>
    <w:rsid w:val="1DF462F0"/>
    <w:rsid w:val="1E0DED90"/>
    <w:rsid w:val="1E2946D5"/>
    <w:rsid w:val="1E453DC5"/>
    <w:rsid w:val="1E4E809F"/>
    <w:rsid w:val="1E4EF305"/>
    <w:rsid w:val="1E84C728"/>
    <w:rsid w:val="1E89ADBB"/>
    <w:rsid w:val="1E8A67FD"/>
    <w:rsid w:val="1E9A6D26"/>
    <w:rsid w:val="1EA452EA"/>
    <w:rsid w:val="1EC2D96B"/>
    <w:rsid w:val="1EC4107C"/>
    <w:rsid w:val="1ED7C8EA"/>
    <w:rsid w:val="1EE850C8"/>
    <w:rsid w:val="1EF67FF2"/>
    <w:rsid w:val="1EFE6CAF"/>
    <w:rsid w:val="1F095FAE"/>
    <w:rsid w:val="1F0AE253"/>
    <w:rsid w:val="1F0F44FB"/>
    <w:rsid w:val="1F1310A1"/>
    <w:rsid w:val="1F296488"/>
    <w:rsid w:val="1F4EC5D4"/>
    <w:rsid w:val="1F87C01C"/>
    <w:rsid w:val="1F98674D"/>
    <w:rsid w:val="1FAADA4F"/>
    <w:rsid w:val="1FB66AF4"/>
    <w:rsid w:val="1FD56FDD"/>
    <w:rsid w:val="1FD95F7C"/>
    <w:rsid w:val="1FE4AAB7"/>
    <w:rsid w:val="1FE57CE9"/>
    <w:rsid w:val="1FED047F"/>
    <w:rsid w:val="1FF45218"/>
    <w:rsid w:val="1FF50FE2"/>
    <w:rsid w:val="2017B329"/>
    <w:rsid w:val="2021A8D9"/>
    <w:rsid w:val="2023B340"/>
    <w:rsid w:val="20382F4A"/>
    <w:rsid w:val="204D8798"/>
    <w:rsid w:val="2050C4A5"/>
    <w:rsid w:val="205DA95E"/>
    <w:rsid w:val="205FE0DD"/>
    <w:rsid w:val="2073994B"/>
    <w:rsid w:val="2075C757"/>
    <w:rsid w:val="2086B818"/>
    <w:rsid w:val="208FEA4D"/>
    <w:rsid w:val="20B9C27F"/>
    <w:rsid w:val="20CE4B74"/>
    <w:rsid w:val="20D91EA9"/>
    <w:rsid w:val="20E7184D"/>
    <w:rsid w:val="21345D60"/>
    <w:rsid w:val="21347990"/>
    <w:rsid w:val="215AE372"/>
    <w:rsid w:val="21679027"/>
    <w:rsid w:val="2178588A"/>
    <w:rsid w:val="218880C1"/>
    <w:rsid w:val="218DD83D"/>
    <w:rsid w:val="21AFF7D2"/>
    <w:rsid w:val="21B3B93F"/>
    <w:rsid w:val="21B8C7C5"/>
    <w:rsid w:val="21B9C906"/>
    <w:rsid w:val="21CCAA23"/>
    <w:rsid w:val="21CE1A29"/>
    <w:rsid w:val="21F387F6"/>
    <w:rsid w:val="22092F58"/>
    <w:rsid w:val="220E09A1"/>
    <w:rsid w:val="2232A19E"/>
    <w:rsid w:val="223A638F"/>
    <w:rsid w:val="22565638"/>
    <w:rsid w:val="2268A97D"/>
    <w:rsid w:val="227661C7"/>
    <w:rsid w:val="2281F7DC"/>
    <w:rsid w:val="22882424"/>
    <w:rsid w:val="2289F262"/>
    <w:rsid w:val="228B687E"/>
    <w:rsid w:val="2293235D"/>
    <w:rsid w:val="22C1488F"/>
    <w:rsid w:val="22C91267"/>
    <w:rsid w:val="22E1494D"/>
    <w:rsid w:val="22E15EB3"/>
    <w:rsid w:val="22E5064F"/>
    <w:rsid w:val="22E887EF"/>
    <w:rsid w:val="22FA814F"/>
    <w:rsid w:val="23050E2E"/>
    <w:rsid w:val="230FDE17"/>
    <w:rsid w:val="2315080F"/>
    <w:rsid w:val="23217A1E"/>
    <w:rsid w:val="233775FB"/>
    <w:rsid w:val="23551520"/>
    <w:rsid w:val="2366B28E"/>
    <w:rsid w:val="2373F359"/>
    <w:rsid w:val="2377BD92"/>
    <w:rsid w:val="237A2432"/>
    <w:rsid w:val="237F22BE"/>
    <w:rsid w:val="2383BEF6"/>
    <w:rsid w:val="2399F316"/>
    <w:rsid w:val="23ACFA8C"/>
    <w:rsid w:val="23B9B690"/>
    <w:rsid w:val="23C9FD86"/>
    <w:rsid w:val="23CD189F"/>
    <w:rsid w:val="23D55D45"/>
    <w:rsid w:val="2402A095"/>
    <w:rsid w:val="24114FF7"/>
    <w:rsid w:val="241F4AFD"/>
    <w:rsid w:val="2427F4F4"/>
    <w:rsid w:val="24287228"/>
    <w:rsid w:val="242CE021"/>
    <w:rsid w:val="2435388E"/>
    <w:rsid w:val="24397F0B"/>
    <w:rsid w:val="24723F6F"/>
    <w:rsid w:val="247C9579"/>
    <w:rsid w:val="247D2F14"/>
    <w:rsid w:val="248BE120"/>
    <w:rsid w:val="249FA4C2"/>
    <w:rsid w:val="24A57D17"/>
    <w:rsid w:val="24B58BA6"/>
    <w:rsid w:val="24F04F4B"/>
    <w:rsid w:val="24F7563E"/>
    <w:rsid w:val="250A948A"/>
    <w:rsid w:val="250B36F6"/>
    <w:rsid w:val="2516B357"/>
    <w:rsid w:val="251ACDD3"/>
    <w:rsid w:val="252B00FB"/>
    <w:rsid w:val="2533DA9A"/>
    <w:rsid w:val="25365BD8"/>
    <w:rsid w:val="253E85CC"/>
    <w:rsid w:val="255672C9"/>
    <w:rsid w:val="256BBE95"/>
    <w:rsid w:val="257783A5"/>
    <w:rsid w:val="257B9572"/>
    <w:rsid w:val="25830C57"/>
    <w:rsid w:val="25A98511"/>
    <w:rsid w:val="25BB47CA"/>
    <w:rsid w:val="25C06660"/>
    <w:rsid w:val="25D461D4"/>
    <w:rsid w:val="25EEC12D"/>
    <w:rsid w:val="2662F4C8"/>
    <w:rsid w:val="26692900"/>
    <w:rsid w:val="26758ABD"/>
    <w:rsid w:val="267F3CDC"/>
    <w:rsid w:val="268E8603"/>
    <w:rsid w:val="26A378F2"/>
    <w:rsid w:val="26A39CEA"/>
    <w:rsid w:val="26ACB048"/>
    <w:rsid w:val="26B7A614"/>
    <w:rsid w:val="26BCC3A4"/>
    <w:rsid w:val="26BCD8EE"/>
    <w:rsid w:val="26C417A7"/>
    <w:rsid w:val="26DAD8C9"/>
    <w:rsid w:val="26FB9176"/>
    <w:rsid w:val="26FCC325"/>
    <w:rsid w:val="27097E94"/>
    <w:rsid w:val="273C8BA1"/>
    <w:rsid w:val="273DC902"/>
    <w:rsid w:val="27485FB1"/>
    <w:rsid w:val="27518640"/>
    <w:rsid w:val="275DC73A"/>
    <w:rsid w:val="2773FF64"/>
    <w:rsid w:val="27A9E9D6"/>
    <w:rsid w:val="27B32D0E"/>
    <w:rsid w:val="27BB66A0"/>
    <w:rsid w:val="27C55014"/>
    <w:rsid w:val="27D61C75"/>
    <w:rsid w:val="27D9D297"/>
    <w:rsid w:val="27E956FB"/>
    <w:rsid w:val="27EEF7E3"/>
    <w:rsid w:val="27F2C672"/>
    <w:rsid w:val="27F787E5"/>
    <w:rsid w:val="281D8A4E"/>
    <w:rsid w:val="2842AE2D"/>
    <w:rsid w:val="2852158B"/>
    <w:rsid w:val="286A0833"/>
    <w:rsid w:val="28700AF7"/>
    <w:rsid w:val="28885943"/>
    <w:rsid w:val="288B9F13"/>
    <w:rsid w:val="288C2698"/>
    <w:rsid w:val="288E138B"/>
    <w:rsid w:val="28978EAE"/>
    <w:rsid w:val="28A23101"/>
    <w:rsid w:val="28B2D153"/>
    <w:rsid w:val="28D83454"/>
    <w:rsid w:val="28E81CE2"/>
    <w:rsid w:val="28E925D8"/>
    <w:rsid w:val="28EFFB4D"/>
    <w:rsid w:val="290F3954"/>
    <w:rsid w:val="291087CD"/>
    <w:rsid w:val="291C4815"/>
    <w:rsid w:val="2921B6A4"/>
    <w:rsid w:val="2922AB78"/>
    <w:rsid w:val="292D092B"/>
    <w:rsid w:val="29401E6F"/>
    <w:rsid w:val="29434A8D"/>
    <w:rsid w:val="29437808"/>
    <w:rsid w:val="29494BFE"/>
    <w:rsid w:val="2958C479"/>
    <w:rsid w:val="29633CCC"/>
    <w:rsid w:val="2969CDA4"/>
    <w:rsid w:val="29ACABE2"/>
    <w:rsid w:val="29BBDFCD"/>
    <w:rsid w:val="29BF634E"/>
    <w:rsid w:val="29C1BA15"/>
    <w:rsid w:val="29D6DB62"/>
    <w:rsid w:val="29E132D0"/>
    <w:rsid w:val="29E2F679"/>
    <w:rsid w:val="29E334DD"/>
    <w:rsid w:val="29F5A505"/>
    <w:rsid w:val="29F6C313"/>
    <w:rsid w:val="29FE721E"/>
    <w:rsid w:val="29FFFF37"/>
    <w:rsid w:val="2A06C323"/>
    <w:rsid w:val="2A185ED1"/>
    <w:rsid w:val="2A1C7E99"/>
    <w:rsid w:val="2A2C4D17"/>
    <w:rsid w:val="2A31E8E6"/>
    <w:rsid w:val="2A345C29"/>
    <w:rsid w:val="2A4BF696"/>
    <w:rsid w:val="2A5471EA"/>
    <w:rsid w:val="2A556806"/>
    <w:rsid w:val="2A58EF15"/>
    <w:rsid w:val="2A5ABE86"/>
    <w:rsid w:val="2A84F639"/>
    <w:rsid w:val="2A853F8C"/>
    <w:rsid w:val="2A85A779"/>
    <w:rsid w:val="2AC261E1"/>
    <w:rsid w:val="2AD8F00A"/>
    <w:rsid w:val="2AEED31A"/>
    <w:rsid w:val="2AFB4FF0"/>
    <w:rsid w:val="2B0072AA"/>
    <w:rsid w:val="2B35D16D"/>
    <w:rsid w:val="2B3D67F1"/>
    <w:rsid w:val="2B4D2A7C"/>
    <w:rsid w:val="2B52808C"/>
    <w:rsid w:val="2B56BD55"/>
    <w:rsid w:val="2B581CC6"/>
    <w:rsid w:val="2B60ACAE"/>
    <w:rsid w:val="2B6E536D"/>
    <w:rsid w:val="2B7F0548"/>
    <w:rsid w:val="2BC03559"/>
    <w:rsid w:val="2BCBB4E0"/>
    <w:rsid w:val="2BD5C2DE"/>
    <w:rsid w:val="2BF64C45"/>
    <w:rsid w:val="2C081CE9"/>
    <w:rsid w:val="2C1092D7"/>
    <w:rsid w:val="2C21836C"/>
    <w:rsid w:val="2C36A2DC"/>
    <w:rsid w:val="2C37318C"/>
    <w:rsid w:val="2C4CCF27"/>
    <w:rsid w:val="2C6D4E74"/>
    <w:rsid w:val="2C6F189C"/>
    <w:rsid w:val="2C771007"/>
    <w:rsid w:val="2C7F47BD"/>
    <w:rsid w:val="2C91BF9B"/>
    <w:rsid w:val="2CACD018"/>
    <w:rsid w:val="2CB1A8BC"/>
    <w:rsid w:val="2CCFA176"/>
    <w:rsid w:val="2CE793E2"/>
    <w:rsid w:val="2CED496A"/>
    <w:rsid w:val="2CF0FB71"/>
    <w:rsid w:val="2CF8AD30"/>
    <w:rsid w:val="2D02E2F7"/>
    <w:rsid w:val="2D14C08F"/>
    <w:rsid w:val="2D17929C"/>
    <w:rsid w:val="2D2DC896"/>
    <w:rsid w:val="2D32FAEA"/>
    <w:rsid w:val="2D38944F"/>
    <w:rsid w:val="2D40BCF9"/>
    <w:rsid w:val="2D6184AE"/>
    <w:rsid w:val="2D6ECDC2"/>
    <w:rsid w:val="2D747A30"/>
    <w:rsid w:val="2D8518D6"/>
    <w:rsid w:val="2D896AF1"/>
    <w:rsid w:val="2D921CA6"/>
    <w:rsid w:val="2D956947"/>
    <w:rsid w:val="2D9BED12"/>
    <w:rsid w:val="2DA0F6F3"/>
    <w:rsid w:val="2DBFE068"/>
    <w:rsid w:val="2DD4E612"/>
    <w:rsid w:val="2DF5BE42"/>
    <w:rsid w:val="2E12DCFC"/>
    <w:rsid w:val="2E17E3D5"/>
    <w:rsid w:val="2E2D432A"/>
    <w:rsid w:val="2E354C31"/>
    <w:rsid w:val="2E4DFC80"/>
    <w:rsid w:val="2E505A90"/>
    <w:rsid w:val="2E56BDF9"/>
    <w:rsid w:val="2E5A1E57"/>
    <w:rsid w:val="2E614D91"/>
    <w:rsid w:val="2E64964E"/>
    <w:rsid w:val="2E761234"/>
    <w:rsid w:val="2E7AA584"/>
    <w:rsid w:val="2E7E1619"/>
    <w:rsid w:val="2E83ADD3"/>
    <w:rsid w:val="2E8907A1"/>
    <w:rsid w:val="2E95167F"/>
    <w:rsid w:val="2E99F418"/>
    <w:rsid w:val="2EAEFE78"/>
    <w:rsid w:val="2EBE09C2"/>
    <w:rsid w:val="2EC62832"/>
    <w:rsid w:val="2ED3D504"/>
    <w:rsid w:val="2EE6D4F9"/>
    <w:rsid w:val="2EED7AFE"/>
    <w:rsid w:val="2EF31DA2"/>
    <w:rsid w:val="2EFBD2C9"/>
    <w:rsid w:val="2F080109"/>
    <w:rsid w:val="2F10F81C"/>
    <w:rsid w:val="2F1FF88F"/>
    <w:rsid w:val="2F465A72"/>
    <w:rsid w:val="2F515D60"/>
    <w:rsid w:val="2F59D9B1"/>
    <w:rsid w:val="2F65DFDC"/>
    <w:rsid w:val="2F6926AB"/>
    <w:rsid w:val="2F7485A8"/>
    <w:rsid w:val="2F7FBF92"/>
    <w:rsid w:val="2F83CFF8"/>
    <w:rsid w:val="2FBB286F"/>
    <w:rsid w:val="2FDBF8FD"/>
    <w:rsid w:val="2FE0BA70"/>
    <w:rsid w:val="2FE1AFA7"/>
    <w:rsid w:val="2FED69F7"/>
    <w:rsid w:val="3019E67A"/>
    <w:rsid w:val="303787EF"/>
    <w:rsid w:val="304356D5"/>
    <w:rsid w:val="3049BD9F"/>
    <w:rsid w:val="30510D91"/>
    <w:rsid w:val="30678CB5"/>
    <w:rsid w:val="3069F122"/>
    <w:rsid w:val="307EF535"/>
    <w:rsid w:val="30901097"/>
    <w:rsid w:val="30A273BC"/>
    <w:rsid w:val="30A2A093"/>
    <w:rsid w:val="30A8B509"/>
    <w:rsid w:val="30ABF0AD"/>
    <w:rsid w:val="30B4B6F8"/>
    <w:rsid w:val="30BA3CB6"/>
    <w:rsid w:val="30BDEB2E"/>
    <w:rsid w:val="30C9C5A5"/>
    <w:rsid w:val="30D421D8"/>
    <w:rsid w:val="30DB9476"/>
    <w:rsid w:val="30EB46D5"/>
    <w:rsid w:val="30EFE2F1"/>
    <w:rsid w:val="30F0FDA4"/>
    <w:rsid w:val="310094A2"/>
    <w:rsid w:val="31155171"/>
    <w:rsid w:val="311958E1"/>
    <w:rsid w:val="311B5CC5"/>
    <w:rsid w:val="31269F21"/>
    <w:rsid w:val="312F18D1"/>
    <w:rsid w:val="31309BEB"/>
    <w:rsid w:val="3134110B"/>
    <w:rsid w:val="315053FD"/>
    <w:rsid w:val="315665F5"/>
    <w:rsid w:val="315782A2"/>
    <w:rsid w:val="315EC583"/>
    <w:rsid w:val="316457AB"/>
    <w:rsid w:val="317D85DE"/>
    <w:rsid w:val="31805756"/>
    <w:rsid w:val="31B908EB"/>
    <w:rsid w:val="31CFEF35"/>
    <w:rsid w:val="31D194DA"/>
    <w:rsid w:val="31E0D624"/>
    <w:rsid w:val="31F57F03"/>
    <w:rsid w:val="3213290F"/>
    <w:rsid w:val="326E7C11"/>
    <w:rsid w:val="32756F05"/>
    <w:rsid w:val="32982939"/>
    <w:rsid w:val="3299D2FE"/>
    <w:rsid w:val="32A85735"/>
    <w:rsid w:val="32BAC314"/>
    <w:rsid w:val="32C447AE"/>
    <w:rsid w:val="32CAD950"/>
    <w:rsid w:val="32DA322C"/>
    <w:rsid w:val="32E12BB5"/>
    <w:rsid w:val="32EC0C1F"/>
    <w:rsid w:val="32EC2B6D"/>
    <w:rsid w:val="32EF7976"/>
    <w:rsid w:val="33100D6D"/>
    <w:rsid w:val="332B21EF"/>
    <w:rsid w:val="3331DED7"/>
    <w:rsid w:val="334F82D0"/>
    <w:rsid w:val="3373A70E"/>
    <w:rsid w:val="3381C67D"/>
    <w:rsid w:val="33858E8F"/>
    <w:rsid w:val="3386020A"/>
    <w:rsid w:val="33F26737"/>
    <w:rsid w:val="33F77E48"/>
    <w:rsid w:val="3411A146"/>
    <w:rsid w:val="3413722C"/>
    <w:rsid w:val="3414F898"/>
    <w:rsid w:val="342D32CC"/>
    <w:rsid w:val="34540012"/>
    <w:rsid w:val="3461B733"/>
    <w:rsid w:val="3461DE35"/>
    <w:rsid w:val="346A6F87"/>
    <w:rsid w:val="3489C149"/>
    <w:rsid w:val="34901726"/>
    <w:rsid w:val="34A5468A"/>
    <w:rsid w:val="34BBBDB6"/>
    <w:rsid w:val="34C69AA1"/>
    <w:rsid w:val="34FC0D56"/>
    <w:rsid w:val="34FE9274"/>
    <w:rsid w:val="3502E4AA"/>
    <w:rsid w:val="3517C940"/>
    <w:rsid w:val="3517F73F"/>
    <w:rsid w:val="3520CB26"/>
    <w:rsid w:val="3537EA89"/>
    <w:rsid w:val="354D2F68"/>
    <w:rsid w:val="3557A890"/>
    <w:rsid w:val="3568BC9B"/>
    <w:rsid w:val="358A5FC4"/>
    <w:rsid w:val="358E6A9E"/>
    <w:rsid w:val="359966F3"/>
    <w:rsid w:val="359D8EFF"/>
    <w:rsid w:val="35C39C59"/>
    <w:rsid w:val="35CF118D"/>
    <w:rsid w:val="35D14786"/>
    <w:rsid w:val="35E8D56F"/>
    <w:rsid w:val="3612B38D"/>
    <w:rsid w:val="362197FD"/>
    <w:rsid w:val="362F07BE"/>
    <w:rsid w:val="362F233F"/>
    <w:rsid w:val="363571BB"/>
    <w:rsid w:val="3647D45E"/>
    <w:rsid w:val="364D31BC"/>
    <w:rsid w:val="3650DCAB"/>
    <w:rsid w:val="365C159C"/>
    <w:rsid w:val="365E1700"/>
    <w:rsid w:val="366AF7F0"/>
    <w:rsid w:val="3674D0DF"/>
    <w:rsid w:val="36B19CD2"/>
    <w:rsid w:val="36CA121F"/>
    <w:rsid w:val="36CE2319"/>
    <w:rsid w:val="36D67614"/>
    <w:rsid w:val="36E70896"/>
    <w:rsid w:val="36F4ED6B"/>
    <w:rsid w:val="370E6787"/>
    <w:rsid w:val="371493AD"/>
    <w:rsid w:val="373B1112"/>
    <w:rsid w:val="373BDE53"/>
    <w:rsid w:val="373D4A85"/>
    <w:rsid w:val="37421A67"/>
    <w:rsid w:val="3763B043"/>
    <w:rsid w:val="3767BAA1"/>
    <w:rsid w:val="376C3BEC"/>
    <w:rsid w:val="37CF68A9"/>
    <w:rsid w:val="37D4516A"/>
    <w:rsid w:val="37F7B74D"/>
    <w:rsid w:val="380D4BE3"/>
    <w:rsid w:val="38206870"/>
    <w:rsid w:val="3835405D"/>
    <w:rsid w:val="38379C53"/>
    <w:rsid w:val="383E3939"/>
    <w:rsid w:val="384A6E27"/>
    <w:rsid w:val="3854D947"/>
    <w:rsid w:val="3859732D"/>
    <w:rsid w:val="385A7263"/>
    <w:rsid w:val="385C0386"/>
    <w:rsid w:val="386A85CB"/>
    <w:rsid w:val="3871841B"/>
    <w:rsid w:val="389D852F"/>
    <w:rsid w:val="38B56714"/>
    <w:rsid w:val="38B9CF50"/>
    <w:rsid w:val="38C20086"/>
    <w:rsid w:val="38C2C154"/>
    <w:rsid w:val="38D07275"/>
    <w:rsid w:val="3908A286"/>
    <w:rsid w:val="39102704"/>
    <w:rsid w:val="3910F9DC"/>
    <w:rsid w:val="3911FB6A"/>
    <w:rsid w:val="3918A901"/>
    <w:rsid w:val="391EB2C3"/>
    <w:rsid w:val="39263D83"/>
    <w:rsid w:val="392AF002"/>
    <w:rsid w:val="392F82E8"/>
    <w:rsid w:val="394B26D9"/>
    <w:rsid w:val="394F11E2"/>
    <w:rsid w:val="39528521"/>
    <w:rsid w:val="39547AAE"/>
    <w:rsid w:val="3957D62D"/>
    <w:rsid w:val="395EBAFA"/>
    <w:rsid w:val="398032B1"/>
    <w:rsid w:val="398D881C"/>
    <w:rsid w:val="39937F5B"/>
    <w:rsid w:val="399761A8"/>
    <w:rsid w:val="399A7B90"/>
    <w:rsid w:val="39AF35B2"/>
    <w:rsid w:val="39CC78A5"/>
    <w:rsid w:val="39F7723D"/>
    <w:rsid w:val="3A054CD4"/>
    <w:rsid w:val="3A0932BF"/>
    <w:rsid w:val="3A2BBA47"/>
    <w:rsid w:val="3A408C15"/>
    <w:rsid w:val="3A460849"/>
    <w:rsid w:val="3A727CE9"/>
    <w:rsid w:val="3A83D0CD"/>
    <w:rsid w:val="3AA03AD7"/>
    <w:rsid w:val="3AAC9E2D"/>
    <w:rsid w:val="3ABA196D"/>
    <w:rsid w:val="3ABA386C"/>
    <w:rsid w:val="3AC1598E"/>
    <w:rsid w:val="3AD7919A"/>
    <w:rsid w:val="3ADBE0C3"/>
    <w:rsid w:val="3ADE444C"/>
    <w:rsid w:val="3AE8066A"/>
    <w:rsid w:val="3AEF307E"/>
    <w:rsid w:val="3AF87184"/>
    <w:rsid w:val="3B1576E4"/>
    <w:rsid w:val="3B24F8FD"/>
    <w:rsid w:val="3B2B9516"/>
    <w:rsid w:val="3B2E464E"/>
    <w:rsid w:val="3B392B81"/>
    <w:rsid w:val="3B6DD3F8"/>
    <w:rsid w:val="3B74A490"/>
    <w:rsid w:val="3B75FDEC"/>
    <w:rsid w:val="3BA9A8E9"/>
    <w:rsid w:val="3BC30F94"/>
    <w:rsid w:val="3BDD2544"/>
    <w:rsid w:val="3C0645E3"/>
    <w:rsid w:val="3C0CD083"/>
    <w:rsid w:val="3C3BC25A"/>
    <w:rsid w:val="3C3FBD0D"/>
    <w:rsid w:val="3C7ACDB7"/>
    <w:rsid w:val="3C80F327"/>
    <w:rsid w:val="3C85854D"/>
    <w:rsid w:val="3C942DD2"/>
    <w:rsid w:val="3C9FB96D"/>
    <w:rsid w:val="3CAF8419"/>
    <w:rsid w:val="3CC0C95E"/>
    <w:rsid w:val="3CD8E433"/>
    <w:rsid w:val="3CEAFEC4"/>
    <w:rsid w:val="3CF85C9D"/>
    <w:rsid w:val="3D0ABAD6"/>
    <w:rsid w:val="3D1C263B"/>
    <w:rsid w:val="3D38E6EF"/>
    <w:rsid w:val="3D42C2EB"/>
    <w:rsid w:val="3D42FC6E"/>
    <w:rsid w:val="3D4302F0"/>
    <w:rsid w:val="3D504AF8"/>
    <w:rsid w:val="3D5C7535"/>
    <w:rsid w:val="3D5E74AE"/>
    <w:rsid w:val="3D5F5240"/>
    <w:rsid w:val="3D6410C2"/>
    <w:rsid w:val="3D81239B"/>
    <w:rsid w:val="3D8500C7"/>
    <w:rsid w:val="3D90E255"/>
    <w:rsid w:val="3D9903A2"/>
    <w:rsid w:val="3DB03633"/>
    <w:rsid w:val="3DC1C941"/>
    <w:rsid w:val="3DE3EDC2"/>
    <w:rsid w:val="3E11C4D8"/>
    <w:rsid w:val="3E1382F2"/>
    <w:rsid w:val="3E149DED"/>
    <w:rsid w:val="3E18EA90"/>
    <w:rsid w:val="3E1F91B6"/>
    <w:rsid w:val="3E2D8527"/>
    <w:rsid w:val="3E3DF59F"/>
    <w:rsid w:val="3E3F166C"/>
    <w:rsid w:val="3E42DAB3"/>
    <w:rsid w:val="3E556D31"/>
    <w:rsid w:val="3E5BAACE"/>
    <w:rsid w:val="3E67D706"/>
    <w:rsid w:val="3E9C1A84"/>
    <w:rsid w:val="3EAD9EAE"/>
    <w:rsid w:val="3EB470CE"/>
    <w:rsid w:val="3EBE5E1F"/>
    <w:rsid w:val="3ECA93BF"/>
    <w:rsid w:val="3ED9C74F"/>
    <w:rsid w:val="3EEEDCED"/>
    <w:rsid w:val="3EF8C384"/>
    <w:rsid w:val="3EFC4D96"/>
    <w:rsid w:val="3F03FBFE"/>
    <w:rsid w:val="3F2F7D54"/>
    <w:rsid w:val="3F361C59"/>
    <w:rsid w:val="3F37A6DF"/>
    <w:rsid w:val="3F568E07"/>
    <w:rsid w:val="3F8CE270"/>
    <w:rsid w:val="3FA0BD53"/>
    <w:rsid w:val="3FA3FDE2"/>
    <w:rsid w:val="3FAB2E99"/>
    <w:rsid w:val="3FAFFA44"/>
    <w:rsid w:val="3FB26E79"/>
    <w:rsid w:val="3FB66737"/>
    <w:rsid w:val="3FC49364"/>
    <w:rsid w:val="3FCBD12C"/>
    <w:rsid w:val="3FDED284"/>
    <w:rsid w:val="3FF101F9"/>
    <w:rsid w:val="3FF51D84"/>
    <w:rsid w:val="402B0F2F"/>
    <w:rsid w:val="40300A44"/>
    <w:rsid w:val="4032CBD0"/>
    <w:rsid w:val="405AAF73"/>
    <w:rsid w:val="4067454C"/>
    <w:rsid w:val="40748E58"/>
    <w:rsid w:val="407C207E"/>
    <w:rsid w:val="407F9C1A"/>
    <w:rsid w:val="4087B1AD"/>
    <w:rsid w:val="409B6AFE"/>
    <w:rsid w:val="409CFFC9"/>
    <w:rsid w:val="40C33CB0"/>
    <w:rsid w:val="40D04C95"/>
    <w:rsid w:val="40E81DE2"/>
    <w:rsid w:val="40FDAB88"/>
    <w:rsid w:val="410A350A"/>
    <w:rsid w:val="4135C423"/>
    <w:rsid w:val="413AE256"/>
    <w:rsid w:val="414B760E"/>
    <w:rsid w:val="4175965A"/>
    <w:rsid w:val="41759661"/>
    <w:rsid w:val="4182F53C"/>
    <w:rsid w:val="418876E2"/>
    <w:rsid w:val="418A1E1A"/>
    <w:rsid w:val="41B48C31"/>
    <w:rsid w:val="41BAB53C"/>
    <w:rsid w:val="41BEF1DF"/>
    <w:rsid w:val="41CAEE47"/>
    <w:rsid w:val="41DA3BBA"/>
    <w:rsid w:val="41EC1E59"/>
    <w:rsid w:val="420B4325"/>
    <w:rsid w:val="42511A2E"/>
    <w:rsid w:val="42519DF4"/>
    <w:rsid w:val="4255D0D1"/>
    <w:rsid w:val="425B0729"/>
    <w:rsid w:val="425EC3D2"/>
    <w:rsid w:val="4260CB3A"/>
    <w:rsid w:val="428B8070"/>
    <w:rsid w:val="42ABF2C6"/>
    <w:rsid w:val="42B52AF4"/>
    <w:rsid w:val="42CB78B3"/>
    <w:rsid w:val="42DFAFAE"/>
    <w:rsid w:val="430B7D3A"/>
    <w:rsid w:val="4327F094"/>
    <w:rsid w:val="43382A68"/>
    <w:rsid w:val="4351DE88"/>
    <w:rsid w:val="43618CE6"/>
    <w:rsid w:val="4366B82D"/>
    <w:rsid w:val="4375A036"/>
    <w:rsid w:val="4387EEBA"/>
    <w:rsid w:val="439A25DD"/>
    <w:rsid w:val="43A26243"/>
    <w:rsid w:val="43B4982B"/>
    <w:rsid w:val="43CD6792"/>
    <w:rsid w:val="43D53887"/>
    <w:rsid w:val="43FADD72"/>
    <w:rsid w:val="441AB284"/>
    <w:rsid w:val="4428C5D1"/>
    <w:rsid w:val="44664E64"/>
    <w:rsid w:val="44846214"/>
    <w:rsid w:val="448D3014"/>
    <w:rsid w:val="44A600E5"/>
    <w:rsid w:val="44B07F3E"/>
    <w:rsid w:val="44D47A14"/>
    <w:rsid w:val="44E6A6AA"/>
    <w:rsid w:val="44EDF7B4"/>
    <w:rsid w:val="44FD147F"/>
    <w:rsid w:val="4509497E"/>
    <w:rsid w:val="4523BF1B"/>
    <w:rsid w:val="453FE7E0"/>
    <w:rsid w:val="454A280C"/>
    <w:rsid w:val="456127D8"/>
    <w:rsid w:val="456560D6"/>
    <w:rsid w:val="456C8A7C"/>
    <w:rsid w:val="456EC1FE"/>
    <w:rsid w:val="45739625"/>
    <w:rsid w:val="4583F5BD"/>
    <w:rsid w:val="458E563E"/>
    <w:rsid w:val="45A5B84D"/>
    <w:rsid w:val="45A7A3B1"/>
    <w:rsid w:val="45BBA04F"/>
    <w:rsid w:val="45CD8E3E"/>
    <w:rsid w:val="45E19E7B"/>
    <w:rsid w:val="45F84E57"/>
    <w:rsid w:val="4600241D"/>
    <w:rsid w:val="460147C0"/>
    <w:rsid w:val="46087931"/>
    <w:rsid w:val="46187E5A"/>
    <w:rsid w:val="461FD4BC"/>
    <w:rsid w:val="46284099"/>
    <w:rsid w:val="46431B8A"/>
    <w:rsid w:val="464ADF03"/>
    <w:rsid w:val="465D6153"/>
    <w:rsid w:val="4667CD30"/>
    <w:rsid w:val="467237CF"/>
    <w:rsid w:val="467B5CFA"/>
    <w:rsid w:val="4696A5D4"/>
    <w:rsid w:val="469F3EE3"/>
    <w:rsid w:val="46A5C534"/>
    <w:rsid w:val="46BF82B3"/>
    <w:rsid w:val="46C27D8B"/>
    <w:rsid w:val="46CD13BD"/>
    <w:rsid w:val="46DF5688"/>
    <w:rsid w:val="46E7642C"/>
    <w:rsid w:val="47095F4F"/>
    <w:rsid w:val="4718C6CB"/>
    <w:rsid w:val="472805E1"/>
    <w:rsid w:val="472FF367"/>
    <w:rsid w:val="47327E34"/>
    <w:rsid w:val="473DF01C"/>
    <w:rsid w:val="47412E3E"/>
    <w:rsid w:val="475AB979"/>
    <w:rsid w:val="4782F26F"/>
    <w:rsid w:val="47873850"/>
    <w:rsid w:val="479632A9"/>
    <w:rsid w:val="47B0F96D"/>
    <w:rsid w:val="47D07C09"/>
    <w:rsid w:val="47DDF211"/>
    <w:rsid w:val="47E5FD8A"/>
    <w:rsid w:val="47EA7534"/>
    <w:rsid w:val="47FA4A06"/>
    <w:rsid w:val="48039D91"/>
    <w:rsid w:val="48049D82"/>
    <w:rsid w:val="48066FAF"/>
    <w:rsid w:val="481826D4"/>
    <w:rsid w:val="48264127"/>
    <w:rsid w:val="4829BD4C"/>
    <w:rsid w:val="483C7981"/>
    <w:rsid w:val="484419AC"/>
    <w:rsid w:val="485480F4"/>
    <w:rsid w:val="4865B301"/>
    <w:rsid w:val="48663B72"/>
    <w:rsid w:val="4867970C"/>
    <w:rsid w:val="48691C88"/>
    <w:rsid w:val="4885C5AE"/>
    <w:rsid w:val="488EE951"/>
    <w:rsid w:val="48A038BA"/>
    <w:rsid w:val="48A24D35"/>
    <w:rsid w:val="48B14351"/>
    <w:rsid w:val="48C39F86"/>
    <w:rsid w:val="48C3D642"/>
    <w:rsid w:val="48D45A00"/>
    <w:rsid w:val="48D663DC"/>
    <w:rsid w:val="48E011D6"/>
    <w:rsid w:val="48EDD8A9"/>
    <w:rsid w:val="48EE41F4"/>
    <w:rsid w:val="49055BA0"/>
    <w:rsid w:val="491988EC"/>
    <w:rsid w:val="496B0511"/>
    <w:rsid w:val="499E02BE"/>
    <w:rsid w:val="49A270B5"/>
    <w:rsid w:val="49A51358"/>
    <w:rsid w:val="49A8E92B"/>
    <w:rsid w:val="49ACA78E"/>
    <w:rsid w:val="49D0B105"/>
    <w:rsid w:val="49EF220E"/>
    <w:rsid w:val="49F72375"/>
    <w:rsid w:val="4A020BD3"/>
    <w:rsid w:val="4A0EEF53"/>
    <w:rsid w:val="4A10E8F0"/>
    <w:rsid w:val="4A1B709E"/>
    <w:rsid w:val="4A226A82"/>
    <w:rsid w:val="4A228549"/>
    <w:rsid w:val="4A30E89F"/>
    <w:rsid w:val="4A6E8683"/>
    <w:rsid w:val="4A72C05B"/>
    <w:rsid w:val="4A809C5A"/>
    <w:rsid w:val="4A8D996C"/>
    <w:rsid w:val="4A8DF60C"/>
    <w:rsid w:val="4AA0AD64"/>
    <w:rsid w:val="4AA10DBB"/>
    <w:rsid w:val="4AC03CD9"/>
    <w:rsid w:val="4AC37E0C"/>
    <w:rsid w:val="4AC735A0"/>
    <w:rsid w:val="4AE67563"/>
    <w:rsid w:val="4AEBEF7D"/>
    <w:rsid w:val="4B4388E3"/>
    <w:rsid w:val="4B4E2810"/>
    <w:rsid w:val="4B5DE1E9"/>
    <w:rsid w:val="4B601041"/>
    <w:rsid w:val="4B612AA6"/>
    <w:rsid w:val="4B64D9EA"/>
    <w:rsid w:val="4B685C80"/>
    <w:rsid w:val="4B72DFA5"/>
    <w:rsid w:val="4BAF8819"/>
    <w:rsid w:val="4BB10C3B"/>
    <w:rsid w:val="4BD4B4F8"/>
    <w:rsid w:val="4BF33741"/>
    <w:rsid w:val="4C0D422E"/>
    <w:rsid w:val="4C17B298"/>
    <w:rsid w:val="4C33BBD2"/>
    <w:rsid w:val="4C432477"/>
    <w:rsid w:val="4C5E9258"/>
    <w:rsid w:val="4C6461E0"/>
    <w:rsid w:val="4C659380"/>
    <w:rsid w:val="4C6D4ACB"/>
    <w:rsid w:val="4C72EFE4"/>
    <w:rsid w:val="4C903110"/>
    <w:rsid w:val="4CA9122F"/>
    <w:rsid w:val="4CACAC95"/>
    <w:rsid w:val="4CB8FA33"/>
    <w:rsid w:val="4CBDE657"/>
    <w:rsid w:val="4CCEFFA2"/>
    <w:rsid w:val="4CD2970A"/>
    <w:rsid w:val="4CE089ED"/>
    <w:rsid w:val="4CF46AE3"/>
    <w:rsid w:val="4CFCFB07"/>
    <w:rsid w:val="4D014B44"/>
    <w:rsid w:val="4D1D4284"/>
    <w:rsid w:val="4D1F7247"/>
    <w:rsid w:val="4D22181A"/>
    <w:rsid w:val="4D58BD0A"/>
    <w:rsid w:val="4D625A74"/>
    <w:rsid w:val="4D63C8E8"/>
    <w:rsid w:val="4D6ED0B5"/>
    <w:rsid w:val="4D72B371"/>
    <w:rsid w:val="4D753F29"/>
    <w:rsid w:val="4D7E8C07"/>
    <w:rsid w:val="4D805BDD"/>
    <w:rsid w:val="4D879ADB"/>
    <w:rsid w:val="4D90029C"/>
    <w:rsid w:val="4DB187BE"/>
    <w:rsid w:val="4DB8BEFD"/>
    <w:rsid w:val="4DD43DC9"/>
    <w:rsid w:val="4E091B2C"/>
    <w:rsid w:val="4E09370A"/>
    <w:rsid w:val="4E1F93F4"/>
    <w:rsid w:val="4E340B38"/>
    <w:rsid w:val="4E3AF10C"/>
    <w:rsid w:val="4E5812E3"/>
    <w:rsid w:val="4E5FAA95"/>
    <w:rsid w:val="4E77F671"/>
    <w:rsid w:val="4E7A6040"/>
    <w:rsid w:val="4E7B61A8"/>
    <w:rsid w:val="4E8E5EE8"/>
    <w:rsid w:val="4E97D704"/>
    <w:rsid w:val="4E9E0B74"/>
    <w:rsid w:val="4E9E128D"/>
    <w:rsid w:val="4EA8716F"/>
    <w:rsid w:val="4EAA5DAD"/>
    <w:rsid w:val="4EC29331"/>
    <w:rsid w:val="4EE1ACDE"/>
    <w:rsid w:val="4EEACF30"/>
    <w:rsid w:val="4EEE75A9"/>
    <w:rsid w:val="4EFE2AD5"/>
    <w:rsid w:val="4F31892E"/>
    <w:rsid w:val="4F33AD01"/>
    <w:rsid w:val="4F4FB828"/>
    <w:rsid w:val="4F77D0B4"/>
    <w:rsid w:val="4F7E367F"/>
    <w:rsid w:val="4F84B0E2"/>
    <w:rsid w:val="4F8617C6"/>
    <w:rsid w:val="4F87EE78"/>
    <w:rsid w:val="4F88B97E"/>
    <w:rsid w:val="4F954041"/>
    <w:rsid w:val="4FAA90A6"/>
    <w:rsid w:val="4FCD77E6"/>
    <w:rsid w:val="4FD946E7"/>
    <w:rsid w:val="4FE903F6"/>
    <w:rsid w:val="4FF45D28"/>
    <w:rsid w:val="4FF4BA5E"/>
    <w:rsid w:val="4FFCD39C"/>
    <w:rsid w:val="500A2225"/>
    <w:rsid w:val="500D4442"/>
    <w:rsid w:val="5020D22F"/>
    <w:rsid w:val="5026F8CB"/>
    <w:rsid w:val="50326E51"/>
    <w:rsid w:val="50406142"/>
    <w:rsid w:val="50658A4A"/>
    <w:rsid w:val="5081A0F9"/>
    <w:rsid w:val="50921332"/>
    <w:rsid w:val="5093A900"/>
    <w:rsid w:val="50B0CFBD"/>
    <w:rsid w:val="50BC028B"/>
    <w:rsid w:val="50BD889A"/>
    <w:rsid w:val="50E63A90"/>
    <w:rsid w:val="50E65F35"/>
    <w:rsid w:val="50E69467"/>
    <w:rsid w:val="50F1B750"/>
    <w:rsid w:val="51075725"/>
    <w:rsid w:val="51174160"/>
    <w:rsid w:val="5132A94D"/>
    <w:rsid w:val="514AD5FC"/>
    <w:rsid w:val="514CDA05"/>
    <w:rsid w:val="5150DDE7"/>
    <w:rsid w:val="515327CD"/>
    <w:rsid w:val="51566C3B"/>
    <w:rsid w:val="516A7FC5"/>
    <w:rsid w:val="516ED153"/>
    <w:rsid w:val="5179E598"/>
    <w:rsid w:val="5184D457"/>
    <w:rsid w:val="518551D4"/>
    <w:rsid w:val="518BBA2B"/>
    <w:rsid w:val="518D10F9"/>
    <w:rsid w:val="51AED550"/>
    <w:rsid w:val="51B0ECDC"/>
    <w:rsid w:val="51B743CD"/>
    <w:rsid w:val="51C30946"/>
    <w:rsid w:val="51E88912"/>
    <w:rsid w:val="51EA2863"/>
    <w:rsid w:val="51ED5C45"/>
    <w:rsid w:val="51F7E2EB"/>
    <w:rsid w:val="5202355A"/>
    <w:rsid w:val="520FFBC2"/>
    <w:rsid w:val="521C4676"/>
    <w:rsid w:val="521C66CC"/>
    <w:rsid w:val="521CAEBC"/>
    <w:rsid w:val="521F802F"/>
    <w:rsid w:val="522606B8"/>
    <w:rsid w:val="522DF062"/>
    <w:rsid w:val="522F0094"/>
    <w:rsid w:val="5235CB97"/>
    <w:rsid w:val="5247385C"/>
    <w:rsid w:val="52564A56"/>
    <w:rsid w:val="525E4364"/>
    <w:rsid w:val="527B180B"/>
    <w:rsid w:val="5285DCF6"/>
    <w:rsid w:val="52974409"/>
    <w:rsid w:val="52A0EC2F"/>
    <w:rsid w:val="52A11B17"/>
    <w:rsid w:val="52AEB8C7"/>
    <w:rsid w:val="52AF5C15"/>
    <w:rsid w:val="52BC9905"/>
    <w:rsid w:val="52C164EB"/>
    <w:rsid w:val="52C940EB"/>
    <w:rsid w:val="52CDD3DC"/>
    <w:rsid w:val="52D33C44"/>
    <w:rsid w:val="52D5FEBF"/>
    <w:rsid w:val="52D8FC6F"/>
    <w:rsid w:val="52DC54FB"/>
    <w:rsid w:val="52E9B08C"/>
    <w:rsid w:val="5304E469"/>
    <w:rsid w:val="530C4973"/>
    <w:rsid w:val="5310C4B5"/>
    <w:rsid w:val="531F70E1"/>
    <w:rsid w:val="53279901"/>
    <w:rsid w:val="532B7DE3"/>
    <w:rsid w:val="533D13FA"/>
    <w:rsid w:val="534E4DF5"/>
    <w:rsid w:val="5355507F"/>
    <w:rsid w:val="5359A12C"/>
    <w:rsid w:val="535E5904"/>
    <w:rsid w:val="535E7B7B"/>
    <w:rsid w:val="537F5825"/>
    <w:rsid w:val="5385F8C4"/>
    <w:rsid w:val="53B0246B"/>
    <w:rsid w:val="53B8372D"/>
    <w:rsid w:val="53CBA976"/>
    <w:rsid w:val="53FE4755"/>
    <w:rsid w:val="540734B8"/>
    <w:rsid w:val="5409AFB4"/>
    <w:rsid w:val="540F83FD"/>
    <w:rsid w:val="5416766D"/>
    <w:rsid w:val="541F7F9A"/>
    <w:rsid w:val="5423B676"/>
    <w:rsid w:val="542F1204"/>
    <w:rsid w:val="544F0657"/>
    <w:rsid w:val="5455E448"/>
    <w:rsid w:val="545B5F9B"/>
    <w:rsid w:val="5460935A"/>
    <w:rsid w:val="54635C06"/>
    <w:rsid w:val="546D49F1"/>
    <w:rsid w:val="546E2B90"/>
    <w:rsid w:val="5475D29D"/>
    <w:rsid w:val="547A8F46"/>
    <w:rsid w:val="54887EA9"/>
    <w:rsid w:val="5490E3AD"/>
    <w:rsid w:val="54C285FF"/>
    <w:rsid w:val="54D3E1A1"/>
    <w:rsid w:val="54DC73F6"/>
    <w:rsid w:val="55121072"/>
    <w:rsid w:val="55131702"/>
    <w:rsid w:val="5533CE8A"/>
    <w:rsid w:val="553AF182"/>
    <w:rsid w:val="5548334E"/>
    <w:rsid w:val="555C5F7C"/>
    <w:rsid w:val="556D6C59"/>
    <w:rsid w:val="556E4C2B"/>
    <w:rsid w:val="55772FDB"/>
    <w:rsid w:val="558AD471"/>
    <w:rsid w:val="558F287C"/>
    <w:rsid w:val="559A1987"/>
    <w:rsid w:val="55B17B99"/>
    <w:rsid w:val="55B37E52"/>
    <w:rsid w:val="55C6F81E"/>
    <w:rsid w:val="55CDD47A"/>
    <w:rsid w:val="5602B63C"/>
    <w:rsid w:val="56050D10"/>
    <w:rsid w:val="560FEB5C"/>
    <w:rsid w:val="561D5080"/>
    <w:rsid w:val="56267D9C"/>
    <w:rsid w:val="56339E51"/>
    <w:rsid w:val="5640710A"/>
    <w:rsid w:val="56639EAC"/>
    <w:rsid w:val="566C0FE9"/>
    <w:rsid w:val="566C2762"/>
    <w:rsid w:val="5695377F"/>
    <w:rsid w:val="56A13B72"/>
    <w:rsid w:val="56A29151"/>
    <w:rsid w:val="56B5E419"/>
    <w:rsid w:val="56B87474"/>
    <w:rsid w:val="56C1D0C8"/>
    <w:rsid w:val="56C43FE1"/>
    <w:rsid w:val="56E08EDB"/>
    <w:rsid w:val="56F9B1AE"/>
    <w:rsid w:val="570F51CA"/>
    <w:rsid w:val="5733034A"/>
    <w:rsid w:val="5742B444"/>
    <w:rsid w:val="57447C24"/>
    <w:rsid w:val="574B0C9A"/>
    <w:rsid w:val="5752A95C"/>
    <w:rsid w:val="5755F7F1"/>
    <w:rsid w:val="5776E1CB"/>
    <w:rsid w:val="579AB27C"/>
    <w:rsid w:val="579F3993"/>
    <w:rsid w:val="57A0FE90"/>
    <w:rsid w:val="57A20114"/>
    <w:rsid w:val="57A583AA"/>
    <w:rsid w:val="57AAAB48"/>
    <w:rsid w:val="57C25F4E"/>
    <w:rsid w:val="57D27027"/>
    <w:rsid w:val="57D380E2"/>
    <w:rsid w:val="57DEE5E0"/>
    <w:rsid w:val="57E8208D"/>
    <w:rsid w:val="57F14D2E"/>
    <w:rsid w:val="57F6809B"/>
    <w:rsid w:val="57FF6F0D"/>
    <w:rsid w:val="581119C8"/>
    <w:rsid w:val="581CD965"/>
    <w:rsid w:val="58233C94"/>
    <w:rsid w:val="583DA2EA"/>
    <w:rsid w:val="58592094"/>
    <w:rsid w:val="5871C144"/>
    <w:rsid w:val="5873B44F"/>
    <w:rsid w:val="588A9808"/>
    <w:rsid w:val="588CC490"/>
    <w:rsid w:val="58949DC7"/>
    <w:rsid w:val="58A96CF4"/>
    <w:rsid w:val="58D9C350"/>
    <w:rsid w:val="58DD260F"/>
    <w:rsid w:val="58EBD130"/>
    <w:rsid w:val="58EF15E5"/>
    <w:rsid w:val="58F45BF1"/>
    <w:rsid w:val="59211D63"/>
    <w:rsid w:val="5947DBE2"/>
    <w:rsid w:val="594D1A89"/>
    <w:rsid w:val="5952421B"/>
    <w:rsid w:val="595E5560"/>
    <w:rsid w:val="596760DE"/>
    <w:rsid w:val="596C57F6"/>
    <w:rsid w:val="596CCD2E"/>
    <w:rsid w:val="599BE775"/>
    <w:rsid w:val="59A16E50"/>
    <w:rsid w:val="59DAD521"/>
    <w:rsid w:val="59F5177C"/>
    <w:rsid w:val="5A0C6C90"/>
    <w:rsid w:val="5A11E32A"/>
    <w:rsid w:val="5A182F9D"/>
    <w:rsid w:val="5A18A355"/>
    <w:rsid w:val="5A555FB4"/>
    <w:rsid w:val="5A62B573"/>
    <w:rsid w:val="5A6D985A"/>
    <w:rsid w:val="5A7CE87E"/>
    <w:rsid w:val="5A839F8D"/>
    <w:rsid w:val="5A84A6B3"/>
    <w:rsid w:val="5A8EC11E"/>
    <w:rsid w:val="5A8F1DCE"/>
    <w:rsid w:val="5AA03856"/>
    <w:rsid w:val="5ABA01F5"/>
    <w:rsid w:val="5ABF71E6"/>
    <w:rsid w:val="5AE72366"/>
    <w:rsid w:val="5AEF2A0A"/>
    <w:rsid w:val="5B037208"/>
    <w:rsid w:val="5B1334FB"/>
    <w:rsid w:val="5B3C43F5"/>
    <w:rsid w:val="5B3F820A"/>
    <w:rsid w:val="5B42A351"/>
    <w:rsid w:val="5B4E5465"/>
    <w:rsid w:val="5B532F74"/>
    <w:rsid w:val="5B6DD8E6"/>
    <w:rsid w:val="5BA5B294"/>
    <w:rsid w:val="5BAA3306"/>
    <w:rsid w:val="5BCD3B79"/>
    <w:rsid w:val="5C095B0B"/>
    <w:rsid w:val="5C278509"/>
    <w:rsid w:val="5C2F6BD7"/>
    <w:rsid w:val="5C4A52EE"/>
    <w:rsid w:val="5C4B0EEF"/>
    <w:rsid w:val="5C70C266"/>
    <w:rsid w:val="5C86AD0E"/>
    <w:rsid w:val="5C918DCD"/>
    <w:rsid w:val="5C93E8C3"/>
    <w:rsid w:val="5C9D4198"/>
    <w:rsid w:val="5C9E5B73"/>
    <w:rsid w:val="5CAB2554"/>
    <w:rsid w:val="5CC5661C"/>
    <w:rsid w:val="5CE5DACA"/>
    <w:rsid w:val="5D069973"/>
    <w:rsid w:val="5D080EC9"/>
    <w:rsid w:val="5D0C2D91"/>
    <w:rsid w:val="5D20450E"/>
    <w:rsid w:val="5D4035DE"/>
    <w:rsid w:val="5D4688CE"/>
    <w:rsid w:val="5D471291"/>
    <w:rsid w:val="5D4C149F"/>
    <w:rsid w:val="5D4CCA14"/>
    <w:rsid w:val="5D4FD05F"/>
    <w:rsid w:val="5D503A6A"/>
    <w:rsid w:val="5D552B00"/>
    <w:rsid w:val="5D57FA53"/>
    <w:rsid w:val="5D8BB90C"/>
    <w:rsid w:val="5DBD4A3F"/>
    <w:rsid w:val="5DC66CFE"/>
    <w:rsid w:val="5DDA1178"/>
    <w:rsid w:val="5DF00280"/>
    <w:rsid w:val="5DFECFE7"/>
    <w:rsid w:val="5E05DC57"/>
    <w:rsid w:val="5E0BE1E2"/>
    <w:rsid w:val="5E139B8F"/>
    <w:rsid w:val="5E178130"/>
    <w:rsid w:val="5E1E4E51"/>
    <w:rsid w:val="5E2054AA"/>
    <w:rsid w:val="5E60A7CD"/>
    <w:rsid w:val="5E61A937"/>
    <w:rsid w:val="5EA84C33"/>
    <w:rsid w:val="5EE1A121"/>
    <w:rsid w:val="5EE4D3E2"/>
    <w:rsid w:val="5EFAE9D4"/>
    <w:rsid w:val="5F27D370"/>
    <w:rsid w:val="5F4D6162"/>
    <w:rsid w:val="5F57762E"/>
    <w:rsid w:val="5F680542"/>
    <w:rsid w:val="5F6D18AE"/>
    <w:rsid w:val="5F916EF9"/>
    <w:rsid w:val="5F9896EF"/>
    <w:rsid w:val="5FB43785"/>
    <w:rsid w:val="5FB83871"/>
    <w:rsid w:val="5FC3394B"/>
    <w:rsid w:val="5FD60EB6"/>
    <w:rsid w:val="5FD90069"/>
    <w:rsid w:val="5FEC18A9"/>
    <w:rsid w:val="5FF8B854"/>
    <w:rsid w:val="5FFB0646"/>
    <w:rsid w:val="602D67DA"/>
    <w:rsid w:val="6030AD36"/>
    <w:rsid w:val="605340F5"/>
    <w:rsid w:val="6060B100"/>
    <w:rsid w:val="60656AB0"/>
    <w:rsid w:val="607F5B6D"/>
    <w:rsid w:val="6092A3F6"/>
    <w:rsid w:val="609EE429"/>
    <w:rsid w:val="60B28C8A"/>
    <w:rsid w:val="60D20280"/>
    <w:rsid w:val="60D392D3"/>
    <w:rsid w:val="60E32193"/>
    <w:rsid w:val="60E857A8"/>
    <w:rsid w:val="60E8D2A6"/>
    <w:rsid w:val="60ED7AC4"/>
    <w:rsid w:val="60EE32FF"/>
    <w:rsid w:val="60FE02A2"/>
    <w:rsid w:val="6102E3B2"/>
    <w:rsid w:val="610C8FD1"/>
    <w:rsid w:val="61151273"/>
    <w:rsid w:val="612087BD"/>
    <w:rsid w:val="61276E55"/>
    <w:rsid w:val="612FFA2F"/>
    <w:rsid w:val="613D4A7D"/>
    <w:rsid w:val="614F21F2"/>
    <w:rsid w:val="61622F45"/>
    <w:rsid w:val="616CC24A"/>
    <w:rsid w:val="618C97F2"/>
    <w:rsid w:val="61948F9A"/>
    <w:rsid w:val="61985A20"/>
    <w:rsid w:val="61ACA211"/>
    <w:rsid w:val="61B97DD6"/>
    <w:rsid w:val="61C38BFB"/>
    <w:rsid w:val="61CEA101"/>
    <w:rsid w:val="61EB88AE"/>
    <w:rsid w:val="61EE9107"/>
    <w:rsid w:val="61F505A3"/>
    <w:rsid w:val="62004C2D"/>
    <w:rsid w:val="62234182"/>
    <w:rsid w:val="62401208"/>
    <w:rsid w:val="624C3293"/>
    <w:rsid w:val="625047C4"/>
    <w:rsid w:val="6264C204"/>
    <w:rsid w:val="62A2BA0E"/>
    <w:rsid w:val="62B13031"/>
    <w:rsid w:val="62B2EA66"/>
    <w:rsid w:val="62C15DF2"/>
    <w:rsid w:val="62CA9189"/>
    <w:rsid w:val="62CAFED1"/>
    <w:rsid w:val="62F7B9DA"/>
    <w:rsid w:val="6306060C"/>
    <w:rsid w:val="6327F86B"/>
    <w:rsid w:val="6339EDDB"/>
    <w:rsid w:val="633AA87C"/>
    <w:rsid w:val="635642CC"/>
    <w:rsid w:val="6363646E"/>
    <w:rsid w:val="63769F94"/>
    <w:rsid w:val="638004D9"/>
    <w:rsid w:val="63AAD501"/>
    <w:rsid w:val="63B3D366"/>
    <w:rsid w:val="63B544EB"/>
    <w:rsid w:val="63C37D8D"/>
    <w:rsid w:val="63CDC282"/>
    <w:rsid w:val="63E1D233"/>
    <w:rsid w:val="63F8F6A7"/>
    <w:rsid w:val="641C7B07"/>
    <w:rsid w:val="64232D9D"/>
    <w:rsid w:val="642D8BD3"/>
    <w:rsid w:val="64363B3A"/>
    <w:rsid w:val="644089D1"/>
    <w:rsid w:val="64417317"/>
    <w:rsid w:val="644827E3"/>
    <w:rsid w:val="64722C13"/>
    <w:rsid w:val="64766DD1"/>
    <w:rsid w:val="64840BC2"/>
    <w:rsid w:val="6487F1FB"/>
    <w:rsid w:val="648AB930"/>
    <w:rsid w:val="64935E55"/>
    <w:rsid w:val="64A0E16D"/>
    <w:rsid w:val="64B08F24"/>
    <w:rsid w:val="64B7F3D7"/>
    <w:rsid w:val="64C15E0C"/>
    <w:rsid w:val="64C8D1B8"/>
    <w:rsid w:val="64F43AB7"/>
    <w:rsid w:val="651127E5"/>
    <w:rsid w:val="652AAFFF"/>
    <w:rsid w:val="652CF0B5"/>
    <w:rsid w:val="65533E6B"/>
    <w:rsid w:val="655FCB05"/>
    <w:rsid w:val="6594EF8C"/>
    <w:rsid w:val="659A6A6D"/>
    <w:rsid w:val="659F1DFB"/>
    <w:rsid w:val="659FFD74"/>
    <w:rsid w:val="65B4194D"/>
    <w:rsid w:val="65BD669B"/>
    <w:rsid w:val="65C97F04"/>
    <w:rsid w:val="65F92514"/>
    <w:rsid w:val="6608180D"/>
    <w:rsid w:val="6634A4AA"/>
    <w:rsid w:val="663EE35C"/>
    <w:rsid w:val="6642E22A"/>
    <w:rsid w:val="666074B3"/>
    <w:rsid w:val="6668879F"/>
    <w:rsid w:val="668BE4A9"/>
    <w:rsid w:val="6692FF06"/>
    <w:rsid w:val="6696FD1E"/>
    <w:rsid w:val="6698E127"/>
    <w:rsid w:val="669B7B9F"/>
    <w:rsid w:val="66B5D204"/>
    <w:rsid w:val="66C40392"/>
    <w:rsid w:val="66DAE40F"/>
    <w:rsid w:val="66EDE4E7"/>
    <w:rsid w:val="67175750"/>
    <w:rsid w:val="671972F5"/>
    <w:rsid w:val="671FC2B4"/>
    <w:rsid w:val="672D631A"/>
    <w:rsid w:val="6734B0AD"/>
    <w:rsid w:val="67541BC9"/>
    <w:rsid w:val="675D7483"/>
    <w:rsid w:val="676D4426"/>
    <w:rsid w:val="677315D1"/>
    <w:rsid w:val="67833288"/>
    <w:rsid w:val="678F8C1B"/>
    <w:rsid w:val="6797CAC6"/>
    <w:rsid w:val="679E4C29"/>
    <w:rsid w:val="67ABC872"/>
    <w:rsid w:val="67BDD858"/>
    <w:rsid w:val="67C9C5BE"/>
    <w:rsid w:val="67CA8814"/>
    <w:rsid w:val="67D9772F"/>
    <w:rsid w:val="67DE30BB"/>
    <w:rsid w:val="681D50EB"/>
    <w:rsid w:val="68458E07"/>
    <w:rsid w:val="684F2A20"/>
    <w:rsid w:val="68598E2C"/>
    <w:rsid w:val="685E52DA"/>
    <w:rsid w:val="68670DE1"/>
    <w:rsid w:val="6888B60E"/>
    <w:rsid w:val="688EAD7F"/>
    <w:rsid w:val="68976BC7"/>
    <w:rsid w:val="68AA2572"/>
    <w:rsid w:val="68B22669"/>
    <w:rsid w:val="68B58347"/>
    <w:rsid w:val="68B7ACE2"/>
    <w:rsid w:val="68C7EEC7"/>
    <w:rsid w:val="68C9ADDF"/>
    <w:rsid w:val="68E60C88"/>
    <w:rsid w:val="68EBBA0F"/>
    <w:rsid w:val="68EFEC2A"/>
    <w:rsid w:val="68F135D2"/>
    <w:rsid w:val="68F5766E"/>
    <w:rsid w:val="690A5E2F"/>
    <w:rsid w:val="6928FE3D"/>
    <w:rsid w:val="6936408E"/>
    <w:rsid w:val="6941FE53"/>
    <w:rsid w:val="694CA17B"/>
    <w:rsid w:val="694E2801"/>
    <w:rsid w:val="695E685B"/>
    <w:rsid w:val="6989491C"/>
    <w:rsid w:val="6996999B"/>
    <w:rsid w:val="69F9D89D"/>
    <w:rsid w:val="6A1BE9B1"/>
    <w:rsid w:val="6A411A75"/>
    <w:rsid w:val="6A46948F"/>
    <w:rsid w:val="6A4B3C22"/>
    <w:rsid w:val="6A4C2A4F"/>
    <w:rsid w:val="6A4ED433"/>
    <w:rsid w:val="6A5784A8"/>
    <w:rsid w:val="6A62264F"/>
    <w:rsid w:val="6A686CA6"/>
    <w:rsid w:val="6A6B7DA9"/>
    <w:rsid w:val="6A721B66"/>
    <w:rsid w:val="6A728F1E"/>
    <w:rsid w:val="6A8C5B04"/>
    <w:rsid w:val="6A90EFB1"/>
    <w:rsid w:val="6A945D0A"/>
    <w:rsid w:val="6A951545"/>
    <w:rsid w:val="6A955E15"/>
    <w:rsid w:val="6A990B5F"/>
    <w:rsid w:val="6A99688C"/>
    <w:rsid w:val="6AA07C36"/>
    <w:rsid w:val="6AA107DD"/>
    <w:rsid w:val="6B1B497C"/>
    <w:rsid w:val="6B2B49A6"/>
    <w:rsid w:val="6B330A50"/>
    <w:rsid w:val="6B5BA9C9"/>
    <w:rsid w:val="6B78C7D9"/>
    <w:rsid w:val="6B7A1421"/>
    <w:rsid w:val="6B82B03C"/>
    <w:rsid w:val="6B93052E"/>
    <w:rsid w:val="6B9E880E"/>
    <w:rsid w:val="6BAC24BD"/>
    <w:rsid w:val="6BB1FC6C"/>
    <w:rsid w:val="6BBC9DE2"/>
    <w:rsid w:val="6BC49A09"/>
    <w:rsid w:val="6BC646CE"/>
    <w:rsid w:val="6BF38640"/>
    <w:rsid w:val="6C0BA69B"/>
    <w:rsid w:val="6C0E5F7F"/>
    <w:rsid w:val="6C0F3EF8"/>
    <w:rsid w:val="6C259242"/>
    <w:rsid w:val="6C272A9D"/>
    <w:rsid w:val="6C40D126"/>
    <w:rsid w:val="6C459659"/>
    <w:rsid w:val="6C8D565D"/>
    <w:rsid w:val="6C980B35"/>
    <w:rsid w:val="6C987981"/>
    <w:rsid w:val="6CBE2329"/>
    <w:rsid w:val="6CC82F68"/>
    <w:rsid w:val="6CCB4C18"/>
    <w:rsid w:val="6CD0ADC9"/>
    <w:rsid w:val="6CD559C3"/>
    <w:rsid w:val="6CD74B86"/>
    <w:rsid w:val="6D01D8DF"/>
    <w:rsid w:val="6D1E5974"/>
    <w:rsid w:val="6D52C41E"/>
    <w:rsid w:val="6D559903"/>
    <w:rsid w:val="6D60DC93"/>
    <w:rsid w:val="6D6E8FA6"/>
    <w:rsid w:val="6D73FB79"/>
    <w:rsid w:val="6D76597D"/>
    <w:rsid w:val="6D7ECBF1"/>
    <w:rsid w:val="6D8698D4"/>
    <w:rsid w:val="6D8CF687"/>
    <w:rsid w:val="6D905F51"/>
    <w:rsid w:val="6DA4AA6C"/>
    <w:rsid w:val="6DC76AE4"/>
    <w:rsid w:val="6DC9E287"/>
    <w:rsid w:val="6DDDFDD8"/>
    <w:rsid w:val="6DEBD3A4"/>
    <w:rsid w:val="6E185ACD"/>
    <w:rsid w:val="6E327E90"/>
    <w:rsid w:val="6E3A9F6B"/>
    <w:rsid w:val="6E532884"/>
    <w:rsid w:val="6E58449C"/>
    <w:rsid w:val="6E739EDB"/>
    <w:rsid w:val="6EA0BC54"/>
    <w:rsid w:val="6EA33D30"/>
    <w:rsid w:val="6EDB2F0A"/>
    <w:rsid w:val="6EE27B7C"/>
    <w:rsid w:val="6EE4BAC7"/>
    <w:rsid w:val="6EE5A155"/>
    <w:rsid w:val="6EE76F29"/>
    <w:rsid w:val="6F05EF1B"/>
    <w:rsid w:val="6F0C94EB"/>
    <w:rsid w:val="6F0E67E9"/>
    <w:rsid w:val="6F2B5849"/>
    <w:rsid w:val="6F2ECACC"/>
    <w:rsid w:val="6F4C1365"/>
    <w:rsid w:val="6F5BB2DB"/>
    <w:rsid w:val="6F5F2DAE"/>
    <w:rsid w:val="6F6AF45D"/>
    <w:rsid w:val="6F799FB3"/>
    <w:rsid w:val="6F8C5E31"/>
    <w:rsid w:val="6F8E5CE9"/>
    <w:rsid w:val="6F97E13D"/>
    <w:rsid w:val="6F98540E"/>
    <w:rsid w:val="6FA00500"/>
    <w:rsid w:val="6FA81364"/>
    <w:rsid w:val="6FBBE2FF"/>
    <w:rsid w:val="6FBEF0DF"/>
    <w:rsid w:val="6FBF4108"/>
    <w:rsid w:val="6FCAB744"/>
    <w:rsid w:val="6FD01A43"/>
    <w:rsid w:val="6FD3B433"/>
    <w:rsid w:val="6FD52D9B"/>
    <w:rsid w:val="6FEEBA9F"/>
    <w:rsid w:val="7013B8AB"/>
    <w:rsid w:val="70411801"/>
    <w:rsid w:val="70484258"/>
    <w:rsid w:val="705741A3"/>
    <w:rsid w:val="706359B0"/>
    <w:rsid w:val="706964BF"/>
    <w:rsid w:val="70767182"/>
    <w:rsid w:val="707CCF4E"/>
    <w:rsid w:val="7088D838"/>
    <w:rsid w:val="708BDA6D"/>
    <w:rsid w:val="7099BF64"/>
    <w:rsid w:val="70A40FF1"/>
    <w:rsid w:val="70C8C303"/>
    <w:rsid w:val="70D288B3"/>
    <w:rsid w:val="70DCAD59"/>
    <w:rsid w:val="70E1D0A2"/>
    <w:rsid w:val="70F16F8D"/>
    <w:rsid w:val="70FF3F4C"/>
    <w:rsid w:val="711306E9"/>
    <w:rsid w:val="711966B1"/>
    <w:rsid w:val="711D1246"/>
    <w:rsid w:val="71327252"/>
    <w:rsid w:val="713F72BB"/>
    <w:rsid w:val="71439EE1"/>
    <w:rsid w:val="71667503"/>
    <w:rsid w:val="71798059"/>
    <w:rsid w:val="718025E4"/>
    <w:rsid w:val="718A9B3A"/>
    <w:rsid w:val="718FB66C"/>
    <w:rsid w:val="7196B27F"/>
    <w:rsid w:val="7197267F"/>
    <w:rsid w:val="719981D2"/>
    <w:rsid w:val="71AB14E0"/>
    <w:rsid w:val="71C462A3"/>
    <w:rsid w:val="71CFF911"/>
    <w:rsid w:val="71F9FF86"/>
    <w:rsid w:val="72016A99"/>
    <w:rsid w:val="720EB2C3"/>
    <w:rsid w:val="7238D4A2"/>
    <w:rsid w:val="72418F40"/>
    <w:rsid w:val="72594777"/>
    <w:rsid w:val="7275617B"/>
    <w:rsid w:val="728BB681"/>
    <w:rsid w:val="7296EA4D"/>
    <w:rsid w:val="72981818"/>
    <w:rsid w:val="72A0059E"/>
    <w:rsid w:val="72AC2275"/>
    <w:rsid w:val="72B02EA5"/>
    <w:rsid w:val="72C2F95F"/>
    <w:rsid w:val="72E24261"/>
    <w:rsid w:val="72E3ECAA"/>
    <w:rsid w:val="72E49F93"/>
    <w:rsid w:val="72EC68CB"/>
    <w:rsid w:val="72FB280A"/>
    <w:rsid w:val="73136CE0"/>
    <w:rsid w:val="7313B87A"/>
    <w:rsid w:val="73285D41"/>
    <w:rsid w:val="733CAD8D"/>
    <w:rsid w:val="7341CABB"/>
    <w:rsid w:val="73459C05"/>
    <w:rsid w:val="735699F3"/>
    <w:rsid w:val="7370D70A"/>
    <w:rsid w:val="73776CE1"/>
    <w:rsid w:val="738A35F5"/>
    <w:rsid w:val="738D9AF8"/>
    <w:rsid w:val="73AB8144"/>
    <w:rsid w:val="73B72C04"/>
    <w:rsid w:val="73C35801"/>
    <w:rsid w:val="73CB68B5"/>
    <w:rsid w:val="73CC3D95"/>
    <w:rsid w:val="73D7F35F"/>
    <w:rsid w:val="73DCA38C"/>
    <w:rsid w:val="73F5AEB7"/>
    <w:rsid w:val="74314622"/>
    <w:rsid w:val="745FCD1B"/>
    <w:rsid w:val="74653915"/>
    <w:rsid w:val="746D4B2B"/>
    <w:rsid w:val="7499DC68"/>
    <w:rsid w:val="74B7FA37"/>
    <w:rsid w:val="74D87E22"/>
    <w:rsid w:val="74E16E86"/>
    <w:rsid w:val="74E2B669"/>
    <w:rsid w:val="74EEC77F"/>
    <w:rsid w:val="75063EA8"/>
    <w:rsid w:val="7508B969"/>
    <w:rsid w:val="750E13D0"/>
    <w:rsid w:val="75163999"/>
    <w:rsid w:val="7534DE90"/>
    <w:rsid w:val="7549D67C"/>
    <w:rsid w:val="75675216"/>
    <w:rsid w:val="75683119"/>
    <w:rsid w:val="75CC0223"/>
    <w:rsid w:val="75D950D2"/>
    <w:rsid w:val="75E45393"/>
    <w:rsid w:val="7610D6DA"/>
    <w:rsid w:val="76172725"/>
    <w:rsid w:val="7618BF9C"/>
    <w:rsid w:val="7620815B"/>
    <w:rsid w:val="764BF253"/>
    <w:rsid w:val="765AE9B8"/>
    <w:rsid w:val="765E67B2"/>
    <w:rsid w:val="76796B7D"/>
    <w:rsid w:val="767F53E2"/>
    <w:rsid w:val="76856DAC"/>
    <w:rsid w:val="769CC8AA"/>
    <w:rsid w:val="76B48BEC"/>
    <w:rsid w:val="76B7CC23"/>
    <w:rsid w:val="76BBFF81"/>
    <w:rsid w:val="76F57B0A"/>
    <w:rsid w:val="7701F7FC"/>
    <w:rsid w:val="77066339"/>
    <w:rsid w:val="77150063"/>
    <w:rsid w:val="771F55C2"/>
    <w:rsid w:val="77263CC0"/>
    <w:rsid w:val="77547551"/>
    <w:rsid w:val="7761FDFE"/>
    <w:rsid w:val="7769707F"/>
    <w:rsid w:val="77792A9A"/>
    <w:rsid w:val="778E4E5D"/>
    <w:rsid w:val="7790580A"/>
    <w:rsid w:val="7793027D"/>
    <w:rsid w:val="7794BEA4"/>
    <w:rsid w:val="77A0E3DB"/>
    <w:rsid w:val="77ACF167"/>
    <w:rsid w:val="77B761E1"/>
    <w:rsid w:val="77C0966A"/>
    <w:rsid w:val="77CD3CC5"/>
    <w:rsid w:val="78029784"/>
    <w:rsid w:val="782C0B4E"/>
    <w:rsid w:val="7833C2BE"/>
    <w:rsid w:val="783E17B1"/>
    <w:rsid w:val="784D2EB7"/>
    <w:rsid w:val="78574B86"/>
    <w:rsid w:val="785D6393"/>
    <w:rsid w:val="787E672A"/>
    <w:rsid w:val="787F8683"/>
    <w:rsid w:val="787FB0E8"/>
    <w:rsid w:val="788B2E8D"/>
    <w:rsid w:val="7890D476"/>
    <w:rsid w:val="78AF21D6"/>
    <w:rsid w:val="78B014AF"/>
    <w:rsid w:val="78C8F59A"/>
    <w:rsid w:val="78D311F8"/>
    <w:rsid w:val="78F6CD5B"/>
    <w:rsid w:val="7917A1D8"/>
    <w:rsid w:val="791CED12"/>
    <w:rsid w:val="792D977B"/>
    <w:rsid w:val="7930AA86"/>
    <w:rsid w:val="796002BE"/>
    <w:rsid w:val="7969A959"/>
    <w:rsid w:val="796EE741"/>
    <w:rsid w:val="79792986"/>
    <w:rsid w:val="7981A0DB"/>
    <w:rsid w:val="79862CF2"/>
    <w:rsid w:val="798B6D05"/>
    <w:rsid w:val="7990E1AD"/>
    <w:rsid w:val="79928A7A"/>
    <w:rsid w:val="79995407"/>
    <w:rsid w:val="799E4FF7"/>
    <w:rsid w:val="79AA3F61"/>
    <w:rsid w:val="79ADF9D4"/>
    <w:rsid w:val="79D54231"/>
    <w:rsid w:val="79DE813F"/>
    <w:rsid w:val="79EF6CE5"/>
    <w:rsid w:val="79EF73B7"/>
    <w:rsid w:val="79FC09D1"/>
    <w:rsid w:val="7A06648C"/>
    <w:rsid w:val="7A0DB54A"/>
    <w:rsid w:val="7A212A6E"/>
    <w:rsid w:val="7A5E7118"/>
    <w:rsid w:val="7A754F04"/>
    <w:rsid w:val="7AC58170"/>
    <w:rsid w:val="7ACA3DF9"/>
    <w:rsid w:val="7ACD310B"/>
    <w:rsid w:val="7ADBBD3A"/>
    <w:rsid w:val="7ADF40C5"/>
    <w:rsid w:val="7AE1F53A"/>
    <w:rsid w:val="7B0D28E2"/>
    <w:rsid w:val="7B106F3A"/>
    <w:rsid w:val="7B121638"/>
    <w:rsid w:val="7B1B3C40"/>
    <w:rsid w:val="7B1C3AAF"/>
    <w:rsid w:val="7B579481"/>
    <w:rsid w:val="7B757402"/>
    <w:rsid w:val="7B76A561"/>
    <w:rsid w:val="7B7848D0"/>
    <w:rsid w:val="7B866B05"/>
    <w:rsid w:val="7B88F33D"/>
    <w:rsid w:val="7B91712D"/>
    <w:rsid w:val="7B91A9A1"/>
    <w:rsid w:val="7B949E27"/>
    <w:rsid w:val="7BA900EA"/>
    <w:rsid w:val="7BE3C6C0"/>
    <w:rsid w:val="7BE8E30F"/>
    <w:rsid w:val="7BF1CB01"/>
    <w:rsid w:val="7BF246D4"/>
    <w:rsid w:val="7BFE7808"/>
    <w:rsid w:val="7C033956"/>
    <w:rsid w:val="7C203A0A"/>
    <w:rsid w:val="7C4197A9"/>
    <w:rsid w:val="7C46E7E4"/>
    <w:rsid w:val="7C4FE881"/>
    <w:rsid w:val="7C57EB9C"/>
    <w:rsid w:val="7C6AC2D7"/>
    <w:rsid w:val="7C6D7DB9"/>
    <w:rsid w:val="7C7454FE"/>
    <w:rsid w:val="7C78DDED"/>
    <w:rsid w:val="7C7E8808"/>
    <w:rsid w:val="7C9194E0"/>
    <w:rsid w:val="7CA0ADE8"/>
    <w:rsid w:val="7CA927AA"/>
    <w:rsid w:val="7CBA422A"/>
    <w:rsid w:val="7CD25530"/>
    <w:rsid w:val="7CDBB4D2"/>
    <w:rsid w:val="7CDBE25E"/>
    <w:rsid w:val="7CED2275"/>
    <w:rsid w:val="7CFDBD30"/>
    <w:rsid w:val="7D0395A2"/>
    <w:rsid w:val="7D1A1108"/>
    <w:rsid w:val="7D28C67A"/>
    <w:rsid w:val="7D3013AC"/>
    <w:rsid w:val="7D498C75"/>
    <w:rsid w:val="7D59229E"/>
    <w:rsid w:val="7D889B3F"/>
    <w:rsid w:val="7D909D3E"/>
    <w:rsid w:val="7DB5E34A"/>
    <w:rsid w:val="7DB9B3A8"/>
    <w:rsid w:val="7DC23FC3"/>
    <w:rsid w:val="7DC920A9"/>
    <w:rsid w:val="7DD212A4"/>
    <w:rsid w:val="7DD22D33"/>
    <w:rsid w:val="7DEB413F"/>
    <w:rsid w:val="7DF76314"/>
    <w:rsid w:val="7E01DEBB"/>
    <w:rsid w:val="7E040028"/>
    <w:rsid w:val="7E08C624"/>
    <w:rsid w:val="7E145EF0"/>
    <w:rsid w:val="7E33BD34"/>
    <w:rsid w:val="7E3A8F54"/>
    <w:rsid w:val="7E50E996"/>
    <w:rsid w:val="7E5E4C78"/>
    <w:rsid w:val="7E5EDC7D"/>
    <w:rsid w:val="7E91AAD4"/>
    <w:rsid w:val="7EBEF0A3"/>
    <w:rsid w:val="7EC535F3"/>
    <w:rsid w:val="7EC9F755"/>
    <w:rsid w:val="7EF47DDF"/>
    <w:rsid w:val="7EF4F670"/>
    <w:rsid w:val="7F29CD6C"/>
    <w:rsid w:val="7F3112AC"/>
    <w:rsid w:val="7F397713"/>
    <w:rsid w:val="7F49E27A"/>
    <w:rsid w:val="7F566A48"/>
    <w:rsid w:val="7F784055"/>
    <w:rsid w:val="7F7D3EFE"/>
    <w:rsid w:val="7FA14DC8"/>
    <w:rsid w:val="7FA397FE"/>
    <w:rsid w:val="7FAB72AE"/>
    <w:rsid w:val="7FAF2E5D"/>
    <w:rsid w:val="7FBB6877"/>
    <w:rsid w:val="7FE8A3A1"/>
    <w:rsid w:val="7FFD9B61"/>
    <w:rsid w:val="7FFF8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16A6E41A"/>
  <w15:docId w15:val="{E913875F-D8C4-4ABA-AAB2-27E82C84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1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2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2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2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2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2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EFD"/>
    <w:rPr>
      <w:color w:val="0000FF" w:themeColor="hyperlink"/>
      <w:u w:val="single"/>
    </w:rPr>
  </w:style>
  <w:style w:type="paragraph" w:customStyle="1" w:styleId="Normal2">
    <w:name w:val="Normal2"/>
    <w:basedOn w:val="Normal"/>
    <w:rsid w:val="00B70EFD"/>
    <w:pPr>
      <w:spacing w:before="100" w:beforeAutospacing="1" w:after="100" w:afterAutospacing="1"/>
      <w:jc w:val="left"/>
    </w:pPr>
    <w:rPr>
      <w:rFonts w:eastAsia="Times New Roman"/>
      <w:szCs w:val="24"/>
      <w:lang w:eastAsia="en-GB"/>
    </w:rPr>
  </w:style>
  <w:style w:type="paragraph" w:styleId="ListParagraph">
    <w:name w:val="List Paragraph"/>
    <w:aliases w:val="List,List1,List Paragraph compact,Normal bullet 2,Paragraphe de liste 2,Reference list,Bullet list,Numbered List,List Paragraph1,1st level - Bullet List Paragraph,Lettre d'introduction,Paragraph,Bullet EY,List Paragraph11,Normal bullet 21"/>
    <w:basedOn w:val="Normal"/>
    <w:link w:val="ListParagraphChar"/>
    <w:uiPriority w:val="34"/>
    <w:qFormat/>
    <w:rsid w:val="00B70EFD"/>
    <w:pPr>
      <w:ind w:left="720"/>
      <w:contextualSpacing/>
    </w:pPr>
  </w:style>
  <w:style w:type="character" w:customStyle="1" w:styleId="ListParagraphChar">
    <w:name w:val="List Paragraph Char"/>
    <w:aliases w:val="List Char,List1 Char,List Paragraph compact Char,Normal bullet 2 Char,Paragraphe de liste 2 Char,Reference list Char,Bullet list Char,Numbered List Char,List Paragraph1 Char,1st level - Bullet List Paragraph Char,Paragraph Char"/>
    <w:link w:val="ListParagraph"/>
    <w:uiPriority w:val="34"/>
    <w:qFormat/>
    <w:locked/>
    <w:rsid w:val="00B70EFD"/>
    <w:rPr>
      <w:rFonts w:ascii="Times New Roman" w:hAnsi="Times New Roman" w:cs="Times New Roman"/>
      <w:sz w:val="24"/>
      <w:lang w:val="en-GB"/>
    </w:rPr>
  </w:style>
  <w:style w:type="paragraph" w:customStyle="1" w:styleId="Default">
    <w:name w:val="Default"/>
    <w:rsid w:val="005F7D4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4">
    <w:name w:val="CM4"/>
    <w:basedOn w:val="Normal"/>
    <w:next w:val="Normal"/>
    <w:uiPriority w:val="99"/>
    <w:rsid w:val="00E775BE"/>
    <w:pPr>
      <w:autoSpaceDE w:val="0"/>
      <w:autoSpaceDN w:val="0"/>
      <w:adjustRightInd w:val="0"/>
      <w:spacing w:before="0" w:after="0"/>
      <w:jc w:val="left"/>
    </w:pPr>
    <w:rPr>
      <w:szCs w:val="24"/>
    </w:rPr>
  </w:style>
  <w:style w:type="paragraph" w:styleId="CommentText">
    <w:name w:val="annotation text"/>
    <w:basedOn w:val="Normal"/>
    <w:link w:val="CommentTextChar"/>
    <w:uiPriority w:val="99"/>
    <w:semiHidden/>
    <w:unhideWhenUsed/>
    <w:rsid w:val="00E775BE"/>
    <w:rPr>
      <w:sz w:val="20"/>
      <w:szCs w:val="20"/>
    </w:rPr>
  </w:style>
  <w:style w:type="character" w:customStyle="1" w:styleId="CommentTextChar">
    <w:name w:val="Comment Text Char"/>
    <w:basedOn w:val="DefaultParagraphFont"/>
    <w:link w:val="CommentText"/>
    <w:uiPriority w:val="99"/>
    <w:semiHidden/>
    <w:rsid w:val="00E775BE"/>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E775BE"/>
    <w:rPr>
      <w:sz w:val="16"/>
      <w:szCs w:val="16"/>
    </w:rPr>
  </w:style>
  <w:style w:type="paragraph" w:styleId="BalloonText">
    <w:name w:val="Balloon Text"/>
    <w:basedOn w:val="Normal"/>
    <w:link w:val="BalloonTextChar"/>
    <w:uiPriority w:val="99"/>
    <w:semiHidden/>
    <w:unhideWhenUsed/>
    <w:rsid w:val="00E775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5BE"/>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E775BE"/>
    <w:rPr>
      <w:b/>
      <w:bCs/>
    </w:rPr>
  </w:style>
  <w:style w:type="character" w:customStyle="1" w:styleId="CommentSubjectChar">
    <w:name w:val="Comment Subject Char"/>
    <w:basedOn w:val="CommentTextChar"/>
    <w:link w:val="CommentSubject"/>
    <w:uiPriority w:val="99"/>
    <w:semiHidden/>
    <w:rsid w:val="00E775BE"/>
    <w:rPr>
      <w:rFonts w:ascii="Times New Roman" w:hAnsi="Times New Roman" w:cs="Times New Roman"/>
      <w:b/>
      <w:bCs/>
      <w:sz w:val="20"/>
      <w:szCs w:val="20"/>
      <w:lang w:val="en-GB"/>
    </w:rPr>
  </w:style>
  <w:style w:type="paragraph" w:styleId="Revision">
    <w:name w:val="Revision"/>
    <w:hidden/>
    <w:uiPriority w:val="99"/>
    <w:semiHidden/>
    <w:rsid w:val="00E775BE"/>
    <w:pPr>
      <w:spacing w:after="0" w:line="240" w:lineRule="auto"/>
    </w:pPr>
    <w:rPr>
      <w:rFonts w:ascii="Times New Roman" w:hAnsi="Times New Roman" w:cs="Times New Roman"/>
      <w:sz w:val="24"/>
      <w:lang w:val="en-GB"/>
    </w:rPr>
  </w:style>
  <w:style w:type="paragraph" w:customStyle="1" w:styleId="Normal1">
    <w:name w:val="Normal1"/>
    <w:basedOn w:val="Normal"/>
    <w:rsid w:val="00E775BE"/>
    <w:pPr>
      <w:spacing w:before="100" w:beforeAutospacing="1" w:after="100" w:afterAutospacing="1"/>
      <w:jc w:val="left"/>
    </w:pPr>
    <w:rPr>
      <w:rFonts w:eastAsia="Times New Roman"/>
      <w:szCs w:val="24"/>
      <w:lang w:val="en-US"/>
    </w:rPr>
  </w:style>
  <w:style w:type="character" w:customStyle="1" w:styleId="italic">
    <w:name w:val="italic"/>
    <w:basedOn w:val="DefaultParagraphFont"/>
    <w:rsid w:val="00E775BE"/>
  </w:style>
  <w:style w:type="character" w:styleId="PlaceholderText">
    <w:name w:val="Placeholder Text"/>
    <w:basedOn w:val="DefaultParagraphFont"/>
    <w:uiPriority w:val="99"/>
    <w:semiHidden/>
    <w:rsid w:val="00E775BE"/>
    <w:rPr>
      <w:color w:val="808080"/>
    </w:rPr>
  </w:style>
  <w:style w:type="paragraph" w:customStyle="1" w:styleId="li">
    <w:name w:val="li"/>
    <w:basedOn w:val="Normal"/>
    <w:rsid w:val="00E775BE"/>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E775BE"/>
  </w:style>
  <w:style w:type="paragraph" w:styleId="NormalWeb">
    <w:name w:val="Normal (Web)"/>
    <w:basedOn w:val="Normal"/>
    <w:uiPriority w:val="99"/>
    <w:unhideWhenUsed/>
    <w:rsid w:val="00E775BE"/>
    <w:pPr>
      <w:spacing w:before="100" w:beforeAutospacing="1" w:after="100" w:afterAutospacing="1"/>
      <w:jc w:val="left"/>
    </w:pPr>
    <w:rPr>
      <w:rFonts w:eastAsia="Times New Roman"/>
      <w:szCs w:val="24"/>
      <w:lang w:eastAsia="en-GB"/>
    </w:rPr>
  </w:style>
  <w:style w:type="paragraph" w:customStyle="1" w:styleId="Normal3">
    <w:name w:val="Normal3"/>
    <w:basedOn w:val="Normal"/>
    <w:rsid w:val="00E775BE"/>
    <w:pPr>
      <w:spacing w:before="100" w:beforeAutospacing="1" w:after="100" w:afterAutospacing="1"/>
      <w:jc w:val="left"/>
    </w:pPr>
    <w:rPr>
      <w:rFonts w:eastAsia="Times New Roman"/>
      <w:szCs w:val="24"/>
      <w:lang w:val="en-US"/>
    </w:rPr>
  </w:style>
  <w:style w:type="table" w:styleId="TableGrid">
    <w:name w:val="Table Grid"/>
    <w:basedOn w:val="TableNormal"/>
    <w:uiPriority w:val="59"/>
    <w:rsid w:val="00E775B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775BE"/>
    <w:rPr>
      <w:color w:val="800080" w:themeColor="followedHyperlink"/>
      <w:u w:val="single"/>
    </w:rPr>
  </w:style>
  <w:style w:type="paragraph" w:customStyle="1" w:styleId="Normal4">
    <w:name w:val="Normal4"/>
    <w:basedOn w:val="Normal"/>
    <w:rsid w:val="00E775BE"/>
    <w:pPr>
      <w:spacing w:before="100" w:beforeAutospacing="1" w:after="100" w:afterAutospacing="1"/>
      <w:jc w:val="left"/>
    </w:pPr>
    <w:rPr>
      <w:rFonts w:eastAsia="Times New Roman"/>
      <w:szCs w:val="24"/>
      <w:lang w:val="en-US"/>
    </w:rPr>
  </w:style>
  <w:style w:type="paragraph" w:customStyle="1" w:styleId="doc-ti">
    <w:name w:val="doc-ti"/>
    <w:basedOn w:val="Normal"/>
    <w:rsid w:val="00E775BE"/>
    <w:pPr>
      <w:spacing w:before="100" w:beforeAutospacing="1" w:after="100" w:afterAutospacing="1"/>
      <w:jc w:val="left"/>
    </w:pPr>
    <w:rPr>
      <w:rFonts w:eastAsia="Times New Roman"/>
      <w:szCs w:val="24"/>
      <w:lang w:val="en-US"/>
    </w:rPr>
  </w:style>
  <w:style w:type="paragraph" w:customStyle="1" w:styleId="Normal5">
    <w:name w:val="Normal5"/>
    <w:basedOn w:val="Normal"/>
    <w:rsid w:val="00E775BE"/>
    <w:pPr>
      <w:spacing w:before="100" w:beforeAutospacing="1" w:after="100" w:afterAutospacing="1"/>
      <w:jc w:val="left"/>
    </w:pPr>
    <w:rPr>
      <w:rFonts w:eastAsia="Times New Roman"/>
      <w:szCs w:val="24"/>
      <w:lang w:val="en-US"/>
    </w:rPr>
  </w:style>
  <w:style w:type="paragraph" w:customStyle="1" w:styleId="tbl-txt">
    <w:name w:val="tbl-txt"/>
    <w:basedOn w:val="Normal"/>
    <w:rsid w:val="00E775BE"/>
    <w:pPr>
      <w:spacing w:before="100" w:beforeAutospacing="1" w:after="100" w:afterAutospacing="1"/>
      <w:jc w:val="left"/>
    </w:pPr>
    <w:rPr>
      <w:rFonts w:eastAsia="Times New Roman"/>
      <w:szCs w:val="24"/>
      <w:lang w:val="en-US"/>
    </w:rPr>
  </w:style>
  <w:style w:type="paragraph" w:customStyle="1" w:styleId="ti-grseq-1">
    <w:name w:val="ti-grseq-1"/>
    <w:basedOn w:val="Normal"/>
    <w:rsid w:val="00E775BE"/>
    <w:pPr>
      <w:spacing w:before="100" w:beforeAutospacing="1" w:after="100" w:afterAutospacing="1"/>
      <w:jc w:val="left"/>
    </w:pPr>
    <w:rPr>
      <w:rFonts w:eastAsia="Times New Roman"/>
      <w:szCs w:val="24"/>
      <w:lang w:val="en-US"/>
    </w:rPr>
  </w:style>
  <w:style w:type="character" w:customStyle="1" w:styleId="bold">
    <w:name w:val="bold"/>
    <w:basedOn w:val="DefaultParagraphFont"/>
    <w:rsid w:val="00E775BE"/>
  </w:style>
  <w:style w:type="paragraph" w:customStyle="1" w:styleId="Normal6">
    <w:name w:val="Normal6"/>
    <w:basedOn w:val="Normal"/>
    <w:rsid w:val="00E775BE"/>
    <w:pPr>
      <w:spacing w:before="100" w:beforeAutospacing="1" w:after="100" w:afterAutospacing="1"/>
      <w:jc w:val="left"/>
    </w:pPr>
    <w:rPr>
      <w:rFonts w:eastAsia="Times New Roman"/>
      <w:szCs w:val="24"/>
      <w:lang w:val="en-US"/>
    </w:rPr>
  </w:style>
  <w:style w:type="character" w:styleId="Strong">
    <w:name w:val="Strong"/>
    <w:basedOn w:val="DefaultParagraphFont"/>
    <w:uiPriority w:val="22"/>
    <w:qFormat/>
    <w:rsid w:val="00E775BE"/>
    <w:rPr>
      <w:b/>
      <w:bCs/>
    </w:rPr>
  </w:style>
  <w:style w:type="paragraph" w:styleId="Caption">
    <w:name w:val="caption"/>
    <w:basedOn w:val="Normal"/>
    <w:next w:val="Normal"/>
    <w:uiPriority w:val="35"/>
    <w:semiHidden/>
    <w:unhideWhenUsed/>
    <w:qFormat/>
    <w:rsid w:val="00DF6FE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F6FE7"/>
    <w:pPr>
      <w:spacing w:after="0"/>
    </w:pPr>
  </w:style>
  <w:style w:type="paragraph" w:styleId="ListBullet">
    <w:name w:val="List Bullet"/>
    <w:basedOn w:val="Normal"/>
    <w:uiPriority w:val="99"/>
    <w:semiHidden/>
    <w:unhideWhenUsed/>
    <w:rsid w:val="00DF6FE7"/>
    <w:pPr>
      <w:numPr>
        <w:numId w:val="3"/>
      </w:numPr>
      <w:contextualSpacing/>
    </w:pPr>
  </w:style>
  <w:style w:type="paragraph" w:styleId="ListBullet2">
    <w:name w:val="List Bullet 2"/>
    <w:basedOn w:val="Normal"/>
    <w:uiPriority w:val="99"/>
    <w:semiHidden/>
    <w:unhideWhenUsed/>
    <w:rsid w:val="00DF6FE7"/>
    <w:pPr>
      <w:numPr>
        <w:numId w:val="4"/>
      </w:numPr>
      <w:contextualSpacing/>
    </w:pPr>
  </w:style>
  <w:style w:type="paragraph" w:styleId="ListBullet3">
    <w:name w:val="List Bullet 3"/>
    <w:basedOn w:val="Normal"/>
    <w:uiPriority w:val="99"/>
    <w:semiHidden/>
    <w:unhideWhenUsed/>
    <w:rsid w:val="00DF6FE7"/>
    <w:pPr>
      <w:numPr>
        <w:numId w:val="5"/>
      </w:numPr>
      <w:contextualSpacing/>
    </w:pPr>
  </w:style>
  <w:style w:type="paragraph" w:styleId="ListBullet4">
    <w:name w:val="List Bullet 4"/>
    <w:basedOn w:val="Normal"/>
    <w:uiPriority w:val="99"/>
    <w:semiHidden/>
    <w:unhideWhenUsed/>
    <w:rsid w:val="00DF6FE7"/>
    <w:pPr>
      <w:numPr>
        <w:numId w:val="6"/>
      </w:numPr>
      <w:contextualSpacing/>
    </w:pPr>
  </w:style>
  <w:style w:type="paragraph" w:styleId="ListNumber">
    <w:name w:val="List Number"/>
    <w:basedOn w:val="Normal"/>
    <w:uiPriority w:val="99"/>
    <w:semiHidden/>
    <w:unhideWhenUsed/>
    <w:rsid w:val="00DF6FE7"/>
    <w:pPr>
      <w:numPr>
        <w:numId w:val="7"/>
      </w:numPr>
      <w:contextualSpacing/>
    </w:pPr>
  </w:style>
  <w:style w:type="paragraph" w:styleId="ListNumber2">
    <w:name w:val="List Number 2"/>
    <w:basedOn w:val="Normal"/>
    <w:uiPriority w:val="99"/>
    <w:semiHidden/>
    <w:unhideWhenUsed/>
    <w:rsid w:val="00DF6FE7"/>
    <w:pPr>
      <w:numPr>
        <w:numId w:val="8"/>
      </w:numPr>
      <w:contextualSpacing/>
    </w:pPr>
  </w:style>
  <w:style w:type="paragraph" w:styleId="ListNumber3">
    <w:name w:val="List Number 3"/>
    <w:basedOn w:val="Normal"/>
    <w:uiPriority w:val="99"/>
    <w:semiHidden/>
    <w:unhideWhenUsed/>
    <w:rsid w:val="00DF6FE7"/>
    <w:pPr>
      <w:numPr>
        <w:numId w:val="9"/>
      </w:numPr>
      <w:contextualSpacing/>
    </w:pPr>
  </w:style>
  <w:style w:type="paragraph" w:styleId="ListNumber4">
    <w:name w:val="List Number 4"/>
    <w:basedOn w:val="Normal"/>
    <w:uiPriority w:val="99"/>
    <w:semiHidden/>
    <w:unhideWhenUsed/>
    <w:rsid w:val="00DF6FE7"/>
    <w:pPr>
      <w:numPr>
        <w:numId w:val="10"/>
      </w:numPr>
      <w:contextualSpacing/>
    </w:pPr>
  </w:style>
  <w:style w:type="paragraph" w:customStyle="1" w:styleId="Ttitre">
    <w:name w:val="Ttitre"/>
    <w:basedOn w:val="Normal"/>
    <w:rsid w:val="00263658"/>
    <w:pPr>
      <w:spacing w:before="0" w:after="0"/>
      <w:jc w:val="center"/>
    </w:pPr>
    <w:rPr>
      <w:i/>
    </w:rPr>
  </w:style>
  <w:style w:type="paragraph" w:customStyle="1" w:styleId="Titreobjt">
    <w:name w:val="Titre objt"/>
    <w:basedOn w:val="Normal"/>
    <w:rsid w:val="00B23E88"/>
    <w:pPr>
      <w:spacing w:before="0" w:after="0"/>
      <w:jc w:val="center"/>
    </w:pPr>
    <w:rPr>
      <w:b/>
      <w:szCs w:val="24"/>
    </w:rPr>
  </w:style>
  <w:style w:type="paragraph" w:customStyle="1" w:styleId="Titrreobjet">
    <w:name w:val="Titrre objet"/>
    <w:basedOn w:val="Normal"/>
    <w:rsid w:val="00BB1174"/>
    <w:pPr>
      <w:jc w:val="center"/>
    </w:pPr>
    <w:rPr>
      <w:rFonts w:eastAsia="Times New Roman"/>
      <w:b/>
      <w:bCs/>
      <w:szCs w:val="24"/>
      <w:lang w:val="en-US"/>
    </w:rPr>
  </w:style>
  <w:style w:type="paragraph" w:customStyle="1" w:styleId="Articletitre">
    <w:name w:val="Article titre"/>
    <w:basedOn w:val="Normal"/>
    <w:rsid w:val="0002261F"/>
    <w:pPr>
      <w:spacing w:before="0" w:after="0"/>
      <w:jc w:val="center"/>
    </w:pPr>
    <w:rPr>
      <w:i/>
      <w:szCs w:val="24"/>
    </w:rPr>
  </w:style>
  <w:style w:type="paragraph" w:customStyle="1" w:styleId="Articleobje">
    <w:name w:val="Article obje"/>
    <w:basedOn w:val="Normal"/>
    <w:rsid w:val="0002261F"/>
    <w:pPr>
      <w:spacing w:before="0" w:after="0"/>
      <w:jc w:val="center"/>
    </w:pPr>
    <w:rPr>
      <w:b/>
      <w:szCs w:val="24"/>
    </w:rPr>
  </w:style>
  <w:style w:type="paragraph" w:customStyle="1" w:styleId="Manual">
    <w:name w:val="Manual"/>
    <w:basedOn w:val="Tiret0"/>
    <w:rsid w:val="0069669E"/>
  </w:style>
  <w:style w:type="character" w:styleId="Emphasis">
    <w:name w:val="Emphasis"/>
    <w:basedOn w:val="DefaultParagraphFont"/>
    <w:uiPriority w:val="20"/>
    <w:qFormat/>
    <w:rsid w:val="0078258A"/>
    <w:rPr>
      <w:i/>
      <w:iCs/>
    </w:rPr>
  </w:style>
  <w:style w:type="paragraph" w:styleId="NoSpacing">
    <w:name w:val="No Spacing"/>
    <w:uiPriority w:val="1"/>
    <w:qFormat/>
    <w:rsid w:val="00F536D6"/>
    <w:pPr>
      <w:spacing w:after="0" w:line="240" w:lineRule="auto"/>
      <w:jc w:val="both"/>
    </w:pPr>
    <w:rPr>
      <w:rFonts w:ascii="Times New Roman" w:hAnsi="Times New Roman" w:cs="Times New Roman"/>
      <w:sz w:val="24"/>
      <w:lang w:val="en-GB"/>
    </w:rPr>
  </w:style>
  <w:style w:type="paragraph" w:customStyle="1" w:styleId="point0number0">
    <w:name w:val="point0number"/>
    <w:basedOn w:val="Normal"/>
    <w:rsid w:val="00211E75"/>
    <w:pPr>
      <w:spacing w:before="100" w:beforeAutospacing="1" w:after="100" w:afterAutospacing="1"/>
      <w:jc w:val="left"/>
    </w:pPr>
    <w:rPr>
      <w:szCs w:val="24"/>
      <w:lang w:val="en-US"/>
    </w:rPr>
  </w:style>
  <w:style w:type="paragraph" w:styleId="Header">
    <w:name w:val="header"/>
    <w:basedOn w:val="Normal"/>
    <w:link w:val="HeaderChar"/>
    <w:uiPriority w:val="99"/>
    <w:unhideWhenUsed/>
    <w:rsid w:val="00007071"/>
    <w:pPr>
      <w:tabs>
        <w:tab w:val="center" w:pos="4535"/>
        <w:tab w:val="right" w:pos="9071"/>
      </w:tabs>
      <w:spacing w:before="0"/>
    </w:pPr>
  </w:style>
  <w:style w:type="character" w:customStyle="1" w:styleId="HeaderChar">
    <w:name w:val="Header Char"/>
    <w:basedOn w:val="DefaultParagraphFont"/>
    <w:link w:val="Header"/>
    <w:uiPriority w:val="99"/>
    <w:rsid w:val="00007071"/>
    <w:rPr>
      <w:rFonts w:ascii="Times New Roman" w:hAnsi="Times New Roman" w:cs="Times New Roman"/>
      <w:sz w:val="24"/>
      <w:lang w:val="en-GB"/>
    </w:rPr>
  </w:style>
  <w:style w:type="paragraph" w:styleId="Footer">
    <w:name w:val="footer"/>
    <w:basedOn w:val="Normal"/>
    <w:link w:val="FooterChar"/>
    <w:uiPriority w:val="99"/>
    <w:unhideWhenUsed/>
    <w:rsid w:val="0000707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07071"/>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007071"/>
    <w:pPr>
      <w:tabs>
        <w:tab w:val="center" w:pos="7285"/>
        <w:tab w:val="right" w:pos="14003"/>
      </w:tabs>
      <w:spacing w:before="0"/>
    </w:pPr>
  </w:style>
  <w:style w:type="paragraph" w:customStyle="1" w:styleId="FooterLandscape">
    <w:name w:val="FooterLandscape"/>
    <w:basedOn w:val="Normal"/>
    <w:rsid w:val="0000707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00707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07071"/>
    <w:pPr>
      <w:spacing w:before="0"/>
      <w:jc w:val="right"/>
    </w:pPr>
    <w:rPr>
      <w:sz w:val="28"/>
    </w:rPr>
  </w:style>
  <w:style w:type="paragraph" w:customStyle="1" w:styleId="FooterSensitivity">
    <w:name w:val="Footer Sensitivity"/>
    <w:basedOn w:val="Normal"/>
    <w:rsid w:val="0000707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6"/>
      </w:numPr>
    </w:pPr>
  </w:style>
  <w:style w:type="paragraph" w:customStyle="1" w:styleId="Tiret1">
    <w:name w:val="Tiret 1"/>
    <w:basedOn w:val="Point1"/>
    <w:rsid w:val="00517205"/>
    <w:pPr>
      <w:numPr>
        <w:numId w:val="117"/>
      </w:numPr>
    </w:pPr>
  </w:style>
  <w:style w:type="paragraph" w:customStyle="1" w:styleId="Tiret2">
    <w:name w:val="Tiret 2"/>
    <w:basedOn w:val="Point2"/>
    <w:rsid w:val="00517205"/>
    <w:pPr>
      <w:numPr>
        <w:numId w:val="118"/>
      </w:numPr>
    </w:pPr>
  </w:style>
  <w:style w:type="paragraph" w:customStyle="1" w:styleId="Tiret3">
    <w:name w:val="Tiret 3"/>
    <w:basedOn w:val="Point3"/>
    <w:rsid w:val="00517205"/>
    <w:pPr>
      <w:numPr>
        <w:numId w:val="119"/>
      </w:numPr>
    </w:pPr>
  </w:style>
  <w:style w:type="paragraph" w:customStyle="1" w:styleId="Tiret4">
    <w:name w:val="Tiret 4"/>
    <w:basedOn w:val="Point4"/>
    <w:rsid w:val="00517205"/>
    <w:pPr>
      <w:numPr>
        <w:numId w:val="120"/>
      </w:numPr>
    </w:pPr>
  </w:style>
  <w:style w:type="paragraph" w:customStyle="1" w:styleId="Tiret5">
    <w:name w:val="Tiret 5"/>
    <w:basedOn w:val="Point5"/>
    <w:rsid w:val="00517205"/>
    <w:pPr>
      <w:numPr>
        <w:numId w:val="12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22"/>
      </w:numPr>
    </w:pPr>
  </w:style>
  <w:style w:type="paragraph" w:customStyle="1" w:styleId="NumPar2">
    <w:name w:val="NumPar 2"/>
    <w:basedOn w:val="Normal"/>
    <w:next w:val="Text1"/>
    <w:rsid w:val="00517205"/>
    <w:pPr>
      <w:numPr>
        <w:ilvl w:val="1"/>
        <w:numId w:val="122"/>
      </w:numPr>
    </w:pPr>
  </w:style>
  <w:style w:type="paragraph" w:customStyle="1" w:styleId="NumPar3">
    <w:name w:val="NumPar 3"/>
    <w:basedOn w:val="Normal"/>
    <w:next w:val="Text1"/>
    <w:rsid w:val="00517205"/>
    <w:pPr>
      <w:numPr>
        <w:ilvl w:val="2"/>
        <w:numId w:val="122"/>
      </w:numPr>
    </w:pPr>
  </w:style>
  <w:style w:type="paragraph" w:customStyle="1" w:styleId="NumPar4">
    <w:name w:val="NumPar 4"/>
    <w:basedOn w:val="Normal"/>
    <w:next w:val="Text1"/>
    <w:rsid w:val="00517205"/>
    <w:pPr>
      <w:numPr>
        <w:ilvl w:val="3"/>
        <w:numId w:val="122"/>
      </w:numPr>
    </w:pPr>
  </w:style>
  <w:style w:type="paragraph" w:customStyle="1" w:styleId="NumPar5">
    <w:name w:val="NumPar 5"/>
    <w:basedOn w:val="Normal"/>
    <w:next w:val="Text2"/>
    <w:rsid w:val="00517205"/>
    <w:pPr>
      <w:numPr>
        <w:ilvl w:val="4"/>
        <w:numId w:val="122"/>
      </w:numPr>
    </w:pPr>
  </w:style>
  <w:style w:type="paragraph" w:customStyle="1" w:styleId="NumPar6">
    <w:name w:val="NumPar 6"/>
    <w:basedOn w:val="Normal"/>
    <w:next w:val="Text2"/>
    <w:rsid w:val="00517205"/>
    <w:pPr>
      <w:numPr>
        <w:ilvl w:val="5"/>
        <w:numId w:val="122"/>
      </w:numPr>
    </w:pPr>
  </w:style>
  <w:style w:type="paragraph" w:customStyle="1" w:styleId="NumPar7">
    <w:name w:val="NumPar 7"/>
    <w:basedOn w:val="Normal"/>
    <w:next w:val="Text2"/>
    <w:rsid w:val="00517205"/>
    <w:pPr>
      <w:numPr>
        <w:ilvl w:val="6"/>
        <w:numId w:val="12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24"/>
      </w:numPr>
    </w:pPr>
  </w:style>
  <w:style w:type="paragraph" w:customStyle="1" w:styleId="Point1number">
    <w:name w:val="Point 1 (number)"/>
    <w:basedOn w:val="Normal"/>
    <w:rsid w:val="00517205"/>
    <w:pPr>
      <w:numPr>
        <w:ilvl w:val="2"/>
        <w:numId w:val="124"/>
      </w:numPr>
    </w:pPr>
  </w:style>
  <w:style w:type="paragraph" w:customStyle="1" w:styleId="Point2number">
    <w:name w:val="Point 2 (number)"/>
    <w:basedOn w:val="Normal"/>
    <w:rsid w:val="00517205"/>
    <w:pPr>
      <w:numPr>
        <w:ilvl w:val="4"/>
        <w:numId w:val="124"/>
      </w:numPr>
    </w:pPr>
  </w:style>
  <w:style w:type="paragraph" w:customStyle="1" w:styleId="Point3number">
    <w:name w:val="Point 3 (number)"/>
    <w:basedOn w:val="Normal"/>
    <w:rsid w:val="00517205"/>
    <w:pPr>
      <w:numPr>
        <w:ilvl w:val="6"/>
        <w:numId w:val="124"/>
      </w:numPr>
    </w:pPr>
  </w:style>
  <w:style w:type="paragraph" w:customStyle="1" w:styleId="Point0letter">
    <w:name w:val="Point 0 (letter)"/>
    <w:basedOn w:val="Normal"/>
    <w:rsid w:val="00517205"/>
    <w:pPr>
      <w:numPr>
        <w:ilvl w:val="1"/>
        <w:numId w:val="124"/>
      </w:numPr>
    </w:pPr>
  </w:style>
  <w:style w:type="paragraph" w:customStyle="1" w:styleId="Point1letter">
    <w:name w:val="Point 1 (letter)"/>
    <w:basedOn w:val="Normal"/>
    <w:rsid w:val="00517205"/>
    <w:pPr>
      <w:numPr>
        <w:ilvl w:val="3"/>
        <w:numId w:val="124"/>
      </w:numPr>
    </w:pPr>
  </w:style>
  <w:style w:type="paragraph" w:customStyle="1" w:styleId="Point2letter">
    <w:name w:val="Point 2 (letter)"/>
    <w:basedOn w:val="Normal"/>
    <w:rsid w:val="00517205"/>
    <w:pPr>
      <w:numPr>
        <w:ilvl w:val="5"/>
        <w:numId w:val="124"/>
      </w:numPr>
    </w:pPr>
  </w:style>
  <w:style w:type="paragraph" w:customStyle="1" w:styleId="Point3letter">
    <w:name w:val="Point 3 (letter)"/>
    <w:basedOn w:val="Normal"/>
    <w:rsid w:val="00517205"/>
    <w:pPr>
      <w:numPr>
        <w:ilvl w:val="7"/>
        <w:numId w:val="124"/>
      </w:numPr>
    </w:pPr>
  </w:style>
  <w:style w:type="paragraph" w:customStyle="1" w:styleId="Point4letter">
    <w:name w:val="Point 4 (letter)"/>
    <w:basedOn w:val="Normal"/>
    <w:rsid w:val="00517205"/>
    <w:pPr>
      <w:numPr>
        <w:ilvl w:val="8"/>
        <w:numId w:val="124"/>
      </w:numPr>
    </w:pPr>
  </w:style>
  <w:style w:type="paragraph" w:customStyle="1" w:styleId="Bullet0">
    <w:name w:val="Bullet 0"/>
    <w:basedOn w:val="Normal"/>
    <w:rsid w:val="00517205"/>
    <w:pPr>
      <w:numPr>
        <w:numId w:val="125"/>
      </w:numPr>
    </w:pPr>
  </w:style>
  <w:style w:type="paragraph" w:customStyle="1" w:styleId="Bullet1">
    <w:name w:val="Bullet 1"/>
    <w:basedOn w:val="Normal"/>
    <w:rsid w:val="00517205"/>
    <w:pPr>
      <w:numPr>
        <w:numId w:val="126"/>
      </w:numPr>
    </w:pPr>
  </w:style>
  <w:style w:type="paragraph" w:customStyle="1" w:styleId="Bullet2">
    <w:name w:val="Bullet 2"/>
    <w:basedOn w:val="Normal"/>
    <w:rsid w:val="00517205"/>
    <w:pPr>
      <w:numPr>
        <w:numId w:val="127"/>
      </w:numPr>
    </w:pPr>
  </w:style>
  <w:style w:type="paragraph" w:customStyle="1" w:styleId="Bullet3">
    <w:name w:val="Bullet 3"/>
    <w:basedOn w:val="Normal"/>
    <w:rsid w:val="00517205"/>
    <w:pPr>
      <w:numPr>
        <w:numId w:val="128"/>
      </w:numPr>
    </w:pPr>
  </w:style>
  <w:style w:type="paragraph" w:customStyle="1" w:styleId="Bullet4">
    <w:name w:val="Bullet 4"/>
    <w:basedOn w:val="Normal"/>
    <w:rsid w:val="00517205"/>
    <w:pPr>
      <w:numPr>
        <w:numId w:val="12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13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73">
      <w:bodyDiv w:val="1"/>
      <w:marLeft w:val="0"/>
      <w:marRight w:val="0"/>
      <w:marTop w:val="0"/>
      <w:marBottom w:val="0"/>
      <w:divBdr>
        <w:top w:val="none" w:sz="0" w:space="0" w:color="auto"/>
        <w:left w:val="none" w:sz="0" w:space="0" w:color="auto"/>
        <w:bottom w:val="none" w:sz="0" w:space="0" w:color="auto"/>
        <w:right w:val="none" w:sz="0" w:space="0" w:color="auto"/>
      </w:divBdr>
    </w:div>
    <w:div w:id="195973475">
      <w:bodyDiv w:val="1"/>
      <w:marLeft w:val="0"/>
      <w:marRight w:val="0"/>
      <w:marTop w:val="0"/>
      <w:marBottom w:val="0"/>
      <w:divBdr>
        <w:top w:val="none" w:sz="0" w:space="0" w:color="auto"/>
        <w:left w:val="none" w:sz="0" w:space="0" w:color="auto"/>
        <w:bottom w:val="none" w:sz="0" w:space="0" w:color="auto"/>
        <w:right w:val="none" w:sz="0" w:space="0" w:color="auto"/>
      </w:divBdr>
    </w:div>
    <w:div w:id="274605487">
      <w:bodyDiv w:val="1"/>
      <w:marLeft w:val="0"/>
      <w:marRight w:val="0"/>
      <w:marTop w:val="0"/>
      <w:marBottom w:val="0"/>
      <w:divBdr>
        <w:top w:val="none" w:sz="0" w:space="0" w:color="auto"/>
        <w:left w:val="none" w:sz="0" w:space="0" w:color="auto"/>
        <w:bottom w:val="none" w:sz="0" w:space="0" w:color="auto"/>
        <w:right w:val="none" w:sz="0" w:space="0" w:color="auto"/>
      </w:divBdr>
    </w:div>
    <w:div w:id="767429562">
      <w:bodyDiv w:val="1"/>
      <w:marLeft w:val="0"/>
      <w:marRight w:val="0"/>
      <w:marTop w:val="0"/>
      <w:marBottom w:val="0"/>
      <w:divBdr>
        <w:top w:val="none" w:sz="0" w:space="0" w:color="auto"/>
        <w:left w:val="none" w:sz="0" w:space="0" w:color="auto"/>
        <w:bottom w:val="none" w:sz="0" w:space="0" w:color="auto"/>
        <w:right w:val="none" w:sz="0" w:space="0" w:color="auto"/>
      </w:divBdr>
    </w:div>
    <w:div w:id="1320574738">
      <w:bodyDiv w:val="1"/>
      <w:marLeft w:val="0"/>
      <w:marRight w:val="0"/>
      <w:marTop w:val="0"/>
      <w:marBottom w:val="0"/>
      <w:divBdr>
        <w:top w:val="none" w:sz="0" w:space="0" w:color="auto"/>
        <w:left w:val="none" w:sz="0" w:space="0" w:color="auto"/>
        <w:bottom w:val="none" w:sz="0" w:space="0" w:color="auto"/>
        <w:right w:val="none" w:sz="0" w:space="0" w:color="auto"/>
      </w:divBdr>
    </w:div>
    <w:div w:id="1409694299">
      <w:bodyDiv w:val="1"/>
      <w:marLeft w:val="0"/>
      <w:marRight w:val="0"/>
      <w:marTop w:val="0"/>
      <w:marBottom w:val="0"/>
      <w:divBdr>
        <w:top w:val="none" w:sz="0" w:space="0" w:color="auto"/>
        <w:left w:val="none" w:sz="0" w:space="0" w:color="auto"/>
        <w:bottom w:val="none" w:sz="0" w:space="0" w:color="auto"/>
        <w:right w:val="none" w:sz="0" w:space="0" w:color="auto"/>
      </w:divBdr>
    </w:div>
    <w:div w:id="1890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c.europa.eu/DocsRoom/documents/14897/attachments/1/translations/en/renditions/native"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ttp/ec.europa.eu/regional_policy/regions-and-cities/2016/doc/draft_programme_2016.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c.europa.eu/DocsRoom/documents/10565/attachments/1/translations/en/renditions/n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docsroom/documents/46632"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europa.eu/growth/content/study-economic-aspects-geographical-indication-protection-eu-level-non-agricultural-products_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c.europa.eu/growth/tools-databases/newsroom/cf/itemdetail.cfm?item_id=82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docsroom/documents/1489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FCD88D8AC3E4284A831D61C79B3DA" ma:contentTypeVersion="7" ma:contentTypeDescription="Create a new document." ma:contentTypeScope="" ma:versionID="cec148bdbaf8163153fbf370ecdf2fb5">
  <xsd:schema xmlns:xsd="http://www.w3.org/2001/XMLSchema" xmlns:xs="http://www.w3.org/2001/XMLSchema" xmlns:p="http://schemas.microsoft.com/office/2006/metadata/properties" xmlns:ns3="6791c3d4-0882-49ee-935b-c9f92c3c504f" xmlns:ns4="e9d85d44-6b8d-465f-92cf-cb8737a73290" targetNamespace="http://schemas.microsoft.com/office/2006/metadata/properties" ma:root="true" ma:fieldsID="d8ef74df5195f130287726f0a3362d0e" ns3:_="" ns4:_="">
    <xsd:import namespace="6791c3d4-0882-49ee-935b-c9f92c3c504f"/>
    <xsd:import namespace="e9d85d44-6b8d-465f-92cf-cb8737a732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c3d4-0882-49ee-935b-c9f92c3c5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85d44-6b8d-465f-92cf-cb8737a732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3499-ECCD-414B-AF2D-02EE5F97A989}">
  <ds:schemaRefs>
    <ds:schemaRef ds:uri="http://purl.org/dc/terms/"/>
    <ds:schemaRef ds:uri="6791c3d4-0882-49ee-935b-c9f92c3c504f"/>
    <ds:schemaRef ds:uri="http://schemas.microsoft.com/office/2006/documentManagement/types"/>
    <ds:schemaRef ds:uri="http://schemas.microsoft.com/office/infopath/2007/PartnerControls"/>
    <ds:schemaRef ds:uri="http://purl.org/dc/elements/1.1/"/>
    <ds:schemaRef ds:uri="e9d85d44-6b8d-465f-92cf-cb8737a73290"/>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C9F0DB-3C47-4632-8E29-320DBA77E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c3d4-0882-49ee-935b-c9f92c3c504f"/>
    <ds:schemaRef ds:uri="e9d85d44-6b8d-465f-92cf-cb8737a73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C42C1-F33F-412F-BA50-90AB49D71C73}">
  <ds:schemaRefs>
    <ds:schemaRef ds:uri="http://schemas.microsoft.com/sharepoint/v3/contenttype/forms"/>
  </ds:schemaRefs>
</ds:datastoreItem>
</file>

<file path=customXml/itemProps4.xml><?xml version="1.0" encoding="utf-8"?>
<ds:datastoreItem xmlns:ds="http://schemas.openxmlformats.org/officeDocument/2006/customXml" ds:itemID="{83ED8888-079D-4EC2-9AB1-E1BBCFA0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72</Pages>
  <Words>30565</Words>
  <Characters>168110</Characters>
  <Application>Microsoft Office Word</Application>
  <DocSecurity>0</DocSecurity>
  <Lines>2849</Lines>
  <Paragraphs>1013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VANROY Anne (SG)</cp:lastModifiedBy>
  <cp:revision>36</cp:revision>
  <dcterms:created xsi:type="dcterms:W3CDTF">2022-04-12T20:34:00Z</dcterms:created>
  <dcterms:modified xsi:type="dcterms:W3CDTF">2022-04-13T05:56:00Z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0x0101000BDFCD88D8AC3E4284A831D61C79B3DA</vt:lpwstr>
  </property>
  <property fmtid="{D5CDD505-2E9C-101B-9397-08002B2CF9AE}" pid="11" name="MSIP_Label_6bd9ddd1-4d20-43f6-abfa-fc3c07406f94_Enabled">
    <vt:lpwstr>true</vt:lpwstr>
  </property>
  <property fmtid="{D5CDD505-2E9C-101B-9397-08002B2CF9AE}" pid="12" name="MSIP_Label_6bd9ddd1-4d20-43f6-abfa-fc3c07406f94_SetDate">
    <vt:lpwstr>2022-02-16T16:33:55Z</vt:lpwstr>
  </property>
  <property fmtid="{D5CDD505-2E9C-101B-9397-08002B2CF9AE}" pid="13" name="MSIP_Label_6bd9ddd1-4d20-43f6-abfa-fc3c07406f94_Method">
    <vt:lpwstr>Privileged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145e357e-9298-4af6-a2b1-ebc6e643d6a9</vt:lpwstr>
  </property>
  <property fmtid="{D5CDD505-2E9C-101B-9397-08002B2CF9AE}" pid="17" name="MSIP_Label_6bd9ddd1-4d20-43f6-abfa-fc3c07406f94_ContentBits">
    <vt:lpwstr>0</vt:lpwstr>
  </property>
  <property fmtid="{D5CDD505-2E9C-101B-9397-08002B2CF9AE}" pid="18" name="DQCStatus">
    <vt:lpwstr>Yellow (DQC version 03)</vt:lpwstr>
  </property>
</Properties>
</file>