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27C44" w14:textId="1BD0409F" w:rsidR="004B330A" w:rsidRDefault="00BA3B5C" w:rsidP="00BA3B5C">
      <w:pPr>
        <w:pStyle w:val="Pagedecouverture"/>
        <w:rPr>
          <w:noProof/>
        </w:rPr>
      </w:pPr>
      <w:r>
        <w:rPr>
          <w:noProof/>
        </w:rPr>
        <w:pict w14:anchorId="2E29D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7AD342C-460B-4F50-90BC-BD2645B4E4FA" style="width:455.25pt;height:441pt">
            <v:imagedata r:id="rId8" o:title=""/>
          </v:shape>
        </w:pict>
      </w:r>
    </w:p>
    <w:p w14:paraId="063633D8" w14:textId="77777777" w:rsidR="004B330A" w:rsidRDefault="004B330A" w:rsidP="004B330A">
      <w:pPr>
        <w:rPr>
          <w:noProof/>
        </w:rPr>
        <w:sectPr w:rsidR="004B330A" w:rsidSect="00BA3B5C">
          <w:footerReference w:type="default" r:id="rId9"/>
          <w:pgSz w:w="11907" w:h="16839"/>
          <w:pgMar w:top="1134" w:right="1417" w:bottom="1134" w:left="1417" w:header="709" w:footer="709" w:gutter="0"/>
          <w:pgNumType w:start="0"/>
          <w:cols w:space="720"/>
          <w:docGrid w:linePitch="360"/>
        </w:sectPr>
      </w:pPr>
    </w:p>
    <w:p w14:paraId="686F9199" w14:textId="77777777" w:rsidR="004B330A" w:rsidRDefault="004B330A" w:rsidP="00BB6B30">
      <w:pPr>
        <w:pStyle w:val="Exposdesmotifstitre"/>
        <w:rPr>
          <w:noProof/>
        </w:rPr>
      </w:pPr>
      <w:bookmarkStart w:id="0" w:name="_GoBack"/>
      <w:bookmarkEnd w:id="0"/>
      <w:r w:rsidRPr="006F770D">
        <w:rPr>
          <w:noProof/>
        </w:rPr>
        <w:lastRenderedPageBreak/>
        <w:t>EXPLANATORY MEMORANDUM</w:t>
      </w:r>
    </w:p>
    <w:p w14:paraId="1B319A43" w14:textId="19B5AABF" w:rsidR="004B330A" w:rsidRPr="00E34F04" w:rsidRDefault="001A7D38" w:rsidP="001A7D38">
      <w:pPr>
        <w:pStyle w:val="ManualHeading1"/>
        <w:rPr>
          <w:noProof/>
        </w:rPr>
      </w:pPr>
      <w:r w:rsidRPr="001A7D38">
        <w:t>1.</w:t>
      </w:r>
      <w:r w:rsidRPr="001A7D38">
        <w:tab/>
      </w:r>
      <w:r w:rsidR="004B330A" w:rsidRPr="00E34F04">
        <w:rPr>
          <w:noProof/>
        </w:rPr>
        <w:t>Subject matter of the proposal</w:t>
      </w:r>
    </w:p>
    <w:p w14:paraId="58F7C398" w14:textId="4D2C37D0" w:rsidR="004B330A" w:rsidRPr="003D015C" w:rsidRDefault="004B330A" w:rsidP="00736AA9">
      <w:pPr>
        <w:rPr>
          <w:rFonts w:eastAsia="Arial Unicode MS"/>
          <w:noProof/>
        </w:rPr>
      </w:pPr>
      <w:r w:rsidRPr="00E34F04">
        <w:rPr>
          <w:rFonts w:eastAsia="Arial Unicode MS"/>
          <w:noProof/>
        </w:rPr>
        <w:t xml:space="preserve">This proposal concerns the decision establishing the position to be </w:t>
      </w:r>
      <w:r w:rsidR="00814A82">
        <w:rPr>
          <w:rFonts w:eastAsia="Arial Unicode MS"/>
          <w:noProof/>
        </w:rPr>
        <w:t xml:space="preserve">adopted </w:t>
      </w:r>
      <w:r w:rsidRPr="00E34F04">
        <w:rPr>
          <w:rFonts w:eastAsia="Arial Unicode MS"/>
          <w:noProof/>
        </w:rPr>
        <w:t xml:space="preserve">on the Union's behalf in the </w:t>
      </w:r>
      <w:r w:rsidR="00814A82">
        <w:rPr>
          <w:rFonts w:eastAsia="Arial Unicode MS"/>
          <w:noProof/>
        </w:rPr>
        <w:t>EEA Joint Committee</w:t>
      </w:r>
      <w:r w:rsidRPr="00E34F04">
        <w:rPr>
          <w:rFonts w:eastAsia="Arial Unicode MS"/>
          <w:noProof/>
        </w:rPr>
        <w:t xml:space="preserve"> in connection with the envisaged adoption of </w:t>
      </w:r>
      <w:r w:rsidR="001A66C8">
        <w:rPr>
          <w:rFonts w:eastAsia="Arial Unicode MS"/>
          <w:noProof/>
        </w:rPr>
        <w:t xml:space="preserve">the </w:t>
      </w:r>
      <w:r w:rsidR="00814A82">
        <w:rPr>
          <w:rFonts w:eastAsia="Arial Unicode MS"/>
          <w:noProof/>
        </w:rPr>
        <w:t xml:space="preserve">Joint Committee Decision concerning an </w:t>
      </w:r>
      <w:r w:rsidR="00814A82" w:rsidRPr="003D015C">
        <w:rPr>
          <w:rFonts w:eastAsia="Arial Unicode MS"/>
          <w:noProof/>
        </w:rPr>
        <w:t xml:space="preserve">amendment of Annex </w:t>
      </w:r>
      <w:r w:rsidR="003D015C" w:rsidRPr="003D015C">
        <w:rPr>
          <w:noProof/>
        </w:rPr>
        <w:t>I</w:t>
      </w:r>
      <w:r w:rsidR="00DC022E">
        <w:rPr>
          <w:noProof/>
        </w:rPr>
        <w:t xml:space="preserve"> </w:t>
      </w:r>
      <w:r w:rsidR="003D015C" w:rsidRPr="003D015C">
        <w:rPr>
          <w:noProof/>
        </w:rPr>
        <w:t>(</w:t>
      </w:r>
      <w:r w:rsidR="00DC022E">
        <w:rPr>
          <w:noProof/>
        </w:rPr>
        <w:t>Veterinary and phytosanitary matters)</w:t>
      </w:r>
      <w:r w:rsidR="003D015C" w:rsidRPr="003D015C">
        <w:rPr>
          <w:noProof/>
        </w:rPr>
        <w:t xml:space="preserve"> to the EEA Agreement</w:t>
      </w:r>
    </w:p>
    <w:p w14:paraId="34179475" w14:textId="4B12578D" w:rsidR="004B330A" w:rsidRPr="00E34F04" w:rsidRDefault="001A7D38" w:rsidP="001A7D38">
      <w:pPr>
        <w:pStyle w:val="ManualHeading1"/>
        <w:rPr>
          <w:noProof/>
        </w:rPr>
      </w:pPr>
      <w:r w:rsidRPr="001A7D38">
        <w:t>2.</w:t>
      </w:r>
      <w:r w:rsidRPr="001A7D38">
        <w:tab/>
      </w:r>
      <w:r w:rsidR="004B330A" w:rsidRPr="00E34F04">
        <w:rPr>
          <w:noProof/>
        </w:rPr>
        <w:t>Context of the proposal</w:t>
      </w:r>
    </w:p>
    <w:p w14:paraId="07A7181C" w14:textId="70A6D3A5" w:rsidR="004B330A" w:rsidRPr="00E34F04" w:rsidRDefault="001A7D38" w:rsidP="001A7D38">
      <w:pPr>
        <w:pStyle w:val="ManualHeading2"/>
        <w:rPr>
          <w:noProof/>
        </w:rPr>
      </w:pPr>
      <w:r w:rsidRPr="001A7D38">
        <w:t>2.1.</w:t>
      </w:r>
      <w:r w:rsidRPr="001A7D38">
        <w:tab/>
      </w:r>
      <w:r w:rsidR="004B330A" w:rsidRPr="00E34F04">
        <w:rPr>
          <w:noProof/>
        </w:rPr>
        <w:t xml:space="preserve">The </w:t>
      </w:r>
      <w:r w:rsidR="00814A82">
        <w:rPr>
          <w:noProof/>
        </w:rPr>
        <w:t>EEA Agreement</w:t>
      </w:r>
    </w:p>
    <w:p w14:paraId="3054A837" w14:textId="4615D9C2" w:rsidR="004B330A" w:rsidRPr="00E34F04" w:rsidRDefault="004B330A" w:rsidP="002F6BA5">
      <w:pPr>
        <w:rPr>
          <w:rFonts w:eastAsia="Arial Unicode MS"/>
          <w:noProof/>
        </w:rPr>
      </w:pPr>
      <w:r w:rsidRPr="00E34F04">
        <w:rPr>
          <w:rFonts w:eastAsia="Arial Unicode MS"/>
          <w:noProof/>
        </w:rPr>
        <w:t xml:space="preserve">The </w:t>
      </w:r>
      <w:r w:rsidR="00E529FA">
        <w:rPr>
          <w:noProof/>
        </w:rPr>
        <w:t>Agreement on the European Economic Area</w:t>
      </w:r>
      <w:r w:rsidR="00E529FA" w:rsidRPr="00E529FA">
        <w:rPr>
          <w:noProof/>
        </w:rPr>
        <w:t xml:space="preserve"> </w:t>
      </w:r>
      <w:r w:rsidRPr="00E529FA">
        <w:rPr>
          <w:noProof/>
        </w:rPr>
        <w:t xml:space="preserve">(‘the </w:t>
      </w:r>
      <w:r w:rsidR="00814A82" w:rsidRPr="00E529FA">
        <w:rPr>
          <w:noProof/>
        </w:rPr>
        <w:t xml:space="preserve">EEA </w:t>
      </w:r>
      <w:r w:rsidRPr="00E529FA">
        <w:rPr>
          <w:noProof/>
        </w:rPr>
        <w:t xml:space="preserve">Agreement’) </w:t>
      </w:r>
      <w:r w:rsidR="00E529FA" w:rsidRPr="00E529FA">
        <w:rPr>
          <w:noProof/>
        </w:rPr>
        <w:t>guarantees equal rights and obligations within the Internal Market for citizens and economic operators in the EEA.</w:t>
      </w:r>
      <w:r w:rsidR="00E529FA">
        <w:rPr>
          <w:noProof/>
        </w:rPr>
        <w:t xml:space="preserve"> It</w:t>
      </w:r>
      <w:r w:rsidR="00E529FA" w:rsidRPr="00E529FA">
        <w:rPr>
          <w:noProof/>
        </w:rPr>
        <w:t> provides for the inclusion of EU legislation covering the four freedoms throughout the 30 EEA States</w:t>
      </w:r>
      <w:r w:rsidR="00E529FA">
        <w:rPr>
          <w:noProof/>
        </w:rPr>
        <w:t xml:space="preserve"> comprising of EU Member </w:t>
      </w:r>
      <w:r w:rsidR="00C71404">
        <w:rPr>
          <w:noProof/>
        </w:rPr>
        <w:t>States, Norway, Iceland and Liechtenstein</w:t>
      </w:r>
      <w:r w:rsidR="00E529FA" w:rsidRPr="00E529FA">
        <w:rPr>
          <w:noProof/>
        </w:rPr>
        <w:t xml:space="preserve">. In addition, the </w:t>
      </w:r>
      <w:r w:rsidR="00C71404">
        <w:rPr>
          <w:noProof/>
        </w:rPr>
        <w:t xml:space="preserve">EEA </w:t>
      </w:r>
      <w:r w:rsidR="00E529FA" w:rsidRPr="00E529FA">
        <w:rPr>
          <w:noProof/>
        </w:rPr>
        <w:t>Agreement covers cooperation in other important areas such as research and development, education, social policy, the environment, consumer protection, tourism and culture, collectively known as “flanking and horizontal” policies.</w:t>
      </w:r>
      <w:r w:rsidR="00C71404">
        <w:rPr>
          <w:noProof/>
        </w:rPr>
        <w:t xml:space="preserve"> </w:t>
      </w:r>
      <w:r w:rsidRPr="00E34F04">
        <w:rPr>
          <w:rFonts w:eastAsia="Arial Unicode MS"/>
          <w:noProof/>
        </w:rPr>
        <w:t xml:space="preserve">The Agreement entered into force on </w:t>
      </w:r>
      <w:r w:rsidR="00E529FA">
        <w:rPr>
          <w:rFonts w:eastAsia="Arial Unicode MS"/>
          <w:noProof/>
        </w:rPr>
        <w:t>1 January 1994</w:t>
      </w:r>
      <w:r w:rsidRPr="00E34F04">
        <w:rPr>
          <w:rFonts w:eastAsia="Arial Unicode MS"/>
          <w:noProof/>
        </w:rPr>
        <w:t>.</w:t>
      </w:r>
      <w:r w:rsidR="00C71404">
        <w:rPr>
          <w:rFonts w:eastAsia="Arial Unicode MS"/>
          <w:noProof/>
        </w:rPr>
        <w:t xml:space="preserve"> </w:t>
      </w:r>
      <w:r w:rsidRPr="00E34F04">
        <w:rPr>
          <w:rFonts w:eastAsia="Arial Unicode MS"/>
          <w:noProof/>
        </w:rPr>
        <w:t xml:space="preserve">The European Union </w:t>
      </w:r>
      <w:r w:rsidR="00C71404">
        <w:rPr>
          <w:rFonts w:eastAsia="Arial Unicode MS"/>
          <w:noProof/>
        </w:rPr>
        <w:t xml:space="preserve">together with its Member States </w:t>
      </w:r>
      <w:r w:rsidRPr="00E34F04">
        <w:rPr>
          <w:rFonts w:eastAsia="Arial Unicode MS"/>
          <w:noProof/>
        </w:rPr>
        <w:t>is a party to the Agreement</w:t>
      </w:r>
      <w:r w:rsidR="00C71404">
        <w:rPr>
          <w:rFonts w:eastAsia="Arial Unicode MS"/>
          <w:noProof/>
        </w:rPr>
        <w:t>.</w:t>
      </w:r>
    </w:p>
    <w:p w14:paraId="3AC608BE" w14:textId="68D5E45E" w:rsidR="004B330A" w:rsidRPr="00E34F04" w:rsidRDefault="001A7D38" w:rsidP="001A7D38">
      <w:pPr>
        <w:pStyle w:val="ManualHeading2"/>
        <w:rPr>
          <w:noProof/>
        </w:rPr>
      </w:pPr>
      <w:r w:rsidRPr="001A7D38">
        <w:t>2.2.</w:t>
      </w:r>
      <w:r w:rsidRPr="001A7D38">
        <w:tab/>
      </w:r>
      <w:r w:rsidR="004B330A" w:rsidRPr="00E34F04">
        <w:rPr>
          <w:noProof/>
        </w:rPr>
        <w:t xml:space="preserve">The </w:t>
      </w:r>
      <w:r w:rsidR="00C71404">
        <w:rPr>
          <w:noProof/>
        </w:rPr>
        <w:t>EEA Joint Committee</w:t>
      </w:r>
    </w:p>
    <w:p w14:paraId="5A4A34CB" w14:textId="5117071A" w:rsidR="0076413F" w:rsidRDefault="004B330A" w:rsidP="002F6BA5">
      <w:pPr>
        <w:rPr>
          <w:noProof/>
        </w:rPr>
      </w:pPr>
      <w:r w:rsidRPr="00E34F04">
        <w:rPr>
          <w:rFonts w:eastAsia="Arial Unicode MS"/>
          <w:noProof/>
        </w:rPr>
        <w:t>The</w:t>
      </w:r>
      <w:r w:rsidR="0076413F">
        <w:rPr>
          <w:rFonts w:eastAsia="Arial Unicode MS"/>
          <w:noProof/>
        </w:rPr>
        <w:t xml:space="preserve"> </w:t>
      </w:r>
      <w:r w:rsidR="0076413F">
        <w:rPr>
          <w:noProof/>
        </w:rPr>
        <w:t>EEA Joint Committee is responsible for the management of the EEA Agreement. It is a forum for exchanging views linked to functioning of the EEA Agreement. Its decisions are</w:t>
      </w:r>
      <w:r w:rsidR="00593B06">
        <w:rPr>
          <w:noProof/>
        </w:rPr>
        <w:t xml:space="preserve"> </w:t>
      </w:r>
      <w:r w:rsidR="0076413F">
        <w:rPr>
          <w:noProof/>
        </w:rPr>
        <w:t>taken by consensus</w:t>
      </w:r>
      <w:r w:rsidR="00951859">
        <w:rPr>
          <w:noProof/>
        </w:rPr>
        <w:t xml:space="preserve"> and are binding on the Parties</w:t>
      </w:r>
      <w:r w:rsidR="0076413F">
        <w:rPr>
          <w:noProof/>
        </w:rPr>
        <w:t xml:space="preserve">. </w:t>
      </w:r>
      <w:r w:rsidR="00922573">
        <w:rPr>
          <w:rFonts w:eastAsia="Arial Unicode MS"/>
          <w:noProof/>
        </w:rPr>
        <w:t>T</w:t>
      </w:r>
      <w:r w:rsidR="008E2773">
        <w:rPr>
          <w:rFonts w:eastAsia="Arial Unicode MS"/>
          <w:noProof/>
        </w:rPr>
        <w:t xml:space="preserve">he </w:t>
      </w:r>
      <w:r w:rsidR="0076413F">
        <w:rPr>
          <w:noProof/>
        </w:rPr>
        <w:t xml:space="preserve">responsibility for coordinating EEA matters on the EU side is with the </w:t>
      </w:r>
      <w:r w:rsidR="008B5A83">
        <w:rPr>
          <w:noProof/>
        </w:rPr>
        <w:t>Secretariat General of the European Commission</w:t>
      </w:r>
      <w:r w:rsidR="0076413F">
        <w:rPr>
          <w:noProof/>
        </w:rPr>
        <w:t>. </w:t>
      </w:r>
    </w:p>
    <w:p w14:paraId="6BD82C6E" w14:textId="333DE70E" w:rsidR="004B330A" w:rsidRPr="00E34F04" w:rsidRDefault="001A7D38" w:rsidP="001A7D38">
      <w:pPr>
        <w:pStyle w:val="ManualHeading2"/>
        <w:rPr>
          <w:noProof/>
        </w:rPr>
      </w:pPr>
      <w:r w:rsidRPr="001A7D38">
        <w:t>2.3.</w:t>
      </w:r>
      <w:r w:rsidRPr="001A7D38">
        <w:tab/>
      </w:r>
      <w:r w:rsidR="004B330A" w:rsidRPr="00E34F04">
        <w:rPr>
          <w:noProof/>
        </w:rPr>
        <w:t>The envisaged act of the</w:t>
      </w:r>
      <w:r w:rsidR="00593B06">
        <w:rPr>
          <w:noProof/>
        </w:rPr>
        <w:t xml:space="preserve"> EEA Joint Committee</w:t>
      </w:r>
    </w:p>
    <w:p w14:paraId="5F2D6C40" w14:textId="66269F34" w:rsidR="004B330A" w:rsidRPr="00E34F04" w:rsidRDefault="00593B06" w:rsidP="00736AA9">
      <w:pPr>
        <w:rPr>
          <w:rFonts w:eastAsia="Arial Unicode MS"/>
          <w:noProof/>
        </w:rPr>
      </w:pPr>
      <w:r>
        <w:rPr>
          <w:rFonts w:eastAsia="Arial Unicode MS"/>
          <w:noProof/>
        </w:rPr>
        <w:t xml:space="preserve">The EEA Joint Committee </w:t>
      </w:r>
      <w:r w:rsidR="004B330A" w:rsidRPr="00E34F04">
        <w:rPr>
          <w:rFonts w:eastAsia="Arial Unicode MS"/>
          <w:noProof/>
        </w:rPr>
        <w:t xml:space="preserve">is </w:t>
      </w:r>
      <w:r>
        <w:rPr>
          <w:rFonts w:eastAsia="Arial Unicode MS"/>
          <w:noProof/>
        </w:rPr>
        <w:t xml:space="preserve">expected </w:t>
      </w:r>
      <w:r w:rsidR="00E52D3F">
        <w:rPr>
          <w:rFonts w:eastAsia="Arial Unicode MS"/>
          <w:noProof/>
        </w:rPr>
        <w:t xml:space="preserve">to adopt </w:t>
      </w:r>
      <w:r w:rsidR="00A94F6E">
        <w:rPr>
          <w:rFonts w:eastAsia="Arial Unicode MS"/>
          <w:noProof/>
        </w:rPr>
        <w:t xml:space="preserve">the </w:t>
      </w:r>
      <w:r w:rsidR="00E52D3F">
        <w:rPr>
          <w:rFonts w:eastAsia="Arial Unicode MS"/>
          <w:noProof/>
        </w:rPr>
        <w:t xml:space="preserve">EEA Joint Committee Decision </w:t>
      </w:r>
      <w:r w:rsidR="00AD4093" w:rsidRPr="00E34F04">
        <w:rPr>
          <w:rFonts w:eastAsia="Arial Unicode MS"/>
          <w:noProof/>
        </w:rPr>
        <w:t>(‘the envisaged act’)</w:t>
      </w:r>
      <w:r w:rsidR="00AD4093">
        <w:rPr>
          <w:rFonts w:eastAsia="Arial Unicode MS"/>
          <w:noProof/>
        </w:rPr>
        <w:t xml:space="preserve"> </w:t>
      </w:r>
      <w:r w:rsidR="004B330A" w:rsidRPr="00E34F04">
        <w:rPr>
          <w:rFonts w:eastAsia="Arial Unicode MS"/>
          <w:noProof/>
        </w:rPr>
        <w:t>regarding</w:t>
      </w:r>
      <w:r w:rsidR="00E52D3F">
        <w:rPr>
          <w:rFonts w:eastAsia="Arial Unicode MS"/>
          <w:noProof/>
        </w:rPr>
        <w:t xml:space="preserve"> </w:t>
      </w:r>
      <w:r w:rsidR="006E4E52">
        <w:rPr>
          <w:rFonts w:eastAsia="Arial Unicode MS"/>
          <w:noProof/>
        </w:rPr>
        <w:t xml:space="preserve">the </w:t>
      </w:r>
      <w:r w:rsidR="00E52D3F">
        <w:rPr>
          <w:rFonts w:eastAsia="Arial Unicode MS"/>
          <w:noProof/>
        </w:rPr>
        <w:t xml:space="preserve">amendment of </w:t>
      </w:r>
      <w:r w:rsidR="00DC022E" w:rsidRPr="003D015C">
        <w:rPr>
          <w:rFonts w:eastAsia="Arial Unicode MS"/>
          <w:noProof/>
        </w:rPr>
        <w:t xml:space="preserve">Annex </w:t>
      </w:r>
      <w:r w:rsidR="00DC022E" w:rsidRPr="003D015C">
        <w:rPr>
          <w:noProof/>
        </w:rPr>
        <w:t>I</w:t>
      </w:r>
      <w:r w:rsidR="00DC022E">
        <w:rPr>
          <w:noProof/>
        </w:rPr>
        <w:t xml:space="preserve"> </w:t>
      </w:r>
      <w:r w:rsidR="00DC022E" w:rsidRPr="003D015C">
        <w:rPr>
          <w:noProof/>
        </w:rPr>
        <w:t>(</w:t>
      </w:r>
      <w:r w:rsidR="00DC022E">
        <w:rPr>
          <w:noProof/>
        </w:rPr>
        <w:t xml:space="preserve">Veterinary and phytosanitary matters) </w:t>
      </w:r>
      <w:r w:rsidR="00E52D3F">
        <w:rPr>
          <w:rFonts w:eastAsia="Arial Unicode MS"/>
          <w:noProof/>
        </w:rPr>
        <w:t>to the EEA Agreement</w:t>
      </w:r>
      <w:r w:rsidR="004B330A" w:rsidRPr="00E34F04">
        <w:rPr>
          <w:rFonts w:eastAsia="Arial Unicode MS"/>
          <w:noProof/>
        </w:rPr>
        <w:t>.</w:t>
      </w:r>
    </w:p>
    <w:p w14:paraId="6C9EA97D" w14:textId="6504015A" w:rsidR="00AD4093" w:rsidRDefault="004B330A" w:rsidP="00AD4093">
      <w:pPr>
        <w:rPr>
          <w:noProof/>
        </w:rPr>
      </w:pPr>
      <w:r w:rsidRPr="00E34F04">
        <w:rPr>
          <w:rFonts w:eastAsia="Arial Unicode MS"/>
          <w:noProof/>
        </w:rPr>
        <w:t>The purpose of the envisaged act is to</w:t>
      </w:r>
      <w:r w:rsidRPr="00E52D3F">
        <w:rPr>
          <w:noProof/>
        </w:rPr>
        <w:t xml:space="preserve"> </w:t>
      </w:r>
      <w:r w:rsidR="00DE65F0">
        <w:rPr>
          <w:noProof/>
        </w:rPr>
        <w:t xml:space="preserve">incorporate </w:t>
      </w:r>
      <w:r w:rsidR="00DC022E" w:rsidRPr="00FC05F2">
        <w:rPr>
          <w:noProof/>
          <w:color w:val="000000" w:themeColor="text1"/>
          <w:szCs w:val="24"/>
          <w:lang w:val="en"/>
        </w:rPr>
        <w:t>Commission Implementing Decision (EU) 2019/300 establishing a general plan for crisis management in the field of the safety of food and feed</w:t>
      </w:r>
      <w:r w:rsidR="00DC022E" w:rsidRPr="00294AB7">
        <w:rPr>
          <w:rStyle w:val="FootnoteReference"/>
          <w:noProof/>
          <w:color w:val="000000" w:themeColor="text1"/>
          <w:szCs w:val="24"/>
        </w:rPr>
        <w:footnoteReference w:id="1"/>
      </w:r>
      <w:r w:rsidR="008E2773">
        <w:rPr>
          <w:noProof/>
          <w:szCs w:val="24"/>
        </w:rPr>
        <w:t xml:space="preserve"> into the EEA Agreement.</w:t>
      </w:r>
    </w:p>
    <w:p w14:paraId="1DD9233D" w14:textId="77777777" w:rsidR="004B330A" w:rsidRPr="00E34F04" w:rsidRDefault="004B330A" w:rsidP="00736AA9">
      <w:pPr>
        <w:rPr>
          <w:rFonts w:eastAsia="Arial Unicode MS"/>
          <w:noProof/>
        </w:rPr>
      </w:pPr>
      <w:r w:rsidRPr="00E34F04">
        <w:rPr>
          <w:rFonts w:eastAsia="Arial Unicode MS"/>
          <w:noProof/>
        </w:rPr>
        <w:t>The envisaged act will become binding on the parties in accordance with Article</w:t>
      </w:r>
      <w:r w:rsidR="00D31763">
        <w:rPr>
          <w:rFonts w:eastAsia="Arial Unicode MS"/>
          <w:noProof/>
        </w:rPr>
        <w:t>s</w:t>
      </w:r>
      <w:r w:rsidRPr="00E34F04">
        <w:rPr>
          <w:rFonts w:eastAsia="Arial Unicode MS"/>
          <w:noProof/>
        </w:rPr>
        <w:t xml:space="preserve"> </w:t>
      </w:r>
      <w:r w:rsidR="00D31763">
        <w:rPr>
          <w:rFonts w:eastAsia="Arial Unicode MS"/>
          <w:noProof/>
        </w:rPr>
        <w:t xml:space="preserve">103 and 104 </w:t>
      </w:r>
      <w:r w:rsidRPr="00E34F04">
        <w:rPr>
          <w:rFonts w:eastAsia="Arial Unicode MS"/>
          <w:noProof/>
        </w:rPr>
        <w:t xml:space="preserve">of the </w:t>
      </w:r>
      <w:r w:rsidR="00D31763">
        <w:rPr>
          <w:rFonts w:eastAsia="Arial Unicode MS"/>
          <w:noProof/>
        </w:rPr>
        <w:t xml:space="preserve">EEA </w:t>
      </w:r>
      <w:r w:rsidR="008E6C55">
        <w:rPr>
          <w:rFonts w:eastAsia="Arial Unicode MS"/>
          <w:noProof/>
        </w:rPr>
        <w:t>Agreement</w:t>
      </w:r>
      <w:r w:rsidRPr="00E34F04">
        <w:rPr>
          <w:rFonts w:eastAsia="Arial Unicode MS"/>
          <w:noProof/>
        </w:rPr>
        <w:t xml:space="preserve">. </w:t>
      </w:r>
    </w:p>
    <w:p w14:paraId="2E299455" w14:textId="3AA3A6AC" w:rsidR="004B330A" w:rsidRPr="00E34F04" w:rsidRDefault="001A7D38" w:rsidP="001A7D38">
      <w:pPr>
        <w:pStyle w:val="ManualHeading1"/>
        <w:rPr>
          <w:noProof/>
        </w:rPr>
      </w:pPr>
      <w:r w:rsidRPr="001A7D38">
        <w:t>3.</w:t>
      </w:r>
      <w:r w:rsidRPr="001A7D38">
        <w:tab/>
      </w:r>
      <w:r w:rsidR="004B330A" w:rsidRPr="00E34F04">
        <w:rPr>
          <w:noProof/>
        </w:rPr>
        <w:t>Position to be taken on the Union's behalf</w:t>
      </w:r>
    </w:p>
    <w:p w14:paraId="05460486" w14:textId="01AD1119" w:rsidR="00D66459" w:rsidRPr="004876DB" w:rsidRDefault="00D17277" w:rsidP="00D17277">
      <w:pPr>
        <w:rPr>
          <w:noProof/>
        </w:rPr>
      </w:pPr>
      <w:r w:rsidRPr="004876DB">
        <w:rPr>
          <w:noProof/>
        </w:rPr>
        <w:t xml:space="preserve">The </w:t>
      </w:r>
      <w:r>
        <w:rPr>
          <w:noProof/>
        </w:rPr>
        <w:t>Commission</w:t>
      </w:r>
      <w:r w:rsidRPr="004876DB">
        <w:rPr>
          <w:noProof/>
        </w:rPr>
        <w:t xml:space="preserve"> submit</w:t>
      </w:r>
      <w:r>
        <w:rPr>
          <w:noProof/>
        </w:rPr>
        <w:t>s</w:t>
      </w:r>
      <w:r w:rsidRPr="004876DB">
        <w:rPr>
          <w:noProof/>
        </w:rPr>
        <w:t xml:space="preserve"> the draft Decision of the EEA Joint Committee for adoption by the Council as the Union’s position. The </w:t>
      </w:r>
      <w:r>
        <w:rPr>
          <w:noProof/>
        </w:rPr>
        <w:t>position, once adopted, should be</w:t>
      </w:r>
      <w:r w:rsidRPr="004876DB">
        <w:rPr>
          <w:noProof/>
        </w:rPr>
        <w:t xml:space="preserve"> present</w:t>
      </w:r>
      <w:r>
        <w:rPr>
          <w:noProof/>
        </w:rPr>
        <w:t>ed</w:t>
      </w:r>
      <w:r w:rsidRPr="004876DB">
        <w:rPr>
          <w:noProof/>
        </w:rPr>
        <w:t xml:space="preserve"> in the EEA Joint Committee at the earliest possible opportunity.</w:t>
      </w:r>
    </w:p>
    <w:p w14:paraId="1A48518C" w14:textId="5FE31D93" w:rsidR="004B330A" w:rsidRDefault="00D17277" w:rsidP="002F6BA5">
      <w:pPr>
        <w:rPr>
          <w:noProof/>
        </w:rPr>
      </w:pPr>
      <w:r>
        <w:rPr>
          <w:rFonts w:eastAsia="Arial Unicode MS"/>
          <w:noProof/>
        </w:rPr>
        <w:t xml:space="preserve">The </w:t>
      </w:r>
      <w:r w:rsidRPr="004876DB">
        <w:rPr>
          <w:rFonts w:eastAsia="Arial Unicode MS"/>
          <w:noProof/>
        </w:rPr>
        <w:t>annexed Decision of the EEA Joint Committee</w:t>
      </w:r>
      <w:r>
        <w:rPr>
          <w:rFonts w:eastAsia="Arial Unicode MS"/>
          <w:noProof/>
        </w:rPr>
        <w:t xml:space="preserve"> introduces </w:t>
      </w:r>
      <w:r>
        <w:rPr>
          <w:noProof/>
        </w:rPr>
        <w:t xml:space="preserve">participation rights for the EEA EFTA States in the work of a Union governing body, which goes beyond </w:t>
      </w:r>
      <w:r w:rsidR="008E6C55" w:rsidRPr="004876DB">
        <w:rPr>
          <w:noProof/>
        </w:rPr>
        <w:t>what can be considered mere technical adaptations in the sense of the Council Regulation No 2894/94.</w:t>
      </w:r>
      <w:r w:rsidR="006E4E52" w:rsidRPr="004876DB">
        <w:rPr>
          <w:noProof/>
        </w:rPr>
        <w:t xml:space="preserve"> </w:t>
      </w:r>
      <w:r w:rsidR="008E6C55" w:rsidRPr="004876DB">
        <w:rPr>
          <w:noProof/>
        </w:rPr>
        <w:t>The Union position shall therefore be established by the Council.</w:t>
      </w:r>
    </w:p>
    <w:p w14:paraId="2B8A43C0" w14:textId="46DD80D1" w:rsidR="004B330A" w:rsidRPr="00E34F04" w:rsidRDefault="001A7D38" w:rsidP="001A7D38">
      <w:pPr>
        <w:pStyle w:val="ManualHeading1"/>
        <w:rPr>
          <w:noProof/>
        </w:rPr>
      </w:pPr>
      <w:r w:rsidRPr="001A7D38">
        <w:t>4.</w:t>
      </w:r>
      <w:r w:rsidRPr="001A7D38">
        <w:tab/>
      </w:r>
      <w:r w:rsidR="004B330A" w:rsidRPr="00E34F04">
        <w:rPr>
          <w:noProof/>
        </w:rPr>
        <w:t>Legal basis</w:t>
      </w:r>
    </w:p>
    <w:p w14:paraId="7255ED4C" w14:textId="00473589" w:rsidR="004B330A" w:rsidRPr="00E34F04" w:rsidRDefault="001A7D38" w:rsidP="001A7D38">
      <w:pPr>
        <w:pStyle w:val="ManualHeading2"/>
        <w:rPr>
          <w:noProof/>
        </w:rPr>
      </w:pPr>
      <w:r w:rsidRPr="001A7D38">
        <w:t>4.1.</w:t>
      </w:r>
      <w:r w:rsidRPr="001A7D38">
        <w:tab/>
      </w:r>
      <w:r w:rsidR="004B330A" w:rsidRPr="00E34F04">
        <w:rPr>
          <w:noProof/>
        </w:rPr>
        <w:t>Procedural legal basis</w:t>
      </w:r>
    </w:p>
    <w:p w14:paraId="657D6090" w14:textId="156C8C18" w:rsidR="004B330A" w:rsidRPr="00E34F04" w:rsidRDefault="001A7D38" w:rsidP="001A7D38">
      <w:pPr>
        <w:pStyle w:val="ManualHeading3"/>
        <w:rPr>
          <w:noProof/>
        </w:rPr>
      </w:pPr>
      <w:r w:rsidRPr="001A7D38">
        <w:t>4.1.1.</w:t>
      </w:r>
      <w:r w:rsidRPr="001A7D38">
        <w:tab/>
      </w:r>
      <w:r w:rsidR="004B330A" w:rsidRPr="00E34F04">
        <w:rPr>
          <w:noProof/>
        </w:rPr>
        <w:t>Principles</w:t>
      </w:r>
    </w:p>
    <w:p w14:paraId="15EE5A25" w14:textId="77777777" w:rsidR="004B330A" w:rsidRPr="00E34F04" w:rsidRDefault="004B330A" w:rsidP="00736AA9">
      <w:pPr>
        <w:rPr>
          <w:noProof/>
        </w:rPr>
      </w:pPr>
      <w:r w:rsidRPr="00E34F04">
        <w:rPr>
          <w:noProof/>
        </w:rPr>
        <w:t>Article 218(9) of the Treaty on the Functioning of the European Union (TFEU) provides for decisions establishing ‘</w:t>
      </w:r>
      <w:r w:rsidRPr="00E34F04">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sidRPr="00E34F04">
        <w:rPr>
          <w:noProof/>
        </w:rPr>
        <w:t>.’</w:t>
      </w:r>
    </w:p>
    <w:p w14:paraId="7404EB25" w14:textId="77777777" w:rsidR="004B330A" w:rsidRPr="00E34F04" w:rsidRDefault="004B330A" w:rsidP="00736AA9">
      <w:pPr>
        <w:rPr>
          <w:noProof/>
        </w:rPr>
      </w:pPr>
      <w:r w:rsidRPr="00E34F04">
        <w:rPr>
          <w:noProof/>
        </w:rPr>
        <w:t>The concept of ‘</w:t>
      </w:r>
      <w:r w:rsidRPr="00E34F04">
        <w:rPr>
          <w:i/>
          <w:noProof/>
        </w:rPr>
        <w:t>acts having legal effects</w:t>
      </w:r>
      <w:r w:rsidRPr="00E34F04">
        <w:rPr>
          <w:noProof/>
        </w:rPr>
        <w:t>’ includes acts that have legal effects by virtue of the rules of international law governing the body in question. It also includes instruments that do not have a binding effect under international law, but that are ‘</w:t>
      </w:r>
      <w:r w:rsidRPr="00E34F04">
        <w:rPr>
          <w:i/>
          <w:noProof/>
        </w:rPr>
        <w:t>capable of decisively influencing the content of the legislation adopted by the EU legislature</w:t>
      </w:r>
      <w:r w:rsidRPr="00E34F04">
        <w:rPr>
          <w:noProof/>
        </w:rPr>
        <w:t>’</w:t>
      </w:r>
      <w:r w:rsidRPr="00E34F04">
        <w:rPr>
          <w:rStyle w:val="FootnoteReference"/>
          <w:noProof/>
        </w:rPr>
        <w:footnoteReference w:id="2"/>
      </w:r>
      <w:r w:rsidRPr="00E34F04">
        <w:rPr>
          <w:noProof/>
        </w:rPr>
        <w:t>.</w:t>
      </w:r>
    </w:p>
    <w:p w14:paraId="7BBDE2FF" w14:textId="10BBF32C" w:rsidR="004B330A" w:rsidRPr="00E34F04" w:rsidRDefault="001A7D38" w:rsidP="001A7D38">
      <w:pPr>
        <w:pStyle w:val="ManualHeading3"/>
        <w:rPr>
          <w:noProof/>
        </w:rPr>
      </w:pPr>
      <w:r w:rsidRPr="001A7D38">
        <w:t>4.1.2.</w:t>
      </w:r>
      <w:r w:rsidRPr="001A7D38">
        <w:tab/>
      </w:r>
      <w:r w:rsidR="004B330A" w:rsidRPr="00E34F04">
        <w:rPr>
          <w:noProof/>
        </w:rPr>
        <w:t>Application to the present case</w:t>
      </w:r>
    </w:p>
    <w:p w14:paraId="3EBA5AE1" w14:textId="77777777" w:rsidR="004B330A" w:rsidRPr="0056119C" w:rsidRDefault="004B330A" w:rsidP="00736AA9">
      <w:r w:rsidRPr="00E34F04">
        <w:rPr>
          <w:noProof/>
        </w:rPr>
        <w:t xml:space="preserve">The </w:t>
      </w:r>
      <w:r w:rsidR="004C4B4F">
        <w:rPr>
          <w:noProof/>
        </w:rPr>
        <w:t xml:space="preserve">EEA Joint Committee </w:t>
      </w:r>
      <w:r w:rsidRPr="00E34F04">
        <w:rPr>
          <w:noProof/>
        </w:rPr>
        <w:t xml:space="preserve">is a body set up by an agreement, namely the </w:t>
      </w:r>
      <w:r w:rsidR="004C4B4F">
        <w:rPr>
          <w:noProof/>
        </w:rPr>
        <w:t>EEA Agreement</w:t>
      </w:r>
      <w:r w:rsidRPr="00E34F04">
        <w:rPr>
          <w:noProof/>
        </w:rPr>
        <w:t>.</w:t>
      </w:r>
      <w:r w:rsidR="00E56521">
        <w:rPr>
          <w:noProof/>
        </w:rPr>
        <w:t xml:space="preserve"> </w:t>
      </w:r>
      <w:r w:rsidRPr="00E34F04">
        <w:rPr>
          <w:noProof/>
        </w:rPr>
        <w:t>The act</w:t>
      </w:r>
      <w:r w:rsidR="004C4B4F">
        <w:rPr>
          <w:noProof/>
        </w:rPr>
        <w:t>,</w:t>
      </w:r>
      <w:r w:rsidRPr="00E34F04">
        <w:rPr>
          <w:noProof/>
        </w:rPr>
        <w:t xml:space="preserve"> which the </w:t>
      </w:r>
      <w:r w:rsidR="004C4B4F">
        <w:rPr>
          <w:noProof/>
        </w:rPr>
        <w:t xml:space="preserve">EEA Joint Committee </w:t>
      </w:r>
      <w:r w:rsidRPr="00E34F04">
        <w:rPr>
          <w:noProof/>
        </w:rPr>
        <w:t>is called upon to adopt</w:t>
      </w:r>
      <w:r w:rsidR="004C4B4F">
        <w:rPr>
          <w:noProof/>
        </w:rPr>
        <w:t>,</w:t>
      </w:r>
      <w:r w:rsidRPr="00E34F04">
        <w:rPr>
          <w:noProof/>
        </w:rPr>
        <w:t xml:space="preserve"> constitutes an act having legal effects. The envisaged act will be binding under international law in accordance with Article</w:t>
      </w:r>
      <w:r w:rsidR="00BF1845">
        <w:rPr>
          <w:noProof/>
        </w:rPr>
        <w:t>s 103 and 104 of the EEA Agreement</w:t>
      </w:r>
      <w:r w:rsidR="00E56521">
        <w:rPr>
          <w:noProof/>
        </w:rPr>
        <w:t>.</w:t>
      </w:r>
      <w:r w:rsidR="00BF1845">
        <w:rPr>
          <w:noProof/>
        </w:rPr>
        <w:t xml:space="preserve"> </w:t>
      </w:r>
    </w:p>
    <w:p w14:paraId="60140DE6" w14:textId="67787645" w:rsidR="004B330A" w:rsidRPr="0063484D" w:rsidRDefault="004B330A" w:rsidP="00736AA9">
      <w:pPr>
        <w:rPr>
          <w:noProof/>
          <w:lang w:val="en-IE"/>
        </w:rPr>
      </w:pPr>
      <w:r w:rsidRPr="00E34F04">
        <w:rPr>
          <w:noProof/>
        </w:rPr>
        <w:t>The envisaged act does not supplement or amend the institutional framework of the Agreement.</w:t>
      </w:r>
      <w:r w:rsidR="00E56521">
        <w:rPr>
          <w:noProof/>
        </w:rPr>
        <w:t xml:space="preserve"> </w:t>
      </w:r>
      <w:r w:rsidRPr="00E34F04">
        <w:rPr>
          <w:noProof/>
        </w:rPr>
        <w:t>Therefore, the procedural legal basis for the proposed decision is Article 218(9) TFEU</w:t>
      </w:r>
      <w:r w:rsidR="0063484D">
        <w:rPr>
          <w:noProof/>
        </w:rPr>
        <w:t xml:space="preserve"> </w:t>
      </w:r>
      <w:r w:rsidR="0063484D">
        <w:rPr>
          <w:noProof/>
          <w:lang w:val="en-IE"/>
        </w:rPr>
        <w:t>in conjunction with Article 1(</w:t>
      </w:r>
      <w:r w:rsidR="003C4EA7">
        <w:rPr>
          <w:noProof/>
          <w:lang w:val="en-IE"/>
        </w:rPr>
        <w:t>3</w:t>
      </w:r>
      <w:r w:rsidR="0063484D">
        <w:rPr>
          <w:noProof/>
          <w:lang w:val="en-IE"/>
        </w:rPr>
        <w:t>) of</w:t>
      </w:r>
      <w:r w:rsidR="0063484D" w:rsidRPr="00BE2752">
        <w:rPr>
          <w:noProof/>
          <w:lang w:val="en-IE"/>
        </w:rPr>
        <w:t xml:space="preserve"> Council Regulation No 2894/94 concerning arrangements for implementing the Agreement on the European Economic </w:t>
      </w:r>
      <w:r w:rsidR="0063032A">
        <w:rPr>
          <w:noProof/>
          <w:lang w:val="en-IE"/>
        </w:rPr>
        <w:t>Area.</w:t>
      </w:r>
    </w:p>
    <w:p w14:paraId="7C662CDB" w14:textId="143357CC" w:rsidR="004B330A" w:rsidRPr="00E34F04" w:rsidRDefault="001A7D38" w:rsidP="001A7D38">
      <w:pPr>
        <w:pStyle w:val="ManualHeading2"/>
        <w:rPr>
          <w:noProof/>
        </w:rPr>
      </w:pPr>
      <w:r w:rsidRPr="001A7D38">
        <w:t>4.2.</w:t>
      </w:r>
      <w:r w:rsidRPr="001A7D38">
        <w:tab/>
      </w:r>
      <w:r w:rsidR="004B330A" w:rsidRPr="00E34F04">
        <w:rPr>
          <w:noProof/>
        </w:rPr>
        <w:t>Substantive legal basis</w:t>
      </w:r>
    </w:p>
    <w:p w14:paraId="76D3DADF" w14:textId="05832BC8" w:rsidR="004B330A" w:rsidRPr="00E34F04" w:rsidRDefault="001A7D38" w:rsidP="001A7D38">
      <w:pPr>
        <w:pStyle w:val="ManualHeading3"/>
        <w:rPr>
          <w:noProof/>
        </w:rPr>
      </w:pPr>
      <w:r w:rsidRPr="001A7D38">
        <w:t>4.2.1.</w:t>
      </w:r>
      <w:r w:rsidRPr="001A7D38">
        <w:tab/>
      </w:r>
      <w:r w:rsidR="004B330A" w:rsidRPr="00E34F04">
        <w:rPr>
          <w:noProof/>
        </w:rPr>
        <w:t>Principles</w:t>
      </w:r>
    </w:p>
    <w:p w14:paraId="38808D08" w14:textId="40812BD7" w:rsidR="00A1788B" w:rsidRPr="00664052" w:rsidRDefault="004B330A" w:rsidP="00736AA9">
      <w:pPr>
        <w:rPr>
          <w:noProof/>
        </w:rPr>
      </w:pPr>
      <w:r w:rsidRPr="00090B79">
        <w:rPr>
          <w:noProof/>
        </w:rPr>
        <w:t xml:space="preserve">The substantive legal basis for a decision under Article 218(9) TFEU </w:t>
      </w:r>
      <w:r w:rsidR="00A1788B" w:rsidRPr="00090B79">
        <w:rPr>
          <w:noProof/>
        </w:rPr>
        <w:t xml:space="preserve">in conjunction with </w:t>
      </w:r>
      <w:r w:rsidR="00A1788B" w:rsidRPr="00090B79">
        <w:rPr>
          <w:noProof/>
          <w:lang w:val="en-IE"/>
        </w:rPr>
        <w:t>Article 1(</w:t>
      </w:r>
      <w:r w:rsidR="004C37B5">
        <w:rPr>
          <w:noProof/>
          <w:lang w:val="en-IE"/>
        </w:rPr>
        <w:t>3</w:t>
      </w:r>
      <w:r w:rsidR="00A1788B" w:rsidRPr="00090B79">
        <w:rPr>
          <w:noProof/>
          <w:lang w:val="en-IE"/>
        </w:rPr>
        <w:t xml:space="preserve">) of Council Regulation No 2894/94 </w:t>
      </w:r>
      <w:r w:rsidRPr="00090B79">
        <w:rPr>
          <w:noProof/>
        </w:rPr>
        <w:t xml:space="preserve">depends primarily on the </w:t>
      </w:r>
      <w:r w:rsidR="00A1788B" w:rsidRPr="00090B79">
        <w:rPr>
          <w:noProof/>
        </w:rPr>
        <w:t>substantive legal basis of the EU legal act to be incorporated into the EEA Agreement.</w:t>
      </w:r>
      <w:r w:rsidR="00A1788B" w:rsidRPr="00664052">
        <w:rPr>
          <w:noProof/>
        </w:rPr>
        <w:t xml:space="preserve"> </w:t>
      </w:r>
    </w:p>
    <w:p w14:paraId="7E560194" w14:textId="77777777" w:rsidR="00701FF8" w:rsidRDefault="004B330A" w:rsidP="00736AA9">
      <w:pPr>
        <w:rPr>
          <w:noProof/>
        </w:rPr>
      </w:pPr>
      <w:r w:rsidRPr="00664052">
        <w:rPr>
          <w:noProof/>
        </w:rPr>
        <w:t>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14:paraId="7A841F8B" w14:textId="0B743E35" w:rsidR="00B661D7" w:rsidRDefault="001A7D38" w:rsidP="001A7D38">
      <w:pPr>
        <w:pStyle w:val="ManualHeading3"/>
        <w:rPr>
          <w:noProof/>
        </w:rPr>
      </w:pPr>
      <w:r w:rsidRPr="001A7D38">
        <w:t>4.2.2.</w:t>
      </w:r>
      <w:r w:rsidRPr="001A7D38">
        <w:tab/>
      </w:r>
      <w:r w:rsidR="004B330A" w:rsidRPr="00E34F04">
        <w:rPr>
          <w:noProof/>
        </w:rPr>
        <w:t>Application to the present case</w:t>
      </w:r>
    </w:p>
    <w:p w14:paraId="568C622C" w14:textId="738B9189" w:rsidR="004B330A" w:rsidRPr="00E34F04" w:rsidRDefault="0044573B" w:rsidP="00736AA9">
      <w:pPr>
        <w:rPr>
          <w:noProof/>
        </w:rPr>
      </w:pPr>
      <w:r w:rsidRPr="00E34F04">
        <w:rPr>
          <w:noProof/>
        </w:rPr>
        <w:t>The main objective and content of the envisaged act relate to</w:t>
      </w:r>
      <w:r>
        <w:rPr>
          <w:noProof/>
        </w:rPr>
        <w:t xml:space="preserve"> </w:t>
      </w:r>
      <w:r w:rsidR="008B7283">
        <w:rPr>
          <w:noProof/>
        </w:rPr>
        <w:t>food safety</w:t>
      </w:r>
      <w:r w:rsidR="00E62CAD">
        <w:rPr>
          <w:noProof/>
        </w:rPr>
        <w:t xml:space="preserve">. </w:t>
      </w:r>
      <w:r w:rsidRPr="00E34F04">
        <w:rPr>
          <w:noProof/>
        </w:rPr>
        <w:t xml:space="preserve">Therefore, the substantive legal basis of the proposed decision </w:t>
      </w:r>
      <w:r w:rsidRPr="008B7283">
        <w:rPr>
          <w:noProof/>
        </w:rPr>
        <w:t xml:space="preserve">is Article </w:t>
      </w:r>
      <w:r w:rsidR="008B7283">
        <w:rPr>
          <w:noProof/>
        </w:rPr>
        <w:t>114</w:t>
      </w:r>
      <w:r>
        <w:rPr>
          <w:noProof/>
        </w:rPr>
        <w:t xml:space="preserve"> </w:t>
      </w:r>
      <w:r w:rsidR="00B661D7" w:rsidRPr="00663080">
        <w:rPr>
          <w:noProof/>
        </w:rPr>
        <w:t>of the Treaty on the Functioning of the European Union</w:t>
      </w:r>
      <w:r w:rsidR="004B330A" w:rsidRPr="00663080">
        <w:rPr>
          <w:noProof/>
        </w:rPr>
        <w:t>.</w:t>
      </w:r>
    </w:p>
    <w:p w14:paraId="629F285F" w14:textId="735127E4" w:rsidR="004B330A" w:rsidRPr="00E34F04" w:rsidRDefault="001A7D38" w:rsidP="001A7D38">
      <w:pPr>
        <w:pStyle w:val="ManualHeading2"/>
        <w:rPr>
          <w:noProof/>
        </w:rPr>
      </w:pPr>
      <w:r w:rsidRPr="001A7D38">
        <w:t>4.3.</w:t>
      </w:r>
      <w:r w:rsidRPr="001A7D38">
        <w:tab/>
      </w:r>
      <w:r w:rsidR="004B330A" w:rsidRPr="00E34F04">
        <w:rPr>
          <w:noProof/>
        </w:rPr>
        <w:t>Conclusion</w:t>
      </w:r>
    </w:p>
    <w:p w14:paraId="0EDC9E0E" w14:textId="07948083" w:rsidR="004B330A" w:rsidRPr="00E34F04" w:rsidRDefault="004B330A" w:rsidP="00736AA9">
      <w:pPr>
        <w:rPr>
          <w:noProof/>
        </w:rPr>
      </w:pPr>
      <w:r w:rsidRPr="00E34F04">
        <w:rPr>
          <w:noProof/>
        </w:rPr>
        <w:t xml:space="preserve">The legal basis of the proposed decision should be </w:t>
      </w:r>
      <w:r w:rsidR="00013E79" w:rsidRPr="008B7283">
        <w:rPr>
          <w:noProof/>
        </w:rPr>
        <w:t>Article</w:t>
      </w:r>
      <w:r w:rsidR="0044573B" w:rsidRPr="008B7283">
        <w:rPr>
          <w:noProof/>
        </w:rPr>
        <w:t xml:space="preserve"> </w:t>
      </w:r>
      <w:r w:rsidR="008B7283" w:rsidRPr="008B7283">
        <w:rPr>
          <w:noProof/>
        </w:rPr>
        <w:t>114</w:t>
      </w:r>
      <w:r w:rsidR="00951859">
        <w:rPr>
          <w:noProof/>
        </w:rPr>
        <w:t xml:space="preserve"> TFEU</w:t>
      </w:r>
      <w:r w:rsidRPr="00663080">
        <w:rPr>
          <w:noProof/>
        </w:rPr>
        <w:t>,</w:t>
      </w:r>
      <w:r w:rsidRPr="00E34F04">
        <w:rPr>
          <w:noProof/>
        </w:rPr>
        <w:t xml:space="preserve"> in conjunction with Article 218(9) TFEU</w:t>
      </w:r>
      <w:r w:rsidR="009A44DF">
        <w:rPr>
          <w:noProof/>
        </w:rPr>
        <w:t xml:space="preserve"> and </w:t>
      </w:r>
      <w:r w:rsidR="009A44DF">
        <w:rPr>
          <w:noProof/>
          <w:lang w:val="en-IE"/>
        </w:rPr>
        <w:t>Article 1(3) of</w:t>
      </w:r>
      <w:r w:rsidR="009A44DF" w:rsidRPr="00BE2752">
        <w:rPr>
          <w:noProof/>
          <w:lang w:val="en-IE"/>
        </w:rPr>
        <w:t xml:space="preserve"> Council Regulation No 2894/94 concerning arrangements for implementing the Agreement on the European Economic </w:t>
      </w:r>
      <w:r w:rsidR="009A44DF">
        <w:rPr>
          <w:noProof/>
          <w:lang w:val="en-IE"/>
        </w:rPr>
        <w:t>Area</w:t>
      </w:r>
      <w:r w:rsidRPr="00E34F04">
        <w:rPr>
          <w:noProof/>
        </w:rPr>
        <w:t>.</w:t>
      </w:r>
    </w:p>
    <w:p w14:paraId="40A834E2" w14:textId="5FD1164B" w:rsidR="004B330A" w:rsidRPr="00E34F04" w:rsidRDefault="001A7D38" w:rsidP="001A7D38">
      <w:pPr>
        <w:pStyle w:val="ManualHeading1"/>
        <w:rPr>
          <w:noProof/>
        </w:rPr>
      </w:pPr>
      <w:r w:rsidRPr="001A7D38">
        <w:t>5.</w:t>
      </w:r>
      <w:r w:rsidRPr="001A7D38">
        <w:tab/>
      </w:r>
      <w:r w:rsidR="004B330A" w:rsidRPr="00E34F04">
        <w:rPr>
          <w:noProof/>
        </w:rPr>
        <w:t>Publication of the envisaged act</w:t>
      </w:r>
    </w:p>
    <w:p w14:paraId="1001ABFA" w14:textId="70AFEA14" w:rsidR="004B330A" w:rsidRDefault="004B330A" w:rsidP="00736AA9">
      <w:pPr>
        <w:rPr>
          <w:noProof/>
        </w:rPr>
      </w:pPr>
      <w:r w:rsidRPr="00E34F04">
        <w:rPr>
          <w:noProof/>
        </w:rPr>
        <w:t xml:space="preserve">As the act of the </w:t>
      </w:r>
      <w:r w:rsidR="005740B2">
        <w:rPr>
          <w:noProof/>
        </w:rPr>
        <w:t xml:space="preserve">EEA Joint Committee </w:t>
      </w:r>
      <w:r w:rsidRPr="00E34F04">
        <w:rPr>
          <w:noProof/>
        </w:rPr>
        <w:t xml:space="preserve">will amend </w:t>
      </w:r>
      <w:r w:rsidR="008B7283" w:rsidRPr="003D015C">
        <w:rPr>
          <w:rFonts w:eastAsia="Arial Unicode MS"/>
          <w:noProof/>
        </w:rPr>
        <w:t xml:space="preserve">Annex </w:t>
      </w:r>
      <w:r w:rsidR="008B7283" w:rsidRPr="003D015C">
        <w:rPr>
          <w:noProof/>
        </w:rPr>
        <w:t>I</w:t>
      </w:r>
      <w:r w:rsidR="008B7283">
        <w:rPr>
          <w:noProof/>
        </w:rPr>
        <w:t xml:space="preserve"> </w:t>
      </w:r>
      <w:r w:rsidR="008B7283" w:rsidRPr="003D015C">
        <w:rPr>
          <w:noProof/>
        </w:rPr>
        <w:t>(</w:t>
      </w:r>
      <w:r w:rsidR="008B7283">
        <w:rPr>
          <w:noProof/>
        </w:rPr>
        <w:t>Veterinary and phytosanitary matters)</w:t>
      </w:r>
      <w:r w:rsidR="008B7283" w:rsidRPr="003D015C">
        <w:rPr>
          <w:noProof/>
        </w:rPr>
        <w:t xml:space="preserve"> </w:t>
      </w:r>
      <w:r w:rsidR="00013E79" w:rsidRPr="003D015C">
        <w:rPr>
          <w:noProof/>
        </w:rPr>
        <w:t>to the EEA Agreement</w:t>
      </w:r>
      <w:r w:rsidR="005740B2">
        <w:rPr>
          <w:noProof/>
        </w:rPr>
        <w:t>,</w:t>
      </w:r>
      <w:r w:rsidRPr="00E34F04">
        <w:rPr>
          <w:noProof/>
        </w:rPr>
        <w:t xml:space="preserve"> it is appropriate to publish it in the </w:t>
      </w:r>
      <w:r w:rsidRPr="00E34F04">
        <w:rPr>
          <w:i/>
          <w:noProof/>
        </w:rPr>
        <w:t xml:space="preserve">Official Journal of the European Union </w:t>
      </w:r>
      <w:r w:rsidRPr="00E34F04">
        <w:rPr>
          <w:noProof/>
        </w:rPr>
        <w:t>after its adoption.</w:t>
      </w:r>
    </w:p>
    <w:p w14:paraId="2B2F628C" w14:textId="3155EF13" w:rsidR="004B330A" w:rsidRDefault="004B330A" w:rsidP="00FD40BA">
      <w:pPr>
        <w:rPr>
          <w:noProof/>
        </w:rPr>
      </w:pPr>
    </w:p>
    <w:p w14:paraId="48C178B4" w14:textId="52AB8EA0" w:rsidR="00701FF8" w:rsidRDefault="00701FF8" w:rsidP="00FD40BA">
      <w:pPr>
        <w:rPr>
          <w:noProof/>
        </w:rPr>
      </w:pPr>
    </w:p>
    <w:p w14:paraId="1A8B785A" w14:textId="38D8225E" w:rsidR="00701FF8" w:rsidRPr="00FD40BA" w:rsidRDefault="00701FF8" w:rsidP="00701FF8">
      <w:pPr>
        <w:jc w:val="left"/>
        <w:rPr>
          <w:noProof/>
        </w:rPr>
        <w:sectPr w:rsidR="00701FF8" w:rsidRPr="00FD40BA" w:rsidSect="00BA3B5C">
          <w:footerReference w:type="default" r:id="rId10"/>
          <w:footerReference w:type="first" r:id="rId11"/>
          <w:pgSz w:w="11907" w:h="16839"/>
          <w:pgMar w:top="1134" w:right="1417" w:bottom="1134" w:left="1417" w:header="709" w:footer="709" w:gutter="0"/>
          <w:cols w:space="708"/>
          <w:docGrid w:linePitch="360"/>
        </w:sectPr>
      </w:pPr>
    </w:p>
    <w:p w14:paraId="29EF0FF5" w14:textId="0F929061" w:rsidR="006842B9" w:rsidRDefault="006842B9" w:rsidP="006842B9">
      <w:pPr>
        <w:pStyle w:val="Rfrenceinterinstitutionnelle"/>
        <w:rPr>
          <w:noProof/>
        </w:rPr>
      </w:pPr>
      <w:r w:rsidRPr="006842B9">
        <w:t>2022/0113 (NLE)</w:t>
      </w:r>
    </w:p>
    <w:p w14:paraId="53E46EB3" w14:textId="3B28DE90" w:rsidR="004B330A" w:rsidRPr="00E34F04" w:rsidRDefault="00B71B15" w:rsidP="00B71B15">
      <w:pPr>
        <w:pStyle w:val="Statut"/>
        <w:rPr>
          <w:noProof/>
        </w:rPr>
      </w:pPr>
      <w:r w:rsidRPr="00B71B15">
        <w:rPr>
          <w:noProof/>
        </w:rPr>
        <w:t>Proposal for a</w:t>
      </w:r>
    </w:p>
    <w:p w14:paraId="7D779AB2" w14:textId="01CAA68E" w:rsidR="004B330A" w:rsidRPr="00E34F04" w:rsidRDefault="00B71B15" w:rsidP="00B71B15">
      <w:pPr>
        <w:pStyle w:val="Typedudocument"/>
        <w:rPr>
          <w:noProof/>
        </w:rPr>
      </w:pPr>
      <w:r w:rsidRPr="00B71B15">
        <w:rPr>
          <w:noProof/>
        </w:rPr>
        <w:t>COUNCIL DECISION</w:t>
      </w:r>
    </w:p>
    <w:p w14:paraId="70769E6A" w14:textId="4C67F095" w:rsidR="004B330A" w:rsidRPr="00E34F04" w:rsidRDefault="00B71B15" w:rsidP="00B71B15">
      <w:pPr>
        <w:pStyle w:val="Titreobjet"/>
        <w:rPr>
          <w:noProof/>
        </w:rPr>
      </w:pPr>
      <w:r w:rsidRPr="00B71B15">
        <w:rPr>
          <w:noProof/>
        </w:rPr>
        <w:t>on the position to be adopted, on behalf of the European Union, within the EEA Joint Committee, concerning the amendment to Annex I (Veterinary and phytosanitary matters) to the EEA Agreement</w:t>
      </w:r>
      <w:r w:rsidRPr="00B71B15">
        <w:rPr>
          <w:noProof/>
        </w:rPr>
        <w:br/>
      </w:r>
      <w:r w:rsidRPr="00B71B15">
        <w:rPr>
          <w:noProof/>
        </w:rPr>
        <w:br/>
      </w:r>
    </w:p>
    <w:p w14:paraId="11A83D2D" w14:textId="7A7E18BC" w:rsidR="004B330A" w:rsidRPr="004B330A" w:rsidRDefault="00B71B15" w:rsidP="00B71B15">
      <w:pPr>
        <w:pStyle w:val="IntrtEEE"/>
        <w:rPr>
          <w:noProof/>
        </w:rPr>
      </w:pPr>
      <w:r w:rsidRPr="00B71B15">
        <w:rPr>
          <w:noProof/>
        </w:rPr>
        <w:t>(Text with EEA relevance)</w:t>
      </w:r>
    </w:p>
    <w:p w14:paraId="7E3F93C7" w14:textId="77777777" w:rsidR="004B330A" w:rsidRPr="00E34F04" w:rsidRDefault="004B330A" w:rsidP="00BE7CB9">
      <w:pPr>
        <w:pStyle w:val="Institutionquiagit"/>
        <w:rPr>
          <w:b/>
          <w:noProof/>
        </w:rPr>
      </w:pPr>
      <w:r w:rsidRPr="00E34F04">
        <w:rPr>
          <w:b/>
          <w:noProof/>
        </w:rPr>
        <w:t>THE COUNCIL OF THE EUROPEAN UNION,</w:t>
      </w:r>
    </w:p>
    <w:p w14:paraId="68152E7B" w14:textId="70565055" w:rsidR="004B330A" w:rsidRDefault="004B330A" w:rsidP="00BE7CB9">
      <w:pPr>
        <w:rPr>
          <w:noProof/>
        </w:rPr>
      </w:pPr>
      <w:r w:rsidRPr="00E34F04">
        <w:rPr>
          <w:noProof/>
        </w:rPr>
        <w:t xml:space="preserve">Having regard to the Treaty on the Functioning of the European Union, and in particular </w:t>
      </w:r>
      <w:r w:rsidR="002A6158" w:rsidRPr="00DC32EC">
        <w:rPr>
          <w:noProof/>
        </w:rPr>
        <w:t>Article</w:t>
      </w:r>
      <w:r w:rsidR="00B9620B" w:rsidRPr="00DC32EC">
        <w:rPr>
          <w:noProof/>
        </w:rPr>
        <w:t xml:space="preserve"> </w:t>
      </w:r>
      <w:r w:rsidR="00E62CAD" w:rsidRPr="00DC32EC">
        <w:rPr>
          <w:noProof/>
        </w:rPr>
        <w:t>1</w:t>
      </w:r>
      <w:r w:rsidR="00DC32EC" w:rsidRPr="00DC32EC">
        <w:rPr>
          <w:noProof/>
        </w:rPr>
        <w:t>14</w:t>
      </w:r>
      <w:r w:rsidR="00BF55F3" w:rsidRPr="00663080">
        <w:rPr>
          <w:noProof/>
        </w:rPr>
        <w:t>,</w:t>
      </w:r>
      <w:r w:rsidRPr="00E34F04">
        <w:rPr>
          <w:noProof/>
        </w:rPr>
        <w:t xml:space="preserve"> in conjunction with Article 218(9) thereof,</w:t>
      </w:r>
    </w:p>
    <w:p w14:paraId="0FA501D3" w14:textId="2802AFE1" w:rsidR="00BF55F3" w:rsidRDefault="00BF55F3" w:rsidP="00BF55F3">
      <w:pPr>
        <w:rPr>
          <w:noProof/>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3"/>
      </w:r>
      <w:r>
        <w:rPr>
          <w:noProof/>
          <w:lang w:val="en"/>
        </w:rPr>
        <w:t>, and in particular Article 1(3) thereof</w:t>
      </w:r>
      <w:r w:rsidR="00696F8A">
        <w:rPr>
          <w:noProof/>
          <w:lang w:val="en"/>
        </w:rPr>
        <w:t>,</w:t>
      </w:r>
      <w:r>
        <w:rPr>
          <w:noProof/>
          <w:lang w:val="en"/>
        </w:rPr>
        <w:t xml:space="preserve"> </w:t>
      </w:r>
    </w:p>
    <w:p w14:paraId="4843A6A9" w14:textId="77777777" w:rsidR="004B330A" w:rsidRPr="00E34F04" w:rsidRDefault="004B330A" w:rsidP="00BE7CB9">
      <w:pPr>
        <w:rPr>
          <w:noProof/>
        </w:rPr>
      </w:pPr>
      <w:r w:rsidRPr="00E34F04">
        <w:rPr>
          <w:noProof/>
        </w:rPr>
        <w:t>Having regard to the proposal from the European Commission,</w:t>
      </w:r>
    </w:p>
    <w:p w14:paraId="665D8546" w14:textId="77777777" w:rsidR="004B330A" w:rsidRPr="00E34F04" w:rsidRDefault="004B330A" w:rsidP="00BE7CB9">
      <w:pPr>
        <w:rPr>
          <w:noProof/>
        </w:rPr>
      </w:pPr>
      <w:r w:rsidRPr="00E34F04">
        <w:rPr>
          <w:noProof/>
        </w:rPr>
        <w:t>Whereas:</w:t>
      </w:r>
    </w:p>
    <w:p w14:paraId="2CCEAD24" w14:textId="68ECCF14" w:rsidR="00BF55F3" w:rsidRDefault="001A7D38" w:rsidP="001A7D38">
      <w:pPr>
        <w:pStyle w:val="ManualConsidrant"/>
        <w:rPr>
          <w:noProof/>
          <w:szCs w:val="24"/>
          <w:lang w:eastAsia="en-GB"/>
        </w:rPr>
      </w:pPr>
      <w:r w:rsidRPr="001A7D38">
        <w:t>(1)</w:t>
      </w:r>
      <w:r w:rsidRPr="001A7D38">
        <w:tab/>
      </w:r>
      <w:r w:rsidR="00BF55F3">
        <w:rPr>
          <w:noProof/>
        </w:rPr>
        <w:t>The Agreement on the European Economic Area</w:t>
      </w:r>
      <w:r w:rsidR="00BF55F3">
        <w:rPr>
          <w:rStyle w:val="FootnoteReference"/>
          <w:noProof/>
        </w:rPr>
        <w:footnoteReference w:id="4"/>
      </w:r>
      <w:r w:rsidR="00BF55F3">
        <w:rPr>
          <w:noProof/>
        </w:rPr>
        <w:t xml:space="preserve"> ('the EEA Agreement') entered into force on 1 January 1994.</w:t>
      </w:r>
      <w:r w:rsidR="00BF55F3">
        <w:rPr>
          <w:noProof/>
          <w:szCs w:val="24"/>
          <w:lang w:eastAsia="en-GB"/>
        </w:rPr>
        <w:t xml:space="preserve"> </w:t>
      </w:r>
    </w:p>
    <w:p w14:paraId="0FD50856" w14:textId="56CBF116" w:rsidR="00BF55F3" w:rsidRPr="00FD40BA" w:rsidRDefault="001A7D38" w:rsidP="001A7D38">
      <w:pPr>
        <w:pStyle w:val="ManualConsidrant"/>
        <w:rPr>
          <w:noProof/>
        </w:rPr>
      </w:pPr>
      <w:r w:rsidRPr="001A7D38">
        <w:t>(2)</w:t>
      </w:r>
      <w:r w:rsidRPr="001A7D38">
        <w:tab/>
      </w:r>
      <w:r w:rsidR="00BF55F3">
        <w:rPr>
          <w:noProof/>
        </w:rPr>
        <w:t xml:space="preserve">Pursuant to Article 98 of the EEA Agreement, the EEA Joint Committee may decide to amend, inter alia, Annex </w:t>
      </w:r>
      <w:r w:rsidR="00386F27">
        <w:rPr>
          <w:noProof/>
        </w:rPr>
        <w:t>I</w:t>
      </w:r>
      <w:r w:rsidR="00F16DE8">
        <w:rPr>
          <w:noProof/>
        </w:rPr>
        <w:t xml:space="preserve"> </w:t>
      </w:r>
      <w:r w:rsidR="00BF55F3">
        <w:rPr>
          <w:noProof/>
        </w:rPr>
        <w:t xml:space="preserve">to the EEA Agreement, which contains provisions on </w:t>
      </w:r>
      <w:r w:rsidR="00DE718E">
        <w:rPr>
          <w:noProof/>
        </w:rPr>
        <w:t>v</w:t>
      </w:r>
      <w:r w:rsidR="00DE718E" w:rsidRPr="00DC022E">
        <w:rPr>
          <w:noProof/>
        </w:rPr>
        <w:t>eterinary and phytosanitary matters</w:t>
      </w:r>
      <w:r w:rsidR="00BF55F3">
        <w:rPr>
          <w:noProof/>
        </w:rPr>
        <w:t>.</w:t>
      </w:r>
    </w:p>
    <w:p w14:paraId="72791598" w14:textId="41F107FB" w:rsidR="00F16DE8" w:rsidRPr="0020381B" w:rsidRDefault="001A7D38" w:rsidP="001A7D38">
      <w:pPr>
        <w:pStyle w:val="ManualConsidrant"/>
        <w:rPr>
          <w:noProof/>
        </w:rPr>
      </w:pPr>
      <w:r w:rsidRPr="001A7D38">
        <w:t>(3)</w:t>
      </w:r>
      <w:r w:rsidRPr="001A7D38">
        <w:tab/>
      </w:r>
      <w:r w:rsidR="00DE718E" w:rsidRPr="00FC05F2">
        <w:rPr>
          <w:noProof/>
          <w:lang w:val="en"/>
        </w:rPr>
        <w:t>Commission Implementing Decision (EU) 2019/300 of 19 February 2019</w:t>
      </w:r>
      <w:r w:rsidR="00DE718E" w:rsidRPr="00294AB7">
        <w:rPr>
          <w:rStyle w:val="FootnoteReference"/>
          <w:noProof/>
          <w:color w:val="000000" w:themeColor="text1"/>
          <w:szCs w:val="24"/>
        </w:rPr>
        <w:footnoteReference w:id="5"/>
      </w:r>
      <w:r w:rsidR="00DE718E">
        <w:rPr>
          <w:noProof/>
          <w:lang w:val="en"/>
        </w:rPr>
        <w:t xml:space="preserve"> </w:t>
      </w:r>
      <w:r w:rsidR="00F16DE8" w:rsidRPr="0020381B">
        <w:rPr>
          <w:noProof/>
        </w:rPr>
        <w:t>is to be incorporated into the EEA Agreement.</w:t>
      </w:r>
    </w:p>
    <w:p w14:paraId="2CB62117" w14:textId="5BAE1F3B" w:rsidR="00C62742" w:rsidRDefault="001A7D38" w:rsidP="001A7D38">
      <w:pPr>
        <w:pStyle w:val="ManualConsidrant"/>
        <w:rPr>
          <w:noProof/>
        </w:rPr>
      </w:pPr>
      <w:r w:rsidRPr="001A7D38">
        <w:t>(4)</w:t>
      </w:r>
      <w:r w:rsidRPr="001A7D38">
        <w:tab/>
      </w:r>
      <w:r w:rsidR="00C62742" w:rsidRPr="00294B58">
        <w:rPr>
          <w:noProof/>
        </w:rPr>
        <w:t xml:space="preserve">Annex </w:t>
      </w:r>
      <w:r w:rsidR="00C62742" w:rsidRPr="00596E34">
        <w:rPr>
          <w:noProof/>
        </w:rPr>
        <w:t>I (</w:t>
      </w:r>
      <w:r w:rsidR="00DE718E">
        <w:rPr>
          <w:noProof/>
        </w:rPr>
        <w:t>V</w:t>
      </w:r>
      <w:r w:rsidR="00DE718E" w:rsidRPr="00DC022E">
        <w:rPr>
          <w:noProof/>
        </w:rPr>
        <w:t>eterinary and phytosanitary matters</w:t>
      </w:r>
      <w:r w:rsidR="00C62742" w:rsidRPr="00596E34">
        <w:rPr>
          <w:noProof/>
        </w:rPr>
        <w:t>)</w:t>
      </w:r>
      <w:r w:rsidR="00C62742">
        <w:rPr>
          <w:noProof/>
        </w:rPr>
        <w:t xml:space="preserve"> to the EEA Agreement should be amended accordingly</w:t>
      </w:r>
      <w:r w:rsidR="00C62742" w:rsidRPr="00A0559C">
        <w:rPr>
          <w:noProof/>
        </w:rPr>
        <w:t>.</w:t>
      </w:r>
    </w:p>
    <w:p w14:paraId="293F7686" w14:textId="1514D7F9" w:rsidR="009A2DC4" w:rsidRDefault="001A7D38" w:rsidP="001A7D38">
      <w:pPr>
        <w:pStyle w:val="ManualConsidrant"/>
        <w:rPr>
          <w:noProof/>
        </w:rPr>
      </w:pPr>
      <w:r w:rsidRPr="001A7D38">
        <w:t>(5)</w:t>
      </w:r>
      <w:r w:rsidRPr="001A7D38">
        <w:tab/>
      </w:r>
      <w:r w:rsidR="00F24451">
        <w:rPr>
          <w:noProof/>
        </w:rPr>
        <w:t>The position of the Union in the EEA Joint Committee should therefore be based on the draft EEA Joint Committee Decision set ou</w:t>
      </w:r>
      <w:r w:rsidR="00026292">
        <w:rPr>
          <w:noProof/>
        </w:rPr>
        <w:t>t in the Annex to this Decision,</w:t>
      </w:r>
    </w:p>
    <w:p w14:paraId="0B209ACA" w14:textId="25898EFE" w:rsidR="004B330A" w:rsidRPr="00E34F04" w:rsidRDefault="004B330A" w:rsidP="00BE7CB9">
      <w:pPr>
        <w:pStyle w:val="Formuledadoption"/>
        <w:rPr>
          <w:noProof/>
        </w:rPr>
      </w:pPr>
      <w:r w:rsidRPr="00E34F04">
        <w:rPr>
          <w:noProof/>
        </w:rPr>
        <w:t>HAS ADOPTED THIS DECISION:</w:t>
      </w:r>
    </w:p>
    <w:p w14:paraId="7CDEE828" w14:textId="77777777" w:rsidR="004B330A" w:rsidRPr="00E34F04" w:rsidRDefault="004B330A" w:rsidP="00BE7CB9">
      <w:pPr>
        <w:pStyle w:val="Titrearticle"/>
        <w:rPr>
          <w:noProof/>
        </w:rPr>
      </w:pPr>
      <w:r w:rsidRPr="00E34F04">
        <w:rPr>
          <w:noProof/>
        </w:rPr>
        <w:t>Article 1</w:t>
      </w:r>
    </w:p>
    <w:p w14:paraId="787C7BB1" w14:textId="0C21D41D" w:rsidR="004239AC" w:rsidRDefault="004B330A" w:rsidP="002F6BA5">
      <w:pPr>
        <w:rPr>
          <w:noProof/>
        </w:rPr>
      </w:pPr>
      <w:r w:rsidRPr="00E34F04">
        <w:rPr>
          <w:noProof/>
        </w:rPr>
        <w:t xml:space="preserve">The position to be </w:t>
      </w:r>
      <w:r w:rsidR="004239AC">
        <w:rPr>
          <w:noProof/>
        </w:rPr>
        <w:t>adopted</w:t>
      </w:r>
      <w:r w:rsidRPr="00E34F04">
        <w:rPr>
          <w:noProof/>
        </w:rPr>
        <w:t xml:space="preserve"> on the Union's behalf</w:t>
      </w:r>
      <w:r>
        <w:rPr>
          <w:noProof/>
        </w:rPr>
        <w:t xml:space="preserve"> </w:t>
      </w:r>
      <w:r w:rsidR="00FB63CB">
        <w:rPr>
          <w:noProof/>
        </w:rPr>
        <w:t>with</w:t>
      </w:r>
      <w:r w:rsidRPr="00E34F04">
        <w:rPr>
          <w:noProof/>
        </w:rPr>
        <w:t xml:space="preserve">in the </w:t>
      </w:r>
      <w:r w:rsidR="00FB63CB">
        <w:rPr>
          <w:noProof/>
        </w:rPr>
        <w:t xml:space="preserve">EEA Joint Committee </w:t>
      </w:r>
      <w:r w:rsidR="004239AC">
        <w:rPr>
          <w:noProof/>
        </w:rPr>
        <w:t xml:space="preserve">on the proposed amendment of </w:t>
      </w:r>
      <w:r w:rsidR="00C62742" w:rsidRPr="003D015C">
        <w:rPr>
          <w:noProof/>
        </w:rPr>
        <w:t>Annex I (</w:t>
      </w:r>
      <w:r w:rsidR="00DE718E">
        <w:rPr>
          <w:noProof/>
        </w:rPr>
        <w:t>V</w:t>
      </w:r>
      <w:r w:rsidR="00DE718E" w:rsidRPr="00DC022E">
        <w:rPr>
          <w:noProof/>
        </w:rPr>
        <w:t>eterinary and phytosanitary matters</w:t>
      </w:r>
      <w:r w:rsidR="00C62742" w:rsidRPr="003D015C">
        <w:rPr>
          <w:noProof/>
        </w:rPr>
        <w:t xml:space="preserve">) </w:t>
      </w:r>
      <w:r w:rsidR="004239AC" w:rsidRPr="00026292">
        <w:rPr>
          <w:noProof/>
        </w:rPr>
        <w:t>to the EEA Agreement</w:t>
      </w:r>
      <w:r w:rsidR="004239AC" w:rsidRPr="00E34F04">
        <w:rPr>
          <w:noProof/>
        </w:rPr>
        <w:t xml:space="preserve"> </w:t>
      </w:r>
      <w:r w:rsidRPr="00E34F04">
        <w:rPr>
          <w:noProof/>
        </w:rPr>
        <w:t xml:space="preserve">shall be based on the draft </w:t>
      </w:r>
      <w:r w:rsidR="004239AC">
        <w:rPr>
          <w:noProof/>
        </w:rPr>
        <w:t>decision</w:t>
      </w:r>
      <w:r w:rsidRPr="00E34F04">
        <w:rPr>
          <w:noProof/>
        </w:rPr>
        <w:t xml:space="preserve"> of the </w:t>
      </w:r>
      <w:r w:rsidR="00FB63CB">
        <w:rPr>
          <w:noProof/>
        </w:rPr>
        <w:t xml:space="preserve">EEA Joint Committee </w:t>
      </w:r>
      <w:r w:rsidRPr="00E34F04">
        <w:rPr>
          <w:noProof/>
        </w:rPr>
        <w:t>attached to this Decision.</w:t>
      </w:r>
    </w:p>
    <w:p w14:paraId="338179AE" w14:textId="77777777" w:rsidR="00C55D4F" w:rsidRPr="002F6BA5" w:rsidRDefault="00C55D4F" w:rsidP="002F6BA5">
      <w:pPr>
        <w:rPr>
          <w:i/>
          <w:noProof/>
        </w:rPr>
      </w:pPr>
    </w:p>
    <w:p w14:paraId="5AA22A56" w14:textId="77777777" w:rsidR="004239AC" w:rsidRDefault="004239AC" w:rsidP="006346DD">
      <w:pPr>
        <w:pStyle w:val="Titrearticle"/>
        <w:rPr>
          <w:noProof/>
        </w:rPr>
      </w:pPr>
      <w:r>
        <w:rPr>
          <w:noProof/>
        </w:rPr>
        <w:t>Article 2</w:t>
      </w:r>
    </w:p>
    <w:p w14:paraId="2DBDFB71" w14:textId="69363A31" w:rsidR="002F6BA5" w:rsidRDefault="004239AC" w:rsidP="002F6BA5">
      <w:pPr>
        <w:rPr>
          <w:noProof/>
        </w:rPr>
      </w:pPr>
      <w:r>
        <w:rPr>
          <w:noProof/>
        </w:rPr>
        <w:t>This Decision shall enter into force on the date of its adoption.</w:t>
      </w:r>
    </w:p>
    <w:p w14:paraId="6B9A34B0" w14:textId="083CE2EA" w:rsidR="004B330A" w:rsidRDefault="00E2311D" w:rsidP="006346DD">
      <w:pPr>
        <w:pStyle w:val="Fait"/>
        <w:rPr>
          <w:noProof/>
        </w:rPr>
      </w:pPr>
      <w:r w:rsidRPr="00E2311D">
        <w:t>Done at Brussels,</w:t>
      </w:r>
    </w:p>
    <w:p w14:paraId="15E42A72" w14:textId="77777777" w:rsidR="004B330A" w:rsidRDefault="004B330A" w:rsidP="006346DD">
      <w:pPr>
        <w:pStyle w:val="Institutionquisigne"/>
        <w:rPr>
          <w:noProof/>
        </w:rPr>
      </w:pPr>
      <w:r w:rsidRPr="004B330A">
        <w:rPr>
          <w:noProof/>
        </w:rPr>
        <w:tab/>
        <w:t>For the Council</w:t>
      </w:r>
    </w:p>
    <w:p w14:paraId="6D3D0E2F" w14:textId="77777777" w:rsidR="004B330A" w:rsidRPr="004B330A" w:rsidRDefault="004B330A" w:rsidP="004B330A">
      <w:pPr>
        <w:pStyle w:val="Personnequisigne"/>
        <w:rPr>
          <w:noProof/>
        </w:rPr>
      </w:pPr>
      <w:r w:rsidRPr="004B330A">
        <w:rPr>
          <w:noProof/>
        </w:rPr>
        <w:tab/>
        <w:t>The President</w:t>
      </w:r>
    </w:p>
    <w:sectPr w:rsidR="004B330A" w:rsidRPr="004B330A" w:rsidSect="00BA3B5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F66F" w14:textId="77777777" w:rsidR="00B93567" w:rsidRDefault="00B93567" w:rsidP="004B330A">
      <w:pPr>
        <w:spacing w:before="0" w:after="0"/>
      </w:pPr>
      <w:r>
        <w:separator/>
      </w:r>
    </w:p>
  </w:endnote>
  <w:endnote w:type="continuationSeparator" w:id="0">
    <w:p w14:paraId="6B082042" w14:textId="77777777" w:rsidR="00B93567" w:rsidRDefault="00B93567" w:rsidP="004B33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FD8D" w14:textId="029D65D6" w:rsidR="00D32C56" w:rsidRPr="00BA3B5C" w:rsidRDefault="00BA3B5C" w:rsidP="00BA3B5C">
    <w:pPr>
      <w:pStyle w:val="Footer"/>
      <w:rPr>
        <w:rFonts w:ascii="Arial" w:hAnsi="Arial" w:cs="Arial"/>
        <w:b/>
        <w:sz w:val="48"/>
      </w:rPr>
    </w:pPr>
    <w:r w:rsidRPr="00BA3B5C">
      <w:rPr>
        <w:rFonts w:ascii="Arial" w:hAnsi="Arial" w:cs="Arial"/>
        <w:b/>
        <w:sz w:val="48"/>
      </w:rPr>
      <w:t>EN</w:t>
    </w:r>
    <w:r w:rsidRPr="00BA3B5C">
      <w:rPr>
        <w:rFonts w:ascii="Arial" w:hAnsi="Arial" w:cs="Arial"/>
        <w:b/>
        <w:sz w:val="48"/>
      </w:rPr>
      <w:tab/>
    </w:r>
    <w:r w:rsidRPr="00BA3B5C">
      <w:rPr>
        <w:rFonts w:ascii="Arial" w:hAnsi="Arial" w:cs="Arial"/>
        <w:b/>
        <w:sz w:val="48"/>
      </w:rPr>
      <w:tab/>
    </w:r>
    <w:r w:rsidRPr="00BA3B5C">
      <w:tab/>
    </w:r>
    <w:r w:rsidRPr="00BA3B5C">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2659" w14:textId="75607457" w:rsidR="00BA3B5C" w:rsidRPr="00BA3B5C" w:rsidRDefault="00BA3B5C" w:rsidP="00BA3B5C">
    <w:pPr>
      <w:pStyle w:val="Footer"/>
      <w:rPr>
        <w:rFonts w:ascii="Arial" w:hAnsi="Arial" w:cs="Arial"/>
        <w:b/>
        <w:sz w:val="48"/>
      </w:rPr>
    </w:pPr>
    <w:r w:rsidRPr="00BA3B5C">
      <w:rPr>
        <w:rFonts w:ascii="Arial" w:hAnsi="Arial" w:cs="Arial"/>
        <w:b/>
        <w:sz w:val="48"/>
      </w:rPr>
      <w:t>EN</w:t>
    </w:r>
    <w:r w:rsidRPr="00BA3B5C">
      <w:rPr>
        <w:rFonts w:ascii="Arial" w:hAnsi="Arial" w:cs="Arial"/>
        <w:b/>
        <w:sz w:val="48"/>
      </w:rPr>
      <w:tab/>
    </w:r>
    <w:r>
      <w:fldChar w:fldCharType="begin"/>
    </w:r>
    <w:r>
      <w:instrText xml:space="preserve"> PAGE  \* MERGEFORMAT </w:instrText>
    </w:r>
    <w:r>
      <w:fldChar w:fldCharType="separate"/>
    </w:r>
    <w:r w:rsidR="006346DD">
      <w:rPr>
        <w:noProof/>
      </w:rPr>
      <w:t>5</w:t>
    </w:r>
    <w:r>
      <w:fldChar w:fldCharType="end"/>
    </w:r>
    <w:r>
      <w:tab/>
    </w:r>
    <w:r w:rsidRPr="00BA3B5C">
      <w:tab/>
    </w:r>
    <w:r w:rsidRPr="00BA3B5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3C5D" w14:textId="77777777" w:rsidR="00BA3B5C" w:rsidRPr="00BA3B5C" w:rsidRDefault="00BA3B5C" w:rsidP="00BA3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D6B92" w14:textId="77777777" w:rsidR="00B93567" w:rsidRDefault="00B93567" w:rsidP="004B330A">
      <w:pPr>
        <w:spacing w:before="0" w:after="0"/>
      </w:pPr>
      <w:r>
        <w:separator/>
      </w:r>
    </w:p>
  </w:footnote>
  <w:footnote w:type="continuationSeparator" w:id="0">
    <w:p w14:paraId="30A7534A" w14:textId="77777777" w:rsidR="00B93567" w:rsidRDefault="00B93567" w:rsidP="004B330A">
      <w:pPr>
        <w:spacing w:before="0" w:after="0"/>
      </w:pPr>
      <w:r>
        <w:continuationSeparator/>
      </w:r>
    </w:p>
  </w:footnote>
  <w:footnote w:id="1">
    <w:p w14:paraId="0CACCD25" w14:textId="7BDF22C4" w:rsidR="00DC022E" w:rsidRPr="00FC05F2" w:rsidRDefault="00DC022E" w:rsidP="00DC022E">
      <w:pPr>
        <w:pStyle w:val="FootnoteText"/>
        <w:rPr>
          <w:color w:val="0000FF"/>
        </w:rPr>
      </w:pPr>
      <w:r w:rsidRPr="00E95BF1">
        <w:rPr>
          <w:rStyle w:val="FootnoteReference"/>
        </w:rPr>
        <w:footnoteRef/>
      </w:r>
      <w:r w:rsidR="00E95BF1">
        <w:tab/>
      </w:r>
      <w:r w:rsidRPr="00FC05F2">
        <w:rPr>
          <w:color w:val="000000" w:themeColor="text1"/>
          <w:szCs w:val="24"/>
          <w:lang w:val="en"/>
        </w:rPr>
        <w:t>Commission Implementing Decision (EU) 2019/300 of 19 February 2019 establishing a general plan for crisis management in the field of the safety of food and feed</w:t>
      </w:r>
      <w:r>
        <w:rPr>
          <w:color w:val="000000" w:themeColor="text1"/>
          <w:szCs w:val="24"/>
          <w:lang w:val="en"/>
        </w:rPr>
        <w:t>,</w:t>
      </w:r>
      <w:r>
        <w:rPr>
          <w:color w:val="000000" w:themeColor="text1"/>
          <w:szCs w:val="24"/>
        </w:rPr>
        <w:t xml:space="preserve"> </w:t>
      </w:r>
      <w:r w:rsidRPr="00FC05F2">
        <w:rPr>
          <w:iCs/>
          <w:lang w:val="en"/>
        </w:rPr>
        <w:t>OJ L 50, 21.2.2019, p. 55.</w:t>
      </w:r>
    </w:p>
  </w:footnote>
  <w:footnote w:id="2">
    <w:p w14:paraId="296960BB" w14:textId="77777777" w:rsidR="004B330A" w:rsidRPr="00B035F8" w:rsidRDefault="004B330A" w:rsidP="00736AA9">
      <w:pPr>
        <w:pStyle w:val="FootnoteText"/>
      </w:pPr>
      <w:r w:rsidRPr="00E6429A">
        <w:rPr>
          <w:rStyle w:val="FootnoteReference"/>
        </w:rPr>
        <w:footnoteRef/>
      </w:r>
      <w:r w:rsidR="00E6429A">
        <w:tab/>
      </w:r>
      <w:r w:rsidRPr="00B035F8">
        <w:t>Judgment of the Court of Justice of 7 October 2014, Germany v Council, C-399/12, ECLI:EU:C:2014:2258, paragraphs 61</w:t>
      </w:r>
      <w:r>
        <w:t xml:space="preserve"> </w:t>
      </w:r>
      <w:r w:rsidRPr="00B035F8">
        <w:t xml:space="preserve">to 64. </w:t>
      </w:r>
    </w:p>
  </w:footnote>
  <w:footnote w:id="3">
    <w:p w14:paraId="76898554" w14:textId="77777777" w:rsidR="00BF55F3" w:rsidRPr="00223606" w:rsidRDefault="00BF55F3" w:rsidP="00BF55F3">
      <w:pPr>
        <w:pStyle w:val="FootnoteText"/>
      </w:pPr>
      <w:r>
        <w:rPr>
          <w:rStyle w:val="FootnoteReference"/>
        </w:rPr>
        <w:footnoteRef/>
      </w:r>
      <w:r w:rsidRPr="00223606">
        <w:tab/>
        <w:t>OJ L 305, 30.11.1994, p. 6.</w:t>
      </w:r>
    </w:p>
  </w:footnote>
  <w:footnote w:id="4">
    <w:p w14:paraId="14CCD464" w14:textId="77777777" w:rsidR="00BF55F3" w:rsidRPr="00223606" w:rsidRDefault="00BF55F3" w:rsidP="00BF55F3">
      <w:pPr>
        <w:pStyle w:val="FootnoteText"/>
      </w:pPr>
      <w:r>
        <w:rPr>
          <w:rStyle w:val="FootnoteReference"/>
        </w:rPr>
        <w:footnoteRef/>
      </w:r>
      <w:r w:rsidRPr="00223606">
        <w:tab/>
        <w:t xml:space="preserve">OJ L 1, 3.1.1994, p. 3. </w:t>
      </w:r>
    </w:p>
  </w:footnote>
  <w:footnote w:id="5">
    <w:p w14:paraId="23E68FF3" w14:textId="21900964" w:rsidR="00DE718E" w:rsidRPr="00FC05F2" w:rsidRDefault="00DE718E" w:rsidP="00DE718E">
      <w:pPr>
        <w:pStyle w:val="FootnoteText"/>
        <w:rPr>
          <w:color w:val="0000FF"/>
        </w:rPr>
      </w:pPr>
      <w:r w:rsidRPr="00E95BF1">
        <w:rPr>
          <w:rStyle w:val="FootnoteReference"/>
        </w:rPr>
        <w:footnoteRef/>
      </w:r>
      <w:r w:rsidR="00E95BF1">
        <w:tab/>
      </w:r>
      <w:r w:rsidRPr="00FC05F2">
        <w:rPr>
          <w:color w:val="000000" w:themeColor="text1"/>
          <w:szCs w:val="24"/>
          <w:lang w:val="en"/>
        </w:rPr>
        <w:t>Commission Implementing Decision (EU) 2019/300 of 19 February 2019 establishing a general plan for crisis management in the field of the safety of food and feed</w:t>
      </w:r>
      <w:r>
        <w:rPr>
          <w:color w:val="000000" w:themeColor="text1"/>
          <w:szCs w:val="24"/>
          <w:lang w:val="en"/>
        </w:rPr>
        <w:t>,</w:t>
      </w:r>
      <w:r>
        <w:rPr>
          <w:color w:val="000000" w:themeColor="text1"/>
          <w:szCs w:val="24"/>
        </w:rPr>
        <w:t xml:space="preserve"> </w:t>
      </w:r>
      <w:r w:rsidRPr="00FC05F2">
        <w:rPr>
          <w:iCs/>
          <w:lang w:val="en"/>
        </w:rPr>
        <w:t>OJ L 50, 21.2.2019, p. 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136E60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85C995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AD4B82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D2E443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38A52E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BBC0F7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B20162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48C386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20"/>
  </w:num>
  <w:num w:numId="26">
    <w:abstractNumId w:val="20"/>
  </w:num>
  <w:num w:numId="27">
    <w:abstractNumId w:val="20"/>
  </w:num>
  <w:num w:numId="28">
    <w:abstractNumId w:val="14"/>
  </w:num>
  <w:num w:numId="29">
    <w:abstractNumId w:val="9"/>
  </w:num>
  <w:num w:numId="30">
    <w:abstractNumId w:val="9"/>
  </w:num>
  <w:num w:numId="3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04-08 08:55: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7AD342C-460B-4F50-90BC-BD2645B4E4FA"/>
    <w:docVar w:name="LW_COVERPAGE_TYPE" w:val="1"/>
    <w:docVar w:name="LW_CROSSREFERENCE" w:val="&lt;UNUSED&gt;"/>
    <w:docVar w:name="LW_DocType" w:val="COM"/>
    <w:docVar w:name="LW_EMISSION" w:val="20.4.2022"/>
    <w:docVar w:name="LW_EMISSION_ISODATE" w:val="2022-04-2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3"/>
    <w:docVar w:name="LW_REF.II.NEW.CP_YEAR" w:val="2022"/>
    <w:docVar w:name="LW_REF.INST.NEW" w:val="COM"/>
    <w:docVar w:name="LW_REF.INST.NEW_ADOPTED" w:val="final"/>
    <w:docVar w:name="LW_REF.INST.NEW_TEXT" w:val="(2022) 1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the amendment to Annex I (Veterinary and phytosanitary matters) to the EEA Agreement_x000b__x000b_"/>
    <w:docVar w:name="LW_TYPE.DOC.CP" w:val="COUNCIL DECISION"/>
    <w:docVar w:name="LwApiVersions" w:val="LW4CoDe 1.23.2.0; LW 8.0, Build 20211117"/>
  </w:docVars>
  <w:rsids>
    <w:rsidRoot w:val="004B330A"/>
    <w:rsid w:val="00013E79"/>
    <w:rsid w:val="00015B7D"/>
    <w:rsid w:val="00026292"/>
    <w:rsid w:val="00045D1A"/>
    <w:rsid w:val="00090B79"/>
    <w:rsid w:val="00095423"/>
    <w:rsid w:val="000A7517"/>
    <w:rsid w:val="000C7158"/>
    <w:rsid w:val="000E17C8"/>
    <w:rsid w:val="000E198E"/>
    <w:rsid w:val="000F6E3F"/>
    <w:rsid w:val="000F70A5"/>
    <w:rsid w:val="001839FF"/>
    <w:rsid w:val="0019739A"/>
    <w:rsid w:val="001A0934"/>
    <w:rsid w:val="001A66C8"/>
    <w:rsid w:val="001A7D38"/>
    <w:rsid w:val="001C2816"/>
    <w:rsid w:val="001E018D"/>
    <w:rsid w:val="001E1D51"/>
    <w:rsid w:val="00223606"/>
    <w:rsid w:val="00231B0F"/>
    <w:rsid w:val="00244E7C"/>
    <w:rsid w:val="00263005"/>
    <w:rsid w:val="00274C1E"/>
    <w:rsid w:val="00283146"/>
    <w:rsid w:val="00295330"/>
    <w:rsid w:val="002A6158"/>
    <w:rsid w:val="002C31CD"/>
    <w:rsid w:val="002C6BCA"/>
    <w:rsid w:val="002F6BA5"/>
    <w:rsid w:val="00335140"/>
    <w:rsid w:val="00335194"/>
    <w:rsid w:val="00386F27"/>
    <w:rsid w:val="003B4C1F"/>
    <w:rsid w:val="003C2D9A"/>
    <w:rsid w:val="003C4EA7"/>
    <w:rsid w:val="003D015C"/>
    <w:rsid w:val="003F23F0"/>
    <w:rsid w:val="00406625"/>
    <w:rsid w:val="004239AC"/>
    <w:rsid w:val="00424DDE"/>
    <w:rsid w:val="0044573B"/>
    <w:rsid w:val="00455E12"/>
    <w:rsid w:val="004777A4"/>
    <w:rsid w:val="004876DB"/>
    <w:rsid w:val="004B330A"/>
    <w:rsid w:val="004C367B"/>
    <w:rsid w:val="004C37B5"/>
    <w:rsid w:val="004C4B4F"/>
    <w:rsid w:val="004E0C5E"/>
    <w:rsid w:val="004F2FAD"/>
    <w:rsid w:val="00514FB4"/>
    <w:rsid w:val="00534286"/>
    <w:rsid w:val="00542830"/>
    <w:rsid w:val="00553CF3"/>
    <w:rsid w:val="0056119C"/>
    <w:rsid w:val="005664D9"/>
    <w:rsid w:val="005740B2"/>
    <w:rsid w:val="00577D25"/>
    <w:rsid w:val="00593B06"/>
    <w:rsid w:val="005A0AA4"/>
    <w:rsid w:val="005A32CA"/>
    <w:rsid w:val="005B3C49"/>
    <w:rsid w:val="00620523"/>
    <w:rsid w:val="00621034"/>
    <w:rsid w:val="00621485"/>
    <w:rsid w:val="0063032A"/>
    <w:rsid w:val="006346DD"/>
    <w:rsid w:val="0063484D"/>
    <w:rsid w:val="006505A4"/>
    <w:rsid w:val="00663080"/>
    <w:rsid w:val="00664052"/>
    <w:rsid w:val="006842B9"/>
    <w:rsid w:val="006847EC"/>
    <w:rsid w:val="00696F8A"/>
    <w:rsid w:val="006E4E52"/>
    <w:rsid w:val="006F6E6E"/>
    <w:rsid w:val="0070128F"/>
    <w:rsid w:val="00701FF8"/>
    <w:rsid w:val="00707737"/>
    <w:rsid w:val="00707D11"/>
    <w:rsid w:val="007174C3"/>
    <w:rsid w:val="00733D31"/>
    <w:rsid w:val="00762BA7"/>
    <w:rsid w:val="0076413F"/>
    <w:rsid w:val="007B36C9"/>
    <w:rsid w:val="007B76F5"/>
    <w:rsid w:val="007C06F6"/>
    <w:rsid w:val="007D214D"/>
    <w:rsid w:val="00814A82"/>
    <w:rsid w:val="00840E13"/>
    <w:rsid w:val="008415C3"/>
    <w:rsid w:val="00886FE6"/>
    <w:rsid w:val="008B5A83"/>
    <w:rsid w:val="008B7283"/>
    <w:rsid w:val="008C4F41"/>
    <w:rsid w:val="008D749F"/>
    <w:rsid w:val="008E2773"/>
    <w:rsid w:val="008E6C55"/>
    <w:rsid w:val="00903C20"/>
    <w:rsid w:val="00922573"/>
    <w:rsid w:val="00927626"/>
    <w:rsid w:val="00932B15"/>
    <w:rsid w:val="00935A50"/>
    <w:rsid w:val="00947190"/>
    <w:rsid w:val="00951859"/>
    <w:rsid w:val="0097463A"/>
    <w:rsid w:val="00974A55"/>
    <w:rsid w:val="00986B33"/>
    <w:rsid w:val="00987AD5"/>
    <w:rsid w:val="009A2BA1"/>
    <w:rsid w:val="009A2DC4"/>
    <w:rsid w:val="009A44DF"/>
    <w:rsid w:val="009B02B8"/>
    <w:rsid w:val="009B7138"/>
    <w:rsid w:val="009F477F"/>
    <w:rsid w:val="00A018C1"/>
    <w:rsid w:val="00A1788B"/>
    <w:rsid w:val="00A275EE"/>
    <w:rsid w:val="00A6481D"/>
    <w:rsid w:val="00A748CE"/>
    <w:rsid w:val="00A94F6E"/>
    <w:rsid w:val="00A95FD3"/>
    <w:rsid w:val="00AA5FC3"/>
    <w:rsid w:val="00AD4093"/>
    <w:rsid w:val="00AD56F5"/>
    <w:rsid w:val="00B0320A"/>
    <w:rsid w:val="00B04899"/>
    <w:rsid w:val="00B10604"/>
    <w:rsid w:val="00B466B9"/>
    <w:rsid w:val="00B467F0"/>
    <w:rsid w:val="00B661D7"/>
    <w:rsid w:val="00B71B15"/>
    <w:rsid w:val="00B93567"/>
    <w:rsid w:val="00B9620B"/>
    <w:rsid w:val="00BA3B5C"/>
    <w:rsid w:val="00BB1B64"/>
    <w:rsid w:val="00BE246D"/>
    <w:rsid w:val="00BF17AA"/>
    <w:rsid w:val="00BF1845"/>
    <w:rsid w:val="00BF55F3"/>
    <w:rsid w:val="00C24556"/>
    <w:rsid w:val="00C55D4F"/>
    <w:rsid w:val="00C62742"/>
    <w:rsid w:val="00C71404"/>
    <w:rsid w:val="00C768B7"/>
    <w:rsid w:val="00CA472E"/>
    <w:rsid w:val="00CB246B"/>
    <w:rsid w:val="00CC66EA"/>
    <w:rsid w:val="00CE1F15"/>
    <w:rsid w:val="00CF77E4"/>
    <w:rsid w:val="00D143BB"/>
    <w:rsid w:val="00D17277"/>
    <w:rsid w:val="00D2112A"/>
    <w:rsid w:val="00D3003C"/>
    <w:rsid w:val="00D31763"/>
    <w:rsid w:val="00D32C56"/>
    <w:rsid w:val="00D66459"/>
    <w:rsid w:val="00D70ECF"/>
    <w:rsid w:val="00D7471B"/>
    <w:rsid w:val="00DA11FB"/>
    <w:rsid w:val="00DA1D55"/>
    <w:rsid w:val="00DB662C"/>
    <w:rsid w:val="00DC022E"/>
    <w:rsid w:val="00DC32EC"/>
    <w:rsid w:val="00DE65F0"/>
    <w:rsid w:val="00DE718E"/>
    <w:rsid w:val="00DF2A83"/>
    <w:rsid w:val="00DF3998"/>
    <w:rsid w:val="00DF61FA"/>
    <w:rsid w:val="00E114B0"/>
    <w:rsid w:val="00E127C5"/>
    <w:rsid w:val="00E2311D"/>
    <w:rsid w:val="00E41C0C"/>
    <w:rsid w:val="00E529FA"/>
    <w:rsid w:val="00E52D3F"/>
    <w:rsid w:val="00E56521"/>
    <w:rsid w:val="00E62CAD"/>
    <w:rsid w:val="00E6429A"/>
    <w:rsid w:val="00E76E4B"/>
    <w:rsid w:val="00E95BF1"/>
    <w:rsid w:val="00EA4E6F"/>
    <w:rsid w:val="00F16DE8"/>
    <w:rsid w:val="00F20062"/>
    <w:rsid w:val="00F20708"/>
    <w:rsid w:val="00F24451"/>
    <w:rsid w:val="00F30B9E"/>
    <w:rsid w:val="00F34054"/>
    <w:rsid w:val="00F44975"/>
    <w:rsid w:val="00FB37CB"/>
    <w:rsid w:val="00FB63CB"/>
    <w:rsid w:val="00FD0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9D4F92"/>
  <w15:docId w15:val="{55C88B9E-49BB-40CD-9869-0A4B6526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6847EC"/>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rsid w:val="006847EC"/>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rsid w:val="006847EC"/>
    <w:pPr>
      <w:keepNext/>
      <w:numPr>
        <w:ilvl w:val="6"/>
        <w:numId w:val="2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814A82"/>
    <w:pPr>
      <w:numPr>
        <w:numId w:val="1"/>
      </w:numPr>
      <w:contextualSpacing/>
    </w:pPr>
  </w:style>
  <w:style w:type="paragraph" w:styleId="ListBullet2">
    <w:name w:val="List Bullet 2"/>
    <w:basedOn w:val="Normal"/>
    <w:uiPriority w:val="99"/>
    <w:semiHidden/>
    <w:unhideWhenUsed/>
    <w:rsid w:val="00814A82"/>
    <w:pPr>
      <w:numPr>
        <w:numId w:val="2"/>
      </w:numPr>
      <w:contextualSpacing/>
    </w:pPr>
  </w:style>
  <w:style w:type="paragraph" w:styleId="ListBullet3">
    <w:name w:val="List Bullet 3"/>
    <w:basedOn w:val="Normal"/>
    <w:uiPriority w:val="99"/>
    <w:semiHidden/>
    <w:unhideWhenUsed/>
    <w:rsid w:val="00814A82"/>
    <w:pPr>
      <w:numPr>
        <w:numId w:val="3"/>
      </w:numPr>
      <w:contextualSpacing/>
    </w:pPr>
  </w:style>
  <w:style w:type="paragraph" w:styleId="ListBullet4">
    <w:name w:val="List Bullet 4"/>
    <w:basedOn w:val="Normal"/>
    <w:uiPriority w:val="99"/>
    <w:semiHidden/>
    <w:unhideWhenUsed/>
    <w:rsid w:val="00814A82"/>
    <w:pPr>
      <w:numPr>
        <w:numId w:val="4"/>
      </w:numPr>
      <w:contextualSpacing/>
    </w:pPr>
  </w:style>
  <w:style w:type="paragraph" w:styleId="NormalWeb">
    <w:name w:val="Normal (Web)"/>
    <w:basedOn w:val="Normal"/>
    <w:uiPriority w:val="99"/>
    <w:unhideWhenUsed/>
    <w:rsid w:val="00E529FA"/>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rsid w:val="006E4E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52"/>
    <w:rPr>
      <w:rFonts w:ascii="Segoe UI" w:hAnsi="Segoe UI" w:cs="Segoe UI"/>
      <w:sz w:val="18"/>
      <w:szCs w:val="18"/>
      <w:lang w:val="en-GB"/>
    </w:rPr>
  </w:style>
  <w:style w:type="paragraph" w:styleId="Caption">
    <w:name w:val="caption"/>
    <w:basedOn w:val="Normal"/>
    <w:next w:val="Normal"/>
    <w:uiPriority w:val="35"/>
    <w:semiHidden/>
    <w:unhideWhenUsed/>
    <w:qFormat/>
    <w:rsid w:val="00D70EC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70ECF"/>
    <w:pPr>
      <w:spacing w:after="0"/>
    </w:pPr>
  </w:style>
  <w:style w:type="paragraph" w:styleId="ListNumber">
    <w:name w:val="List Number"/>
    <w:basedOn w:val="Normal"/>
    <w:uiPriority w:val="99"/>
    <w:semiHidden/>
    <w:unhideWhenUsed/>
    <w:rsid w:val="00D70ECF"/>
    <w:pPr>
      <w:numPr>
        <w:numId w:val="7"/>
      </w:numPr>
      <w:contextualSpacing/>
    </w:pPr>
  </w:style>
  <w:style w:type="paragraph" w:styleId="ListNumber2">
    <w:name w:val="List Number 2"/>
    <w:basedOn w:val="Normal"/>
    <w:uiPriority w:val="99"/>
    <w:semiHidden/>
    <w:unhideWhenUsed/>
    <w:rsid w:val="00D70ECF"/>
    <w:pPr>
      <w:numPr>
        <w:numId w:val="8"/>
      </w:numPr>
      <w:contextualSpacing/>
    </w:pPr>
  </w:style>
  <w:style w:type="paragraph" w:styleId="ListNumber3">
    <w:name w:val="List Number 3"/>
    <w:basedOn w:val="Normal"/>
    <w:uiPriority w:val="99"/>
    <w:semiHidden/>
    <w:unhideWhenUsed/>
    <w:rsid w:val="00D70ECF"/>
    <w:pPr>
      <w:numPr>
        <w:numId w:val="9"/>
      </w:numPr>
      <w:contextualSpacing/>
    </w:pPr>
  </w:style>
  <w:style w:type="paragraph" w:styleId="ListNumber4">
    <w:name w:val="List Number 4"/>
    <w:basedOn w:val="Normal"/>
    <w:uiPriority w:val="99"/>
    <w:semiHidden/>
    <w:unhideWhenUsed/>
    <w:rsid w:val="00D70ECF"/>
    <w:pPr>
      <w:numPr>
        <w:numId w:val="10"/>
      </w:numPr>
      <w:contextualSpacing/>
    </w:pPr>
  </w:style>
  <w:style w:type="character" w:styleId="CommentReference">
    <w:name w:val="annotation reference"/>
    <w:basedOn w:val="DefaultParagraphFont"/>
    <w:uiPriority w:val="99"/>
    <w:semiHidden/>
    <w:unhideWhenUsed/>
    <w:rsid w:val="00E6429A"/>
    <w:rPr>
      <w:sz w:val="16"/>
      <w:szCs w:val="16"/>
    </w:rPr>
  </w:style>
  <w:style w:type="paragraph" w:styleId="CommentText">
    <w:name w:val="annotation text"/>
    <w:basedOn w:val="Normal"/>
    <w:link w:val="CommentTextChar"/>
    <w:uiPriority w:val="99"/>
    <w:semiHidden/>
    <w:unhideWhenUsed/>
    <w:rsid w:val="00E6429A"/>
    <w:rPr>
      <w:sz w:val="20"/>
      <w:szCs w:val="20"/>
    </w:rPr>
  </w:style>
  <w:style w:type="character" w:customStyle="1" w:styleId="CommentTextChar">
    <w:name w:val="Comment Text Char"/>
    <w:basedOn w:val="DefaultParagraphFont"/>
    <w:link w:val="CommentText"/>
    <w:uiPriority w:val="99"/>
    <w:semiHidden/>
    <w:rsid w:val="00E6429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6429A"/>
    <w:rPr>
      <w:b/>
      <w:bCs/>
    </w:rPr>
  </w:style>
  <w:style w:type="character" w:customStyle="1" w:styleId="CommentSubjectChar">
    <w:name w:val="Comment Subject Char"/>
    <w:basedOn w:val="CommentTextChar"/>
    <w:link w:val="CommentSubject"/>
    <w:uiPriority w:val="99"/>
    <w:semiHidden/>
    <w:rsid w:val="00E6429A"/>
    <w:rPr>
      <w:rFonts w:ascii="Times New Roman" w:hAnsi="Times New Roman" w:cs="Times New Roman"/>
      <w:b/>
      <w:bCs/>
      <w:sz w:val="20"/>
      <w:szCs w:val="20"/>
      <w:lang w:val="en-GB"/>
    </w:rPr>
  </w:style>
  <w:style w:type="character" w:styleId="Hyperlink">
    <w:name w:val="Hyperlink"/>
    <w:basedOn w:val="DefaultParagraphFont"/>
    <w:uiPriority w:val="99"/>
    <w:unhideWhenUsed/>
    <w:rsid w:val="00E6429A"/>
    <w:rPr>
      <w:color w:val="0000FF" w:themeColor="hyperlink"/>
      <w:u w:val="single"/>
    </w:rPr>
  </w:style>
  <w:style w:type="paragraph" w:styleId="ListParagraph">
    <w:name w:val="List Paragraph"/>
    <w:basedOn w:val="Normal"/>
    <w:uiPriority w:val="34"/>
    <w:qFormat/>
    <w:rsid w:val="00AD4093"/>
    <w:pPr>
      <w:ind w:left="720"/>
      <w:contextualSpacing/>
    </w:pPr>
  </w:style>
  <w:style w:type="character" w:customStyle="1" w:styleId="outputecli">
    <w:name w:val="outputecli"/>
    <w:basedOn w:val="DefaultParagraphFont"/>
    <w:rsid w:val="00621034"/>
  </w:style>
  <w:style w:type="paragraph" w:styleId="Header">
    <w:name w:val="header"/>
    <w:basedOn w:val="Normal"/>
    <w:link w:val="HeaderChar"/>
    <w:uiPriority w:val="99"/>
    <w:unhideWhenUsed/>
    <w:rsid w:val="00BA3B5C"/>
    <w:pPr>
      <w:tabs>
        <w:tab w:val="center" w:pos="4535"/>
        <w:tab w:val="right" w:pos="9071"/>
      </w:tabs>
      <w:spacing w:before="0"/>
    </w:pPr>
  </w:style>
  <w:style w:type="character" w:customStyle="1" w:styleId="HeaderChar">
    <w:name w:val="Header Char"/>
    <w:basedOn w:val="DefaultParagraphFont"/>
    <w:link w:val="Header"/>
    <w:uiPriority w:val="99"/>
    <w:rsid w:val="00BA3B5C"/>
    <w:rPr>
      <w:rFonts w:ascii="Times New Roman" w:hAnsi="Times New Roman" w:cs="Times New Roman"/>
      <w:sz w:val="24"/>
      <w:lang w:val="en-GB"/>
    </w:rPr>
  </w:style>
  <w:style w:type="paragraph" w:styleId="Footer">
    <w:name w:val="footer"/>
    <w:basedOn w:val="Normal"/>
    <w:link w:val="FooterChar"/>
    <w:uiPriority w:val="99"/>
    <w:unhideWhenUsed/>
    <w:rsid w:val="00BA3B5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A3B5C"/>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BA3B5C"/>
    <w:pPr>
      <w:tabs>
        <w:tab w:val="center" w:pos="7285"/>
        <w:tab w:val="right" w:pos="14003"/>
      </w:tabs>
      <w:spacing w:before="0"/>
    </w:pPr>
  </w:style>
  <w:style w:type="paragraph" w:customStyle="1" w:styleId="FooterLandscape">
    <w:name w:val="FooterLandscape"/>
    <w:basedOn w:val="Normal"/>
    <w:rsid w:val="00BA3B5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BA3B5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A3B5C"/>
    <w:pPr>
      <w:spacing w:before="0"/>
      <w:jc w:val="right"/>
    </w:pPr>
    <w:rPr>
      <w:sz w:val="28"/>
    </w:rPr>
  </w:style>
  <w:style w:type="paragraph" w:customStyle="1" w:styleId="FooterSensitivity">
    <w:name w:val="Footer Sensitivity"/>
    <w:basedOn w:val="Normal"/>
    <w:rsid w:val="00BA3B5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1"/>
      </w:numPr>
    </w:pPr>
  </w:style>
  <w:style w:type="paragraph" w:customStyle="1" w:styleId="Tiret1">
    <w:name w:val="Tiret 1"/>
    <w:basedOn w:val="Point1"/>
    <w:rsid w:val="009B7138"/>
    <w:pPr>
      <w:numPr>
        <w:numId w:val="12"/>
      </w:numPr>
    </w:pPr>
  </w:style>
  <w:style w:type="paragraph" w:customStyle="1" w:styleId="Tiret2">
    <w:name w:val="Tiret 2"/>
    <w:basedOn w:val="Point2"/>
    <w:rsid w:val="009B7138"/>
    <w:pPr>
      <w:numPr>
        <w:numId w:val="13"/>
      </w:numPr>
    </w:pPr>
  </w:style>
  <w:style w:type="paragraph" w:customStyle="1" w:styleId="Tiret3">
    <w:name w:val="Tiret 3"/>
    <w:basedOn w:val="Point3"/>
    <w:rsid w:val="009B7138"/>
    <w:pPr>
      <w:numPr>
        <w:numId w:val="14"/>
      </w:numPr>
    </w:pPr>
  </w:style>
  <w:style w:type="paragraph" w:customStyle="1" w:styleId="Tiret4">
    <w:name w:val="Tiret 4"/>
    <w:basedOn w:val="Point4"/>
    <w:rsid w:val="009B7138"/>
    <w:pPr>
      <w:numPr>
        <w:numId w:val="1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1"/>
      </w:numPr>
    </w:pPr>
  </w:style>
  <w:style w:type="paragraph" w:customStyle="1" w:styleId="NumPar2">
    <w:name w:val="NumPar 2"/>
    <w:basedOn w:val="Normal"/>
    <w:next w:val="Text1"/>
    <w:rsid w:val="009B7138"/>
    <w:pPr>
      <w:numPr>
        <w:ilvl w:val="1"/>
        <w:numId w:val="31"/>
      </w:numPr>
    </w:pPr>
  </w:style>
  <w:style w:type="paragraph" w:customStyle="1" w:styleId="NumPar3">
    <w:name w:val="NumPar 3"/>
    <w:basedOn w:val="Normal"/>
    <w:next w:val="Text1"/>
    <w:rsid w:val="009B7138"/>
    <w:pPr>
      <w:numPr>
        <w:ilvl w:val="2"/>
        <w:numId w:val="31"/>
      </w:numPr>
    </w:pPr>
  </w:style>
  <w:style w:type="paragraph" w:customStyle="1" w:styleId="NumPar4">
    <w:name w:val="NumPar 4"/>
    <w:basedOn w:val="Normal"/>
    <w:next w:val="Text1"/>
    <w:rsid w:val="009B7138"/>
    <w:pPr>
      <w:numPr>
        <w:ilvl w:val="3"/>
        <w:numId w:val="31"/>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56119C"/>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8"/>
      </w:numPr>
    </w:pPr>
  </w:style>
  <w:style w:type="paragraph" w:customStyle="1" w:styleId="Point1number">
    <w:name w:val="Point 1 (number)"/>
    <w:basedOn w:val="Normal"/>
    <w:rsid w:val="009B7138"/>
    <w:pPr>
      <w:numPr>
        <w:ilvl w:val="2"/>
        <w:numId w:val="18"/>
      </w:numPr>
    </w:pPr>
  </w:style>
  <w:style w:type="paragraph" w:customStyle="1" w:styleId="Point2number">
    <w:name w:val="Point 2 (number)"/>
    <w:basedOn w:val="Normal"/>
    <w:rsid w:val="009B7138"/>
    <w:pPr>
      <w:numPr>
        <w:ilvl w:val="4"/>
        <w:numId w:val="18"/>
      </w:numPr>
    </w:pPr>
  </w:style>
  <w:style w:type="paragraph" w:customStyle="1" w:styleId="Point3number">
    <w:name w:val="Point 3 (number)"/>
    <w:basedOn w:val="Normal"/>
    <w:rsid w:val="009B7138"/>
    <w:pPr>
      <w:numPr>
        <w:ilvl w:val="6"/>
        <w:numId w:val="18"/>
      </w:numPr>
    </w:pPr>
  </w:style>
  <w:style w:type="paragraph" w:customStyle="1" w:styleId="Point0letter">
    <w:name w:val="Point 0 (letter)"/>
    <w:basedOn w:val="Normal"/>
    <w:rsid w:val="009B7138"/>
    <w:pPr>
      <w:numPr>
        <w:ilvl w:val="1"/>
        <w:numId w:val="18"/>
      </w:numPr>
    </w:pPr>
  </w:style>
  <w:style w:type="paragraph" w:customStyle="1" w:styleId="Point1letter">
    <w:name w:val="Point 1 (letter)"/>
    <w:basedOn w:val="Normal"/>
    <w:rsid w:val="009B7138"/>
    <w:pPr>
      <w:numPr>
        <w:ilvl w:val="3"/>
        <w:numId w:val="18"/>
      </w:numPr>
    </w:pPr>
  </w:style>
  <w:style w:type="paragraph" w:customStyle="1" w:styleId="Point2letter">
    <w:name w:val="Point 2 (letter)"/>
    <w:basedOn w:val="Normal"/>
    <w:rsid w:val="009B7138"/>
    <w:pPr>
      <w:numPr>
        <w:ilvl w:val="5"/>
        <w:numId w:val="18"/>
      </w:numPr>
    </w:pPr>
  </w:style>
  <w:style w:type="paragraph" w:customStyle="1" w:styleId="Point3letter">
    <w:name w:val="Point 3 (letter)"/>
    <w:basedOn w:val="Normal"/>
    <w:rsid w:val="009B7138"/>
    <w:pPr>
      <w:numPr>
        <w:ilvl w:val="7"/>
        <w:numId w:val="18"/>
      </w:numPr>
    </w:pPr>
  </w:style>
  <w:style w:type="paragraph" w:customStyle="1" w:styleId="Point4letter">
    <w:name w:val="Point 4 (letter)"/>
    <w:basedOn w:val="Normal"/>
    <w:rsid w:val="009B7138"/>
    <w:pPr>
      <w:numPr>
        <w:ilvl w:val="8"/>
        <w:numId w:val="18"/>
      </w:numPr>
    </w:pPr>
  </w:style>
  <w:style w:type="paragraph" w:customStyle="1" w:styleId="Bullet0">
    <w:name w:val="Bullet 0"/>
    <w:basedOn w:val="Normal"/>
    <w:rsid w:val="009B7138"/>
    <w:pPr>
      <w:numPr>
        <w:numId w:val="19"/>
      </w:numPr>
    </w:pPr>
  </w:style>
  <w:style w:type="paragraph" w:customStyle="1" w:styleId="Bullet1">
    <w:name w:val="Bullet 1"/>
    <w:basedOn w:val="Normal"/>
    <w:rsid w:val="009B7138"/>
    <w:pPr>
      <w:numPr>
        <w:numId w:val="20"/>
      </w:numPr>
    </w:pPr>
  </w:style>
  <w:style w:type="paragraph" w:customStyle="1" w:styleId="Bullet2">
    <w:name w:val="Bullet 2"/>
    <w:basedOn w:val="Normal"/>
    <w:rsid w:val="009B7138"/>
    <w:pPr>
      <w:numPr>
        <w:numId w:val="21"/>
      </w:numPr>
    </w:pPr>
  </w:style>
  <w:style w:type="paragraph" w:customStyle="1" w:styleId="Bullet3">
    <w:name w:val="Bullet 3"/>
    <w:basedOn w:val="Normal"/>
    <w:rsid w:val="009B7138"/>
    <w:pPr>
      <w:numPr>
        <w:numId w:val="22"/>
      </w:numPr>
    </w:pPr>
  </w:style>
  <w:style w:type="paragraph" w:customStyle="1" w:styleId="Bullet4">
    <w:name w:val="Bullet 4"/>
    <w:basedOn w:val="Normal"/>
    <w:rsid w:val="009B7138"/>
    <w:pPr>
      <w:numPr>
        <w:numId w:val="23"/>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4"/>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6847EC"/>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6847EC"/>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6847EC"/>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6847EC"/>
    <w:pPr>
      <w:keepNext/>
      <w:tabs>
        <w:tab w:val="left" w:pos="1417"/>
      </w:tabs>
      <w:ind w:left="1417" w:hanging="1417"/>
      <w:outlineLvl w:val="4"/>
    </w:pPr>
  </w:style>
  <w:style w:type="paragraph" w:customStyle="1" w:styleId="ManualHeading6">
    <w:name w:val="Manual Heading 6"/>
    <w:basedOn w:val="Normal"/>
    <w:next w:val="Text2"/>
    <w:rsid w:val="006847EC"/>
    <w:pPr>
      <w:keepNext/>
      <w:tabs>
        <w:tab w:val="left" w:pos="1417"/>
      </w:tabs>
      <w:ind w:left="1417" w:hanging="1417"/>
      <w:outlineLvl w:val="5"/>
    </w:pPr>
  </w:style>
  <w:style w:type="paragraph" w:customStyle="1" w:styleId="ManualHeading7">
    <w:name w:val="Manual Heading 7"/>
    <w:basedOn w:val="Normal"/>
    <w:next w:val="Text2"/>
    <w:rsid w:val="006847EC"/>
    <w:pPr>
      <w:keepNext/>
      <w:tabs>
        <w:tab w:val="left" w:pos="1417"/>
      </w:tabs>
      <w:ind w:left="1417" w:hanging="1417"/>
      <w:outlineLvl w:val="6"/>
    </w:pPr>
  </w:style>
  <w:style w:type="paragraph" w:customStyle="1" w:styleId="Text5">
    <w:name w:val="Text 5"/>
    <w:basedOn w:val="Normal"/>
    <w:rsid w:val="006847EC"/>
    <w:pPr>
      <w:ind w:left="3118"/>
    </w:pPr>
  </w:style>
  <w:style w:type="paragraph" w:customStyle="1" w:styleId="Text6">
    <w:name w:val="Text 6"/>
    <w:basedOn w:val="Normal"/>
    <w:rsid w:val="006847EC"/>
    <w:pPr>
      <w:ind w:left="3685"/>
    </w:pPr>
  </w:style>
  <w:style w:type="paragraph" w:customStyle="1" w:styleId="Point5">
    <w:name w:val="Point 5"/>
    <w:basedOn w:val="Normal"/>
    <w:rsid w:val="006847EC"/>
    <w:pPr>
      <w:ind w:left="3685" w:hanging="567"/>
    </w:pPr>
  </w:style>
  <w:style w:type="paragraph" w:customStyle="1" w:styleId="Tiret5">
    <w:name w:val="Tiret 5"/>
    <w:basedOn w:val="Point5"/>
    <w:rsid w:val="006847EC"/>
    <w:pPr>
      <w:numPr>
        <w:numId w:val="28"/>
      </w:numPr>
    </w:pPr>
  </w:style>
  <w:style w:type="paragraph" w:customStyle="1" w:styleId="NumPar5">
    <w:name w:val="NumPar 5"/>
    <w:basedOn w:val="Normal"/>
    <w:next w:val="Text2"/>
    <w:rsid w:val="006847EC"/>
    <w:pPr>
      <w:numPr>
        <w:ilvl w:val="4"/>
        <w:numId w:val="31"/>
      </w:numPr>
    </w:pPr>
  </w:style>
  <w:style w:type="paragraph" w:customStyle="1" w:styleId="NumPar6">
    <w:name w:val="NumPar 6"/>
    <w:basedOn w:val="Normal"/>
    <w:next w:val="Text2"/>
    <w:rsid w:val="006847EC"/>
    <w:pPr>
      <w:numPr>
        <w:ilvl w:val="5"/>
        <w:numId w:val="31"/>
      </w:numPr>
    </w:pPr>
  </w:style>
  <w:style w:type="paragraph" w:customStyle="1" w:styleId="NumPar7">
    <w:name w:val="NumPar 7"/>
    <w:basedOn w:val="Normal"/>
    <w:next w:val="Text2"/>
    <w:rsid w:val="006847EC"/>
    <w:pPr>
      <w:numPr>
        <w:ilvl w:val="6"/>
        <w:numId w:val="31"/>
      </w:numPr>
    </w:pPr>
  </w:style>
  <w:style w:type="paragraph" w:customStyle="1" w:styleId="ManualNumPar5">
    <w:name w:val="Manual NumPar 5"/>
    <w:basedOn w:val="Normal"/>
    <w:next w:val="Text2"/>
    <w:rsid w:val="006847EC"/>
    <w:pPr>
      <w:ind w:left="1417" w:hanging="1417"/>
    </w:pPr>
  </w:style>
  <w:style w:type="paragraph" w:customStyle="1" w:styleId="ManualNumPar6">
    <w:name w:val="Manual NumPar 6"/>
    <w:basedOn w:val="Normal"/>
    <w:next w:val="Text2"/>
    <w:rsid w:val="006847EC"/>
    <w:pPr>
      <w:ind w:left="1417" w:hanging="1417"/>
    </w:pPr>
  </w:style>
  <w:style w:type="paragraph" w:customStyle="1" w:styleId="ManualNumPar7">
    <w:name w:val="Manual NumPar 7"/>
    <w:basedOn w:val="Normal"/>
    <w:next w:val="Text2"/>
    <w:rsid w:val="006847EC"/>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7106">
      <w:bodyDiv w:val="1"/>
      <w:marLeft w:val="0"/>
      <w:marRight w:val="0"/>
      <w:marTop w:val="0"/>
      <w:marBottom w:val="0"/>
      <w:divBdr>
        <w:top w:val="none" w:sz="0" w:space="0" w:color="auto"/>
        <w:left w:val="none" w:sz="0" w:space="0" w:color="auto"/>
        <w:bottom w:val="none" w:sz="0" w:space="0" w:color="auto"/>
        <w:right w:val="none" w:sz="0" w:space="0" w:color="auto"/>
      </w:divBdr>
    </w:div>
    <w:div w:id="11067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E227A-E945-4A78-AE06-64AEE4A6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1189</Words>
  <Characters>6220</Characters>
  <Application>Microsoft Office Word</Application>
  <DocSecurity>0</DocSecurity>
  <Lines>126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2022-01-25T11:13:00Z</dcterms:created>
  <dcterms:modified xsi:type="dcterms:W3CDTF">2022-04-08T06:55:00Z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